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分包情况及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采购内容</w:t>
      </w:r>
    </w:p>
    <w:tbl>
      <w:tblPr>
        <w:tblStyle w:val="5"/>
        <w:tblW w:w="8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1531"/>
        <w:gridCol w:w="909"/>
        <w:gridCol w:w="509"/>
        <w:gridCol w:w="840"/>
        <w:gridCol w:w="1239"/>
        <w:gridCol w:w="909"/>
        <w:gridCol w:w="19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序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号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货物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是否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接受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进口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是否为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核心产品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最高</w:t>
            </w:r>
          </w:p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限价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（元）</w:t>
            </w:r>
          </w:p>
        </w:tc>
        <w:tc>
          <w:tcPr>
            <w:tcW w:w="190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交货期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01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气相色谱仪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是</w:t>
            </w:r>
          </w:p>
        </w:tc>
        <w:tc>
          <w:tcPr>
            <w:tcW w:w="909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314000</w:t>
            </w:r>
          </w:p>
        </w:tc>
        <w:tc>
          <w:tcPr>
            <w:tcW w:w="1907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自合同签订之日起30日历天内交货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甲醛测试仪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光谱照度计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液氮罐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混凝试验搅拌仪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LED光源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zh-CN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0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医用冷藏箱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389500</w:t>
            </w:r>
          </w:p>
        </w:tc>
        <w:tc>
          <w:tcPr>
            <w:tcW w:w="1907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自合同签订之日起30日历天内交货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-86°C超低温冰箱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鼓风干燥箱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电热恒温培养箱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转移摇床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2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细胞存储液氮罐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二氧化碳培养箱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生物安全柜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洁净工作台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倒置生物显微镜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恒温金属浴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分析天平（万分之一）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PH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计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体视显微镜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PCR仪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小动物麻醉机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大小鼠-全套血压测量系统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Hans"/>
              </w:rPr>
              <w:t>是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台式恒温振荡器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电泳仪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垂直电泳槽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转移电泳槽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22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水平电泳槽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Hans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03包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雪花制冰机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</w:rPr>
              <w:t>是</w:t>
            </w:r>
          </w:p>
        </w:tc>
        <w:tc>
          <w:tcPr>
            <w:tcW w:w="909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100000</w:t>
            </w:r>
          </w:p>
        </w:tc>
        <w:tc>
          <w:tcPr>
            <w:tcW w:w="1907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自合同签订之日起30日历天内交货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高速离心机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空调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3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909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Merge w:val="continue"/>
            <w:noWrap w:val="0"/>
            <w:vAlign w:val="top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04包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红外热辐射治疗仪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250000</w:t>
            </w:r>
          </w:p>
        </w:tc>
        <w:tc>
          <w:tcPr>
            <w:tcW w:w="190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自合同签订之日起30日历天内交货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05包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521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 w:bidi="ar-SA"/>
              </w:rPr>
              <w:t>大数据财务分析平台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3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909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255000</w:t>
            </w:r>
          </w:p>
        </w:tc>
        <w:tc>
          <w:tcPr>
            <w:tcW w:w="1907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  <w:t>自合同签订之日起30日历天内交货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8365" w:type="dxa"/>
            <w:gridSpan w:val="8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注：供应商的响应总报价不得超过所投包号的的最高限价，否则视其为无效响应。</w:t>
            </w:r>
          </w:p>
        </w:tc>
      </w:tr>
    </w:tbl>
    <w:p>
      <w:pPr>
        <w:jc w:val="center"/>
        <w:rPr>
          <w:rFonts w:hint="eastAsia" w:eastAsiaTheme="minorEastAsia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体">
    <w:altName w:val="仿宋"/>
    <w:panose1 w:val="00000000000000000000"/>
    <w:charset w:val="00"/>
    <w:family w:val="roman"/>
    <w:pitch w:val="default"/>
    <w:sig w:usb0="00000000" w:usb1="00000000" w:usb2="0000001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0NjU4NWRjMDU4N2MyMmNkZjZjZDUwNGJkYTlhZjgifQ=="/>
  </w:docVars>
  <w:rsids>
    <w:rsidRoot w:val="2F32328E"/>
    <w:rsid w:val="2F32328E"/>
    <w:rsid w:val="61294128"/>
    <w:rsid w:val="6ED5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next w:val="3"/>
    <w:qFormat/>
    <w:uiPriority w:val="0"/>
    <w:pPr>
      <w:jc w:val="both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3">
    <w:name w:val="段"/>
    <w:next w:val="1"/>
    <w:qFormat/>
    <w:uiPriority w:val="0"/>
    <w:pPr>
      <w:autoSpaceDE w:val="0"/>
      <w:autoSpaceDN w:val="0"/>
      <w:spacing w:line="360" w:lineRule="auto"/>
      <w:ind w:left="200" w:firstLine="3784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4">
    <w:name w:val="Body Text"/>
    <w:basedOn w:val="1"/>
    <w:next w:val="1"/>
    <w:qFormat/>
    <w:uiPriority w:val="0"/>
    <w:pPr>
      <w:spacing w:after="160"/>
    </w:pPr>
    <w:rPr>
      <w:rFonts w:ascii="仿宋体" w:hAnsi="Calibri" w:eastAsia="仿宋体" w:cs="Times New Roman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2023-08-21T02:25:00Z</dcterms:created>
  <dc:creator>代理机构</dc:creator>
  <cp:lastModifiedBy>代理机构</cp:lastModifiedBy>
  <dcterms:modified xsi:type="dcterms:W3CDTF">2023-08-21T03:54:43Z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496C4FB45CB34698B9227E3974E54A38_11</vt:lpwstr>
  </property>
</Properties>
</file>