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88"/>
        <w:tblW w:w="8947" w:type="dxa"/>
        <w:tblInd w:w="0" w:type="dxa"/>
        <w:tblLayout w:type="fixed"/>
        <w:tblCellMar>
          <w:top w:w="0" w:type="dxa"/>
          <w:left w:w="108" w:type="dxa"/>
          <w:bottom w:w="0" w:type="dxa"/>
          <w:right w:w="108" w:type="dxa"/>
        </w:tblCellMar>
      </w:tblPr>
      <w:tblGrid>
        <w:gridCol w:w="3133"/>
        <w:gridCol w:w="5814"/>
      </w:tblGrid>
      <w:tr>
        <w:tblPrEx>
          <w:tblCellMar>
            <w:top w:w="0" w:type="dxa"/>
            <w:left w:w="108" w:type="dxa"/>
            <w:bottom w:w="0" w:type="dxa"/>
            <w:right w:w="108" w:type="dxa"/>
          </w:tblCellMar>
        </w:tblPrEx>
        <w:trPr>
          <w:trHeight w:val="630" w:hRule="atLeast"/>
        </w:trPr>
        <w:tc>
          <w:tcPr>
            <w:tcW w:w="3133" w:type="dxa"/>
            <w:vMerge w:val="restart"/>
          </w:tcPr>
          <w:p>
            <w:pPr>
              <w:widowControl/>
              <w:jc w:val="left"/>
              <w:rPr>
                <w:rFonts w:ascii="宋体" w:hAnsi="宋体" w:cs="宋体"/>
                <w:kern w:val="0"/>
                <w:sz w:val="24"/>
                <w:highlight w:val="none"/>
              </w:rPr>
            </w:pPr>
          </w:p>
        </w:tc>
        <w:tc>
          <w:tcPr>
            <w:tcW w:w="5814" w:type="dxa"/>
            <w:tcBorders>
              <w:left w:val="nil"/>
            </w:tcBorders>
            <w:vAlign w:val="center"/>
          </w:tcPr>
          <w:p>
            <w:pPr>
              <w:adjustRightInd w:val="0"/>
              <w:snapToGrid w:val="0"/>
              <w:jc w:val="right"/>
              <w:rPr>
                <w:rFonts w:ascii="宋体" w:hAnsi="宋体" w:cs="宋体"/>
                <w:sz w:val="30"/>
                <w:szCs w:val="30"/>
                <w:highlight w:val="none"/>
              </w:rPr>
            </w:pPr>
          </w:p>
        </w:tc>
      </w:tr>
      <w:tr>
        <w:tblPrEx>
          <w:tblCellMar>
            <w:top w:w="0" w:type="dxa"/>
            <w:left w:w="108" w:type="dxa"/>
            <w:bottom w:w="0" w:type="dxa"/>
            <w:right w:w="108" w:type="dxa"/>
          </w:tblCellMar>
        </w:tblPrEx>
        <w:trPr>
          <w:trHeight w:val="630" w:hRule="atLeast"/>
        </w:trPr>
        <w:tc>
          <w:tcPr>
            <w:tcW w:w="3133" w:type="dxa"/>
            <w:vMerge w:val="continue"/>
            <w:vAlign w:val="center"/>
          </w:tcPr>
          <w:p>
            <w:pPr>
              <w:widowControl/>
              <w:jc w:val="left"/>
              <w:rPr>
                <w:rFonts w:ascii="宋体" w:hAnsi="宋体" w:cs="宋体"/>
                <w:sz w:val="30"/>
                <w:szCs w:val="30"/>
                <w:highlight w:val="none"/>
              </w:rPr>
            </w:pPr>
          </w:p>
        </w:tc>
        <w:tc>
          <w:tcPr>
            <w:tcW w:w="5814" w:type="dxa"/>
            <w:tcBorders>
              <w:left w:val="nil"/>
            </w:tcBorders>
            <w:vAlign w:val="center"/>
          </w:tcPr>
          <w:p>
            <w:pPr>
              <w:widowControl/>
              <w:jc w:val="left"/>
              <w:rPr>
                <w:rFonts w:ascii="宋体" w:hAnsi="宋体" w:cs="宋体"/>
                <w:sz w:val="30"/>
                <w:szCs w:val="30"/>
                <w:highlight w:val="none"/>
              </w:rPr>
            </w:pPr>
          </w:p>
        </w:tc>
      </w:tr>
      <w:tr>
        <w:tblPrEx>
          <w:tblCellMar>
            <w:top w:w="0" w:type="dxa"/>
            <w:left w:w="108" w:type="dxa"/>
            <w:bottom w:w="0" w:type="dxa"/>
            <w:right w:w="108" w:type="dxa"/>
          </w:tblCellMar>
        </w:tblPrEx>
        <w:trPr>
          <w:trHeight w:val="630" w:hRule="atLeast"/>
        </w:trPr>
        <w:tc>
          <w:tcPr>
            <w:tcW w:w="3133" w:type="dxa"/>
            <w:vMerge w:val="continue"/>
            <w:tcBorders>
              <w:bottom w:val="threeDEngrave" w:color="auto" w:sz="24" w:space="0"/>
            </w:tcBorders>
          </w:tcPr>
          <w:p>
            <w:pPr>
              <w:widowControl/>
              <w:jc w:val="right"/>
              <w:rPr>
                <w:rFonts w:ascii="宋体" w:hAnsi="宋体" w:cs="宋体"/>
                <w:sz w:val="30"/>
                <w:szCs w:val="30"/>
                <w:highlight w:val="none"/>
              </w:rPr>
            </w:pPr>
          </w:p>
        </w:tc>
        <w:tc>
          <w:tcPr>
            <w:tcW w:w="5814" w:type="dxa"/>
            <w:tcBorders>
              <w:left w:val="nil"/>
              <w:bottom w:val="threeDEngrave" w:color="auto" w:sz="24" w:space="0"/>
            </w:tcBorders>
            <w:vAlign w:val="center"/>
          </w:tcPr>
          <w:p>
            <w:pPr>
              <w:wordWrap w:val="0"/>
              <w:jc w:val="right"/>
              <w:rPr>
                <w:rFonts w:ascii="宋体" w:hAnsi="宋体" w:cs="宋体"/>
                <w:b/>
                <w:sz w:val="30"/>
                <w:szCs w:val="30"/>
                <w:highlight w:val="none"/>
              </w:rPr>
            </w:pPr>
          </w:p>
        </w:tc>
      </w:tr>
      <w:tr>
        <w:tblPrEx>
          <w:tblCellMar>
            <w:top w:w="0" w:type="dxa"/>
            <w:left w:w="108" w:type="dxa"/>
            <w:bottom w:w="0" w:type="dxa"/>
            <w:right w:w="108" w:type="dxa"/>
          </w:tblCellMar>
        </w:tblPrEx>
        <w:trPr>
          <w:trHeight w:val="675" w:hRule="atLeast"/>
        </w:trPr>
        <w:tc>
          <w:tcPr>
            <w:tcW w:w="8947" w:type="dxa"/>
            <w:gridSpan w:val="2"/>
            <w:tcBorders>
              <w:top w:val="threeDEngrave" w:color="auto" w:sz="24" w:space="0"/>
              <w:left w:val="nil"/>
              <w:right w:val="nil"/>
            </w:tcBorders>
            <w:vAlign w:val="center"/>
          </w:tcPr>
          <w:p>
            <w:pPr>
              <w:adjustRightInd w:val="0"/>
              <w:snapToGrid w:val="0"/>
              <w:jc w:val="right"/>
              <w:rPr>
                <w:rFonts w:hint="eastAsia" w:ascii="宋体" w:hAnsi="宋体" w:eastAsia="宋体" w:cs="宋体"/>
                <w:b/>
                <w:sz w:val="52"/>
                <w:szCs w:val="48"/>
                <w:highlight w:val="none"/>
                <w:lang w:eastAsia="zh-CN"/>
              </w:rPr>
            </w:pPr>
            <w:r>
              <w:rPr>
                <w:rFonts w:hint="eastAsia" w:ascii="宋体" w:hAnsi="宋体" w:cs="宋体"/>
                <w:b/>
                <w:sz w:val="52"/>
                <w:szCs w:val="48"/>
                <w:highlight w:val="none"/>
                <w:lang w:eastAsia="zh-CN"/>
              </w:rPr>
              <w:t>中南民族大学</w:t>
            </w:r>
          </w:p>
        </w:tc>
      </w:tr>
      <w:tr>
        <w:tblPrEx>
          <w:tblCellMar>
            <w:top w:w="0" w:type="dxa"/>
            <w:left w:w="108" w:type="dxa"/>
            <w:bottom w:w="0" w:type="dxa"/>
            <w:right w:w="108" w:type="dxa"/>
          </w:tblCellMar>
        </w:tblPrEx>
        <w:trPr>
          <w:trHeight w:val="706" w:hRule="atLeast"/>
        </w:trPr>
        <w:tc>
          <w:tcPr>
            <w:tcW w:w="8947" w:type="dxa"/>
            <w:gridSpan w:val="2"/>
            <w:tcBorders>
              <w:left w:val="nil"/>
              <w:right w:val="nil"/>
            </w:tcBorders>
            <w:vAlign w:val="center"/>
          </w:tcPr>
          <w:p>
            <w:pPr>
              <w:adjustRightInd w:val="0"/>
              <w:snapToGrid w:val="0"/>
              <w:jc w:val="right"/>
              <w:rPr>
                <w:rFonts w:hint="default" w:ascii="宋体" w:hAnsi="宋体" w:eastAsia="宋体" w:cs="宋体"/>
                <w:b/>
                <w:sz w:val="48"/>
                <w:szCs w:val="48"/>
                <w:highlight w:val="none"/>
                <w:lang w:val="en-US" w:eastAsia="zh-CN"/>
              </w:rPr>
            </w:pPr>
            <w:r>
              <w:rPr>
                <w:rFonts w:hint="eastAsia" w:ascii="宋体" w:hAnsi="宋体" w:cs="宋体"/>
                <w:b/>
                <w:spacing w:val="-20"/>
                <w:sz w:val="48"/>
                <w:szCs w:val="48"/>
                <w:highlight w:val="none"/>
                <w:lang w:eastAsia="zh-CN"/>
              </w:rPr>
              <w:t>中南民族大学融媒体中心建设</w:t>
            </w:r>
            <w:r>
              <w:rPr>
                <w:rFonts w:hint="eastAsia" w:ascii="宋体" w:hAnsi="宋体" w:cs="宋体"/>
                <w:b/>
                <w:spacing w:val="-20"/>
                <w:sz w:val="48"/>
                <w:szCs w:val="48"/>
                <w:highlight w:val="none"/>
                <w:lang w:val="en-US" w:eastAsia="zh-CN"/>
              </w:rPr>
              <w:t>项目</w:t>
            </w:r>
          </w:p>
        </w:tc>
      </w:tr>
      <w:tr>
        <w:tblPrEx>
          <w:tblCellMar>
            <w:top w:w="0" w:type="dxa"/>
            <w:left w:w="108" w:type="dxa"/>
            <w:bottom w:w="0" w:type="dxa"/>
            <w:right w:w="108" w:type="dxa"/>
          </w:tblCellMar>
        </w:tblPrEx>
        <w:trPr>
          <w:trHeight w:val="80" w:hRule="atLeast"/>
        </w:trPr>
        <w:tc>
          <w:tcPr>
            <w:tcW w:w="8947" w:type="dxa"/>
            <w:gridSpan w:val="2"/>
            <w:tcBorders>
              <w:top w:val="nil"/>
              <w:left w:val="nil"/>
              <w:bottom w:val="threeDEngrave" w:color="auto" w:sz="24" w:space="0"/>
              <w:right w:val="nil"/>
            </w:tcBorders>
            <w:vAlign w:val="center"/>
          </w:tcPr>
          <w:p>
            <w:pPr>
              <w:adjustRightInd w:val="0"/>
              <w:snapToGrid w:val="0"/>
              <w:jc w:val="right"/>
              <w:rPr>
                <w:rFonts w:ascii="宋体" w:hAnsi="宋体" w:cs="宋体"/>
                <w:b/>
                <w:sz w:val="52"/>
                <w:szCs w:val="48"/>
                <w:highlight w:val="none"/>
              </w:rPr>
            </w:pPr>
            <w:r>
              <w:rPr>
                <w:rFonts w:hint="eastAsia" w:ascii="宋体" w:hAnsi="宋体" w:cs="宋体"/>
                <w:b/>
                <w:sz w:val="52"/>
                <w:szCs w:val="48"/>
                <w:highlight w:val="none"/>
              </w:rPr>
              <w:t>招标文件</w:t>
            </w:r>
          </w:p>
        </w:tc>
      </w:tr>
      <w:tr>
        <w:tblPrEx>
          <w:tblCellMar>
            <w:top w:w="0" w:type="dxa"/>
            <w:left w:w="108" w:type="dxa"/>
            <w:bottom w:w="0" w:type="dxa"/>
            <w:right w:w="108" w:type="dxa"/>
          </w:tblCellMar>
        </w:tblPrEx>
        <w:trPr>
          <w:trHeight w:val="624" w:hRule="atLeast"/>
        </w:trPr>
        <w:tc>
          <w:tcPr>
            <w:tcW w:w="8947" w:type="dxa"/>
            <w:gridSpan w:val="2"/>
            <w:tcBorders>
              <w:top w:val="threeDEngrave" w:color="auto" w:sz="24" w:space="0"/>
              <w:left w:val="nil"/>
              <w:bottom w:val="nil"/>
              <w:right w:val="nil"/>
            </w:tcBorders>
            <w:vAlign w:val="center"/>
          </w:tcPr>
          <w:p>
            <w:pPr>
              <w:wordWrap w:val="0"/>
              <w:adjustRightInd w:val="0"/>
              <w:snapToGrid w:val="0"/>
              <w:jc w:val="right"/>
              <w:rPr>
                <w:rFonts w:hint="default" w:ascii="宋体" w:hAnsi="宋体" w:eastAsia="宋体" w:cs="宋体"/>
                <w:b/>
                <w:sz w:val="30"/>
                <w:szCs w:val="30"/>
                <w:highlight w:val="none"/>
                <w:lang w:val="en-US" w:eastAsia="zh-CN"/>
              </w:rPr>
            </w:pPr>
            <w:r>
              <w:rPr>
                <w:rFonts w:hint="eastAsia" w:ascii="宋体" w:hAnsi="宋体" w:cs="宋体"/>
                <w:b/>
                <w:sz w:val="30"/>
                <w:szCs w:val="30"/>
                <w:highlight w:val="none"/>
              </w:rPr>
              <w:t>项目编号：</w:t>
            </w:r>
            <w:r>
              <w:rPr>
                <w:rFonts w:hint="eastAsia" w:ascii="宋体" w:hAnsi="宋体" w:cs="宋体"/>
                <w:b/>
                <w:sz w:val="30"/>
                <w:szCs w:val="30"/>
                <w:highlight w:val="none"/>
                <w:lang w:val="en-US" w:eastAsia="zh-CN"/>
              </w:rPr>
              <w:t>HBT-23125052-264840</w:t>
            </w:r>
          </w:p>
        </w:tc>
      </w:tr>
      <w:tr>
        <w:tblPrEx>
          <w:tblCellMar>
            <w:top w:w="0" w:type="dxa"/>
            <w:left w:w="108" w:type="dxa"/>
            <w:bottom w:w="0" w:type="dxa"/>
            <w:right w:w="108" w:type="dxa"/>
          </w:tblCellMar>
        </w:tblPrEx>
        <w:trPr>
          <w:trHeight w:val="624" w:hRule="atLeast"/>
        </w:trPr>
        <w:tc>
          <w:tcPr>
            <w:tcW w:w="8947" w:type="dxa"/>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8947" w:type="dxa"/>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8947" w:type="dxa"/>
            <w:gridSpan w:val="2"/>
            <w:vAlign w:val="center"/>
          </w:tcPr>
          <w:p>
            <w:pPr>
              <w:adjustRightInd w:val="0"/>
              <w:snapToGrid w:val="0"/>
              <w:jc w:val="center"/>
              <w:rPr>
                <w:rFonts w:ascii="宋体" w:hAnsi="宋体" w:cs="宋体"/>
                <w:sz w:val="32"/>
                <w:szCs w:val="32"/>
                <w:highlight w:val="none"/>
              </w:rPr>
            </w:pPr>
          </w:p>
        </w:tc>
      </w:tr>
      <w:tr>
        <w:tblPrEx>
          <w:tblCellMar>
            <w:top w:w="0" w:type="dxa"/>
            <w:left w:w="108" w:type="dxa"/>
            <w:bottom w:w="0" w:type="dxa"/>
            <w:right w:w="108" w:type="dxa"/>
          </w:tblCellMar>
        </w:tblPrEx>
        <w:trPr>
          <w:trHeight w:val="624" w:hRule="atLeast"/>
        </w:trPr>
        <w:tc>
          <w:tcPr>
            <w:tcW w:w="8947" w:type="dxa"/>
            <w:gridSpan w:val="2"/>
            <w:vAlign w:val="center"/>
          </w:tcPr>
          <w:p>
            <w:pPr>
              <w:adjustRightInd w:val="0"/>
              <w:snapToGrid w:val="0"/>
              <w:rPr>
                <w:rFonts w:ascii="宋体" w:hAnsi="宋体" w:cs="宋体"/>
                <w:sz w:val="32"/>
                <w:szCs w:val="32"/>
                <w:highlight w:val="none"/>
              </w:rPr>
            </w:pPr>
          </w:p>
        </w:tc>
      </w:tr>
      <w:tr>
        <w:tblPrEx>
          <w:tblCellMar>
            <w:top w:w="0" w:type="dxa"/>
            <w:left w:w="108" w:type="dxa"/>
            <w:bottom w:w="0" w:type="dxa"/>
            <w:right w:w="108" w:type="dxa"/>
          </w:tblCellMar>
        </w:tblPrEx>
        <w:trPr>
          <w:trHeight w:val="624" w:hRule="atLeast"/>
        </w:trPr>
        <w:tc>
          <w:tcPr>
            <w:tcW w:w="8947" w:type="dxa"/>
            <w:gridSpan w:val="2"/>
            <w:vAlign w:val="center"/>
          </w:tcPr>
          <w:p>
            <w:pPr>
              <w:adjustRightInd w:val="0"/>
              <w:snapToGrid w:val="0"/>
              <w:rPr>
                <w:rFonts w:ascii="宋体" w:hAnsi="宋体" w:cs="宋体"/>
                <w:sz w:val="32"/>
                <w:szCs w:val="32"/>
                <w:highlight w:val="none"/>
              </w:rPr>
            </w:pPr>
          </w:p>
        </w:tc>
      </w:tr>
      <w:tr>
        <w:tblPrEx>
          <w:tblCellMar>
            <w:top w:w="0" w:type="dxa"/>
            <w:left w:w="108" w:type="dxa"/>
            <w:bottom w:w="0" w:type="dxa"/>
            <w:right w:w="108" w:type="dxa"/>
          </w:tblCellMar>
        </w:tblPrEx>
        <w:trPr>
          <w:trHeight w:val="624" w:hRule="atLeast"/>
        </w:trPr>
        <w:tc>
          <w:tcPr>
            <w:tcW w:w="8947" w:type="dxa"/>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8947" w:type="dxa"/>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8947" w:type="dxa"/>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8947" w:type="dxa"/>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8947" w:type="dxa"/>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8947" w:type="dxa"/>
            <w:gridSpan w:val="2"/>
            <w:vAlign w:val="center"/>
          </w:tcPr>
          <w:p>
            <w:pPr>
              <w:adjustRightInd w:val="0"/>
              <w:snapToGrid w:val="0"/>
              <w:rPr>
                <w:rFonts w:hint="eastAsia" w:ascii="宋体" w:hAnsi="宋体" w:eastAsia="宋体" w:cs="宋体"/>
                <w:b/>
                <w:sz w:val="32"/>
                <w:szCs w:val="32"/>
                <w:highlight w:val="none"/>
                <w:lang w:eastAsia="zh-CN"/>
              </w:rPr>
            </w:pPr>
            <w:r>
              <w:rPr>
                <w:rFonts w:hint="eastAsia" w:ascii="宋体" w:hAnsi="宋体" w:cs="宋体"/>
                <w:b/>
                <w:sz w:val="32"/>
                <w:szCs w:val="32"/>
                <w:highlight w:val="none"/>
              </w:rPr>
              <w:t>采 购 人：</w:t>
            </w:r>
            <w:r>
              <w:rPr>
                <w:rFonts w:hint="eastAsia" w:ascii="宋体" w:hAnsi="宋体" w:cs="宋体"/>
                <w:b/>
                <w:sz w:val="32"/>
                <w:szCs w:val="32"/>
                <w:highlight w:val="none"/>
                <w:lang w:eastAsia="zh-CN"/>
              </w:rPr>
              <w:t>中南民族大学</w:t>
            </w:r>
          </w:p>
        </w:tc>
      </w:tr>
      <w:tr>
        <w:tblPrEx>
          <w:tblCellMar>
            <w:top w:w="0" w:type="dxa"/>
            <w:left w:w="108" w:type="dxa"/>
            <w:bottom w:w="0" w:type="dxa"/>
            <w:right w:w="108" w:type="dxa"/>
          </w:tblCellMar>
        </w:tblPrEx>
        <w:trPr>
          <w:trHeight w:val="624" w:hRule="atLeast"/>
        </w:trPr>
        <w:tc>
          <w:tcPr>
            <w:tcW w:w="8947" w:type="dxa"/>
            <w:gridSpan w:val="2"/>
            <w:vAlign w:val="center"/>
          </w:tcPr>
          <w:p>
            <w:pPr>
              <w:adjustRightInd w:val="0"/>
              <w:snapToGrid w:val="0"/>
              <w:rPr>
                <w:rFonts w:ascii="宋体" w:hAnsi="宋体" w:cs="宋体"/>
                <w:b/>
                <w:sz w:val="32"/>
                <w:szCs w:val="32"/>
                <w:highlight w:val="none"/>
              </w:rPr>
            </w:pPr>
            <w:r>
              <w:rPr>
                <w:rFonts w:hint="eastAsia" w:ascii="宋体" w:hAnsi="宋体" w:cs="宋体"/>
                <w:b/>
                <w:sz w:val="32"/>
                <w:szCs w:val="32"/>
                <w:highlight w:val="none"/>
              </w:rPr>
              <w:t>采购代理机构：湖北省招标股份有限公司</w:t>
            </w:r>
          </w:p>
        </w:tc>
      </w:tr>
      <w:tr>
        <w:tblPrEx>
          <w:tblCellMar>
            <w:top w:w="0" w:type="dxa"/>
            <w:left w:w="108" w:type="dxa"/>
            <w:bottom w:w="0" w:type="dxa"/>
            <w:right w:w="108" w:type="dxa"/>
          </w:tblCellMar>
        </w:tblPrEx>
        <w:trPr>
          <w:trHeight w:val="624" w:hRule="atLeast"/>
        </w:trPr>
        <w:tc>
          <w:tcPr>
            <w:tcW w:w="8947" w:type="dxa"/>
            <w:gridSpan w:val="2"/>
            <w:vAlign w:val="center"/>
          </w:tcPr>
          <w:p>
            <w:pPr>
              <w:adjustRightInd w:val="0"/>
              <w:snapToGrid w:val="0"/>
              <w:rPr>
                <w:rFonts w:ascii="宋体" w:hAnsi="宋体" w:cs="宋体"/>
                <w:b/>
                <w:sz w:val="32"/>
                <w:szCs w:val="32"/>
                <w:highlight w:val="none"/>
              </w:rPr>
            </w:pPr>
            <w:r>
              <w:rPr>
                <w:rFonts w:hint="eastAsia" w:ascii="宋体" w:hAnsi="宋体" w:cs="宋体"/>
                <w:b/>
                <w:sz w:val="32"/>
                <w:szCs w:val="32"/>
                <w:highlight w:val="none"/>
              </w:rPr>
              <w:t>办公地址：武汉市武昌区中北路108号兴业银行大厦五层</w:t>
            </w:r>
          </w:p>
        </w:tc>
      </w:tr>
    </w:tbl>
    <w:p>
      <w:pPr>
        <w:jc w:val="center"/>
        <w:rPr>
          <w:rFonts w:ascii="宋体" w:hAnsi="宋体" w:cs="宋体"/>
          <w:b/>
          <w:sz w:val="44"/>
          <w:highlight w:val="none"/>
        </w:rPr>
        <w:sectPr>
          <w:headerReference r:id="rId5" w:type="first"/>
          <w:headerReference r:id="rId3" w:type="default"/>
          <w:headerReference r:id="rId4" w:type="even"/>
          <w:footerReference r:id="rId6" w:type="even"/>
          <w:type w:val="nextColumn"/>
          <w:pgSz w:w="11907" w:h="16840"/>
          <w:pgMar w:top="1247" w:right="1588" w:bottom="1247" w:left="1588" w:header="907" w:footer="907" w:gutter="0"/>
          <w:cols w:space="720" w:num="1"/>
          <w:titlePg/>
          <w:docGrid w:linePitch="312" w:charSpace="0"/>
        </w:sectPr>
      </w:pPr>
    </w:p>
    <w:p>
      <w:pPr>
        <w:spacing w:line="312" w:lineRule="auto"/>
        <w:jc w:val="center"/>
        <w:rPr>
          <w:rFonts w:ascii="宋体" w:hAnsi="宋体" w:cs="宋体"/>
          <w:b/>
          <w:sz w:val="32"/>
          <w:highlight w:val="none"/>
        </w:rPr>
      </w:pPr>
      <w:r>
        <w:rPr>
          <w:rFonts w:hint="eastAsia" w:ascii="宋体" w:hAnsi="宋体" w:cs="宋体"/>
          <w:b/>
          <w:sz w:val="32"/>
          <w:highlight w:val="none"/>
        </w:rPr>
        <w:t>目录</w:t>
      </w:r>
    </w:p>
    <w:p>
      <w:pPr>
        <w:pStyle w:val="59"/>
        <w:tabs>
          <w:tab w:val="right" w:leader="dot" w:pos="8731"/>
        </w:tabs>
      </w:pPr>
      <w:r>
        <w:rPr>
          <w:rFonts w:hint="eastAsia" w:ascii="宋体" w:hAnsi="宋体" w:cs="宋体"/>
          <w:b w:val="0"/>
          <w:sz w:val="18"/>
          <w:szCs w:val="18"/>
          <w:highlight w:val="none"/>
        </w:rPr>
        <w:fldChar w:fldCharType="begin"/>
      </w:r>
      <w:r>
        <w:rPr>
          <w:rFonts w:hint="eastAsia" w:ascii="宋体" w:hAnsi="宋体" w:cs="宋体"/>
          <w:b w:val="0"/>
          <w:sz w:val="18"/>
          <w:szCs w:val="18"/>
          <w:highlight w:val="none"/>
        </w:rPr>
        <w:instrText xml:space="preserve"> TOC \o "1-3" \h \z \u </w:instrText>
      </w:r>
      <w:r>
        <w:rPr>
          <w:rFonts w:hint="eastAsia" w:ascii="宋体" w:hAnsi="宋体" w:cs="宋体"/>
          <w:b w:val="0"/>
          <w:sz w:val="18"/>
          <w:szCs w:val="18"/>
          <w:highlight w:val="none"/>
        </w:rPr>
        <w:fldChar w:fldCharType="separate"/>
      </w: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_Toc11395 </w:instrText>
      </w:r>
      <w:r>
        <w:rPr>
          <w:rFonts w:hint="eastAsia" w:ascii="宋体" w:hAnsi="宋体" w:cs="宋体"/>
          <w:szCs w:val="18"/>
          <w:highlight w:val="none"/>
        </w:rPr>
        <w:fldChar w:fldCharType="separate"/>
      </w:r>
      <w:r>
        <w:rPr>
          <w:rFonts w:hint="eastAsia" w:ascii="宋体" w:hAnsi="宋体" w:eastAsia="宋体" w:cs="宋体"/>
          <w:i w:val="0"/>
          <w:szCs w:val="32"/>
        </w:rPr>
        <w:t xml:space="preserve">第一章 </w:t>
      </w:r>
      <w:r>
        <w:rPr>
          <w:rFonts w:hint="eastAsia" w:hAnsi="宋体" w:cs="宋体"/>
          <w:szCs w:val="32"/>
          <w:highlight w:val="none"/>
        </w:rPr>
        <w:t>投标邀请</w:t>
      </w:r>
      <w:r>
        <w:tab/>
      </w:r>
      <w:r>
        <w:fldChar w:fldCharType="begin"/>
      </w:r>
      <w:r>
        <w:instrText xml:space="preserve"> PAGEREF _Toc11395 \h </w:instrText>
      </w:r>
      <w:r>
        <w:fldChar w:fldCharType="separate"/>
      </w:r>
      <w:r>
        <w:t>1</w:t>
      </w:r>
      <w:r>
        <w:fldChar w:fldCharType="end"/>
      </w:r>
      <w:r>
        <w:rPr>
          <w:rFonts w:hint="eastAsia" w:ascii="宋体" w:hAnsi="宋体" w:cs="宋体"/>
          <w:szCs w:val="18"/>
          <w:highlight w:val="none"/>
        </w:rPr>
        <w:fldChar w:fldCharType="end"/>
      </w:r>
    </w:p>
    <w:p>
      <w:pPr>
        <w:pStyle w:val="59"/>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_Toc27188 </w:instrText>
      </w:r>
      <w:r>
        <w:rPr>
          <w:rFonts w:hint="eastAsia" w:ascii="宋体" w:hAnsi="宋体" w:cs="宋体"/>
          <w:szCs w:val="18"/>
          <w:highlight w:val="none"/>
        </w:rPr>
        <w:fldChar w:fldCharType="separate"/>
      </w:r>
      <w:r>
        <w:rPr>
          <w:rFonts w:hint="eastAsia" w:ascii="宋体" w:hAnsi="宋体" w:eastAsia="宋体" w:cs="宋体"/>
          <w:i w:val="0"/>
          <w:szCs w:val="32"/>
        </w:rPr>
        <w:t xml:space="preserve">第二章 </w:t>
      </w:r>
      <w:r>
        <w:rPr>
          <w:rFonts w:hint="eastAsia" w:hAnsi="宋体" w:cs="宋体"/>
          <w:szCs w:val="32"/>
          <w:highlight w:val="none"/>
        </w:rPr>
        <w:t>投标人须知</w:t>
      </w:r>
      <w:r>
        <w:tab/>
      </w:r>
      <w:r>
        <w:fldChar w:fldCharType="begin"/>
      </w:r>
      <w:r>
        <w:instrText xml:space="preserve"> PAGEREF _Toc27188 \h </w:instrText>
      </w:r>
      <w:r>
        <w:fldChar w:fldCharType="separate"/>
      </w:r>
      <w:r>
        <w:t>4</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_Toc14963 </w:instrText>
      </w:r>
      <w:r>
        <w:rPr>
          <w:rFonts w:hint="eastAsia" w:ascii="宋体" w:hAnsi="宋体" w:cs="宋体"/>
          <w:szCs w:val="18"/>
          <w:highlight w:val="none"/>
        </w:rPr>
        <w:fldChar w:fldCharType="separate"/>
      </w:r>
      <w:r>
        <w:rPr>
          <w:rFonts w:hint="eastAsia" w:ascii="宋体" w:hAnsi="宋体" w:eastAsia="宋体" w:cs="宋体"/>
          <w:highlight w:val="none"/>
        </w:rPr>
        <w:t>投标人须知前附表</w:t>
      </w:r>
      <w:r>
        <w:tab/>
      </w:r>
      <w:r>
        <w:fldChar w:fldCharType="begin"/>
      </w:r>
      <w:r>
        <w:instrText xml:space="preserve"> PAGEREF _Toc14963 \h </w:instrText>
      </w:r>
      <w:r>
        <w:fldChar w:fldCharType="separate"/>
      </w:r>
      <w:r>
        <w:t>4</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_Toc29430 </w:instrText>
      </w:r>
      <w:r>
        <w:rPr>
          <w:rFonts w:hint="eastAsia" w:ascii="宋体" w:hAnsi="宋体" w:cs="宋体"/>
          <w:szCs w:val="18"/>
          <w:highlight w:val="none"/>
        </w:rPr>
        <w:fldChar w:fldCharType="separate"/>
      </w:r>
      <w:r>
        <w:rPr>
          <w:rFonts w:hint="default" w:ascii="Arial" w:hAnsi="Arial" w:eastAsia="黑体" w:cs="Times New Roman"/>
          <w:bCs/>
          <w:kern w:val="2"/>
          <w:szCs w:val="28"/>
          <w:lang w:val="en-US" w:eastAsia="zh-CN" w:bidi="ar-SA"/>
        </w:rPr>
        <w:t xml:space="preserve">一、 </w:t>
      </w:r>
      <w:r>
        <w:rPr>
          <w:rFonts w:ascii="Arial" w:hAnsi="Arial" w:eastAsia="黑体" w:cs="Times New Roman"/>
          <w:bCs/>
          <w:kern w:val="2"/>
          <w:szCs w:val="28"/>
          <w:highlight w:val="none"/>
          <w:lang w:val="en-US" w:eastAsia="zh-CN" w:bidi="ar-SA"/>
        </w:rPr>
        <w:t>总则</w:t>
      </w:r>
      <w:r>
        <w:tab/>
      </w:r>
      <w:r>
        <w:fldChar w:fldCharType="begin"/>
      </w:r>
      <w:r>
        <w:instrText xml:space="preserve"> PAGEREF _Toc29430 \h </w:instrText>
      </w:r>
      <w:r>
        <w:fldChar w:fldCharType="separate"/>
      </w:r>
      <w:r>
        <w:t>10</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_Toc15896 </w:instrText>
      </w:r>
      <w:r>
        <w:rPr>
          <w:rFonts w:hint="eastAsia" w:ascii="宋体" w:hAnsi="宋体" w:cs="宋体"/>
          <w:szCs w:val="18"/>
          <w:highlight w:val="none"/>
        </w:rPr>
        <w:fldChar w:fldCharType="separate"/>
      </w:r>
      <w:r>
        <w:rPr>
          <w:rFonts w:hint="eastAsia" w:ascii="宋体" w:hAnsi="宋体" w:eastAsia="宋体" w:cs="Arial"/>
          <w:kern w:val="2"/>
          <w:szCs w:val="24"/>
          <w:highlight w:val="none"/>
          <w:lang w:val="en-US" w:eastAsia="zh-CN" w:bidi="ar-SA"/>
        </w:rPr>
        <w:t xml:space="preserve">1.1 </w:t>
      </w:r>
      <w:r>
        <w:rPr>
          <w:rFonts w:ascii="宋体" w:hAnsi="宋体" w:eastAsia="宋体" w:cs="Arial"/>
          <w:kern w:val="2"/>
          <w:szCs w:val="24"/>
          <w:highlight w:val="none"/>
          <w:lang w:val="en-US" w:eastAsia="zh-CN" w:bidi="ar-SA"/>
        </w:rPr>
        <w:t>项目概况</w:t>
      </w:r>
      <w:r>
        <w:tab/>
      </w:r>
      <w:r>
        <w:fldChar w:fldCharType="begin"/>
      </w:r>
      <w:r>
        <w:instrText xml:space="preserve"> PAGEREF _Toc15896 \h </w:instrText>
      </w:r>
      <w:r>
        <w:fldChar w:fldCharType="separate"/>
      </w:r>
      <w:r>
        <w:t>10</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_Toc28000 </w:instrText>
      </w:r>
      <w:r>
        <w:rPr>
          <w:rFonts w:hint="eastAsia" w:ascii="宋体" w:hAnsi="宋体" w:cs="宋体"/>
          <w:szCs w:val="18"/>
          <w:highlight w:val="none"/>
        </w:rPr>
        <w:fldChar w:fldCharType="separate"/>
      </w:r>
      <w:r>
        <w:rPr>
          <w:rFonts w:ascii="宋体" w:hAnsi="宋体" w:eastAsia="宋体" w:cs="Arial"/>
          <w:kern w:val="2"/>
          <w:szCs w:val="24"/>
          <w:highlight w:val="none"/>
          <w:lang w:val="en-US" w:eastAsia="zh-CN" w:bidi="ar-SA"/>
        </w:rPr>
        <w:t>1.2</w:t>
      </w:r>
      <w:r>
        <w:rPr>
          <w:rFonts w:hint="eastAsia" w:ascii="宋体" w:hAnsi="宋体" w:eastAsia="宋体" w:cs="Arial"/>
          <w:kern w:val="2"/>
          <w:szCs w:val="24"/>
          <w:highlight w:val="none"/>
          <w:lang w:val="en-US" w:eastAsia="zh-CN" w:bidi="ar-SA"/>
        </w:rPr>
        <w:t xml:space="preserve"> </w:t>
      </w:r>
      <w:r>
        <w:rPr>
          <w:rFonts w:ascii="宋体" w:hAnsi="宋体" w:eastAsia="宋体" w:cs="Arial"/>
          <w:kern w:val="2"/>
          <w:szCs w:val="24"/>
          <w:highlight w:val="none"/>
          <w:lang w:val="en-US" w:eastAsia="zh-CN" w:bidi="ar-SA"/>
        </w:rPr>
        <w:t>资金来源和落实情况</w:t>
      </w:r>
      <w:r>
        <w:tab/>
      </w:r>
      <w:r>
        <w:fldChar w:fldCharType="begin"/>
      </w:r>
      <w:r>
        <w:instrText xml:space="preserve"> PAGEREF _Toc28000 \h </w:instrText>
      </w:r>
      <w:r>
        <w:fldChar w:fldCharType="separate"/>
      </w:r>
      <w:r>
        <w:t>10</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_Toc8563 </w:instrText>
      </w:r>
      <w:r>
        <w:rPr>
          <w:rFonts w:hint="eastAsia" w:ascii="宋体" w:hAnsi="宋体" w:cs="宋体"/>
          <w:szCs w:val="18"/>
          <w:highlight w:val="none"/>
        </w:rPr>
        <w:fldChar w:fldCharType="separate"/>
      </w:r>
      <w:r>
        <w:rPr>
          <w:rFonts w:ascii="宋体" w:hAnsi="宋体" w:eastAsia="宋体" w:cs="Arial"/>
          <w:kern w:val="2"/>
          <w:szCs w:val="24"/>
          <w:highlight w:val="none"/>
          <w:lang w:val="en-US" w:eastAsia="zh-CN" w:bidi="ar-SA"/>
        </w:rPr>
        <w:t xml:space="preserve">1.3 </w:t>
      </w:r>
      <w:r>
        <w:rPr>
          <w:rFonts w:hint="eastAsia" w:ascii="宋体" w:hAnsi="宋体" w:eastAsia="宋体" w:cs="Arial"/>
          <w:kern w:val="2"/>
          <w:szCs w:val="24"/>
          <w:highlight w:val="none"/>
          <w:lang w:val="en-US" w:eastAsia="zh-CN" w:bidi="ar-SA"/>
        </w:rPr>
        <w:t>服务期限及付款方式</w:t>
      </w:r>
      <w:r>
        <w:tab/>
      </w:r>
      <w:r>
        <w:fldChar w:fldCharType="begin"/>
      </w:r>
      <w:r>
        <w:instrText xml:space="preserve"> PAGEREF _Toc8563 \h </w:instrText>
      </w:r>
      <w:r>
        <w:fldChar w:fldCharType="separate"/>
      </w:r>
      <w:r>
        <w:t>10</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_Toc9128 </w:instrText>
      </w:r>
      <w:r>
        <w:rPr>
          <w:rFonts w:hint="eastAsia" w:ascii="宋体" w:hAnsi="宋体" w:cs="宋体"/>
          <w:szCs w:val="18"/>
          <w:highlight w:val="none"/>
        </w:rPr>
        <w:fldChar w:fldCharType="separate"/>
      </w:r>
      <w:r>
        <w:rPr>
          <w:rFonts w:ascii="宋体" w:hAnsi="宋体" w:eastAsia="宋体" w:cs="Arial"/>
          <w:kern w:val="2"/>
          <w:szCs w:val="24"/>
          <w:highlight w:val="none"/>
          <w:lang w:val="en-US" w:eastAsia="zh-CN" w:bidi="ar-SA"/>
        </w:rPr>
        <w:t xml:space="preserve">1.4 </w:t>
      </w:r>
      <w:r>
        <w:rPr>
          <w:rFonts w:hint="eastAsia" w:ascii="宋体" w:hAnsi="宋体" w:eastAsia="宋体" w:cs="Arial"/>
          <w:kern w:val="2"/>
          <w:szCs w:val="24"/>
          <w:highlight w:val="none"/>
          <w:lang w:val="en-US" w:eastAsia="zh-CN" w:bidi="ar-SA"/>
        </w:rPr>
        <w:t>投标人</w:t>
      </w:r>
      <w:r>
        <w:rPr>
          <w:rFonts w:ascii="宋体" w:hAnsi="宋体" w:eastAsia="宋体" w:cs="Arial"/>
          <w:kern w:val="2"/>
          <w:szCs w:val="24"/>
          <w:highlight w:val="none"/>
          <w:lang w:val="en-US" w:eastAsia="zh-CN" w:bidi="ar-SA"/>
        </w:rPr>
        <w:t>资格要求</w:t>
      </w:r>
      <w:r>
        <w:tab/>
      </w:r>
      <w:r>
        <w:fldChar w:fldCharType="begin"/>
      </w:r>
      <w:r>
        <w:instrText xml:space="preserve"> PAGEREF _Toc9128 \h </w:instrText>
      </w:r>
      <w:r>
        <w:fldChar w:fldCharType="separate"/>
      </w:r>
      <w:r>
        <w:t>10</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_Toc21807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1.5 费用承担</w:t>
      </w:r>
      <w:r>
        <w:tab/>
      </w:r>
      <w:r>
        <w:fldChar w:fldCharType="begin"/>
      </w:r>
      <w:r>
        <w:instrText xml:space="preserve"> PAGEREF _Toc21807 \h </w:instrText>
      </w:r>
      <w:r>
        <w:fldChar w:fldCharType="separate"/>
      </w:r>
      <w:r>
        <w:t>10</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_Toc7639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1.6 保密</w:t>
      </w:r>
      <w:r>
        <w:tab/>
      </w:r>
      <w:r>
        <w:fldChar w:fldCharType="begin"/>
      </w:r>
      <w:r>
        <w:instrText xml:space="preserve"> PAGEREF _Toc7639 \h </w:instrText>
      </w:r>
      <w:r>
        <w:fldChar w:fldCharType="separate"/>
      </w:r>
      <w:r>
        <w:t>10</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_Toc23316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1.7 语言文字</w:t>
      </w:r>
      <w:r>
        <w:tab/>
      </w:r>
      <w:r>
        <w:fldChar w:fldCharType="begin"/>
      </w:r>
      <w:r>
        <w:instrText xml:space="preserve"> PAGEREF _Toc23316 \h </w:instrText>
      </w:r>
      <w:r>
        <w:fldChar w:fldCharType="separate"/>
      </w:r>
      <w:r>
        <w:t>10</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_Toc4339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1.8 计量单位</w:t>
      </w:r>
      <w:r>
        <w:tab/>
      </w:r>
      <w:r>
        <w:fldChar w:fldCharType="begin"/>
      </w:r>
      <w:r>
        <w:instrText xml:space="preserve"> PAGEREF _Toc4339 \h </w:instrText>
      </w:r>
      <w:r>
        <w:fldChar w:fldCharType="separate"/>
      </w:r>
      <w:r>
        <w:t>11</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_Toc19714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1.9 踏勘现场</w:t>
      </w:r>
      <w:r>
        <w:tab/>
      </w:r>
      <w:r>
        <w:fldChar w:fldCharType="begin"/>
      </w:r>
      <w:r>
        <w:instrText xml:space="preserve"> PAGEREF _Toc19714 \h </w:instrText>
      </w:r>
      <w:r>
        <w:fldChar w:fldCharType="separate"/>
      </w:r>
      <w:r>
        <w:t>11</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_Toc19586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1.10 投标预备会</w:t>
      </w:r>
      <w:r>
        <w:tab/>
      </w:r>
      <w:r>
        <w:fldChar w:fldCharType="begin"/>
      </w:r>
      <w:r>
        <w:instrText xml:space="preserve"> PAGEREF _Toc19586 \h </w:instrText>
      </w:r>
      <w:r>
        <w:fldChar w:fldCharType="separate"/>
      </w:r>
      <w:r>
        <w:t>11</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_Toc3305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1.11 中标后分包</w:t>
      </w:r>
      <w:r>
        <w:tab/>
      </w:r>
      <w:r>
        <w:fldChar w:fldCharType="begin"/>
      </w:r>
      <w:r>
        <w:instrText xml:space="preserve"> PAGEREF _Toc3305 \h </w:instrText>
      </w:r>
      <w:r>
        <w:fldChar w:fldCharType="separate"/>
      </w:r>
      <w:r>
        <w:t>11</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_Toc16689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1.12 政府采购政策</w:t>
      </w:r>
      <w:r>
        <w:tab/>
      </w:r>
      <w:r>
        <w:fldChar w:fldCharType="begin"/>
      </w:r>
      <w:r>
        <w:instrText xml:space="preserve"> PAGEREF _Toc16689 \h </w:instrText>
      </w:r>
      <w:r>
        <w:fldChar w:fldCharType="separate"/>
      </w:r>
      <w:r>
        <w:t>11</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_Toc27990 </w:instrText>
      </w:r>
      <w:r>
        <w:rPr>
          <w:rFonts w:hint="eastAsia" w:ascii="宋体" w:hAnsi="宋体" w:cs="宋体"/>
          <w:szCs w:val="18"/>
          <w:highlight w:val="none"/>
        </w:rPr>
        <w:fldChar w:fldCharType="separate"/>
      </w:r>
      <w:r>
        <w:rPr>
          <w:rFonts w:hint="default" w:ascii="宋体" w:hAnsi="宋体" w:eastAsia="宋体" w:cs="宋体"/>
          <w:bCs/>
          <w:kern w:val="2"/>
          <w:szCs w:val="28"/>
          <w:lang w:val="en-US" w:eastAsia="zh-CN" w:bidi="ar-SA"/>
        </w:rPr>
        <w:t xml:space="preserve">二、 </w:t>
      </w:r>
      <w:r>
        <w:rPr>
          <w:rFonts w:hint="eastAsia" w:ascii="宋体" w:hAnsi="宋体" w:eastAsia="宋体" w:cs="宋体"/>
          <w:bCs/>
          <w:kern w:val="2"/>
          <w:szCs w:val="28"/>
          <w:highlight w:val="none"/>
          <w:lang w:val="en-US" w:eastAsia="zh-CN" w:bidi="ar-SA"/>
        </w:rPr>
        <w:t>招标文件</w:t>
      </w:r>
      <w:r>
        <w:tab/>
      </w:r>
      <w:r>
        <w:fldChar w:fldCharType="begin"/>
      </w:r>
      <w:r>
        <w:instrText xml:space="preserve"> PAGEREF _Toc27990 \h </w:instrText>
      </w:r>
      <w:r>
        <w:fldChar w:fldCharType="separate"/>
      </w:r>
      <w:r>
        <w:t>14</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_Toc20894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2.1 招标文件的组成</w:t>
      </w:r>
      <w:r>
        <w:tab/>
      </w:r>
      <w:r>
        <w:fldChar w:fldCharType="begin"/>
      </w:r>
      <w:r>
        <w:instrText xml:space="preserve"> PAGEREF _Toc20894 \h </w:instrText>
      </w:r>
      <w:r>
        <w:fldChar w:fldCharType="separate"/>
      </w:r>
      <w:r>
        <w:t>14</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_Toc24461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2.2 招标文件的澄清或者修改</w:t>
      </w:r>
      <w:r>
        <w:tab/>
      </w:r>
      <w:r>
        <w:fldChar w:fldCharType="begin"/>
      </w:r>
      <w:r>
        <w:instrText xml:space="preserve"> PAGEREF _Toc24461 \h </w:instrText>
      </w:r>
      <w:r>
        <w:fldChar w:fldCharType="separate"/>
      </w:r>
      <w:r>
        <w:t>15</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_Toc26270 </w:instrText>
      </w:r>
      <w:r>
        <w:rPr>
          <w:rFonts w:hint="eastAsia" w:ascii="宋体" w:hAnsi="宋体" w:cs="宋体"/>
          <w:szCs w:val="18"/>
          <w:highlight w:val="none"/>
        </w:rPr>
        <w:fldChar w:fldCharType="separate"/>
      </w:r>
      <w:r>
        <w:rPr>
          <w:rFonts w:hint="default" w:ascii="宋体" w:hAnsi="宋体" w:eastAsia="宋体" w:cs="宋体"/>
          <w:bCs/>
          <w:kern w:val="2"/>
          <w:szCs w:val="28"/>
          <w:lang w:val="en-US" w:eastAsia="zh-CN" w:bidi="ar-SA"/>
        </w:rPr>
        <w:t xml:space="preserve">三、 </w:t>
      </w:r>
      <w:r>
        <w:rPr>
          <w:rFonts w:hint="eastAsia" w:ascii="宋体" w:hAnsi="宋体" w:eastAsia="宋体" w:cs="宋体"/>
          <w:bCs/>
          <w:kern w:val="2"/>
          <w:szCs w:val="28"/>
          <w:highlight w:val="none"/>
          <w:lang w:val="en-US" w:eastAsia="zh-CN" w:bidi="ar-SA"/>
        </w:rPr>
        <w:t>投标文件</w:t>
      </w:r>
      <w:r>
        <w:tab/>
      </w:r>
      <w:r>
        <w:fldChar w:fldCharType="begin"/>
      </w:r>
      <w:r>
        <w:instrText xml:space="preserve"> PAGEREF _Toc26270 \h </w:instrText>
      </w:r>
      <w:r>
        <w:fldChar w:fldCharType="separate"/>
      </w:r>
      <w:r>
        <w:t>15</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_Toc23365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3.1 投标文件的组成</w:t>
      </w:r>
      <w:r>
        <w:tab/>
      </w:r>
      <w:r>
        <w:fldChar w:fldCharType="begin"/>
      </w:r>
      <w:r>
        <w:instrText xml:space="preserve"> PAGEREF _Toc23365 \h </w:instrText>
      </w:r>
      <w:r>
        <w:fldChar w:fldCharType="separate"/>
      </w:r>
      <w:r>
        <w:t>15</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_Toc19053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3.2 投标报价</w:t>
      </w:r>
      <w:r>
        <w:tab/>
      </w:r>
      <w:r>
        <w:fldChar w:fldCharType="begin"/>
      </w:r>
      <w:r>
        <w:instrText xml:space="preserve"> PAGEREF _Toc19053 \h </w:instrText>
      </w:r>
      <w:r>
        <w:fldChar w:fldCharType="separate"/>
      </w:r>
      <w:r>
        <w:t>15</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_Toc5513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3.3 投标有效期</w:t>
      </w:r>
      <w:r>
        <w:tab/>
      </w:r>
      <w:r>
        <w:fldChar w:fldCharType="begin"/>
      </w:r>
      <w:r>
        <w:instrText xml:space="preserve"> PAGEREF _Toc5513 \h </w:instrText>
      </w:r>
      <w:r>
        <w:fldChar w:fldCharType="separate"/>
      </w:r>
      <w:r>
        <w:t>15</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_Toc10927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3.4 投标保证金</w:t>
      </w:r>
      <w:r>
        <w:tab/>
      </w:r>
      <w:r>
        <w:fldChar w:fldCharType="begin"/>
      </w:r>
      <w:r>
        <w:instrText xml:space="preserve"> PAGEREF _Toc10927 \h </w:instrText>
      </w:r>
      <w:r>
        <w:fldChar w:fldCharType="separate"/>
      </w:r>
      <w:r>
        <w:t>16</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_Toc1857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3.5 备选投标方案</w:t>
      </w:r>
      <w:r>
        <w:tab/>
      </w:r>
      <w:r>
        <w:fldChar w:fldCharType="begin"/>
      </w:r>
      <w:r>
        <w:instrText xml:space="preserve"> PAGEREF _Toc1857 \h </w:instrText>
      </w:r>
      <w:r>
        <w:fldChar w:fldCharType="separate"/>
      </w:r>
      <w:r>
        <w:t>16</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_Toc24363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3.6 投标文件的编制</w:t>
      </w:r>
      <w:r>
        <w:tab/>
      </w:r>
      <w:r>
        <w:fldChar w:fldCharType="begin"/>
      </w:r>
      <w:r>
        <w:instrText xml:space="preserve"> PAGEREF _Toc24363 \h </w:instrText>
      </w:r>
      <w:r>
        <w:fldChar w:fldCharType="separate"/>
      </w:r>
      <w:r>
        <w:t>16</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_Toc2423 </w:instrText>
      </w:r>
      <w:r>
        <w:rPr>
          <w:rFonts w:hint="eastAsia" w:ascii="宋体" w:hAnsi="宋体" w:cs="宋体"/>
          <w:szCs w:val="18"/>
          <w:highlight w:val="none"/>
        </w:rPr>
        <w:fldChar w:fldCharType="separate"/>
      </w:r>
      <w:r>
        <w:rPr>
          <w:rFonts w:hint="default" w:ascii="宋体" w:hAnsi="宋体" w:eastAsia="宋体" w:cs="宋体"/>
          <w:bCs/>
          <w:kern w:val="2"/>
          <w:szCs w:val="28"/>
          <w:lang w:val="en-US" w:eastAsia="zh-CN" w:bidi="ar-SA"/>
        </w:rPr>
        <w:t xml:space="preserve">四、 </w:t>
      </w:r>
      <w:r>
        <w:rPr>
          <w:rFonts w:hint="eastAsia" w:ascii="宋体" w:hAnsi="宋体" w:eastAsia="宋体" w:cs="宋体"/>
          <w:bCs/>
          <w:kern w:val="2"/>
          <w:szCs w:val="28"/>
          <w:highlight w:val="none"/>
          <w:lang w:val="en-US" w:eastAsia="zh-CN" w:bidi="ar-SA"/>
        </w:rPr>
        <w:t>投标</w:t>
      </w:r>
      <w:r>
        <w:tab/>
      </w:r>
      <w:r>
        <w:fldChar w:fldCharType="begin"/>
      </w:r>
      <w:r>
        <w:instrText xml:space="preserve"> PAGEREF _Toc2423 \h </w:instrText>
      </w:r>
      <w:r>
        <w:fldChar w:fldCharType="separate"/>
      </w:r>
      <w:r>
        <w:t>16</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_Toc15446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4.1 投标文件的密封和标记</w:t>
      </w:r>
      <w:r>
        <w:tab/>
      </w:r>
      <w:r>
        <w:fldChar w:fldCharType="begin"/>
      </w:r>
      <w:r>
        <w:instrText xml:space="preserve"> PAGEREF _Toc15446 \h </w:instrText>
      </w:r>
      <w:r>
        <w:fldChar w:fldCharType="separate"/>
      </w:r>
      <w:r>
        <w:t>16</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_Toc9540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4.2 投标文件的递交</w:t>
      </w:r>
      <w:r>
        <w:tab/>
      </w:r>
      <w:r>
        <w:fldChar w:fldCharType="begin"/>
      </w:r>
      <w:r>
        <w:instrText xml:space="preserve"> PAGEREF _Toc9540 \h </w:instrText>
      </w:r>
      <w:r>
        <w:fldChar w:fldCharType="separate"/>
      </w:r>
      <w:r>
        <w:t>16</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_Toc22376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4.3 投标文件的修改与撤回</w:t>
      </w:r>
      <w:r>
        <w:tab/>
      </w:r>
      <w:r>
        <w:fldChar w:fldCharType="begin"/>
      </w:r>
      <w:r>
        <w:instrText xml:space="preserve"> PAGEREF _Toc22376 \h </w:instrText>
      </w:r>
      <w:r>
        <w:fldChar w:fldCharType="separate"/>
      </w:r>
      <w:r>
        <w:t>17</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_Toc2147 </w:instrText>
      </w:r>
      <w:r>
        <w:rPr>
          <w:rFonts w:hint="eastAsia" w:ascii="宋体" w:hAnsi="宋体" w:cs="宋体"/>
          <w:szCs w:val="18"/>
          <w:highlight w:val="none"/>
        </w:rPr>
        <w:fldChar w:fldCharType="separate"/>
      </w:r>
      <w:r>
        <w:rPr>
          <w:rFonts w:hint="default" w:ascii="宋体" w:hAnsi="宋体" w:eastAsia="宋体" w:cs="宋体"/>
          <w:bCs/>
          <w:kern w:val="2"/>
          <w:szCs w:val="28"/>
          <w:lang w:val="en-US" w:eastAsia="zh-CN" w:bidi="ar-SA"/>
        </w:rPr>
        <w:t xml:space="preserve">五、 </w:t>
      </w:r>
      <w:r>
        <w:rPr>
          <w:rFonts w:hint="eastAsia" w:ascii="宋体" w:hAnsi="宋体" w:eastAsia="宋体" w:cs="宋体"/>
          <w:bCs/>
          <w:kern w:val="2"/>
          <w:szCs w:val="28"/>
          <w:highlight w:val="none"/>
          <w:lang w:val="en-US" w:eastAsia="zh-CN" w:bidi="ar-SA"/>
        </w:rPr>
        <w:t>开标</w:t>
      </w:r>
      <w:r>
        <w:tab/>
      </w:r>
      <w:r>
        <w:fldChar w:fldCharType="begin"/>
      </w:r>
      <w:r>
        <w:instrText xml:space="preserve"> PAGEREF _Toc2147 \h </w:instrText>
      </w:r>
      <w:r>
        <w:fldChar w:fldCharType="separate"/>
      </w:r>
      <w:r>
        <w:t>17</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_Toc13487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5.1 开标时间和地点</w:t>
      </w:r>
      <w:r>
        <w:tab/>
      </w:r>
      <w:r>
        <w:fldChar w:fldCharType="begin"/>
      </w:r>
      <w:r>
        <w:instrText xml:space="preserve"> PAGEREF _Toc13487 \h </w:instrText>
      </w:r>
      <w:r>
        <w:fldChar w:fldCharType="separate"/>
      </w:r>
      <w:r>
        <w:t>17</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_Toc29124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5.2 开标程序</w:t>
      </w:r>
      <w:r>
        <w:tab/>
      </w:r>
      <w:r>
        <w:fldChar w:fldCharType="begin"/>
      </w:r>
      <w:r>
        <w:instrText xml:space="preserve"> PAGEREF _Toc29124 \h </w:instrText>
      </w:r>
      <w:r>
        <w:fldChar w:fldCharType="separate"/>
      </w:r>
      <w:r>
        <w:t>17</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_Toc13700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5.3 开标异议</w:t>
      </w:r>
      <w:r>
        <w:tab/>
      </w:r>
      <w:r>
        <w:fldChar w:fldCharType="begin"/>
      </w:r>
      <w:r>
        <w:instrText xml:space="preserve"> PAGEREF _Toc13700 \h </w:instrText>
      </w:r>
      <w:r>
        <w:fldChar w:fldCharType="separate"/>
      </w:r>
      <w:r>
        <w:t>17</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_Toc30332 </w:instrText>
      </w:r>
      <w:r>
        <w:rPr>
          <w:rFonts w:hint="eastAsia" w:ascii="宋体" w:hAnsi="宋体" w:cs="宋体"/>
          <w:szCs w:val="18"/>
          <w:highlight w:val="none"/>
        </w:rPr>
        <w:fldChar w:fldCharType="separate"/>
      </w:r>
      <w:r>
        <w:rPr>
          <w:rFonts w:hint="default" w:ascii="宋体" w:hAnsi="宋体" w:eastAsia="宋体" w:cs="宋体"/>
          <w:bCs/>
          <w:kern w:val="2"/>
          <w:szCs w:val="28"/>
          <w:lang w:val="en-US" w:eastAsia="zh-CN" w:bidi="ar-SA"/>
        </w:rPr>
        <w:t xml:space="preserve">六、 </w:t>
      </w:r>
      <w:r>
        <w:rPr>
          <w:rFonts w:hint="eastAsia" w:ascii="宋体" w:hAnsi="宋体" w:eastAsia="宋体" w:cs="宋体"/>
          <w:bCs/>
          <w:kern w:val="2"/>
          <w:szCs w:val="28"/>
          <w:highlight w:val="none"/>
          <w:lang w:val="en-US" w:eastAsia="zh-CN" w:bidi="ar-SA"/>
        </w:rPr>
        <w:t>评标</w:t>
      </w:r>
      <w:r>
        <w:tab/>
      </w:r>
      <w:r>
        <w:fldChar w:fldCharType="begin"/>
      </w:r>
      <w:r>
        <w:instrText xml:space="preserve"> PAGEREF _Toc30332 \h </w:instrText>
      </w:r>
      <w:r>
        <w:fldChar w:fldCharType="separate"/>
      </w:r>
      <w:r>
        <w:t>17</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_Toc22364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6.1 评标委员会</w:t>
      </w:r>
      <w:r>
        <w:tab/>
      </w:r>
      <w:r>
        <w:fldChar w:fldCharType="begin"/>
      </w:r>
      <w:r>
        <w:instrText xml:space="preserve"> PAGEREF _Toc22364 \h </w:instrText>
      </w:r>
      <w:r>
        <w:fldChar w:fldCharType="separate"/>
      </w:r>
      <w:r>
        <w:t>17</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_Toc12303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6.2 评标原则</w:t>
      </w:r>
      <w:r>
        <w:tab/>
      </w:r>
      <w:r>
        <w:fldChar w:fldCharType="begin"/>
      </w:r>
      <w:r>
        <w:instrText xml:space="preserve"> PAGEREF _Toc12303 \h </w:instrText>
      </w:r>
      <w:r>
        <w:fldChar w:fldCharType="separate"/>
      </w:r>
      <w:r>
        <w:t>18</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_Toc16368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6.3 评标</w:t>
      </w:r>
      <w:r>
        <w:tab/>
      </w:r>
      <w:r>
        <w:fldChar w:fldCharType="begin"/>
      </w:r>
      <w:r>
        <w:instrText xml:space="preserve"> PAGEREF _Toc16368 \h </w:instrText>
      </w:r>
      <w:r>
        <w:fldChar w:fldCharType="separate"/>
      </w:r>
      <w:r>
        <w:t>18</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_Toc24209 </w:instrText>
      </w:r>
      <w:r>
        <w:rPr>
          <w:rFonts w:hint="eastAsia" w:ascii="宋体" w:hAnsi="宋体" w:cs="宋体"/>
          <w:szCs w:val="18"/>
          <w:highlight w:val="none"/>
        </w:rPr>
        <w:fldChar w:fldCharType="separate"/>
      </w:r>
      <w:r>
        <w:rPr>
          <w:rFonts w:hint="default" w:ascii="宋体" w:hAnsi="宋体" w:eastAsia="宋体" w:cs="宋体"/>
          <w:bCs/>
          <w:kern w:val="2"/>
          <w:szCs w:val="28"/>
          <w:lang w:val="en-US" w:eastAsia="zh-CN" w:bidi="ar-SA"/>
        </w:rPr>
        <w:t xml:space="preserve">七、 </w:t>
      </w:r>
      <w:r>
        <w:rPr>
          <w:rFonts w:hint="eastAsia" w:ascii="宋体" w:hAnsi="宋体" w:eastAsia="宋体" w:cs="宋体"/>
          <w:bCs/>
          <w:kern w:val="2"/>
          <w:szCs w:val="28"/>
          <w:highlight w:val="none"/>
          <w:lang w:val="en-US" w:eastAsia="zh-CN" w:bidi="ar-SA"/>
        </w:rPr>
        <w:t>定标</w:t>
      </w:r>
      <w:r>
        <w:tab/>
      </w:r>
      <w:r>
        <w:fldChar w:fldCharType="begin"/>
      </w:r>
      <w:r>
        <w:instrText xml:space="preserve"> PAGEREF _Toc24209 \h </w:instrText>
      </w:r>
      <w:r>
        <w:fldChar w:fldCharType="separate"/>
      </w:r>
      <w:r>
        <w:t>18</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_Toc851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7.1 确定中标人</w:t>
      </w:r>
      <w:r>
        <w:tab/>
      </w:r>
      <w:r>
        <w:fldChar w:fldCharType="begin"/>
      </w:r>
      <w:r>
        <w:instrText xml:space="preserve"> PAGEREF _Toc851 \h </w:instrText>
      </w:r>
      <w:r>
        <w:fldChar w:fldCharType="separate"/>
      </w:r>
      <w:r>
        <w:t>18</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_Toc4306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7.2 中标结果公告</w:t>
      </w:r>
      <w:r>
        <w:tab/>
      </w:r>
      <w:r>
        <w:fldChar w:fldCharType="begin"/>
      </w:r>
      <w:r>
        <w:instrText xml:space="preserve"> PAGEREF _Toc4306 \h </w:instrText>
      </w:r>
      <w:r>
        <w:fldChar w:fldCharType="separate"/>
      </w:r>
      <w:r>
        <w:t>18</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_Toc15349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7.3 中标通知</w:t>
      </w:r>
      <w:r>
        <w:tab/>
      </w:r>
      <w:r>
        <w:fldChar w:fldCharType="begin"/>
      </w:r>
      <w:r>
        <w:instrText xml:space="preserve"> PAGEREF _Toc15349 \h </w:instrText>
      </w:r>
      <w:r>
        <w:fldChar w:fldCharType="separate"/>
      </w:r>
      <w:r>
        <w:t>18</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_Toc10970 </w:instrText>
      </w:r>
      <w:r>
        <w:rPr>
          <w:rFonts w:hint="eastAsia" w:ascii="宋体" w:hAnsi="宋体" w:cs="宋体"/>
          <w:szCs w:val="18"/>
          <w:highlight w:val="none"/>
        </w:rPr>
        <w:fldChar w:fldCharType="separate"/>
      </w:r>
      <w:r>
        <w:rPr>
          <w:rFonts w:hint="default" w:ascii="宋体" w:hAnsi="宋体" w:eastAsia="宋体" w:cs="宋体"/>
          <w:bCs/>
          <w:kern w:val="2"/>
          <w:szCs w:val="28"/>
          <w:lang w:val="en-US" w:eastAsia="zh-CN" w:bidi="ar-SA"/>
        </w:rPr>
        <w:t xml:space="preserve">八、 </w:t>
      </w:r>
      <w:r>
        <w:rPr>
          <w:rFonts w:hint="eastAsia" w:ascii="宋体" w:hAnsi="宋体" w:eastAsia="宋体" w:cs="宋体"/>
          <w:bCs/>
          <w:kern w:val="2"/>
          <w:szCs w:val="28"/>
          <w:highlight w:val="none"/>
          <w:lang w:val="en-US" w:eastAsia="zh-CN" w:bidi="ar-SA"/>
        </w:rPr>
        <w:t>质疑和投诉</w:t>
      </w:r>
      <w:r>
        <w:tab/>
      </w:r>
      <w:r>
        <w:fldChar w:fldCharType="begin"/>
      </w:r>
      <w:r>
        <w:instrText xml:space="preserve"> PAGEREF _Toc10970 \h </w:instrText>
      </w:r>
      <w:r>
        <w:fldChar w:fldCharType="separate"/>
      </w:r>
      <w:r>
        <w:t>18</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_Toc2996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8.1质疑</w:t>
      </w:r>
      <w:r>
        <w:tab/>
      </w:r>
      <w:r>
        <w:fldChar w:fldCharType="begin"/>
      </w:r>
      <w:r>
        <w:instrText xml:space="preserve"> PAGEREF _Toc2996 \h </w:instrText>
      </w:r>
      <w:r>
        <w:fldChar w:fldCharType="separate"/>
      </w:r>
      <w:r>
        <w:t>18</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_Toc9529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8.2质疑回复</w:t>
      </w:r>
      <w:r>
        <w:tab/>
      </w:r>
      <w:r>
        <w:fldChar w:fldCharType="begin"/>
      </w:r>
      <w:r>
        <w:instrText xml:space="preserve"> PAGEREF _Toc9529 \h </w:instrText>
      </w:r>
      <w:r>
        <w:fldChar w:fldCharType="separate"/>
      </w:r>
      <w:r>
        <w:t>19</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_Toc5726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8.3投诉</w:t>
      </w:r>
      <w:r>
        <w:tab/>
      </w:r>
      <w:r>
        <w:fldChar w:fldCharType="begin"/>
      </w:r>
      <w:r>
        <w:instrText xml:space="preserve"> PAGEREF _Toc5726 \h </w:instrText>
      </w:r>
      <w:r>
        <w:fldChar w:fldCharType="separate"/>
      </w:r>
      <w:r>
        <w:t>19</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_Toc29698 </w:instrText>
      </w:r>
      <w:r>
        <w:rPr>
          <w:rFonts w:hint="eastAsia" w:ascii="宋体" w:hAnsi="宋体" w:cs="宋体"/>
          <w:szCs w:val="18"/>
          <w:highlight w:val="none"/>
        </w:rPr>
        <w:fldChar w:fldCharType="separate"/>
      </w:r>
      <w:r>
        <w:rPr>
          <w:rFonts w:hint="default" w:ascii="宋体" w:hAnsi="宋体" w:eastAsia="宋体" w:cs="宋体"/>
          <w:bCs/>
          <w:kern w:val="2"/>
          <w:szCs w:val="28"/>
          <w:lang w:val="en-US" w:eastAsia="zh-CN" w:bidi="ar-SA"/>
        </w:rPr>
        <w:t xml:space="preserve">九、 </w:t>
      </w:r>
      <w:r>
        <w:rPr>
          <w:rFonts w:hint="eastAsia" w:ascii="宋体" w:hAnsi="宋体" w:eastAsia="宋体" w:cs="宋体"/>
          <w:bCs/>
          <w:kern w:val="2"/>
          <w:szCs w:val="28"/>
          <w:highlight w:val="none"/>
          <w:lang w:val="en-US" w:eastAsia="zh-CN" w:bidi="ar-SA"/>
        </w:rPr>
        <w:t>合同授予</w:t>
      </w:r>
      <w:r>
        <w:tab/>
      </w:r>
      <w:r>
        <w:fldChar w:fldCharType="begin"/>
      </w:r>
      <w:r>
        <w:instrText xml:space="preserve"> PAGEREF _Toc29698 \h </w:instrText>
      </w:r>
      <w:r>
        <w:fldChar w:fldCharType="separate"/>
      </w:r>
      <w:r>
        <w:t>19</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_Toc18769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9.1履约保证金</w:t>
      </w:r>
      <w:r>
        <w:tab/>
      </w:r>
      <w:r>
        <w:fldChar w:fldCharType="begin"/>
      </w:r>
      <w:r>
        <w:instrText xml:space="preserve"> PAGEREF _Toc18769 \h </w:instrText>
      </w:r>
      <w:r>
        <w:fldChar w:fldCharType="separate"/>
      </w:r>
      <w:r>
        <w:t>19</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_Toc14947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9.2 签订合同</w:t>
      </w:r>
      <w:r>
        <w:tab/>
      </w:r>
      <w:r>
        <w:fldChar w:fldCharType="begin"/>
      </w:r>
      <w:r>
        <w:instrText xml:space="preserve"> PAGEREF _Toc14947 \h </w:instrText>
      </w:r>
      <w:r>
        <w:fldChar w:fldCharType="separate"/>
      </w:r>
      <w:r>
        <w:t>20</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_Toc8481 </w:instrText>
      </w:r>
      <w:r>
        <w:rPr>
          <w:rFonts w:hint="eastAsia" w:ascii="宋体" w:hAnsi="宋体" w:cs="宋体"/>
          <w:szCs w:val="18"/>
          <w:highlight w:val="none"/>
        </w:rPr>
        <w:fldChar w:fldCharType="separate"/>
      </w:r>
      <w:r>
        <w:rPr>
          <w:rFonts w:hint="default" w:ascii="宋体" w:hAnsi="宋体" w:eastAsia="宋体" w:cs="宋体"/>
          <w:bCs/>
          <w:kern w:val="2"/>
          <w:szCs w:val="28"/>
          <w:lang w:val="en-US" w:eastAsia="zh-CN" w:bidi="ar-SA"/>
        </w:rPr>
        <w:t xml:space="preserve">十、 </w:t>
      </w:r>
      <w:r>
        <w:rPr>
          <w:rFonts w:hint="eastAsia" w:ascii="宋体" w:hAnsi="宋体" w:eastAsia="宋体" w:cs="宋体"/>
          <w:bCs/>
          <w:kern w:val="2"/>
          <w:szCs w:val="28"/>
          <w:highlight w:val="none"/>
          <w:lang w:val="en-US" w:eastAsia="zh-CN" w:bidi="ar-SA"/>
        </w:rPr>
        <w:t>招标代理服务费</w:t>
      </w:r>
      <w:r>
        <w:tab/>
      </w:r>
      <w:r>
        <w:fldChar w:fldCharType="begin"/>
      </w:r>
      <w:r>
        <w:instrText xml:space="preserve"> PAGEREF _Toc8481 \h </w:instrText>
      </w:r>
      <w:r>
        <w:fldChar w:fldCharType="separate"/>
      </w:r>
      <w:r>
        <w:t>20</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_Toc22584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10.1收取方式和标准</w:t>
      </w:r>
      <w:r>
        <w:tab/>
      </w:r>
      <w:r>
        <w:fldChar w:fldCharType="begin"/>
      </w:r>
      <w:r>
        <w:instrText xml:space="preserve"> PAGEREF _Toc22584 \h </w:instrText>
      </w:r>
      <w:r>
        <w:fldChar w:fldCharType="separate"/>
      </w:r>
      <w:r>
        <w:t>20</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_Toc25965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10.2收取时间</w:t>
      </w:r>
      <w:r>
        <w:tab/>
      </w:r>
      <w:r>
        <w:fldChar w:fldCharType="begin"/>
      </w:r>
      <w:r>
        <w:instrText xml:space="preserve"> PAGEREF _Toc25965 \h </w:instrText>
      </w:r>
      <w:r>
        <w:fldChar w:fldCharType="separate"/>
      </w:r>
      <w:r>
        <w:t>20</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_Toc2323 </w:instrText>
      </w:r>
      <w:r>
        <w:rPr>
          <w:rFonts w:hint="eastAsia" w:ascii="宋体" w:hAnsi="宋体" w:cs="宋体"/>
          <w:szCs w:val="18"/>
          <w:highlight w:val="none"/>
        </w:rPr>
        <w:fldChar w:fldCharType="separate"/>
      </w:r>
      <w:r>
        <w:rPr>
          <w:rFonts w:hint="default" w:ascii="宋体" w:hAnsi="宋体" w:eastAsia="宋体" w:cs="宋体"/>
          <w:bCs/>
          <w:kern w:val="2"/>
          <w:szCs w:val="28"/>
          <w:lang w:val="en-US" w:eastAsia="zh-CN" w:bidi="ar-SA"/>
        </w:rPr>
        <w:t xml:space="preserve">十一、 </w:t>
      </w:r>
      <w:r>
        <w:rPr>
          <w:rFonts w:hint="eastAsia" w:ascii="宋体" w:hAnsi="宋体" w:eastAsia="宋体" w:cs="宋体"/>
          <w:bCs/>
          <w:kern w:val="2"/>
          <w:szCs w:val="28"/>
          <w:highlight w:val="none"/>
          <w:lang w:val="en-US" w:eastAsia="zh-CN" w:bidi="ar-SA"/>
        </w:rPr>
        <w:t>无效投标和废标</w:t>
      </w:r>
      <w:r>
        <w:tab/>
      </w:r>
      <w:r>
        <w:fldChar w:fldCharType="begin"/>
      </w:r>
      <w:r>
        <w:instrText xml:space="preserve"> PAGEREF _Toc2323 \h </w:instrText>
      </w:r>
      <w:r>
        <w:fldChar w:fldCharType="separate"/>
      </w:r>
      <w:r>
        <w:t>20</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_Toc21570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11.1 无效投标</w:t>
      </w:r>
      <w:r>
        <w:tab/>
      </w:r>
      <w:r>
        <w:fldChar w:fldCharType="begin"/>
      </w:r>
      <w:r>
        <w:instrText xml:space="preserve"> PAGEREF _Toc21570 \h </w:instrText>
      </w:r>
      <w:r>
        <w:fldChar w:fldCharType="separate"/>
      </w:r>
      <w:r>
        <w:t>20</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_Toc18563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11.2 废标</w:t>
      </w:r>
      <w:r>
        <w:tab/>
      </w:r>
      <w:r>
        <w:fldChar w:fldCharType="begin"/>
      </w:r>
      <w:r>
        <w:instrText xml:space="preserve"> PAGEREF _Toc18563 \h </w:instrText>
      </w:r>
      <w:r>
        <w:fldChar w:fldCharType="separate"/>
      </w:r>
      <w:r>
        <w:t>21</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_Toc16836 </w:instrText>
      </w:r>
      <w:r>
        <w:rPr>
          <w:rFonts w:hint="eastAsia" w:ascii="宋体" w:hAnsi="宋体" w:cs="宋体"/>
          <w:szCs w:val="18"/>
          <w:highlight w:val="none"/>
        </w:rPr>
        <w:fldChar w:fldCharType="separate"/>
      </w:r>
      <w:r>
        <w:rPr>
          <w:rFonts w:hint="default" w:ascii="宋体" w:hAnsi="宋体" w:eastAsia="宋体" w:cs="宋体"/>
          <w:bCs/>
          <w:kern w:val="2"/>
          <w:szCs w:val="28"/>
          <w:lang w:val="en-US" w:eastAsia="zh-CN" w:bidi="ar-SA"/>
        </w:rPr>
        <w:t xml:space="preserve">十二、 </w:t>
      </w:r>
      <w:r>
        <w:rPr>
          <w:rFonts w:hint="eastAsia" w:ascii="宋体" w:hAnsi="宋体" w:eastAsia="宋体" w:cs="宋体"/>
          <w:bCs/>
          <w:kern w:val="2"/>
          <w:szCs w:val="28"/>
          <w:highlight w:val="none"/>
          <w:lang w:val="en-US" w:eastAsia="zh-CN" w:bidi="ar-SA"/>
        </w:rPr>
        <w:t>纪律和监督</w:t>
      </w:r>
      <w:r>
        <w:tab/>
      </w:r>
      <w:r>
        <w:fldChar w:fldCharType="begin"/>
      </w:r>
      <w:r>
        <w:instrText xml:space="preserve"> PAGEREF _Toc16836 \h </w:instrText>
      </w:r>
      <w:r>
        <w:fldChar w:fldCharType="separate"/>
      </w:r>
      <w:r>
        <w:t>21</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_Toc3496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12.1 对采购人和采购代理机构的纪律要求</w:t>
      </w:r>
      <w:r>
        <w:tab/>
      </w:r>
      <w:r>
        <w:fldChar w:fldCharType="begin"/>
      </w:r>
      <w:r>
        <w:instrText xml:space="preserve"> PAGEREF _Toc3496 \h </w:instrText>
      </w:r>
      <w:r>
        <w:fldChar w:fldCharType="separate"/>
      </w:r>
      <w:r>
        <w:t>21</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_Toc5621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12.2 对投标人的纪律要求</w:t>
      </w:r>
      <w:r>
        <w:tab/>
      </w:r>
      <w:r>
        <w:fldChar w:fldCharType="begin"/>
      </w:r>
      <w:r>
        <w:instrText xml:space="preserve"> PAGEREF _Toc5621 \h </w:instrText>
      </w:r>
      <w:r>
        <w:fldChar w:fldCharType="separate"/>
      </w:r>
      <w:r>
        <w:t>21</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_Toc16469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12.3 对评标委员会成员的纪律要求</w:t>
      </w:r>
      <w:r>
        <w:tab/>
      </w:r>
      <w:r>
        <w:fldChar w:fldCharType="begin"/>
      </w:r>
      <w:r>
        <w:instrText xml:space="preserve"> PAGEREF _Toc16469 \h </w:instrText>
      </w:r>
      <w:r>
        <w:fldChar w:fldCharType="separate"/>
      </w:r>
      <w:r>
        <w:t>22</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_Toc8652 </w:instrText>
      </w:r>
      <w:r>
        <w:rPr>
          <w:rFonts w:hint="eastAsia" w:ascii="宋体" w:hAnsi="宋体" w:cs="宋体"/>
          <w:szCs w:val="18"/>
          <w:highlight w:val="none"/>
        </w:rPr>
        <w:fldChar w:fldCharType="separate"/>
      </w:r>
      <w:r>
        <w:rPr>
          <w:rFonts w:hint="default" w:ascii="宋体" w:hAnsi="宋体" w:eastAsia="宋体" w:cs="宋体"/>
          <w:bCs/>
          <w:kern w:val="2"/>
          <w:szCs w:val="28"/>
          <w:lang w:val="en-US" w:eastAsia="zh-CN" w:bidi="ar-SA"/>
        </w:rPr>
        <w:t xml:space="preserve">十三、 </w:t>
      </w:r>
      <w:r>
        <w:rPr>
          <w:rFonts w:hint="eastAsia" w:ascii="宋体" w:hAnsi="宋体" w:eastAsia="宋体" w:cs="宋体"/>
          <w:bCs/>
          <w:kern w:val="2"/>
          <w:szCs w:val="28"/>
          <w:highlight w:val="none"/>
          <w:lang w:val="en-US" w:eastAsia="zh-CN" w:bidi="ar-SA"/>
        </w:rPr>
        <w:t>需要补充的其他内容</w:t>
      </w:r>
      <w:r>
        <w:tab/>
      </w:r>
      <w:r>
        <w:fldChar w:fldCharType="begin"/>
      </w:r>
      <w:r>
        <w:instrText xml:space="preserve"> PAGEREF _Toc8652 \h </w:instrText>
      </w:r>
      <w:r>
        <w:fldChar w:fldCharType="separate"/>
      </w:r>
      <w:r>
        <w:t>22</w:t>
      </w:r>
      <w:r>
        <w:fldChar w:fldCharType="end"/>
      </w:r>
      <w:r>
        <w:rPr>
          <w:rFonts w:hint="eastAsia" w:ascii="宋体" w:hAnsi="宋体" w:cs="宋体"/>
          <w:szCs w:val="18"/>
          <w:highlight w:val="none"/>
        </w:rPr>
        <w:fldChar w:fldCharType="end"/>
      </w:r>
    </w:p>
    <w:p>
      <w:pPr>
        <w:pStyle w:val="59"/>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_Toc7247 </w:instrText>
      </w:r>
      <w:r>
        <w:rPr>
          <w:rFonts w:hint="eastAsia" w:ascii="宋体" w:hAnsi="宋体" w:cs="宋体"/>
          <w:szCs w:val="18"/>
          <w:highlight w:val="none"/>
        </w:rPr>
        <w:fldChar w:fldCharType="separate"/>
      </w:r>
      <w:r>
        <w:rPr>
          <w:rFonts w:hint="eastAsia" w:ascii="宋体" w:hAnsi="宋体" w:eastAsia="宋体" w:cs="宋体"/>
          <w:i w:val="0"/>
          <w:szCs w:val="32"/>
        </w:rPr>
        <w:t xml:space="preserve">第三章 </w:t>
      </w:r>
      <w:r>
        <w:rPr>
          <w:rFonts w:hint="eastAsia" w:hAnsi="宋体" w:cs="宋体"/>
          <w:szCs w:val="32"/>
          <w:highlight w:val="none"/>
        </w:rPr>
        <w:t>项目采购需求</w:t>
      </w:r>
      <w:r>
        <w:tab/>
      </w:r>
      <w:r>
        <w:fldChar w:fldCharType="begin"/>
      </w:r>
      <w:r>
        <w:instrText xml:space="preserve"> PAGEREF _Toc7247 \h </w:instrText>
      </w:r>
      <w:r>
        <w:fldChar w:fldCharType="separate"/>
      </w:r>
      <w:r>
        <w:t>23</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_Toc19971 </w:instrText>
      </w:r>
      <w:r>
        <w:rPr>
          <w:rFonts w:hint="eastAsia" w:ascii="宋体" w:hAnsi="宋体" w:cs="宋体"/>
          <w:szCs w:val="18"/>
          <w:highlight w:val="none"/>
        </w:rPr>
        <w:fldChar w:fldCharType="separate"/>
      </w:r>
      <w:r>
        <w:rPr>
          <w:rFonts w:hint="eastAsia" w:ascii="宋体" w:hAnsi="宋体"/>
          <w:szCs w:val="21"/>
          <w:highlight w:val="none"/>
          <w:lang w:val="en-US" w:eastAsia="zh-CN"/>
        </w:rPr>
        <w:t>一、</w:t>
      </w:r>
      <w:r>
        <w:rPr>
          <w:rFonts w:hint="eastAsia" w:ascii="宋体" w:hAnsi="宋体"/>
          <w:szCs w:val="21"/>
          <w:highlight w:val="none"/>
        </w:rPr>
        <w:t>项目概况</w:t>
      </w:r>
      <w:r>
        <w:tab/>
      </w:r>
      <w:r>
        <w:fldChar w:fldCharType="begin"/>
      </w:r>
      <w:r>
        <w:instrText xml:space="preserve"> PAGEREF _Toc19971 \h </w:instrText>
      </w:r>
      <w:r>
        <w:fldChar w:fldCharType="separate"/>
      </w:r>
      <w:r>
        <w:t>23</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_Toc7012 </w:instrText>
      </w:r>
      <w:r>
        <w:rPr>
          <w:rFonts w:hint="eastAsia" w:ascii="宋体" w:hAnsi="宋体" w:cs="宋体"/>
          <w:szCs w:val="18"/>
          <w:highlight w:val="none"/>
        </w:rPr>
        <w:fldChar w:fldCharType="separate"/>
      </w:r>
      <w:r>
        <w:rPr>
          <w:rFonts w:hint="eastAsia" w:ascii="宋体" w:hAnsi="宋体" w:eastAsia="宋体" w:cs="Times New Roman"/>
          <w:szCs w:val="21"/>
          <w:highlight w:val="none"/>
          <w:lang w:val="en-US" w:eastAsia="zh-CN"/>
        </w:rPr>
        <w:t>二、建设目标</w:t>
      </w:r>
      <w:r>
        <w:tab/>
      </w:r>
      <w:r>
        <w:fldChar w:fldCharType="begin"/>
      </w:r>
      <w:r>
        <w:instrText xml:space="preserve"> PAGEREF _Toc7012 \h </w:instrText>
      </w:r>
      <w:r>
        <w:fldChar w:fldCharType="separate"/>
      </w:r>
      <w:r>
        <w:t>23</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_Toc31035 </w:instrText>
      </w:r>
      <w:r>
        <w:rPr>
          <w:rFonts w:hint="eastAsia" w:ascii="宋体" w:hAnsi="宋体" w:cs="宋体"/>
          <w:szCs w:val="18"/>
          <w:highlight w:val="none"/>
        </w:rPr>
        <w:fldChar w:fldCharType="separate"/>
      </w:r>
      <w:r>
        <w:rPr>
          <w:rFonts w:hint="eastAsia"/>
          <w:bCs/>
          <w:highlight w:val="none"/>
          <w:lang w:val="en-US" w:eastAsia="zh-CN"/>
        </w:rPr>
        <w:t>三</w:t>
      </w:r>
      <w:r>
        <w:rPr>
          <w:bCs/>
          <w:highlight w:val="none"/>
        </w:rPr>
        <w:t>、需</w:t>
      </w:r>
      <w:r>
        <w:rPr>
          <w:szCs w:val="21"/>
          <w:highlight w:val="none"/>
        </w:rPr>
        <w:t>执行</w:t>
      </w:r>
      <w:r>
        <w:rPr>
          <w:bCs/>
          <w:highlight w:val="none"/>
        </w:rPr>
        <w:t>的国家相关标准、行业标准、地方标准或者其他标准、规范</w:t>
      </w:r>
      <w:r>
        <w:tab/>
      </w:r>
      <w:r>
        <w:fldChar w:fldCharType="begin"/>
      </w:r>
      <w:r>
        <w:instrText xml:space="preserve"> PAGEREF _Toc31035 \h </w:instrText>
      </w:r>
      <w:r>
        <w:fldChar w:fldCharType="separate"/>
      </w:r>
      <w:r>
        <w:t>24</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_Toc1399 </w:instrText>
      </w:r>
      <w:r>
        <w:rPr>
          <w:rFonts w:hint="eastAsia" w:ascii="宋体" w:hAnsi="宋体" w:cs="宋体"/>
          <w:szCs w:val="18"/>
          <w:highlight w:val="none"/>
        </w:rPr>
        <w:fldChar w:fldCharType="separate"/>
      </w:r>
      <w:r>
        <w:rPr>
          <w:rFonts w:hint="eastAsia" w:ascii="Times New Roman" w:hAnsi="Times New Roman" w:eastAsia="宋体" w:cs="Times New Roman"/>
          <w:bCs/>
          <w:highlight w:val="none"/>
          <w:lang w:val="en-US" w:eastAsia="zh-CN"/>
        </w:rPr>
        <w:t>四、融媒体中心建设项目服务要求</w:t>
      </w:r>
      <w:r>
        <w:tab/>
      </w:r>
      <w:r>
        <w:fldChar w:fldCharType="begin"/>
      </w:r>
      <w:r>
        <w:instrText xml:space="preserve"> PAGEREF _Toc1399 \h </w:instrText>
      </w:r>
      <w:r>
        <w:fldChar w:fldCharType="separate"/>
      </w:r>
      <w:r>
        <w:t>24</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_Toc18542 </w:instrText>
      </w:r>
      <w:r>
        <w:rPr>
          <w:rFonts w:hint="eastAsia" w:ascii="宋体" w:hAnsi="宋体" w:cs="宋体"/>
          <w:szCs w:val="18"/>
          <w:highlight w:val="none"/>
        </w:rPr>
        <w:fldChar w:fldCharType="separate"/>
      </w:r>
      <w:r>
        <w:rPr>
          <w:rFonts w:hint="eastAsia"/>
          <w:bCs/>
          <w:highlight w:val="none"/>
          <w:lang w:val="en-US" w:eastAsia="zh-CN"/>
        </w:rPr>
        <w:t>五</w:t>
      </w:r>
      <w:r>
        <w:rPr>
          <w:bCs/>
          <w:highlight w:val="none"/>
        </w:rPr>
        <w:t>、需满足的数量、质量、安全、技术规格、物理特性等要求</w:t>
      </w:r>
      <w:r>
        <w:tab/>
      </w:r>
      <w:r>
        <w:fldChar w:fldCharType="begin"/>
      </w:r>
      <w:r>
        <w:instrText xml:space="preserve"> PAGEREF _Toc18542 \h </w:instrText>
      </w:r>
      <w:r>
        <w:fldChar w:fldCharType="separate"/>
      </w:r>
      <w:r>
        <w:t>26</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_Toc32181 </w:instrText>
      </w:r>
      <w:r>
        <w:rPr>
          <w:rFonts w:hint="eastAsia" w:ascii="宋体" w:hAnsi="宋体" w:cs="宋体"/>
          <w:szCs w:val="18"/>
          <w:highlight w:val="none"/>
        </w:rPr>
        <w:fldChar w:fldCharType="separate"/>
      </w:r>
      <w:r>
        <w:rPr>
          <w:rFonts w:hint="eastAsia" w:ascii="Times New Roman" w:hAnsi="Times New Roman" w:eastAsia="宋体" w:cs="Times New Roman"/>
          <w:bCs/>
          <w:highlight w:val="none"/>
          <w:lang w:val="en-US" w:eastAsia="zh-CN"/>
        </w:rPr>
        <w:t>六、中南民族大学融媒中心装修部分要求</w:t>
      </w:r>
      <w:r>
        <w:tab/>
      </w:r>
      <w:r>
        <w:fldChar w:fldCharType="begin"/>
      </w:r>
      <w:r>
        <w:instrText xml:space="preserve"> PAGEREF _Toc32181 \h </w:instrText>
      </w:r>
      <w:r>
        <w:fldChar w:fldCharType="separate"/>
      </w:r>
      <w:r>
        <w:t>66</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_Toc969 </w:instrText>
      </w:r>
      <w:r>
        <w:rPr>
          <w:rFonts w:hint="eastAsia" w:ascii="宋体" w:hAnsi="宋体" w:cs="宋体"/>
          <w:szCs w:val="18"/>
          <w:highlight w:val="none"/>
        </w:rPr>
        <w:fldChar w:fldCharType="separate"/>
      </w:r>
      <w:r>
        <w:rPr>
          <w:rFonts w:hint="eastAsia" w:ascii="Times New Roman" w:hAnsi="Times New Roman" w:eastAsia="宋体" w:cs="Times New Roman"/>
          <w:bCs/>
          <w:highlight w:val="none"/>
          <w:lang w:val="en-US" w:eastAsia="zh-CN"/>
        </w:rPr>
        <w:t>七、</w:t>
      </w:r>
      <w:r>
        <w:rPr>
          <w:rFonts w:hint="eastAsia" w:ascii="宋体" w:hAnsi="宋体" w:eastAsia="宋体" w:cs="Times New Roman"/>
          <w:szCs w:val="21"/>
          <w:highlight w:val="none"/>
          <w:lang w:val="en-US" w:eastAsia="zh-CN"/>
        </w:rPr>
        <w:t>商务</w:t>
      </w:r>
      <w:r>
        <w:rPr>
          <w:rFonts w:hint="eastAsia" w:ascii="Times New Roman" w:hAnsi="Times New Roman" w:eastAsia="宋体" w:cs="Times New Roman"/>
          <w:bCs/>
          <w:highlight w:val="none"/>
          <w:lang w:val="en-US" w:eastAsia="zh-CN"/>
        </w:rPr>
        <w:t>要求</w:t>
      </w:r>
      <w:r>
        <w:tab/>
      </w:r>
      <w:r>
        <w:fldChar w:fldCharType="begin"/>
      </w:r>
      <w:r>
        <w:instrText xml:space="preserve"> PAGEREF _Toc969 \h </w:instrText>
      </w:r>
      <w:r>
        <w:fldChar w:fldCharType="separate"/>
      </w:r>
      <w:r>
        <w:t>68</w:t>
      </w:r>
      <w:r>
        <w:fldChar w:fldCharType="end"/>
      </w:r>
      <w:r>
        <w:rPr>
          <w:rFonts w:hint="eastAsia" w:ascii="宋体" w:hAnsi="宋体" w:cs="宋体"/>
          <w:szCs w:val="18"/>
          <w:highlight w:val="none"/>
        </w:rPr>
        <w:fldChar w:fldCharType="end"/>
      </w:r>
    </w:p>
    <w:p>
      <w:pPr>
        <w:pStyle w:val="59"/>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_Toc24197 </w:instrText>
      </w:r>
      <w:r>
        <w:rPr>
          <w:rFonts w:hint="eastAsia" w:ascii="宋体" w:hAnsi="宋体" w:cs="宋体"/>
          <w:szCs w:val="18"/>
          <w:highlight w:val="none"/>
        </w:rPr>
        <w:fldChar w:fldCharType="separate"/>
      </w:r>
      <w:r>
        <w:rPr>
          <w:rFonts w:hint="eastAsia" w:ascii="宋体" w:hAnsi="宋体" w:eastAsia="宋体" w:cs="宋体"/>
          <w:i w:val="0"/>
          <w:szCs w:val="32"/>
        </w:rPr>
        <w:t xml:space="preserve">第四章 </w:t>
      </w:r>
      <w:r>
        <w:rPr>
          <w:rFonts w:hint="eastAsia" w:hAnsi="宋体" w:cs="宋体"/>
          <w:szCs w:val="32"/>
          <w:highlight w:val="none"/>
        </w:rPr>
        <w:t>评标方法、步骤及标准</w:t>
      </w:r>
      <w:r>
        <w:tab/>
      </w:r>
      <w:r>
        <w:fldChar w:fldCharType="begin"/>
      </w:r>
      <w:r>
        <w:instrText xml:space="preserve"> PAGEREF _Toc24197 \h </w:instrText>
      </w:r>
      <w:r>
        <w:fldChar w:fldCharType="separate"/>
      </w:r>
      <w:r>
        <w:t>71</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_Toc11096 </w:instrText>
      </w:r>
      <w:r>
        <w:rPr>
          <w:rFonts w:hint="eastAsia" w:ascii="宋体" w:hAnsi="宋体" w:cs="宋体"/>
          <w:szCs w:val="18"/>
          <w:highlight w:val="none"/>
        </w:rPr>
        <w:fldChar w:fldCharType="separate"/>
      </w:r>
      <w:r>
        <w:rPr>
          <w:rFonts w:hint="eastAsia" w:ascii="宋体" w:hAnsi="宋体"/>
          <w:szCs w:val="21"/>
          <w:highlight w:val="none"/>
        </w:rPr>
        <w:t>一、评标方法</w:t>
      </w:r>
      <w:r>
        <w:tab/>
      </w:r>
      <w:r>
        <w:fldChar w:fldCharType="begin"/>
      </w:r>
      <w:r>
        <w:instrText xml:space="preserve"> PAGEREF _Toc11096 \h </w:instrText>
      </w:r>
      <w:r>
        <w:fldChar w:fldCharType="separate"/>
      </w:r>
      <w:r>
        <w:t>71</w:t>
      </w:r>
      <w:r>
        <w:fldChar w:fldCharType="end"/>
      </w:r>
      <w:r>
        <w:rPr>
          <w:rFonts w:hint="eastAsia" w:ascii="宋体" w:hAnsi="宋体" w:cs="宋体"/>
          <w:szCs w:val="18"/>
          <w:highlight w:val="none"/>
        </w:rPr>
        <w:fldChar w:fldCharType="end"/>
      </w:r>
    </w:p>
    <w:p>
      <w:pPr>
        <w:pStyle w:val="7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_Toc505 </w:instrText>
      </w:r>
      <w:r>
        <w:rPr>
          <w:rFonts w:hint="eastAsia" w:ascii="宋体" w:hAnsi="宋体" w:cs="宋体"/>
          <w:szCs w:val="18"/>
          <w:highlight w:val="none"/>
        </w:rPr>
        <w:fldChar w:fldCharType="separate"/>
      </w:r>
      <w:r>
        <w:rPr>
          <w:rFonts w:hint="eastAsia" w:ascii="宋体" w:hAnsi="宋体"/>
          <w:szCs w:val="21"/>
          <w:highlight w:val="none"/>
        </w:rPr>
        <w:t>二、评标步骤</w:t>
      </w:r>
      <w:r>
        <w:tab/>
      </w:r>
      <w:r>
        <w:fldChar w:fldCharType="begin"/>
      </w:r>
      <w:r>
        <w:instrText xml:space="preserve"> PAGEREF _Toc505 \h </w:instrText>
      </w:r>
      <w:r>
        <w:fldChar w:fldCharType="separate"/>
      </w:r>
      <w:r>
        <w:t>71</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_Toc2615 </w:instrText>
      </w:r>
      <w:r>
        <w:rPr>
          <w:rFonts w:hint="eastAsia" w:ascii="宋体" w:hAnsi="宋体" w:cs="宋体"/>
          <w:szCs w:val="18"/>
          <w:highlight w:val="none"/>
        </w:rPr>
        <w:fldChar w:fldCharType="separate"/>
      </w:r>
      <w:r>
        <w:rPr>
          <w:rFonts w:hint="eastAsia" w:ascii="宋体" w:hAnsi="宋体"/>
          <w:bCs/>
          <w:szCs w:val="21"/>
          <w:highlight w:val="none"/>
        </w:rPr>
        <w:t>（一）投标文件初审</w:t>
      </w:r>
      <w:r>
        <w:tab/>
      </w:r>
      <w:r>
        <w:fldChar w:fldCharType="begin"/>
      </w:r>
      <w:r>
        <w:instrText xml:space="preserve"> PAGEREF _Toc2615 \h </w:instrText>
      </w:r>
      <w:r>
        <w:fldChar w:fldCharType="separate"/>
      </w:r>
      <w:r>
        <w:t>71</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_Toc17097 </w:instrText>
      </w:r>
      <w:r>
        <w:rPr>
          <w:rFonts w:hint="eastAsia" w:ascii="宋体" w:hAnsi="宋体" w:cs="宋体"/>
          <w:szCs w:val="18"/>
          <w:highlight w:val="none"/>
        </w:rPr>
        <w:fldChar w:fldCharType="separate"/>
      </w:r>
      <w:r>
        <w:rPr>
          <w:rFonts w:hint="eastAsia" w:ascii="宋体" w:hAnsi="宋体"/>
          <w:bCs/>
          <w:szCs w:val="21"/>
          <w:highlight w:val="none"/>
        </w:rPr>
        <w:t>（二）澄清有关问题</w:t>
      </w:r>
      <w:r>
        <w:tab/>
      </w:r>
      <w:r>
        <w:fldChar w:fldCharType="begin"/>
      </w:r>
      <w:r>
        <w:instrText xml:space="preserve"> PAGEREF _Toc17097 \h </w:instrText>
      </w:r>
      <w:r>
        <w:fldChar w:fldCharType="separate"/>
      </w:r>
      <w:r>
        <w:t>71</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_Toc1057 </w:instrText>
      </w:r>
      <w:r>
        <w:rPr>
          <w:rFonts w:hint="eastAsia" w:ascii="宋体" w:hAnsi="宋体" w:cs="宋体"/>
          <w:szCs w:val="18"/>
          <w:highlight w:val="none"/>
        </w:rPr>
        <w:fldChar w:fldCharType="separate"/>
      </w:r>
      <w:r>
        <w:rPr>
          <w:rFonts w:hint="eastAsia" w:ascii="宋体" w:hAnsi="宋体"/>
          <w:bCs/>
          <w:szCs w:val="21"/>
          <w:highlight w:val="none"/>
        </w:rPr>
        <w:t>（三）投标报价修正（如有）</w:t>
      </w:r>
      <w:r>
        <w:tab/>
      </w:r>
      <w:r>
        <w:fldChar w:fldCharType="begin"/>
      </w:r>
      <w:r>
        <w:instrText xml:space="preserve"> PAGEREF _Toc1057 \h </w:instrText>
      </w:r>
      <w:r>
        <w:fldChar w:fldCharType="separate"/>
      </w:r>
      <w:r>
        <w:t>72</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_Toc8733 </w:instrText>
      </w:r>
      <w:r>
        <w:rPr>
          <w:rFonts w:hint="eastAsia" w:ascii="宋体" w:hAnsi="宋体" w:cs="宋体"/>
          <w:szCs w:val="18"/>
          <w:highlight w:val="none"/>
        </w:rPr>
        <w:fldChar w:fldCharType="separate"/>
      </w:r>
      <w:r>
        <w:rPr>
          <w:rFonts w:ascii="宋体" w:hAnsi="宋体"/>
          <w:bCs/>
          <w:szCs w:val="21"/>
          <w:highlight w:val="none"/>
        </w:rPr>
        <w:t>（</w:t>
      </w:r>
      <w:r>
        <w:rPr>
          <w:rFonts w:hint="eastAsia" w:ascii="宋体" w:hAnsi="宋体"/>
          <w:bCs/>
          <w:szCs w:val="21"/>
          <w:highlight w:val="none"/>
        </w:rPr>
        <w:t>四</w:t>
      </w:r>
      <w:r>
        <w:rPr>
          <w:rFonts w:ascii="宋体" w:hAnsi="宋体"/>
          <w:bCs/>
          <w:szCs w:val="21"/>
          <w:highlight w:val="none"/>
        </w:rPr>
        <w:t>）比较与评价</w:t>
      </w:r>
      <w:r>
        <w:tab/>
      </w:r>
      <w:r>
        <w:fldChar w:fldCharType="begin"/>
      </w:r>
      <w:r>
        <w:instrText xml:space="preserve"> PAGEREF _Toc8733 \h </w:instrText>
      </w:r>
      <w:r>
        <w:fldChar w:fldCharType="separate"/>
      </w:r>
      <w:r>
        <w:t>72</w:t>
      </w:r>
      <w:r>
        <w:fldChar w:fldCharType="end"/>
      </w:r>
      <w:r>
        <w:rPr>
          <w:rFonts w:hint="eastAsia" w:ascii="宋体" w:hAnsi="宋体" w:cs="宋体"/>
          <w:szCs w:val="18"/>
          <w:highlight w:val="none"/>
        </w:rPr>
        <w:fldChar w:fldCharType="end"/>
      </w:r>
    </w:p>
    <w:p>
      <w:pPr>
        <w:pStyle w:val="44"/>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_Toc30864 </w:instrText>
      </w:r>
      <w:r>
        <w:rPr>
          <w:rFonts w:hint="eastAsia" w:ascii="宋体" w:hAnsi="宋体" w:cs="宋体"/>
          <w:szCs w:val="18"/>
          <w:highlight w:val="none"/>
        </w:rPr>
        <w:fldChar w:fldCharType="separate"/>
      </w:r>
      <w:r>
        <w:rPr>
          <w:rFonts w:ascii="宋体" w:hAnsi="宋体"/>
          <w:bCs/>
          <w:szCs w:val="21"/>
          <w:highlight w:val="none"/>
        </w:rPr>
        <w:t>（</w:t>
      </w:r>
      <w:r>
        <w:rPr>
          <w:rFonts w:hint="eastAsia" w:ascii="宋体" w:hAnsi="宋体"/>
          <w:bCs/>
          <w:szCs w:val="21"/>
          <w:highlight w:val="none"/>
        </w:rPr>
        <w:t>五</w:t>
      </w:r>
      <w:r>
        <w:rPr>
          <w:rFonts w:ascii="宋体" w:hAnsi="宋体"/>
          <w:bCs/>
          <w:szCs w:val="21"/>
          <w:highlight w:val="none"/>
        </w:rPr>
        <w:t>）推荐中标候选</w:t>
      </w:r>
      <w:r>
        <w:rPr>
          <w:rFonts w:hint="eastAsia" w:ascii="宋体" w:hAnsi="宋体"/>
          <w:bCs/>
          <w:szCs w:val="21"/>
          <w:highlight w:val="none"/>
        </w:rPr>
        <w:t>人</w:t>
      </w:r>
      <w:r>
        <w:rPr>
          <w:rFonts w:ascii="宋体" w:hAnsi="宋体"/>
          <w:bCs/>
          <w:szCs w:val="21"/>
          <w:highlight w:val="none"/>
        </w:rPr>
        <w:t>名单</w:t>
      </w:r>
      <w:r>
        <w:tab/>
      </w:r>
      <w:r>
        <w:fldChar w:fldCharType="begin"/>
      </w:r>
      <w:r>
        <w:instrText xml:space="preserve"> PAGEREF _Toc30864 \h </w:instrText>
      </w:r>
      <w:r>
        <w:fldChar w:fldCharType="separate"/>
      </w:r>
      <w:r>
        <w:t>72</w:t>
      </w:r>
      <w:r>
        <w:fldChar w:fldCharType="end"/>
      </w:r>
      <w:r>
        <w:rPr>
          <w:rFonts w:hint="eastAsia" w:ascii="宋体" w:hAnsi="宋体" w:cs="宋体"/>
          <w:szCs w:val="18"/>
          <w:highlight w:val="none"/>
        </w:rPr>
        <w:fldChar w:fldCharType="end"/>
      </w:r>
    </w:p>
    <w:p>
      <w:pPr>
        <w:pStyle w:val="59"/>
        <w:tabs>
          <w:tab w:val="right" w:leader="dot" w:pos="8731"/>
        </w:tabs>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_Toc8369 </w:instrText>
      </w:r>
      <w:r>
        <w:rPr>
          <w:rFonts w:hint="eastAsia" w:ascii="宋体" w:hAnsi="宋体" w:cs="宋体"/>
          <w:szCs w:val="18"/>
          <w:highlight w:val="none"/>
        </w:rPr>
        <w:fldChar w:fldCharType="separate"/>
      </w:r>
      <w:r>
        <w:rPr>
          <w:rFonts w:hint="eastAsia" w:ascii="宋体" w:hAnsi="宋体" w:eastAsia="宋体" w:cs="宋体"/>
          <w:i w:val="0"/>
          <w:szCs w:val="32"/>
        </w:rPr>
        <w:t xml:space="preserve">第五章 </w:t>
      </w:r>
      <w:r>
        <w:rPr>
          <w:rFonts w:hint="eastAsia" w:hAnsi="宋体" w:cs="宋体"/>
          <w:szCs w:val="32"/>
          <w:highlight w:val="none"/>
        </w:rPr>
        <w:t>合同主要条款</w:t>
      </w:r>
      <w:r>
        <w:tab/>
      </w:r>
      <w:r>
        <w:fldChar w:fldCharType="begin"/>
      </w:r>
      <w:r>
        <w:instrText xml:space="preserve"> PAGEREF _Toc8369 \h </w:instrText>
      </w:r>
      <w:r>
        <w:fldChar w:fldCharType="separate"/>
      </w:r>
      <w:r>
        <w:t>79</w:t>
      </w:r>
      <w:r>
        <w:fldChar w:fldCharType="end"/>
      </w:r>
      <w:r>
        <w:rPr>
          <w:rFonts w:hint="eastAsia" w:ascii="宋体" w:hAnsi="宋体" w:cs="宋体"/>
          <w:szCs w:val="18"/>
          <w:highlight w:val="none"/>
        </w:rPr>
        <w:fldChar w:fldCharType="end"/>
      </w:r>
    </w:p>
    <w:p>
      <w:pPr>
        <w:adjustRightInd w:val="0"/>
        <w:snapToGrid w:val="0"/>
        <w:spacing w:line="324" w:lineRule="auto"/>
        <w:jc w:val="distribute"/>
        <w:rPr>
          <w:rFonts w:ascii="宋体" w:hAnsi="宋体" w:cs="宋体"/>
          <w:sz w:val="18"/>
          <w:szCs w:val="18"/>
          <w:highlight w:val="none"/>
        </w:rPr>
        <w:sectPr>
          <w:headerReference r:id="rId7" w:type="default"/>
          <w:footerReference r:id="rId8" w:type="default"/>
          <w:type w:val="nextColumn"/>
          <w:pgSz w:w="11907" w:h="16840"/>
          <w:pgMar w:top="1247" w:right="1588" w:bottom="1247" w:left="1588" w:header="851" w:footer="851" w:gutter="0"/>
          <w:pgNumType w:start="1"/>
          <w:cols w:space="720" w:num="1"/>
          <w:docGrid w:linePitch="312" w:charSpace="0"/>
        </w:sectPr>
      </w:pPr>
      <w:r>
        <w:rPr>
          <w:rFonts w:hint="eastAsia" w:ascii="宋体" w:hAnsi="宋体" w:cs="宋体"/>
          <w:szCs w:val="18"/>
          <w:highlight w:val="none"/>
        </w:rPr>
        <w:fldChar w:fldCharType="end"/>
      </w:r>
    </w:p>
    <w:p>
      <w:pPr>
        <w:pStyle w:val="4"/>
        <w:numPr>
          <w:ilvl w:val="0"/>
          <w:numId w:val="3"/>
        </w:numPr>
        <w:spacing w:before="120" w:after="120" w:line="300" w:lineRule="auto"/>
        <w:rPr>
          <w:rFonts w:hAnsi="宋体" w:cs="宋体"/>
          <w:highlight w:val="none"/>
        </w:rPr>
      </w:pPr>
      <w:bookmarkStart w:id="0" w:name="_Toc11395"/>
      <w:bookmarkStart w:id="1" w:name="OLE_LINK77"/>
      <w:r>
        <w:rPr>
          <w:rFonts w:hint="eastAsia" w:hAnsi="宋体" w:cs="宋体"/>
          <w:sz w:val="32"/>
          <w:szCs w:val="32"/>
          <w:highlight w:val="none"/>
        </w:rPr>
        <w:t>投标邀请</w:t>
      </w:r>
      <w:bookmarkEnd w:id="0"/>
    </w:p>
    <w:p>
      <w:pPr>
        <w:rPr>
          <w:rFonts w:ascii="宋体" w:hAnsi="宋体" w:cs="宋体"/>
          <w:highlight w:val="none"/>
        </w:rPr>
      </w:pPr>
    </w:p>
    <w:p>
      <w:pPr>
        <w:pStyle w:val="81"/>
        <w:pBdr>
          <w:top w:val="single" w:color="auto" w:sz="4" w:space="0"/>
          <w:left w:val="single" w:color="auto" w:sz="4" w:space="2"/>
          <w:right w:val="single" w:color="auto" w:sz="4" w:space="2"/>
        </w:pBdr>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项目概况 </w:t>
      </w:r>
    </w:p>
    <w:p>
      <w:pPr>
        <w:pStyle w:val="81"/>
        <w:pBdr>
          <w:left w:val="single" w:color="auto" w:sz="4" w:space="2"/>
          <w:bottom w:val="single" w:color="auto" w:sz="4" w:space="0"/>
          <w:right w:val="single" w:color="auto" w:sz="4" w:space="2"/>
        </w:pBdr>
        <w:snapToGrid w:val="0"/>
        <w:spacing w:before="0" w:beforeAutospacing="0" w:after="0" w:afterAutospacing="0" w:line="360" w:lineRule="auto"/>
        <w:ind w:firstLine="370"/>
        <w:jc w:val="both"/>
        <w:rPr>
          <w:sz w:val="21"/>
          <w:szCs w:val="21"/>
          <w:highlight w:val="none"/>
        </w:rPr>
      </w:pPr>
      <w:bookmarkStart w:id="2" w:name="OLE_LINK71"/>
      <w:r>
        <w:rPr>
          <w:rFonts w:hint="eastAsia"/>
          <w:sz w:val="21"/>
          <w:szCs w:val="21"/>
          <w:highlight w:val="none"/>
          <w:u w:val="single"/>
          <w:lang w:eastAsia="zh-CN"/>
        </w:rPr>
        <w:t>中南民族大学融媒体中心建设</w:t>
      </w:r>
      <w:bookmarkEnd w:id="2"/>
      <w:r>
        <w:rPr>
          <w:rFonts w:hint="eastAsia"/>
          <w:sz w:val="21"/>
          <w:szCs w:val="21"/>
          <w:highlight w:val="none"/>
          <w:u w:val="single"/>
          <w:lang w:val="en-US" w:eastAsia="zh-CN"/>
        </w:rPr>
        <w:t>项目</w:t>
      </w:r>
      <w:r>
        <w:rPr>
          <w:rFonts w:hint="eastAsia"/>
          <w:sz w:val="21"/>
          <w:szCs w:val="21"/>
          <w:highlight w:val="none"/>
        </w:rPr>
        <w:t>招标项目的潜在投标人应在</w:t>
      </w:r>
      <w:bookmarkStart w:id="3" w:name="OLE_LINK25"/>
      <w:r>
        <w:rPr>
          <w:rFonts w:hint="eastAsia" w:cs="Segoe UI"/>
          <w:sz w:val="21"/>
          <w:szCs w:val="21"/>
          <w:highlight w:val="none"/>
          <w:u w:val="single"/>
        </w:rPr>
        <w:t>中南民族大学采购综合管理服务平台</w:t>
      </w:r>
      <w:bookmarkEnd w:id="3"/>
      <w:r>
        <w:rPr>
          <w:rFonts w:hint="eastAsia" w:cs="Segoe UI"/>
          <w:sz w:val="21"/>
          <w:szCs w:val="21"/>
          <w:highlight w:val="none"/>
          <w:u w:val="single"/>
        </w:rPr>
        <w:t>（https://caizhao.scuec.edu.cn/zb/）</w:t>
      </w:r>
      <w:r>
        <w:rPr>
          <w:rFonts w:hint="eastAsia"/>
          <w:sz w:val="21"/>
          <w:szCs w:val="21"/>
          <w:highlight w:val="none"/>
        </w:rPr>
        <w:t>获取招标文件，并于</w:t>
      </w:r>
      <w:r>
        <w:rPr>
          <w:rFonts w:hint="eastAsia"/>
          <w:sz w:val="21"/>
          <w:szCs w:val="21"/>
          <w:highlight w:val="none"/>
          <w:u w:val="single"/>
        </w:rPr>
        <w:t>202</w:t>
      </w:r>
      <w:r>
        <w:rPr>
          <w:rFonts w:hint="eastAsia"/>
          <w:sz w:val="21"/>
          <w:szCs w:val="21"/>
          <w:highlight w:val="none"/>
          <w:u w:val="single"/>
          <w:lang w:val="en-US" w:eastAsia="zh-CN"/>
        </w:rPr>
        <w:t>6</w:t>
      </w:r>
      <w:r>
        <w:rPr>
          <w:rFonts w:hint="eastAsia"/>
          <w:sz w:val="21"/>
          <w:szCs w:val="21"/>
          <w:highlight w:val="none"/>
        </w:rPr>
        <w:t>年</w:t>
      </w:r>
      <w:r>
        <w:rPr>
          <w:rFonts w:hint="eastAsia"/>
          <w:sz w:val="21"/>
          <w:szCs w:val="21"/>
          <w:highlight w:val="none"/>
          <w:u w:val="single"/>
          <w:lang w:val="en-US" w:eastAsia="zh-CN"/>
        </w:rPr>
        <w:t>07</w:t>
      </w:r>
      <w:r>
        <w:rPr>
          <w:rFonts w:hint="eastAsia"/>
          <w:sz w:val="21"/>
          <w:szCs w:val="21"/>
          <w:highlight w:val="none"/>
        </w:rPr>
        <w:t>月</w:t>
      </w:r>
      <w:r>
        <w:rPr>
          <w:rFonts w:hint="eastAsia"/>
          <w:sz w:val="21"/>
          <w:szCs w:val="21"/>
          <w:highlight w:val="none"/>
          <w:u w:val="single"/>
          <w:lang w:val="en-US" w:eastAsia="zh-CN"/>
        </w:rPr>
        <w:t xml:space="preserve"> 22 </w:t>
      </w:r>
      <w:r>
        <w:rPr>
          <w:rFonts w:hint="eastAsia"/>
          <w:sz w:val="21"/>
          <w:szCs w:val="21"/>
          <w:highlight w:val="none"/>
        </w:rPr>
        <w:t>日</w:t>
      </w:r>
      <w:r>
        <w:rPr>
          <w:rFonts w:hint="eastAsia"/>
          <w:sz w:val="21"/>
          <w:szCs w:val="21"/>
          <w:highlight w:val="none"/>
          <w:u w:val="single"/>
          <w:lang w:val="en-US" w:eastAsia="zh-CN"/>
        </w:rPr>
        <w:t>10</w:t>
      </w:r>
      <w:r>
        <w:rPr>
          <w:rFonts w:hint="eastAsia"/>
          <w:sz w:val="21"/>
          <w:szCs w:val="21"/>
          <w:highlight w:val="none"/>
        </w:rPr>
        <w:t>点</w:t>
      </w:r>
      <w:r>
        <w:rPr>
          <w:rFonts w:hint="eastAsia"/>
          <w:sz w:val="21"/>
          <w:szCs w:val="21"/>
          <w:highlight w:val="none"/>
          <w:u w:val="single"/>
          <w:lang w:val="en-US" w:eastAsia="zh-CN"/>
        </w:rPr>
        <w:t>00</w:t>
      </w:r>
      <w:r>
        <w:rPr>
          <w:rFonts w:hint="eastAsia"/>
          <w:sz w:val="21"/>
          <w:szCs w:val="21"/>
          <w:highlight w:val="none"/>
        </w:rPr>
        <w:t xml:space="preserve">分（北京时间）前递交投标文件。 </w:t>
      </w:r>
    </w:p>
    <w:p>
      <w:pPr>
        <w:pStyle w:val="81"/>
        <w:snapToGrid w:val="0"/>
        <w:spacing w:before="0" w:beforeAutospacing="0" w:after="0" w:afterAutospacing="0" w:line="360" w:lineRule="auto"/>
        <w:ind w:firstLine="369"/>
        <w:jc w:val="both"/>
        <w:rPr>
          <w:sz w:val="21"/>
          <w:szCs w:val="21"/>
          <w:highlight w:val="none"/>
        </w:rPr>
      </w:pPr>
      <w:r>
        <w:rPr>
          <w:rFonts w:hint="eastAsia"/>
          <w:b/>
          <w:bCs/>
          <w:sz w:val="21"/>
          <w:szCs w:val="21"/>
          <w:highlight w:val="none"/>
        </w:rPr>
        <w:t>一、项目基本情况</w:t>
      </w:r>
    </w:p>
    <w:p>
      <w:pPr>
        <w:pStyle w:val="81"/>
        <w:snapToGrid w:val="0"/>
        <w:spacing w:before="0" w:beforeAutospacing="0" w:after="0" w:afterAutospacing="0" w:line="360" w:lineRule="auto"/>
        <w:ind w:firstLine="370"/>
        <w:jc w:val="both"/>
        <w:rPr>
          <w:rFonts w:hint="eastAsia" w:eastAsia="宋体"/>
          <w:sz w:val="21"/>
          <w:szCs w:val="21"/>
          <w:highlight w:val="none"/>
          <w:lang w:val="en-US" w:eastAsia="zh-CN"/>
        </w:rPr>
      </w:pPr>
      <w:r>
        <w:rPr>
          <w:rFonts w:hint="eastAsia"/>
          <w:sz w:val="21"/>
          <w:szCs w:val="21"/>
          <w:highlight w:val="none"/>
        </w:rPr>
        <w:t>1.项目编号：</w:t>
      </w:r>
      <w:r>
        <w:rPr>
          <w:rFonts w:hint="eastAsia"/>
          <w:sz w:val="21"/>
          <w:szCs w:val="21"/>
          <w:highlight w:val="none"/>
          <w:lang w:val="en-US" w:eastAsia="zh-CN"/>
        </w:rPr>
        <w:t xml:space="preserve"> HBT-23125052-264840</w:t>
      </w:r>
    </w:p>
    <w:p>
      <w:pPr>
        <w:pStyle w:val="81"/>
        <w:snapToGrid w:val="0"/>
        <w:spacing w:before="0" w:beforeAutospacing="0" w:after="0" w:afterAutospacing="0" w:line="360" w:lineRule="auto"/>
        <w:ind w:firstLine="370"/>
        <w:jc w:val="both"/>
        <w:rPr>
          <w:rFonts w:hint="default" w:eastAsia="宋体"/>
          <w:sz w:val="21"/>
          <w:szCs w:val="21"/>
          <w:highlight w:val="none"/>
          <w:lang w:val="en-US" w:eastAsia="zh-CN"/>
        </w:rPr>
      </w:pPr>
      <w:r>
        <w:rPr>
          <w:rFonts w:hint="eastAsia"/>
          <w:sz w:val="21"/>
          <w:szCs w:val="21"/>
          <w:highlight w:val="none"/>
          <w:lang w:val="en-US" w:eastAsia="zh-CN"/>
        </w:rPr>
        <w:t>2</w:t>
      </w:r>
      <w:r>
        <w:rPr>
          <w:rFonts w:hint="eastAsia"/>
          <w:sz w:val="21"/>
          <w:szCs w:val="21"/>
          <w:highlight w:val="none"/>
        </w:rPr>
        <w:t>.项目名称：</w:t>
      </w:r>
      <w:bookmarkStart w:id="4" w:name="OLE_LINK62"/>
      <w:bookmarkStart w:id="5" w:name="OLE_LINK67"/>
      <w:r>
        <w:rPr>
          <w:rFonts w:hint="eastAsia"/>
          <w:sz w:val="21"/>
          <w:szCs w:val="21"/>
          <w:highlight w:val="none"/>
          <w:u w:val="single"/>
          <w:lang w:eastAsia="zh-CN"/>
        </w:rPr>
        <w:t>中南民族大学融媒体中心建设</w:t>
      </w:r>
      <w:bookmarkEnd w:id="4"/>
      <w:r>
        <w:rPr>
          <w:rFonts w:hint="eastAsia"/>
          <w:sz w:val="21"/>
          <w:szCs w:val="21"/>
          <w:highlight w:val="none"/>
          <w:u w:val="single"/>
          <w:lang w:val="en-US" w:eastAsia="zh-CN"/>
        </w:rPr>
        <w:t>项目</w:t>
      </w:r>
      <w:bookmarkEnd w:id="5"/>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lang w:val="en-US" w:eastAsia="zh-CN"/>
        </w:rPr>
        <w:t>3</w:t>
      </w:r>
      <w:r>
        <w:rPr>
          <w:rFonts w:hint="eastAsia"/>
          <w:sz w:val="21"/>
          <w:szCs w:val="21"/>
          <w:highlight w:val="none"/>
        </w:rPr>
        <w:t>.采购方式：</w:t>
      </w:r>
      <w:r>
        <w:rPr>
          <w:rFonts w:hint="eastAsia"/>
          <w:sz w:val="21"/>
          <w:szCs w:val="21"/>
          <w:highlight w:val="none"/>
          <w:u w:val="single"/>
        </w:rPr>
        <w:t>公开招标</w:t>
      </w:r>
    </w:p>
    <w:p>
      <w:pPr>
        <w:pStyle w:val="81"/>
        <w:snapToGrid w:val="0"/>
        <w:spacing w:before="0" w:beforeAutospacing="0" w:after="0" w:afterAutospacing="0" w:line="360" w:lineRule="auto"/>
        <w:ind w:firstLine="370"/>
        <w:jc w:val="both"/>
        <w:rPr>
          <w:rFonts w:hint="default" w:eastAsia="宋体"/>
          <w:sz w:val="21"/>
          <w:szCs w:val="21"/>
          <w:highlight w:val="none"/>
          <w:lang w:val="en-US" w:eastAsia="zh-CN"/>
        </w:rPr>
      </w:pPr>
      <w:r>
        <w:rPr>
          <w:rFonts w:hint="eastAsia"/>
          <w:sz w:val="21"/>
          <w:szCs w:val="21"/>
          <w:highlight w:val="none"/>
          <w:lang w:val="en-US" w:eastAsia="zh-CN"/>
        </w:rPr>
        <w:t>4</w:t>
      </w:r>
      <w:r>
        <w:rPr>
          <w:rFonts w:hint="eastAsia"/>
          <w:sz w:val="21"/>
          <w:szCs w:val="21"/>
          <w:highlight w:val="none"/>
        </w:rPr>
        <w:t>.</w:t>
      </w:r>
      <w:bookmarkStart w:id="6" w:name="OLE_LINK74"/>
      <w:r>
        <w:rPr>
          <w:rFonts w:hint="eastAsia"/>
          <w:sz w:val="21"/>
          <w:szCs w:val="21"/>
          <w:highlight w:val="none"/>
        </w:rPr>
        <w:t>预算金额（万元）：</w:t>
      </w:r>
      <w:bookmarkStart w:id="7" w:name="OLE_LINK63"/>
      <w:r>
        <w:rPr>
          <w:rFonts w:hint="eastAsia"/>
          <w:sz w:val="21"/>
          <w:szCs w:val="21"/>
          <w:highlight w:val="none"/>
          <w:u w:val="single"/>
          <w:lang w:val="en-US" w:eastAsia="zh-CN"/>
        </w:rPr>
        <w:t>590</w:t>
      </w:r>
      <w:bookmarkEnd w:id="6"/>
      <w:bookmarkEnd w:id="7"/>
    </w:p>
    <w:p>
      <w:pPr>
        <w:pStyle w:val="81"/>
        <w:snapToGrid w:val="0"/>
        <w:spacing w:before="0" w:beforeAutospacing="0" w:after="0" w:afterAutospacing="0" w:line="360" w:lineRule="auto"/>
        <w:ind w:firstLine="370"/>
        <w:jc w:val="both"/>
        <w:rPr>
          <w:rFonts w:hint="default" w:eastAsia="宋体"/>
          <w:sz w:val="21"/>
          <w:szCs w:val="21"/>
          <w:highlight w:val="none"/>
          <w:lang w:val="en-US" w:eastAsia="zh-CN"/>
        </w:rPr>
      </w:pPr>
      <w:r>
        <w:rPr>
          <w:rFonts w:hint="eastAsia"/>
          <w:sz w:val="21"/>
          <w:szCs w:val="21"/>
          <w:highlight w:val="none"/>
          <w:lang w:val="en-US" w:eastAsia="zh-CN"/>
        </w:rPr>
        <w:t>5</w:t>
      </w:r>
      <w:r>
        <w:rPr>
          <w:rFonts w:hint="eastAsia"/>
          <w:sz w:val="21"/>
          <w:szCs w:val="21"/>
          <w:highlight w:val="none"/>
        </w:rPr>
        <w:t>.最高限价（万元）：</w:t>
      </w:r>
      <w:r>
        <w:rPr>
          <w:rFonts w:hint="eastAsia"/>
          <w:sz w:val="21"/>
          <w:szCs w:val="21"/>
          <w:highlight w:val="none"/>
          <w:u w:val="single"/>
          <w:lang w:val="en-US" w:eastAsia="zh-CN"/>
        </w:rPr>
        <w:t>590</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lang w:val="en-US" w:eastAsia="zh-CN"/>
        </w:rPr>
        <w:t>6</w:t>
      </w:r>
      <w:r>
        <w:rPr>
          <w:rFonts w:hint="eastAsia"/>
          <w:sz w:val="21"/>
          <w:szCs w:val="21"/>
          <w:highlight w:val="none"/>
        </w:rPr>
        <w:t>.采购需求：</w:t>
      </w:r>
      <w:bookmarkStart w:id="8" w:name="OLE_LINK76"/>
      <w:r>
        <w:rPr>
          <w:rFonts w:hint="eastAsia" w:ascii="Times New Roman" w:eastAsia="宋体"/>
          <w:sz w:val="21"/>
          <w:szCs w:val="21"/>
          <w:highlight w:val="none"/>
          <w:u w:val="single"/>
          <w:lang w:val="en-US" w:eastAsia="zh-CN"/>
        </w:rPr>
        <w:t>详见第三章项目采购需求</w:t>
      </w:r>
      <w:r>
        <w:rPr>
          <w:rFonts w:hint="eastAsia"/>
          <w:sz w:val="21"/>
          <w:szCs w:val="21"/>
          <w:highlight w:val="none"/>
          <w:u w:val="single"/>
        </w:rPr>
        <w:t>。投标人的投标报价超过采购预算金额或最高限价的，其投标报价</w:t>
      </w:r>
      <w:r>
        <w:rPr>
          <w:rFonts w:hint="eastAsia"/>
          <w:sz w:val="21"/>
          <w:szCs w:val="21"/>
          <w:highlight w:val="none"/>
        </w:rPr>
        <w:t>无效。</w:t>
      </w:r>
      <w:bookmarkEnd w:id="8"/>
    </w:p>
    <w:p>
      <w:pPr>
        <w:pStyle w:val="81"/>
        <w:snapToGrid w:val="0"/>
        <w:spacing w:before="0" w:beforeAutospacing="0" w:after="0" w:afterAutospacing="0" w:line="360" w:lineRule="auto"/>
        <w:ind w:firstLine="370"/>
        <w:jc w:val="both"/>
        <w:rPr>
          <w:rFonts w:hint="default"/>
          <w:sz w:val="21"/>
          <w:szCs w:val="21"/>
          <w:highlight w:val="none"/>
          <w:lang w:val="en-US"/>
        </w:rPr>
      </w:pPr>
      <w:r>
        <w:rPr>
          <w:rFonts w:hint="eastAsia"/>
          <w:sz w:val="21"/>
          <w:szCs w:val="21"/>
          <w:highlight w:val="none"/>
          <w:lang w:val="en-US" w:eastAsia="zh-CN"/>
        </w:rPr>
        <w:t>7</w:t>
      </w:r>
      <w:r>
        <w:rPr>
          <w:rFonts w:hint="eastAsia"/>
          <w:sz w:val="21"/>
          <w:szCs w:val="21"/>
          <w:highlight w:val="none"/>
        </w:rPr>
        <w:t>.合同履行期限：</w:t>
      </w:r>
      <w:bookmarkStart w:id="9" w:name="OLE_LINK42"/>
      <w:r>
        <w:rPr>
          <w:rFonts w:hint="eastAsia"/>
          <w:sz w:val="21"/>
          <w:szCs w:val="21"/>
          <w:highlight w:val="none"/>
          <w:u w:val="single"/>
          <w:lang w:val="en-US" w:eastAsia="zh-CN"/>
        </w:rPr>
        <w:t>详见第三章项目采购需求。</w:t>
      </w:r>
      <w:bookmarkEnd w:id="9"/>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lang w:val="en-US" w:eastAsia="zh-CN"/>
        </w:rPr>
        <w:t>8</w:t>
      </w:r>
      <w:r>
        <w:rPr>
          <w:rFonts w:hint="eastAsia"/>
          <w:sz w:val="21"/>
          <w:szCs w:val="21"/>
          <w:highlight w:val="none"/>
        </w:rPr>
        <w:t>.本项目（是/否）接受联合体投标：否</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lang w:val="en-US" w:eastAsia="zh-CN"/>
        </w:rPr>
        <w:t>9</w:t>
      </w:r>
      <w:r>
        <w:rPr>
          <w:rFonts w:hint="eastAsia"/>
          <w:sz w:val="21"/>
          <w:szCs w:val="21"/>
          <w:highlight w:val="none"/>
        </w:rPr>
        <w:t>.是否可采购进口产品：否</w:t>
      </w:r>
    </w:p>
    <w:p>
      <w:pPr>
        <w:pStyle w:val="81"/>
        <w:snapToGrid w:val="0"/>
        <w:spacing w:before="0" w:beforeAutospacing="0" w:after="0" w:afterAutospacing="0" w:line="360" w:lineRule="auto"/>
        <w:ind w:firstLine="370"/>
        <w:jc w:val="both"/>
        <w:rPr>
          <w:rFonts w:hint="eastAsia"/>
          <w:sz w:val="21"/>
          <w:szCs w:val="21"/>
          <w:highlight w:val="none"/>
        </w:rPr>
      </w:pPr>
      <w:r>
        <w:rPr>
          <w:rFonts w:hint="default"/>
          <w:sz w:val="21"/>
          <w:szCs w:val="21"/>
          <w:highlight w:val="none"/>
          <w:lang w:val="en-US" w:eastAsia="zh-CN"/>
        </w:rPr>
        <w:t>1</w:t>
      </w:r>
      <w:r>
        <w:rPr>
          <w:rFonts w:hint="eastAsia"/>
          <w:sz w:val="21"/>
          <w:szCs w:val="21"/>
          <w:highlight w:val="none"/>
          <w:lang w:val="en-US" w:eastAsia="zh-CN"/>
        </w:rPr>
        <w:t>0</w:t>
      </w:r>
      <w:r>
        <w:rPr>
          <w:rFonts w:hint="default"/>
          <w:sz w:val="21"/>
          <w:szCs w:val="21"/>
          <w:highlight w:val="none"/>
          <w:lang w:val="en-US" w:eastAsia="zh-CN"/>
        </w:rPr>
        <w:t xml:space="preserve">. </w:t>
      </w:r>
      <w:r>
        <w:rPr>
          <w:rFonts w:hint="eastAsia"/>
          <w:sz w:val="21"/>
          <w:szCs w:val="21"/>
          <w:highlight w:val="none"/>
          <w:lang w:val="en-US" w:eastAsia="zh-CN"/>
        </w:rPr>
        <w:t>本项目（是</w:t>
      </w:r>
      <w:r>
        <w:rPr>
          <w:rFonts w:hint="default"/>
          <w:sz w:val="21"/>
          <w:szCs w:val="21"/>
          <w:highlight w:val="none"/>
          <w:lang w:val="en-US" w:eastAsia="zh-CN"/>
        </w:rPr>
        <w:t>/</w:t>
      </w:r>
      <w:r>
        <w:rPr>
          <w:rFonts w:hint="eastAsia"/>
          <w:sz w:val="21"/>
          <w:szCs w:val="21"/>
          <w:highlight w:val="none"/>
          <w:lang w:val="en-US" w:eastAsia="zh-CN"/>
        </w:rPr>
        <w:t xml:space="preserve">否）专门面向中小微企业：否 </w:t>
      </w:r>
    </w:p>
    <w:p>
      <w:pPr>
        <w:pStyle w:val="81"/>
        <w:snapToGrid w:val="0"/>
        <w:spacing w:before="0" w:beforeAutospacing="0" w:after="0" w:afterAutospacing="0" w:line="360" w:lineRule="auto"/>
        <w:ind w:firstLine="370"/>
        <w:jc w:val="both"/>
        <w:rPr>
          <w:rFonts w:hint="eastAsia" w:eastAsia="宋体"/>
          <w:sz w:val="21"/>
          <w:szCs w:val="21"/>
          <w:highlight w:val="none"/>
          <w:lang w:eastAsia="zh-CN"/>
        </w:rPr>
      </w:pPr>
      <w:r>
        <w:rPr>
          <w:rFonts w:hint="default"/>
          <w:sz w:val="21"/>
          <w:szCs w:val="21"/>
          <w:highlight w:val="none"/>
          <w:lang w:val="en-US" w:eastAsia="zh-CN"/>
        </w:rPr>
        <w:t>1</w:t>
      </w:r>
      <w:r>
        <w:rPr>
          <w:rFonts w:hint="eastAsia"/>
          <w:sz w:val="21"/>
          <w:szCs w:val="21"/>
          <w:highlight w:val="none"/>
          <w:lang w:val="en-US" w:eastAsia="zh-CN"/>
        </w:rPr>
        <w:t>1</w:t>
      </w:r>
      <w:r>
        <w:rPr>
          <w:rFonts w:hint="default"/>
          <w:sz w:val="21"/>
          <w:szCs w:val="21"/>
          <w:highlight w:val="none"/>
          <w:lang w:val="en-US" w:eastAsia="zh-CN"/>
        </w:rPr>
        <w:t xml:space="preserve">. </w:t>
      </w:r>
      <w:r>
        <w:rPr>
          <w:rFonts w:hint="eastAsia"/>
          <w:sz w:val="21"/>
          <w:szCs w:val="21"/>
          <w:highlight w:val="none"/>
          <w:lang w:val="en-US" w:eastAsia="zh-CN"/>
        </w:rPr>
        <w:t>符合条件的小微企业价格扣除优惠为：</w:t>
      </w:r>
      <w:r>
        <w:rPr>
          <w:rFonts w:hint="default"/>
          <w:sz w:val="21"/>
          <w:szCs w:val="21"/>
          <w:highlight w:val="none"/>
          <w:lang w:val="en-US" w:eastAsia="zh-CN"/>
        </w:rPr>
        <w:t>10%</w:t>
      </w:r>
    </w:p>
    <w:p>
      <w:pPr>
        <w:pStyle w:val="81"/>
        <w:snapToGrid w:val="0"/>
        <w:spacing w:before="0" w:beforeAutospacing="0" w:after="0" w:afterAutospacing="0" w:line="360" w:lineRule="auto"/>
        <w:ind w:firstLine="370"/>
        <w:jc w:val="both"/>
        <w:rPr>
          <w:sz w:val="21"/>
          <w:szCs w:val="21"/>
          <w:highlight w:val="none"/>
        </w:rPr>
      </w:pPr>
      <w:r>
        <w:rPr>
          <w:rFonts w:hint="eastAsia"/>
          <w:b/>
          <w:bCs/>
          <w:sz w:val="21"/>
          <w:szCs w:val="21"/>
          <w:highlight w:val="none"/>
        </w:rPr>
        <w:t>二、申请人的资格要求</w:t>
      </w:r>
    </w:p>
    <w:p>
      <w:pPr>
        <w:pStyle w:val="81"/>
        <w:snapToGrid w:val="0"/>
        <w:spacing w:before="0" w:beforeAutospacing="0" w:after="0" w:afterAutospacing="0" w:line="360" w:lineRule="auto"/>
        <w:ind w:firstLine="370"/>
        <w:jc w:val="both"/>
        <w:rPr>
          <w:sz w:val="21"/>
          <w:szCs w:val="21"/>
          <w:highlight w:val="none"/>
        </w:rPr>
      </w:pPr>
      <w:bookmarkStart w:id="10" w:name="OLE_LINK65"/>
      <w:r>
        <w:rPr>
          <w:rFonts w:hint="eastAsia"/>
          <w:sz w:val="21"/>
          <w:szCs w:val="21"/>
          <w:highlight w:val="none"/>
        </w:rPr>
        <w:t xml:space="preserve">1.满足《中华人民共和国政府采购法》第二十二条规定，即：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（1）具有独立承担民事责任的能力；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（2）具有良好的商业信誉和健全的财务会计制度；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（3）具有履行合同所必需的设备和专业技术能力；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（4）有依法缴纳税收和社会保障资金的良好记录；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（5）参加政府采购活动前三年内，在经营活动中没有重大违法记录；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（6）法律、行政法规规定的其他条件。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2.单位负责人为同一人或者存在直接控股、管理关系的不同投标人，不得参加本项目同一合同项下的政府采购活动。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3.为本采购项目提供整体设计、规范编制或者项目管理、监理、检测等服务的，不得再参加本项目的其他招标采购活动。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4.未被列入失信被执行人、重大税收违法失信主体，未被列入政府采购严重违法失信行为记录名单。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5.落实政府采购政策需满足的</w:t>
      </w:r>
      <w:r>
        <w:rPr>
          <w:rFonts w:hint="eastAsia"/>
          <w:color w:val="auto"/>
          <w:sz w:val="21"/>
          <w:szCs w:val="21"/>
          <w:highlight w:val="none"/>
        </w:rPr>
        <w:t>资格要求：</w:t>
      </w:r>
      <w:r>
        <w:rPr>
          <w:rFonts w:hint="eastAsia"/>
          <w:color w:val="auto"/>
          <w:sz w:val="21"/>
          <w:szCs w:val="21"/>
          <w:highlight w:val="none"/>
          <w:u w:val="single"/>
        </w:rPr>
        <w:t xml:space="preserve"> / </w:t>
      </w:r>
      <w:r>
        <w:rPr>
          <w:rFonts w:hint="eastAsia"/>
          <w:color w:val="auto"/>
          <w:sz w:val="21"/>
          <w:szCs w:val="21"/>
          <w:highlight w:val="none"/>
        </w:rPr>
        <w:t>。</w:t>
      </w:r>
    </w:p>
    <w:p>
      <w:pPr>
        <w:pStyle w:val="81"/>
        <w:snapToGrid w:val="0"/>
        <w:spacing w:before="0" w:beforeAutospacing="0" w:after="0" w:afterAutospacing="0" w:line="360" w:lineRule="auto"/>
        <w:ind w:firstLine="370"/>
        <w:jc w:val="both"/>
        <w:rPr>
          <w:sz w:val="21"/>
          <w:szCs w:val="21"/>
          <w:highlight w:val="none"/>
          <w:u w:val="single"/>
        </w:rPr>
      </w:pPr>
      <w:r>
        <w:rPr>
          <w:rFonts w:hint="eastAsia"/>
          <w:sz w:val="21"/>
          <w:szCs w:val="21"/>
          <w:highlight w:val="none"/>
        </w:rPr>
        <w:t>6.本项目的特定资格要求：</w:t>
      </w:r>
      <w:r>
        <w:rPr>
          <w:rFonts w:hint="eastAsia"/>
          <w:sz w:val="21"/>
          <w:szCs w:val="21"/>
          <w:highlight w:val="none"/>
          <w:u w:val="single"/>
          <w:lang w:val="en-US" w:eastAsia="zh-CN"/>
        </w:rPr>
        <w:t>/</w:t>
      </w:r>
      <w:r>
        <w:rPr>
          <w:rFonts w:hint="eastAsia"/>
          <w:sz w:val="21"/>
          <w:szCs w:val="21"/>
          <w:highlight w:val="none"/>
          <w:u w:val="single"/>
        </w:rPr>
        <w:t>。</w:t>
      </w:r>
    </w:p>
    <w:bookmarkEnd w:id="10"/>
    <w:p>
      <w:pPr>
        <w:pStyle w:val="81"/>
        <w:snapToGrid w:val="0"/>
        <w:spacing w:before="0" w:beforeAutospacing="0" w:after="0" w:afterAutospacing="0" w:line="360" w:lineRule="auto"/>
        <w:ind w:firstLine="370"/>
        <w:jc w:val="both"/>
        <w:rPr>
          <w:sz w:val="21"/>
          <w:szCs w:val="21"/>
          <w:highlight w:val="none"/>
        </w:rPr>
      </w:pPr>
      <w:r>
        <w:rPr>
          <w:rFonts w:hint="eastAsia"/>
          <w:b/>
          <w:bCs/>
          <w:sz w:val="21"/>
          <w:szCs w:val="21"/>
          <w:highlight w:val="none"/>
        </w:rPr>
        <w:t>三、获取招标文件</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1.时间：</w:t>
      </w:r>
      <w:r>
        <w:rPr>
          <w:rFonts w:hint="eastAsia"/>
          <w:sz w:val="21"/>
          <w:szCs w:val="21"/>
          <w:highlight w:val="none"/>
          <w:u w:val="single"/>
        </w:rPr>
        <w:t>202</w:t>
      </w:r>
      <w:r>
        <w:rPr>
          <w:rFonts w:hint="eastAsia"/>
          <w:sz w:val="21"/>
          <w:szCs w:val="21"/>
          <w:highlight w:val="none"/>
          <w:u w:val="single"/>
          <w:lang w:val="en-US" w:eastAsia="zh-CN"/>
        </w:rPr>
        <w:t>6</w:t>
      </w:r>
      <w:r>
        <w:rPr>
          <w:rFonts w:hint="eastAsia"/>
          <w:sz w:val="21"/>
          <w:szCs w:val="21"/>
          <w:highlight w:val="none"/>
        </w:rPr>
        <w:t>年</w:t>
      </w:r>
      <w:r>
        <w:rPr>
          <w:rFonts w:hint="eastAsia"/>
          <w:sz w:val="21"/>
          <w:szCs w:val="21"/>
          <w:highlight w:val="none"/>
          <w:u w:val="single"/>
          <w:lang w:val="en-US" w:eastAsia="zh-CN"/>
        </w:rPr>
        <w:t xml:space="preserve"> 07 </w:t>
      </w:r>
      <w:r>
        <w:rPr>
          <w:rFonts w:hint="eastAsia"/>
          <w:sz w:val="21"/>
          <w:szCs w:val="21"/>
          <w:highlight w:val="none"/>
        </w:rPr>
        <w:t>月</w:t>
      </w:r>
      <w:r>
        <w:rPr>
          <w:rFonts w:hint="eastAsia"/>
          <w:sz w:val="21"/>
          <w:szCs w:val="21"/>
          <w:highlight w:val="none"/>
          <w:u w:val="single"/>
          <w:lang w:val="en-US" w:eastAsia="zh-CN"/>
        </w:rPr>
        <w:t xml:space="preserve"> 02 </w:t>
      </w:r>
      <w:r>
        <w:rPr>
          <w:rFonts w:hint="eastAsia"/>
          <w:sz w:val="21"/>
          <w:szCs w:val="21"/>
          <w:highlight w:val="none"/>
        </w:rPr>
        <w:t>日至</w:t>
      </w:r>
      <w:r>
        <w:rPr>
          <w:rFonts w:hint="eastAsia"/>
          <w:sz w:val="21"/>
          <w:szCs w:val="21"/>
          <w:highlight w:val="none"/>
          <w:u w:val="single"/>
        </w:rPr>
        <w:t>202</w:t>
      </w:r>
      <w:r>
        <w:rPr>
          <w:rFonts w:hint="eastAsia"/>
          <w:sz w:val="21"/>
          <w:szCs w:val="21"/>
          <w:highlight w:val="none"/>
          <w:u w:val="single"/>
          <w:lang w:val="en-US" w:eastAsia="zh-CN"/>
        </w:rPr>
        <w:t>6</w:t>
      </w:r>
      <w:r>
        <w:rPr>
          <w:rFonts w:hint="eastAsia"/>
          <w:sz w:val="21"/>
          <w:szCs w:val="21"/>
          <w:highlight w:val="none"/>
        </w:rPr>
        <w:t>年</w:t>
      </w:r>
      <w:r>
        <w:rPr>
          <w:rFonts w:hint="eastAsia"/>
          <w:sz w:val="21"/>
          <w:szCs w:val="21"/>
          <w:highlight w:val="none"/>
          <w:u w:val="single"/>
          <w:lang w:val="en-US" w:eastAsia="zh-CN"/>
        </w:rPr>
        <w:t xml:space="preserve"> 07 </w:t>
      </w:r>
      <w:r>
        <w:rPr>
          <w:rFonts w:hint="eastAsia"/>
          <w:sz w:val="21"/>
          <w:szCs w:val="21"/>
          <w:highlight w:val="none"/>
        </w:rPr>
        <w:t>月</w:t>
      </w:r>
      <w:r>
        <w:rPr>
          <w:rFonts w:hint="eastAsia"/>
          <w:sz w:val="21"/>
          <w:szCs w:val="21"/>
          <w:highlight w:val="none"/>
          <w:u w:val="single"/>
          <w:lang w:val="en-US" w:eastAsia="zh-CN"/>
        </w:rPr>
        <w:t xml:space="preserve"> 08 </w:t>
      </w:r>
      <w:r>
        <w:rPr>
          <w:rFonts w:hint="eastAsia"/>
          <w:sz w:val="21"/>
          <w:szCs w:val="21"/>
          <w:highlight w:val="none"/>
        </w:rPr>
        <w:t>日，每天上午</w:t>
      </w:r>
      <w:r>
        <w:rPr>
          <w:rFonts w:hint="eastAsia"/>
          <w:sz w:val="21"/>
          <w:szCs w:val="21"/>
          <w:highlight w:val="none"/>
          <w:u w:val="single"/>
        </w:rPr>
        <w:t>8:30</w:t>
      </w:r>
      <w:r>
        <w:rPr>
          <w:rFonts w:hint="eastAsia"/>
          <w:sz w:val="21"/>
          <w:szCs w:val="21"/>
          <w:highlight w:val="none"/>
        </w:rPr>
        <w:t>至</w:t>
      </w:r>
      <w:r>
        <w:rPr>
          <w:rFonts w:hint="eastAsia"/>
          <w:sz w:val="21"/>
          <w:szCs w:val="21"/>
          <w:highlight w:val="none"/>
          <w:u w:val="single"/>
        </w:rPr>
        <w:t>12:00</w:t>
      </w:r>
      <w:r>
        <w:rPr>
          <w:rFonts w:hint="eastAsia"/>
          <w:sz w:val="21"/>
          <w:szCs w:val="21"/>
          <w:highlight w:val="none"/>
        </w:rPr>
        <w:t>，下午</w:t>
      </w:r>
      <w:r>
        <w:rPr>
          <w:rFonts w:hint="eastAsia"/>
          <w:sz w:val="21"/>
          <w:szCs w:val="21"/>
          <w:highlight w:val="none"/>
          <w:u w:val="single"/>
        </w:rPr>
        <w:t>14:00</w:t>
      </w:r>
      <w:r>
        <w:rPr>
          <w:rFonts w:hint="eastAsia"/>
          <w:sz w:val="21"/>
          <w:szCs w:val="21"/>
          <w:highlight w:val="none"/>
        </w:rPr>
        <w:t>至</w:t>
      </w:r>
      <w:r>
        <w:rPr>
          <w:rFonts w:hint="eastAsia"/>
          <w:sz w:val="21"/>
          <w:szCs w:val="21"/>
          <w:highlight w:val="none"/>
          <w:u w:val="single"/>
        </w:rPr>
        <w:t>17:00</w:t>
      </w:r>
      <w:r>
        <w:rPr>
          <w:rFonts w:hint="eastAsia"/>
          <w:sz w:val="21"/>
          <w:szCs w:val="21"/>
          <w:highlight w:val="none"/>
        </w:rPr>
        <w:t xml:space="preserve">（北京时间，法定节假日除外） </w:t>
      </w:r>
    </w:p>
    <w:p>
      <w:pPr>
        <w:widowControl/>
        <w:snapToGrid w:val="0"/>
        <w:spacing w:before="0" w:beforeAutospacing="0" w:after="0" w:afterAutospacing="0" w:line="360" w:lineRule="auto"/>
        <w:ind w:firstLine="555"/>
        <w:jc w:val="both"/>
        <w:rPr>
          <w:rFonts w:ascii="宋体" w:hAnsi="宋体" w:eastAsia="宋体" w:cs="Segoe UI"/>
          <w:color w:val="333333"/>
          <w:kern w:val="0"/>
          <w:sz w:val="21"/>
          <w:szCs w:val="21"/>
          <w:highlight w:val="none"/>
          <w:lang w:val="en-US" w:eastAsia="zh-CN" w:bidi="ar-SA"/>
        </w:rPr>
      </w:pPr>
      <w:r>
        <w:rPr>
          <w:rFonts w:hint="eastAsia" w:ascii="宋体" w:hAnsi="宋体" w:eastAsia="宋体" w:cs="Segoe UI"/>
          <w:color w:val="333333"/>
          <w:kern w:val="0"/>
          <w:sz w:val="21"/>
          <w:szCs w:val="21"/>
          <w:highlight w:val="none"/>
          <w:lang w:val="en-US" w:eastAsia="zh-CN" w:bidi="ar-SA"/>
        </w:rPr>
        <w:t>2.地点：</w:t>
      </w:r>
      <w:bookmarkStart w:id="11" w:name="OLE_LINK30"/>
      <w:r>
        <w:rPr>
          <w:rFonts w:hint="eastAsia" w:ascii="宋体" w:hAnsi="宋体" w:eastAsia="宋体" w:cs="宋体"/>
          <w:kern w:val="0"/>
          <w:sz w:val="21"/>
          <w:szCs w:val="21"/>
          <w:highlight w:val="none"/>
          <w:u w:val="single"/>
          <w:lang w:val="en-US" w:eastAsia="zh-CN" w:bidi="ar-SA"/>
        </w:rPr>
        <w:t>中南民族大学采购综合管理服务平台（https://caizhao.scuec.edu.cn/zb/）</w:t>
      </w:r>
      <w:bookmarkEnd w:id="11"/>
    </w:p>
    <w:p>
      <w:pPr>
        <w:widowControl/>
        <w:snapToGrid w:val="0"/>
        <w:spacing w:before="0" w:beforeAutospacing="0" w:after="0" w:afterAutospacing="0" w:line="360" w:lineRule="auto"/>
        <w:ind w:firstLine="555"/>
        <w:jc w:val="both"/>
        <w:rPr>
          <w:sz w:val="21"/>
          <w:szCs w:val="21"/>
          <w:highlight w:val="none"/>
        </w:rPr>
      </w:pPr>
      <w:r>
        <w:rPr>
          <w:rFonts w:hint="eastAsia" w:ascii="宋体" w:hAnsi="宋体" w:eastAsia="宋体" w:cs="Segoe UI"/>
          <w:color w:val="333333"/>
          <w:kern w:val="0"/>
          <w:sz w:val="21"/>
          <w:szCs w:val="21"/>
          <w:highlight w:val="none"/>
          <w:lang w:val="en-US" w:eastAsia="zh-CN" w:bidi="ar-SA"/>
        </w:rPr>
        <w:t>3.方式：</w:t>
      </w:r>
      <w:bookmarkStart w:id="12" w:name="OLE_LINK45"/>
      <w:r>
        <w:rPr>
          <w:rFonts w:hint="eastAsia" w:ascii="宋体" w:hAnsi="宋体" w:eastAsia="宋体" w:cs="宋体"/>
          <w:kern w:val="0"/>
          <w:sz w:val="21"/>
          <w:szCs w:val="21"/>
          <w:highlight w:val="none"/>
          <w:u w:val="single"/>
          <w:lang w:val="en-US" w:eastAsia="zh-CN" w:bidi="ar-SA"/>
        </w:rPr>
        <w:t>网上获取，符合条件的供应商请登录中南民族大学采购综合管理服务平台（https://caizhao.scuec.edu.cn/zb/），完成“供应商注册”（具体操作详见平台网页中“服务指南-操作指南-供应商参与中南民族大学招标项目操作指南”）。完成注册登记后，请于上述“获取采购文件”时间内获取采购文件（具体操作详见平台网页中“服务指南-操作指南-供应商参与中南民族大学招标项目操作指南”），待审核通过后，供应商下载采购文件。</w:t>
      </w:r>
      <w:bookmarkEnd w:id="12"/>
    </w:p>
    <w:p>
      <w:pPr>
        <w:pStyle w:val="81"/>
        <w:snapToGrid w:val="0"/>
        <w:spacing w:before="0" w:beforeAutospacing="0" w:after="0" w:afterAutospacing="0" w:line="360" w:lineRule="auto"/>
        <w:ind w:firstLine="370"/>
        <w:jc w:val="both"/>
        <w:rPr>
          <w:rFonts w:hint="default" w:eastAsia="宋体"/>
          <w:sz w:val="21"/>
          <w:szCs w:val="21"/>
          <w:highlight w:val="none"/>
          <w:lang w:val="en-US" w:eastAsia="zh-CN"/>
        </w:rPr>
      </w:pPr>
      <w:r>
        <w:rPr>
          <w:rFonts w:hint="eastAsia"/>
          <w:sz w:val="21"/>
          <w:szCs w:val="21"/>
          <w:highlight w:val="none"/>
        </w:rPr>
        <w:t>4.售价（元）：</w:t>
      </w:r>
      <w:r>
        <w:rPr>
          <w:rFonts w:hint="eastAsia"/>
          <w:sz w:val="21"/>
          <w:szCs w:val="21"/>
          <w:highlight w:val="none"/>
          <w:u w:val="single"/>
          <w:lang w:val="en-US" w:eastAsia="zh-CN"/>
        </w:rPr>
        <w:t>300</w:t>
      </w:r>
    </w:p>
    <w:p>
      <w:pPr>
        <w:pStyle w:val="81"/>
        <w:snapToGrid w:val="0"/>
        <w:spacing w:before="0" w:beforeAutospacing="0" w:after="0" w:afterAutospacing="0" w:line="360" w:lineRule="auto"/>
        <w:ind w:firstLine="370"/>
        <w:jc w:val="both"/>
        <w:rPr>
          <w:sz w:val="21"/>
          <w:szCs w:val="21"/>
          <w:highlight w:val="none"/>
        </w:rPr>
      </w:pPr>
      <w:r>
        <w:rPr>
          <w:rFonts w:hint="eastAsia"/>
          <w:b/>
          <w:bCs/>
          <w:sz w:val="21"/>
          <w:szCs w:val="21"/>
          <w:highlight w:val="none"/>
        </w:rPr>
        <w:t>四、提交投标文件截止时间、开标时间和地点</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1.</w:t>
      </w:r>
      <w:r>
        <w:rPr>
          <w:rFonts w:hint="eastAsia"/>
          <w:sz w:val="21"/>
          <w:szCs w:val="21"/>
          <w:highlight w:val="none"/>
          <w:u w:val="single"/>
        </w:rPr>
        <w:t>202</w:t>
      </w:r>
      <w:r>
        <w:rPr>
          <w:rFonts w:hint="eastAsia"/>
          <w:sz w:val="21"/>
          <w:szCs w:val="21"/>
          <w:highlight w:val="none"/>
          <w:u w:val="single"/>
          <w:lang w:val="en-US" w:eastAsia="zh-CN"/>
        </w:rPr>
        <w:t>6</w:t>
      </w:r>
      <w:r>
        <w:rPr>
          <w:rFonts w:hint="eastAsia"/>
          <w:sz w:val="21"/>
          <w:szCs w:val="21"/>
          <w:highlight w:val="none"/>
        </w:rPr>
        <w:t>年</w:t>
      </w:r>
      <w:r>
        <w:rPr>
          <w:rFonts w:hint="eastAsia"/>
          <w:sz w:val="21"/>
          <w:szCs w:val="21"/>
          <w:highlight w:val="none"/>
          <w:u w:val="single"/>
          <w:lang w:val="en-US" w:eastAsia="zh-CN"/>
        </w:rPr>
        <w:t xml:space="preserve"> 07 </w:t>
      </w:r>
      <w:r>
        <w:rPr>
          <w:rFonts w:hint="eastAsia"/>
          <w:sz w:val="21"/>
          <w:szCs w:val="21"/>
          <w:highlight w:val="none"/>
        </w:rPr>
        <w:t>月</w:t>
      </w:r>
      <w:r>
        <w:rPr>
          <w:rFonts w:hint="eastAsia"/>
          <w:sz w:val="21"/>
          <w:szCs w:val="21"/>
          <w:highlight w:val="none"/>
          <w:u w:val="single"/>
          <w:lang w:val="en-US" w:eastAsia="zh-CN"/>
        </w:rPr>
        <w:t xml:space="preserve"> 22 </w:t>
      </w:r>
      <w:r>
        <w:rPr>
          <w:rFonts w:hint="eastAsia"/>
          <w:sz w:val="21"/>
          <w:szCs w:val="21"/>
          <w:highlight w:val="none"/>
        </w:rPr>
        <w:t>日</w:t>
      </w:r>
      <w:r>
        <w:rPr>
          <w:rFonts w:hint="eastAsia"/>
          <w:sz w:val="21"/>
          <w:szCs w:val="21"/>
          <w:highlight w:val="none"/>
          <w:u w:val="single"/>
          <w:lang w:val="en-US" w:eastAsia="zh-CN"/>
        </w:rPr>
        <w:t>10</w:t>
      </w:r>
      <w:r>
        <w:rPr>
          <w:rFonts w:hint="eastAsia"/>
          <w:sz w:val="21"/>
          <w:szCs w:val="21"/>
          <w:highlight w:val="none"/>
        </w:rPr>
        <w:t>点</w:t>
      </w:r>
      <w:r>
        <w:rPr>
          <w:rFonts w:hint="eastAsia"/>
          <w:sz w:val="21"/>
          <w:szCs w:val="21"/>
          <w:highlight w:val="none"/>
          <w:u w:val="single"/>
          <w:lang w:val="en-US" w:eastAsia="zh-CN"/>
        </w:rPr>
        <w:t>00</w:t>
      </w:r>
      <w:r>
        <w:rPr>
          <w:rFonts w:hint="eastAsia"/>
          <w:sz w:val="21"/>
          <w:szCs w:val="21"/>
          <w:highlight w:val="none"/>
        </w:rPr>
        <w:t xml:space="preserve">分（北京时间）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2.地点：</w:t>
      </w:r>
      <w:r>
        <w:rPr>
          <w:rFonts w:hint="eastAsia" w:cs="Segoe UI"/>
          <w:color w:val="333333"/>
          <w:sz w:val="21"/>
          <w:szCs w:val="21"/>
          <w:highlight w:val="none"/>
          <w:u w:val="single"/>
        </w:rPr>
        <w:t>武汉市洪山区民族大道182号中南民族大学4号教学楼215室</w:t>
      </w:r>
    </w:p>
    <w:p>
      <w:pPr>
        <w:pStyle w:val="81"/>
        <w:snapToGrid w:val="0"/>
        <w:spacing w:before="0" w:beforeAutospacing="0" w:after="0" w:afterAutospacing="0" w:line="360" w:lineRule="auto"/>
        <w:ind w:firstLine="370"/>
        <w:jc w:val="both"/>
        <w:rPr>
          <w:sz w:val="21"/>
          <w:szCs w:val="21"/>
          <w:highlight w:val="none"/>
        </w:rPr>
      </w:pPr>
      <w:r>
        <w:rPr>
          <w:rFonts w:hint="eastAsia"/>
          <w:b/>
          <w:bCs/>
          <w:sz w:val="21"/>
          <w:szCs w:val="21"/>
          <w:highlight w:val="none"/>
        </w:rPr>
        <w:t>五、公告期限</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自本公告发布之日起5个工作日。 </w:t>
      </w:r>
    </w:p>
    <w:p>
      <w:pPr>
        <w:pStyle w:val="81"/>
        <w:snapToGrid w:val="0"/>
        <w:spacing w:before="0" w:beforeAutospacing="0" w:after="0" w:afterAutospacing="0" w:line="360" w:lineRule="auto"/>
        <w:ind w:firstLine="370"/>
        <w:jc w:val="both"/>
        <w:rPr>
          <w:sz w:val="21"/>
          <w:szCs w:val="21"/>
          <w:highlight w:val="none"/>
        </w:rPr>
      </w:pPr>
      <w:r>
        <w:rPr>
          <w:rFonts w:hint="eastAsia"/>
          <w:b/>
          <w:bCs/>
          <w:sz w:val="21"/>
          <w:szCs w:val="21"/>
          <w:highlight w:val="none"/>
        </w:rPr>
        <w:t>六、其他补充事宜</w:t>
      </w:r>
    </w:p>
    <w:p>
      <w:pPr>
        <w:pStyle w:val="81"/>
        <w:snapToGrid w:val="0"/>
        <w:spacing w:before="0" w:beforeAutospacing="0" w:after="0" w:afterAutospacing="0" w:line="360" w:lineRule="auto"/>
        <w:ind w:firstLine="555"/>
        <w:jc w:val="both"/>
        <w:rPr>
          <w:sz w:val="21"/>
          <w:szCs w:val="21"/>
          <w:highlight w:val="none"/>
          <w:u w:val="single"/>
        </w:rPr>
      </w:pPr>
      <w:bookmarkStart w:id="13" w:name="OLE_LINK44"/>
      <w:r>
        <w:rPr>
          <w:rFonts w:hint="eastAsia"/>
          <w:sz w:val="21"/>
          <w:szCs w:val="21"/>
          <w:highlight w:val="none"/>
          <w:u w:val="single"/>
        </w:rPr>
        <w:t>1.采购项目需要落实的政府采购政策：本项目需落实的节能环保、中小微型企业扶持（含支持监狱企业发展、促进残疾人就业）等相关政府采购政策详见招标文件。</w:t>
      </w:r>
    </w:p>
    <w:p>
      <w:pPr>
        <w:pStyle w:val="81"/>
        <w:snapToGrid w:val="0"/>
        <w:spacing w:before="0" w:beforeAutospacing="0" w:after="0" w:afterAutospacing="0" w:line="360" w:lineRule="auto"/>
        <w:ind w:firstLine="555"/>
        <w:jc w:val="both"/>
        <w:rPr>
          <w:sz w:val="21"/>
          <w:szCs w:val="21"/>
          <w:highlight w:val="none"/>
        </w:rPr>
      </w:pPr>
      <w:r>
        <w:rPr>
          <w:rFonts w:hint="eastAsia"/>
          <w:sz w:val="21"/>
          <w:szCs w:val="21"/>
          <w:highlight w:val="none"/>
          <w:lang w:val="en-US" w:eastAsia="zh-CN"/>
        </w:rPr>
        <w:t>2</w:t>
      </w:r>
      <w:r>
        <w:rPr>
          <w:rFonts w:hint="eastAsia"/>
          <w:sz w:val="21"/>
          <w:szCs w:val="21"/>
          <w:highlight w:val="none"/>
        </w:rPr>
        <w:t>.采购代理机构银行资料：</w:t>
      </w:r>
    </w:p>
    <w:p>
      <w:pPr>
        <w:pStyle w:val="81"/>
        <w:snapToGrid w:val="0"/>
        <w:spacing w:before="0" w:beforeAutospacing="0" w:after="0" w:afterAutospacing="0" w:line="360" w:lineRule="auto"/>
        <w:ind w:firstLine="555"/>
        <w:jc w:val="both"/>
        <w:rPr>
          <w:sz w:val="21"/>
          <w:szCs w:val="21"/>
          <w:highlight w:val="none"/>
        </w:rPr>
      </w:pPr>
      <w:r>
        <w:rPr>
          <w:rFonts w:hint="eastAsia"/>
          <w:sz w:val="21"/>
          <w:szCs w:val="21"/>
          <w:highlight w:val="none"/>
        </w:rPr>
        <w:t>户    名：湖北省招标股份有限公司</w:t>
      </w:r>
    </w:p>
    <w:p>
      <w:pPr>
        <w:pStyle w:val="81"/>
        <w:snapToGrid w:val="0"/>
        <w:spacing w:before="0" w:beforeAutospacing="0" w:after="0" w:afterAutospacing="0" w:line="360" w:lineRule="auto"/>
        <w:ind w:firstLine="555"/>
        <w:jc w:val="both"/>
        <w:rPr>
          <w:sz w:val="21"/>
          <w:szCs w:val="21"/>
          <w:highlight w:val="none"/>
        </w:rPr>
      </w:pPr>
      <w:r>
        <w:rPr>
          <w:rFonts w:hint="eastAsia"/>
          <w:sz w:val="21"/>
          <w:szCs w:val="21"/>
          <w:highlight w:val="none"/>
        </w:rPr>
        <w:t>开 户 行：招商银行水果湖支行</w:t>
      </w:r>
    </w:p>
    <w:p>
      <w:pPr>
        <w:pStyle w:val="81"/>
        <w:snapToGrid w:val="0"/>
        <w:spacing w:before="0" w:beforeAutospacing="0" w:after="0" w:afterAutospacing="0" w:line="360" w:lineRule="auto"/>
        <w:ind w:firstLine="555"/>
        <w:jc w:val="both"/>
        <w:rPr>
          <w:sz w:val="21"/>
          <w:szCs w:val="21"/>
          <w:highlight w:val="none"/>
        </w:rPr>
      </w:pPr>
      <w:r>
        <w:rPr>
          <w:rFonts w:hint="eastAsia"/>
          <w:sz w:val="21"/>
          <w:szCs w:val="21"/>
          <w:highlight w:val="none"/>
        </w:rPr>
        <w:t>行    号：308521015186</w:t>
      </w:r>
    </w:p>
    <w:p>
      <w:pPr>
        <w:pStyle w:val="81"/>
        <w:snapToGrid w:val="0"/>
        <w:spacing w:before="0" w:beforeAutospacing="0" w:after="0" w:afterAutospacing="0" w:line="360" w:lineRule="auto"/>
        <w:ind w:firstLine="555"/>
        <w:jc w:val="both"/>
        <w:rPr>
          <w:sz w:val="21"/>
          <w:szCs w:val="21"/>
          <w:highlight w:val="none"/>
        </w:rPr>
      </w:pPr>
      <w:r>
        <w:rPr>
          <w:rFonts w:hint="eastAsia"/>
          <w:sz w:val="21"/>
          <w:szCs w:val="21"/>
          <w:highlight w:val="none"/>
        </w:rPr>
        <w:t>账    号：12790 54338 10603</w:t>
      </w:r>
    </w:p>
    <w:bookmarkEnd w:id="13"/>
    <w:p>
      <w:pPr>
        <w:pStyle w:val="81"/>
        <w:snapToGrid w:val="0"/>
        <w:spacing w:before="0" w:beforeAutospacing="0" w:after="0" w:afterAutospacing="0" w:line="360" w:lineRule="auto"/>
        <w:ind w:firstLine="370"/>
        <w:jc w:val="both"/>
        <w:rPr>
          <w:sz w:val="21"/>
          <w:szCs w:val="21"/>
          <w:highlight w:val="none"/>
        </w:rPr>
      </w:pPr>
      <w:r>
        <w:rPr>
          <w:rFonts w:hint="eastAsia"/>
          <w:b/>
          <w:bCs/>
          <w:sz w:val="21"/>
          <w:szCs w:val="21"/>
          <w:highlight w:val="none"/>
        </w:rPr>
        <w:t>七、对本次招标提出询问，请按以下方式联系</w:t>
      </w:r>
    </w:p>
    <w:p>
      <w:pPr>
        <w:widowControl/>
        <w:snapToGrid w:val="0"/>
        <w:spacing w:before="0" w:beforeAutospacing="0" w:after="0" w:afterAutospacing="0" w:line="360" w:lineRule="auto"/>
        <w:ind w:firstLine="555"/>
        <w:jc w:val="both"/>
        <w:rPr>
          <w:rFonts w:ascii="宋体" w:hAnsi="宋体" w:eastAsia="宋体" w:cs="Segoe UI"/>
          <w:color w:val="333333"/>
          <w:kern w:val="0"/>
          <w:sz w:val="21"/>
          <w:szCs w:val="21"/>
          <w:highlight w:val="none"/>
          <w:lang w:val="en-US" w:eastAsia="zh-CN" w:bidi="ar-SA"/>
        </w:rPr>
      </w:pPr>
      <w:r>
        <w:rPr>
          <w:rFonts w:hint="eastAsia" w:ascii="宋体" w:hAnsi="宋体" w:eastAsia="宋体" w:cs="Segoe UI"/>
          <w:color w:val="333333"/>
          <w:kern w:val="0"/>
          <w:sz w:val="21"/>
          <w:szCs w:val="21"/>
          <w:highlight w:val="none"/>
          <w:lang w:val="en-US" w:eastAsia="zh-CN" w:bidi="ar-SA"/>
        </w:rPr>
        <w:t>1.采购人信息</w:t>
      </w:r>
      <w:r>
        <w:rPr>
          <w:rFonts w:ascii="宋体" w:hAnsi="宋体" w:eastAsia="宋体" w:cs="Segoe UI"/>
          <w:color w:val="333333"/>
          <w:kern w:val="0"/>
          <w:sz w:val="21"/>
          <w:szCs w:val="21"/>
          <w:highlight w:val="none"/>
          <w:lang w:val="en-US" w:eastAsia="zh-CN" w:bidi="ar-SA"/>
        </w:rPr>
        <w:t xml:space="preserve"> </w:t>
      </w:r>
    </w:p>
    <w:p>
      <w:pPr>
        <w:widowControl/>
        <w:snapToGrid w:val="0"/>
        <w:spacing w:before="0" w:beforeAutospacing="0" w:after="0" w:afterAutospacing="0" w:line="360" w:lineRule="auto"/>
        <w:ind w:firstLine="555"/>
        <w:jc w:val="both"/>
        <w:rPr>
          <w:rFonts w:ascii="宋体" w:hAnsi="宋体" w:eastAsia="宋体" w:cs="Segoe UI"/>
          <w:color w:val="333333"/>
          <w:kern w:val="0"/>
          <w:sz w:val="21"/>
          <w:szCs w:val="21"/>
          <w:highlight w:val="none"/>
          <w:lang w:val="en-US" w:eastAsia="zh-CN" w:bidi="ar-SA"/>
        </w:rPr>
      </w:pPr>
      <w:r>
        <w:rPr>
          <w:rFonts w:hint="eastAsia" w:ascii="宋体" w:hAnsi="宋体" w:eastAsia="宋体" w:cs="Segoe UI"/>
          <w:color w:val="333333"/>
          <w:kern w:val="0"/>
          <w:sz w:val="21"/>
          <w:szCs w:val="21"/>
          <w:highlight w:val="none"/>
          <w:lang w:val="en-US" w:eastAsia="zh-CN" w:bidi="ar-SA"/>
        </w:rPr>
        <w:t>名</w:t>
      </w:r>
      <w:r>
        <w:rPr>
          <w:rFonts w:ascii="宋体" w:hAnsi="宋体" w:eastAsia="宋体" w:cs="Calibri"/>
          <w:color w:val="333333"/>
          <w:kern w:val="0"/>
          <w:sz w:val="21"/>
          <w:szCs w:val="21"/>
          <w:highlight w:val="none"/>
          <w:lang w:val="en-US" w:eastAsia="zh-CN" w:bidi="ar-SA"/>
        </w:rPr>
        <w:t>   </w:t>
      </w:r>
      <w:r>
        <w:rPr>
          <w:rFonts w:hint="eastAsia" w:ascii="宋体" w:hAnsi="宋体" w:eastAsia="宋体" w:cs="Segoe UI"/>
          <w:color w:val="333333"/>
          <w:kern w:val="0"/>
          <w:sz w:val="21"/>
          <w:szCs w:val="21"/>
          <w:highlight w:val="none"/>
          <w:lang w:val="en-US" w:eastAsia="zh-CN" w:bidi="ar-SA"/>
        </w:rPr>
        <w:t>称：</w:t>
      </w:r>
      <w:bookmarkStart w:id="14" w:name="OLE_LINK22"/>
      <w:bookmarkStart w:id="15" w:name="OLE_LINK24"/>
      <w:r>
        <w:rPr>
          <w:rFonts w:ascii="Times New Roman" w:hAnsi="Times New Roman" w:eastAsia="宋体" w:cs="Times New Roman"/>
          <w:color w:val="333333"/>
          <w:kern w:val="0"/>
          <w:sz w:val="21"/>
          <w:szCs w:val="21"/>
          <w:highlight w:val="none"/>
          <w:u w:val="single"/>
          <w:lang w:val="en-US" w:eastAsia="zh-CN" w:bidi="ar-SA"/>
        </w:rPr>
        <w:t>中南民族大学</w:t>
      </w:r>
      <w:bookmarkEnd w:id="14"/>
      <w:r>
        <w:rPr>
          <w:rFonts w:ascii="宋体" w:hAnsi="宋体" w:eastAsia="宋体" w:cs="Segoe UI"/>
          <w:color w:val="333333"/>
          <w:kern w:val="0"/>
          <w:sz w:val="21"/>
          <w:szCs w:val="21"/>
          <w:highlight w:val="none"/>
          <w:u w:val="single"/>
          <w:lang w:val="en-US" w:eastAsia="zh-CN" w:bidi="ar-SA"/>
        </w:rPr>
        <w:t xml:space="preserve"> </w:t>
      </w:r>
      <w:bookmarkEnd w:id="15"/>
    </w:p>
    <w:p>
      <w:pPr>
        <w:widowControl/>
        <w:snapToGrid w:val="0"/>
        <w:spacing w:before="0" w:beforeAutospacing="0" w:after="0" w:afterAutospacing="0" w:line="360" w:lineRule="auto"/>
        <w:ind w:firstLine="555"/>
        <w:jc w:val="both"/>
        <w:rPr>
          <w:rFonts w:ascii="宋体" w:hAnsi="宋体" w:eastAsia="宋体" w:cs="Segoe UI"/>
          <w:color w:val="333333"/>
          <w:kern w:val="0"/>
          <w:sz w:val="21"/>
          <w:szCs w:val="21"/>
          <w:highlight w:val="none"/>
          <w:lang w:val="en-US" w:eastAsia="zh-CN" w:bidi="ar-SA"/>
        </w:rPr>
      </w:pPr>
      <w:r>
        <w:rPr>
          <w:rFonts w:hint="eastAsia" w:ascii="宋体" w:hAnsi="宋体" w:eastAsia="宋体" w:cs="Segoe UI"/>
          <w:color w:val="333333"/>
          <w:kern w:val="0"/>
          <w:sz w:val="21"/>
          <w:szCs w:val="21"/>
          <w:highlight w:val="none"/>
          <w:lang w:val="en-US" w:eastAsia="zh-CN" w:bidi="ar-SA"/>
        </w:rPr>
        <w:t>地</w:t>
      </w:r>
      <w:r>
        <w:rPr>
          <w:rFonts w:ascii="宋体" w:hAnsi="宋体" w:eastAsia="宋体" w:cs="Calibri"/>
          <w:color w:val="333333"/>
          <w:kern w:val="0"/>
          <w:sz w:val="21"/>
          <w:szCs w:val="21"/>
          <w:highlight w:val="none"/>
          <w:lang w:val="en-US" w:eastAsia="zh-CN" w:bidi="ar-SA"/>
        </w:rPr>
        <w:t>   </w:t>
      </w:r>
      <w:r>
        <w:rPr>
          <w:rFonts w:hint="eastAsia" w:ascii="宋体" w:hAnsi="宋体" w:eastAsia="宋体" w:cs="Segoe UI"/>
          <w:color w:val="333333"/>
          <w:kern w:val="0"/>
          <w:sz w:val="21"/>
          <w:szCs w:val="21"/>
          <w:highlight w:val="none"/>
          <w:lang w:val="en-US" w:eastAsia="zh-CN" w:bidi="ar-SA"/>
        </w:rPr>
        <w:t>址：</w:t>
      </w:r>
      <w:r>
        <w:rPr>
          <w:rFonts w:hint="eastAsia" w:ascii="宋体" w:hAnsi="宋体" w:eastAsia="宋体" w:cs="Segoe UI"/>
          <w:color w:val="333333"/>
          <w:kern w:val="0"/>
          <w:sz w:val="21"/>
          <w:szCs w:val="21"/>
          <w:highlight w:val="none"/>
          <w:u w:val="single"/>
          <w:lang w:val="en-US" w:eastAsia="zh-CN" w:bidi="ar-SA"/>
        </w:rPr>
        <w:t>武汉市洪山区民族大道1</w:t>
      </w:r>
      <w:r>
        <w:rPr>
          <w:rFonts w:ascii="宋体" w:hAnsi="宋体" w:eastAsia="宋体" w:cs="Segoe UI"/>
          <w:color w:val="333333"/>
          <w:kern w:val="0"/>
          <w:sz w:val="21"/>
          <w:szCs w:val="21"/>
          <w:highlight w:val="none"/>
          <w:u w:val="single"/>
          <w:lang w:val="en-US" w:eastAsia="zh-CN" w:bidi="ar-SA"/>
        </w:rPr>
        <w:t>82</w:t>
      </w:r>
      <w:r>
        <w:rPr>
          <w:rFonts w:hint="eastAsia" w:ascii="宋体" w:hAnsi="宋体" w:eastAsia="宋体" w:cs="Segoe UI"/>
          <w:color w:val="333333"/>
          <w:kern w:val="0"/>
          <w:sz w:val="21"/>
          <w:szCs w:val="21"/>
          <w:highlight w:val="none"/>
          <w:u w:val="single"/>
          <w:lang w:val="en-US" w:eastAsia="zh-CN" w:bidi="ar-SA"/>
        </w:rPr>
        <w:t>号</w:t>
      </w:r>
    </w:p>
    <w:p>
      <w:pPr>
        <w:widowControl/>
        <w:snapToGrid w:val="0"/>
        <w:spacing w:before="0" w:beforeAutospacing="0" w:after="0" w:afterAutospacing="0" w:line="360" w:lineRule="auto"/>
        <w:ind w:firstLine="555"/>
        <w:jc w:val="both"/>
        <w:rPr>
          <w:rFonts w:ascii="宋体" w:hAnsi="宋体" w:eastAsia="宋体" w:cs="Segoe UI"/>
          <w:color w:val="333333"/>
          <w:kern w:val="0"/>
          <w:sz w:val="21"/>
          <w:szCs w:val="21"/>
          <w:highlight w:val="none"/>
          <w:lang w:val="en-US" w:eastAsia="zh-CN" w:bidi="ar-SA"/>
        </w:rPr>
      </w:pPr>
      <w:r>
        <w:rPr>
          <w:rFonts w:hint="eastAsia" w:ascii="宋体" w:hAnsi="宋体" w:eastAsia="宋体" w:cs="Segoe UI"/>
          <w:color w:val="333333"/>
          <w:kern w:val="0"/>
          <w:sz w:val="21"/>
          <w:szCs w:val="21"/>
          <w:highlight w:val="none"/>
          <w:lang w:val="en-US" w:eastAsia="zh-CN" w:bidi="ar-SA"/>
        </w:rPr>
        <w:t xml:space="preserve">联 </w:t>
      </w:r>
      <w:r>
        <w:rPr>
          <w:rFonts w:ascii="宋体" w:hAnsi="宋体" w:eastAsia="宋体" w:cs="Segoe UI"/>
          <w:color w:val="333333"/>
          <w:kern w:val="0"/>
          <w:sz w:val="21"/>
          <w:szCs w:val="21"/>
          <w:highlight w:val="none"/>
          <w:lang w:val="en-US" w:eastAsia="zh-CN" w:bidi="ar-SA"/>
        </w:rPr>
        <w:t xml:space="preserve"> </w:t>
      </w:r>
      <w:r>
        <w:rPr>
          <w:rFonts w:hint="eastAsia" w:ascii="宋体" w:hAnsi="宋体" w:eastAsia="宋体" w:cs="Segoe UI"/>
          <w:color w:val="333333"/>
          <w:kern w:val="0"/>
          <w:sz w:val="21"/>
          <w:szCs w:val="21"/>
          <w:highlight w:val="none"/>
          <w:lang w:val="en-US" w:eastAsia="zh-CN" w:bidi="ar-SA"/>
        </w:rPr>
        <w:t xml:space="preserve">系 </w:t>
      </w:r>
      <w:r>
        <w:rPr>
          <w:rFonts w:ascii="宋体" w:hAnsi="宋体" w:eastAsia="宋体" w:cs="Segoe UI"/>
          <w:color w:val="333333"/>
          <w:kern w:val="0"/>
          <w:sz w:val="21"/>
          <w:szCs w:val="21"/>
          <w:highlight w:val="none"/>
          <w:lang w:val="en-US" w:eastAsia="zh-CN" w:bidi="ar-SA"/>
        </w:rPr>
        <w:t xml:space="preserve"> </w:t>
      </w:r>
      <w:r>
        <w:rPr>
          <w:rFonts w:hint="eastAsia" w:ascii="宋体" w:hAnsi="宋体" w:eastAsia="宋体" w:cs="Segoe UI"/>
          <w:color w:val="333333"/>
          <w:kern w:val="0"/>
          <w:sz w:val="21"/>
          <w:szCs w:val="21"/>
          <w:highlight w:val="none"/>
          <w:lang w:val="en-US" w:eastAsia="zh-CN" w:bidi="ar-SA"/>
        </w:rPr>
        <w:t>人：</w:t>
      </w:r>
      <w:r>
        <w:rPr>
          <w:rFonts w:hint="eastAsia" w:ascii="宋体" w:hAnsi="宋体" w:eastAsia="宋体" w:cs="Segoe UI"/>
          <w:color w:val="333333"/>
          <w:kern w:val="0"/>
          <w:sz w:val="21"/>
          <w:szCs w:val="21"/>
          <w:highlight w:val="none"/>
          <w:u w:val="single"/>
          <w:lang w:val="en-US" w:eastAsia="zh-CN" w:bidi="ar-SA"/>
        </w:rPr>
        <w:t>朱老师</w:t>
      </w:r>
      <w:r>
        <w:rPr>
          <w:rFonts w:ascii="宋体" w:hAnsi="宋体" w:eastAsia="宋体" w:cs="Segoe UI"/>
          <w:color w:val="333333"/>
          <w:kern w:val="0"/>
          <w:sz w:val="21"/>
          <w:szCs w:val="21"/>
          <w:highlight w:val="none"/>
          <w:lang w:val="en-US" w:eastAsia="zh-CN" w:bidi="ar-SA"/>
        </w:rPr>
        <w:t xml:space="preserve"> </w:t>
      </w:r>
    </w:p>
    <w:p>
      <w:pPr>
        <w:widowControl/>
        <w:snapToGrid w:val="0"/>
        <w:spacing w:before="0" w:beforeAutospacing="0" w:after="0" w:afterAutospacing="0" w:line="360" w:lineRule="auto"/>
        <w:ind w:firstLine="555"/>
        <w:jc w:val="both"/>
        <w:rPr>
          <w:rFonts w:hint="default" w:ascii="宋体" w:hAnsi="宋体" w:eastAsia="宋体" w:cs="Segoe UI"/>
          <w:color w:val="333333"/>
          <w:kern w:val="0"/>
          <w:sz w:val="21"/>
          <w:szCs w:val="21"/>
          <w:highlight w:val="none"/>
          <w:lang w:val="en-US" w:eastAsia="zh-CN" w:bidi="ar-SA"/>
        </w:rPr>
      </w:pPr>
      <w:r>
        <w:rPr>
          <w:rFonts w:hint="eastAsia" w:ascii="宋体" w:hAnsi="宋体" w:eastAsia="宋体" w:cs="Segoe UI"/>
          <w:color w:val="333333"/>
          <w:kern w:val="0"/>
          <w:sz w:val="21"/>
          <w:szCs w:val="21"/>
          <w:highlight w:val="none"/>
          <w:lang w:val="en-US" w:eastAsia="zh-CN" w:bidi="ar-SA"/>
        </w:rPr>
        <w:t>联系方式：</w:t>
      </w:r>
      <w:r>
        <w:rPr>
          <w:rFonts w:hint="eastAsia" w:ascii="宋体" w:hAnsi="宋体" w:eastAsia="宋体" w:cs="Segoe UI"/>
          <w:color w:val="333333"/>
          <w:kern w:val="0"/>
          <w:sz w:val="21"/>
          <w:szCs w:val="21"/>
          <w:highlight w:val="none"/>
          <w:u w:val="single"/>
          <w:lang w:val="en-US" w:eastAsia="zh-CN" w:bidi="ar-SA"/>
        </w:rPr>
        <w:t>0</w:t>
      </w:r>
      <w:r>
        <w:rPr>
          <w:rFonts w:ascii="宋体" w:hAnsi="宋体" w:eastAsia="宋体" w:cs="Segoe UI"/>
          <w:color w:val="333333"/>
          <w:kern w:val="0"/>
          <w:sz w:val="21"/>
          <w:szCs w:val="21"/>
          <w:highlight w:val="none"/>
          <w:u w:val="single"/>
          <w:lang w:val="en-US" w:eastAsia="zh-CN" w:bidi="ar-SA"/>
        </w:rPr>
        <w:t>27</w:t>
      </w:r>
      <w:r>
        <w:rPr>
          <w:rFonts w:hint="eastAsia" w:ascii="宋体" w:hAnsi="宋体" w:eastAsia="宋体" w:cs="Segoe UI"/>
          <w:color w:val="333333"/>
          <w:kern w:val="0"/>
          <w:sz w:val="21"/>
          <w:szCs w:val="21"/>
          <w:highlight w:val="none"/>
          <w:u w:val="single"/>
          <w:lang w:val="en-US" w:eastAsia="zh-CN" w:bidi="ar-SA"/>
        </w:rPr>
        <w:t>-</w:t>
      </w:r>
      <w:r>
        <w:rPr>
          <w:rFonts w:ascii="宋体" w:hAnsi="宋体" w:eastAsia="宋体" w:cs="Segoe UI"/>
          <w:color w:val="333333"/>
          <w:kern w:val="0"/>
          <w:sz w:val="21"/>
          <w:szCs w:val="21"/>
          <w:highlight w:val="none"/>
          <w:u w:val="single"/>
          <w:lang w:val="en-US" w:eastAsia="zh-CN" w:bidi="ar-SA"/>
        </w:rPr>
        <w:t>6784</w:t>
      </w:r>
      <w:r>
        <w:rPr>
          <w:rFonts w:hint="eastAsia" w:ascii="宋体" w:hAnsi="宋体" w:eastAsia="宋体" w:cs="Segoe UI"/>
          <w:color w:val="333333"/>
          <w:kern w:val="0"/>
          <w:sz w:val="21"/>
          <w:szCs w:val="21"/>
          <w:highlight w:val="none"/>
          <w:u w:val="single"/>
          <w:lang w:val="en-US" w:eastAsia="zh-CN" w:bidi="ar-SA"/>
        </w:rPr>
        <w:t>3832</w:t>
      </w:r>
    </w:p>
    <w:p>
      <w:pPr>
        <w:widowControl/>
        <w:snapToGrid w:val="0"/>
        <w:spacing w:before="0" w:beforeAutospacing="0" w:after="0" w:afterAutospacing="0" w:line="360" w:lineRule="auto"/>
        <w:ind w:firstLine="555"/>
        <w:jc w:val="both"/>
        <w:rPr>
          <w:rFonts w:ascii="宋体" w:hAnsi="宋体" w:eastAsia="宋体" w:cs="Segoe UI"/>
          <w:color w:val="333333"/>
          <w:kern w:val="0"/>
          <w:sz w:val="21"/>
          <w:szCs w:val="21"/>
          <w:highlight w:val="none"/>
          <w:lang w:val="en-US" w:eastAsia="zh-CN" w:bidi="ar-SA"/>
        </w:rPr>
      </w:pPr>
      <w:r>
        <w:rPr>
          <w:rFonts w:hint="eastAsia" w:ascii="宋体" w:hAnsi="宋体" w:eastAsia="宋体" w:cs="Segoe UI"/>
          <w:color w:val="333333"/>
          <w:kern w:val="0"/>
          <w:sz w:val="21"/>
          <w:szCs w:val="21"/>
          <w:highlight w:val="none"/>
          <w:lang w:val="en-US" w:eastAsia="zh-CN" w:bidi="ar-SA"/>
        </w:rPr>
        <w:t>2.采购代理机构信息</w:t>
      </w:r>
      <w:r>
        <w:rPr>
          <w:rFonts w:ascii="宋体" w:hAnsi="宋体" w:eastAsia="宋体" w:cs="Segoe UI"/>
          <w:color w:val="333333"/>
          <w:kern w:val="0"/>
          <w:sz w:val="21"/>
          <w:szCs w:val="21"/>
          <w:highlight w:val="none"/>
          <w:lang w:val="en-US" w:eastAsia="zh-CN" w:bidi="ar-SA"/>
        </w:rPr>
        <w:t xml:space="preserve"> </w:t>
      </w:r>
    </w:p>
    <w:p>
      <w:pPr>
        <w:widowControl/>
        <w:snapToGrid w:val="0"/>
        <w:spacing w:before="0" w:beforeAutospacing="0" w:after="0" w:afterAutospacing="0" w:line="360" w:lineRule="auto"/>
        <w:ind w:firstLine="555"/>
        <w:jc w:val="both"/>
        <w:rPr>
          <w:rFonts w:ascii="宋体" w:hAnsi="宋体" w:eastAsia="宋体" w:cs="Segoe UI"/>
          <w:color w:val="333333"/>
          <w:kern w:val="0"/>
          <w:sz w:val="21"/>
          <w:szCs w:val="21"/>
          <w:highlight w:val="none"/>
          <w:lang w:val="en-US" w:eastAsia="zh-CN" w:bidi="ar-SA"/>
        </w:rPr>
      </w:pPr>
      <w:r>
        <w:rPr>
          <w:rFonts w:hint="eastAsia" w:ascii="宋体" w:hAnsi="宋体" w:eastAsia="宋体" w:cs="Segoe UI"/>
          <w:color w:val="333333"/>
          <w:kern w:val="0"/>
          <w:sz w:val="21"/>
          <w:szCs w:val="21"/>
          <w:highlight w:val="none"/>
          <w:lang w:val="en-US" w:eastAsia="zh-CN" w:bidi="ar-SA"/>
        </w:rPr>
        <w:t>名</w:t>
      </w:r>
      <w:r>
        <w:rPr>
          <w:rFonts w:ascii="宋体" w:hAnsi="宋体" w:eastAsia="宋体" w:cs="Calibri"/>
          <w:color w:val="333333"/>
          <w:kern w:val="0"/>
          <w:sz w:val="21"/>
          <w:szCs w:val="21"/>
          <w:highlight w:val="none"/>
          <w:lang w:val="en-US" w:eastAsia="zh-CN" w:bidi="ar-SA"/>
        </w:rPr>
        <w:t>   </w:t>
      </w:r>
      <w:r>
        <w:rPr>
          <w:rFonts w:hint="eastAsia" w:ascii="宋体" w:hAnsi="宋体" w:eastAsia="宋体" w:cs="Segoe UI"/>
          <w:color w:val="333333"/>
          <w:kern w:val="0"/>
          <w:sz w:val="21"/>
          <w:szCs w:val="21"/>
          <w:highlight w:val="none"/>
          <w:lang w:val="en-US" w:eastAsia="zh-CN" w:bidi="ar-SA"/>
        </w:rPr>
        <w:t>称：</w:t>
      </w:r>
      <w:r>
        <w:rPr>
          <w:rFonts w:hint="eastAsia" w:ascii="宋体" w:hAnsi="宋体" w:eastAsia="宋体" w:cs="Segoe UI"/>
          <w:color w:val="333333"/>
          <w:kern w:val="0"/>
          <w:sz w:val="21"/>
          <w:szCs w:val="21"/>
          <w:highlight w:val="none"/>
          <w:u w:val="single"/>
          <w:lang w:val="en-US" w:eastAsia="zh-CN" w:bidi="ar-SA"/>
        </w:rPr>
        <w:t>湖北省招标股份有限公司</w:t>
      </w:r>
      <w:r>
        <w:rPr>
          <w:rFonts w:ascii="宋体" w:hAnsi="宋体" w:eastAsia="宋体" w:cs="Segoe UI"/>
          <w:color w:val="333333"/>
          <w:kern w:val="0"/>
          <w:sz w:val="21"/>
          <w:szCs w:val="21"/>
          <w:highlight w:val="none"/>
          <w:lang w:val="en-US" w:eastAsia="zh-CN" w:bidi="ar-SA"/>
        </w:rPr>
        <w:t xml:space="preserve"> </w:t>
      </w:r>
    </w:p>
    <w:p>
      <w:pPr>
        <w:widowControl/>
        <w:snapToGrid w:val="0"/>
        <w:spacing w:before="0" w:beforeAutospacing="0" w:after="0" w:afterAutospacing="0" w:line="360" w:lineRule="auto"/>
        <w:ind w:firstLine="555"/>
        <w:jc w:val="both"/>
        <w:rPr>
          <w:rFonts w:ascii="宋体" w:hAnsi="宋体" w:eastAsia="宋体" w:cs="Segoe UI"/>
          <w:color w:val="333333"/>
          <w:kern w:val="0"/>
          <w:sz w:val="21"/>
          <w:szCs w:val="21"/>
          <w:highlight w:val="none"/>
          <w:lang w:val="en-US" w:eastAsia="zh-CN" w:bidi="ar-SA"/>
        </w:rPr>
      </w:pPr>
      <w:r>
        <w:rPr>
          <w:rFonts w:hint="eastAsia" w:ascii="宋体" w:hAnsi="宋体" w:eastAsia="宋体" w:cs="Segoe UI"/>
          <w:color w:val="333333"/>
          <w:kern w:val="0"/>
          <w:sz w:val="21"/>
          <w:szCs w:val="21"/>
          <w:highlight w:val="none"/>
          <w:lang w:val="en-US" w:eastAsia="zh-CN" w:bidi="ar-SA"/>
        </w:rPr>
        <w:t>地</w:t>
      </w:r>
      <w:r>
        <w:rPr>
          <w:rFonts w:ascii="宋体" w:hAnsi="宋体" w:eastAsia="宋体" w:cs="Calibri"/>
          <w:color w:val="333333"/>
          <w:kern w:val="0"/>
          <w:sz w:val="21"/>
          <w:szCs w:val="21"/>
          <w:highlight w:val="none"/>
          <w:lang w:val="en-US" w:eastAsia="zh-CN" w:bidi="ar-SA"/>
        </w:rPr>
        <w:t>   </w:t>
      </w:r>
      <w:r>
        <w:rPr>
          <w:rFonts w:hint="eastAsia" w:ascii="宋体" w:hAnsi="宋体" w:eastAsia="宋体" w:cs="Segoe UI"/>
          <w:color w:val="333333"/>
          <w:kern w:val="0"/>
          <w:sz w:val="21"/>
          <w:szCs w:val="21"/>
          <w:highlight w:val="none"/>
          <w:lang w:val="en-US" w:eastAsia="zh-CN" w:bidi="ar-SA"/>
        </w:rPr>
        <w:t>址：</w:t>
      </w:r>
      <w:bookmarkStart w:id="16" w:name="OLE_LINK46"/>
      <w:r>
        <w:rPr>
          <w:rFonts w:hint="eastAsia" w:ascii="宋体" w:hAnsi="宋体" w:eastAsia="宋体" w:cs="Segoe UI"/>
          <w:color w:val="333333"/>
          <w:kern w:val="0"/>
          <w:sz w:val="21"/>
          <w:szCs w:val="21"/>
          <w:highlight w:val="none"/>
          <w:u w:val="single"/>
          <w:lang w:val="en-US" w:eastAsia="zh-CN" w:bidi="ar-SA"/>
        </w:rPr>
        <w:t>武汉市武昌区中北路108号兴业银行大厦五层</w:t>
      </w:r>
      <w:bookmarkEnd w:id="16"/>
      <w:r>
        <w:rPr>
          <w:rFonts w:ascii="宋体" w:hAnsi="宋体" w:eastAsia="宋体" w:cs="Segoe UI"/>
          <w:color w:val="333333"/>
          <w:kern w:val="0"/>
          <w:sz w:val="21"/>
          <w:szCs w:val="21"/>
          <w:highlight w:val="none"/>
          <w:lang w:val="en-US" w:eastAsia="zh-CN" w:bidi="ar-SA"/>
        </w:rPr>
        <w:t xml:space="preserve"> </w:t>
      </w:r>
    </w:p>
    <w:p>
      <w:pPr>
        <w:widowControl/>
        <w:snapToGrid w:val="0"/>
        <w:spacing w:before="0" w:beforeAutospacing="0" w:after="0" w:afterAutospacing="0" w:line="360" w:lineRule="auto"/>
        <w:ind w:firstLine="555"/>
        <w:jc w:val="both"/>
        <w:rPr>
          <w:rFonts w:hint="default" w:ascii="宋体" w:hAnsi="宋体" w:eastAsia="宋体" w:cs="Segoe UI"/>
          <w:color w:val="333333"/>
          <w:kern w:val="0"/>
          <w:sz w:val="21"/>
          <w:szCs w:val="21"/>
          <w:highlight w:val="none"/>
          <w:lang w:val="en-US" w:eastAsia="zh-CN" w:bidi="ar-SA"/>
        </w:rPr>
      </w:pPr>
      <w:r>
        <w:rPr>
          <w:rFonts w:hint="eastAsia" w:ascii="宋体" w:hAnsi="宋体" w:eastAsia="宋体" w:cs="Segoe UI"/>
          <w:color w:val="333333"/>
          <w:kern w:val="0"/>
          <w:sz w:val="21"/>
          <w:szCs w:val="21"/>
          <w:highlight w:val="none"/>
          <w:lang w:val="en-US" w:eastAsia="zh-CN" w:bidi="ar-SA"/>
        </w:rPr>
        <w:t>联系方式：027-87716883</w:t>
      </w:r>
      <w:bookmarkStart w:id="17" w:name="OLE_LINK17"/>
      <w:r>
        <w:rPr>
          <w:rFonts w:hint="eastAsia" w:ascii="宋体" w:hAnsi="宋体" w:eastAsia="宋体" w:cs="Segoe UI"/>
          <w:color w:val="333333"/>
          <w:kern w:val="0"/>
          <w:sz w:val="21"/>
          <w:szCs w:val="21"/>
          <w:highlight w:val="none"/>
          <w:lang w:val="en-US" w:eastAsia="zh-CN" w:bidi="ar-SA"/>
        </w:rPr>
        <w:t>、18271808077</w:t>
      </w:r>
      <w:bookmarkEnd w:id="17"/>
    </w:p>
    <w:p>
      <w:pPr>
        <w:widowControl/>
        <w:snapToGrid w:val="0"/>
        <w:spacing w:before="0" w:beforeAutospacing="0" w:after="0" w:afterAutospacing="0" w:line="360" w:lineRule="auto"/>
        <w:ind w:firstLine="555"/>
        <w:jc w:val="both"/>
        <w:rPr>
          <w:rFonts w:ascii="宋体" w:hAnsi="宋体" w:eastAsia="宋体" w:cs="Segoe UI"/>
          <w:color w:val="333333"/>
          <w:kern w:val="0"/>
          <w:sz w:val="21"/>
          <w:szCs w:val="21"/>
          <w:highlight w:val="none"/>
          <w:lang w:val="en-US" w:eastAsia="zh-CN" w:bidi="ar-SA"/>
        </w:rPr>
      </w:pPr>
      <w:r>
        <w:rPr>
          <w:rFonts w:hint="eastAsia" w:ascii="宋体" w:hAnsi="宋体" w:eastAsia="宋体" w:cs="Segoe UI"/>
          <w:color w:val="333333"/>
          <w:kern w:val="0"/>
          <w:sz w:val="21"/>
          <w:szCs w:val="21"/>
          <w:highlight w:val="none"/>
          <w:lang w:val="en-US" w:eastAsia="zh-CN" w:bidi="ar-SA"/>
        </w:rPr>
        <w:t xml:space="preserve">3.项目联系方式 </w:t>
      </w:r>
    </w:p>
    <w:p>
      <w:pPr>
        <w:widowControl/>
        <w:snapToGrid w:val="0"/>
        <w:spacing w:before="0" w:beforeAutospacing="0" w:after="0" w:afterAutospacing="0" w:line="360" w:lineRule="auto"/>
        <w:ind w:firstLine="555"/>
        <w:jc w:val="both"/>
        <w:rPr>
          <w:rFonts w:ascii="宋体" w:hAnsi="宋体" w:eastAsia="宋体" w:cs="Segoe UI"/>
          <w:color w:val="333333"/>
          <w:kern w:val="0"/>
          <w:sz w:val="21"/>
          <w:szCs w:val="21"/>
          <w:highlight w:val="none"/>
          <w:lang w:val="en-US" w:eastAsia="zh-CN" w:bidi="ar-SA"/>
        </w:rPr>
      </w:pPr>
      <w:r>
        <w:rPr>
          <w:rFonts w:hint="eastAsia" w:ascii="宋体" w:hAnsi="宋体" w:eastAsia="宋体" w:cs="Segoe UI"/>
          <w:color w:val="333333"/>
          <w:kern w:val="0"/>
          <w:sz w:val="21"/>
          <w:szCs w:val="21"/>
          <w:highlight w:val="none"/>
          <w:lang w:val="en-US" w:eastAsia="zh-CN" w:bidi="ar-SA"/>
        </w:rPr>
        <w:t>项目联系人：</w:t>
      </w:r>
      <w:bookmarkStart w:id="18" w:name="OLE_LINK28"/>
      <w:r>
        <w:rPr>
          <w:rFonts w:hint="eastAsia" w:ascii="宋体" w:hAnsi="宋体" w:eastAsia="宋体" w:cs="Segoe UI"/>
          <w:color w:val="333333"/>
          <w:kern w:val="0"/>
          <w:sz w:val="21"/>
          <w:szCs w:val="21"/>
          <w:highlight w:val="none"/>
          <w:lang w:val="en-US" w:eastAsia="zh-CN" w:bidi="ar-SA"/>
        </w:rPr>
        <w:t>李彦豪、</w:t>
      </w:r>
      <w:r>
        <w:rPr>
          <w:rFonts w:hint="eastAsia" w:ascii="宋体" w:hAnsi="宋体" w:eastAsia="宋体" w:cs="Segoe UI"/>
          <w:kern w:val="0"/>
          <w:sz w:val="21"/>
          <w:szCs w:val="21"/>
          <w:highlight w:val="none"/>
          <w:lang w:val="en-US" w:eastAsia="zh-CN" w:bidi="ar-SA"/>
        </w:rPr>
        <w:t>陈芳铭、田翠</w:t>
      </w:r>
      <w:r>
        <w:rPr>
          <w:rFonts w:hint="eastAsia" w:ascii="宋体" w:hAnsi="宋体" w:eastAsia="宋体" w:cs="Segoe UI"/>
          <w:color w:val="333333"/>
          <w:kern w:val="0"/>
          <w:sz w:val="21"/>
          <w:szCs w:val="21"/>
          <w:highlight w:val="none"/>
          <w:lang w:val="en-US" w:eastAsia="zh-CN" w:bidi="ar-SA"/>
        </w:rPr>
        <w:t xml:space="preserve"> </w:t>
      </w:r>
      <w:bookmarkEnd w:id="18"/>
    </w:p>
    <w:p>
      <w:pPr>
        <w:widowControl/>
        <w:snapToGrid w:val="0"/>
        <w:spacing w:before="0" w:beforeAutospacing="0" w:after="0" w:afterAutospacing="0" w:line="360" w:lineRule="auto"/>
        <w:ind w:firstLine="555"/>
        <w:jc w:val="both"/>
        <w:rPr>
          <w:rFonts w:hint="eastAsia" w:ascii="宋体" w:hAnsi="宋体" w:eastAsia="宋体" w:cs="Segoe UI"/>
          <w:color w:val="333333"/>
          <w:kern w:val="0"/>
          <w:sz w:val="21"/>
          <w:szCs w:val="21"/>
          <w:highlight w:val="none"/>
          <w:lang w:val="en-US" w:eastAsia="zh-CN" w:bidi="ar-SA"/>
        </w:rPr>
      </w:pPr>
      <w:r>
        <w:rPr>
          <w:rFonts w:hint="eastAsia" w:ascii="宋体" w:hAnsi="宋体" w:eastAsia="宋体" w:cs="Segoe UI"/>
          <w:color w:val="333333"/>
          <w:kern w:val="0"/>
          <w:sz w:val="21"/>
          <w:szCs w:val="21"/>
          <w:highlight w:val="none"/>
          <w:lang w:val="en-US" w:eastAsia="zh-CN" w:bidi="ar-SA"/>
        </w:rPr>
        <w:t>电   话：</w:t>
      </w:r>
      <w:bookmarkStart w:id="19" w:name="OLE_LINK29"/>
      <w:r>
        <w:rPr>
          <w:rFonts w:hint="eastAsia" w:ascii="宋体" w:hAnsi="宋体" w:eastAsia="宋体" w:cs="Segoe UI"/>
          <w:color w:val="333333"/>
          <w:kern w:val="0"/>
          <w:sz w:val="21"/>
          <w:szCs w:val="21"/>
          <w:highlight w:val="none"/>
          <w:lang w:val="en-US" w:eastAsia="zh-CN" w:bidi="ar-SA"/>
        </w:rPr>
        <w:t>027-87716883</w:t>
      </w:r>
      <w:bookmarkEnd w:id="19"/>
      <w:r>
        <w:rPr>
          <w:rFonts w:hint="eastAsia" w:ascii="宋体" w:hAnsi="宋体" w:eastAsia="宋体" w:cs="Segoe UI"/>
          <w:color w:val="333333"/>
          <w:kern w:val="0"/>
          <w:sz w:val="21"/>
          <w:szCs w:val="21"/>
          <w:highlight w:val="none"/>
          <w:lang w:val="en-US" w:eastAsia="zh-CN" w:bidi="ar-SA"/>
        </w:rPr>
        <w:t>、18271808077</w:t>
      </w:r>
    </w:p>
    <w:p>
      <w:pPr>
        <w:pStyle w:val="81"/>
        <w:snapToGrid w:val="0"/>
        <w:spacing w:before="0" w:beforeAutospacing="0" w:after="0" w:afterAutospacing="0" w:line="360" w:lineRule="auto"/>
        <w:ind w:firstLine="370"/>
        <w:jc w:val="both"/>
        <w:rPr>
          <w:rFonts w:hint="eastAsia"/>
          <w:sz w:val="21"/>
          <w:szCs w:val="21"/>
          <w:highlight w:val="none"/>
          <w:u w:val="single"/>
        </w:rPr>
      </w:pPr>
    </w:p>
    <w:p>
      <w:pPr>
        <w:widowControl/>
        <w:snapToGrid w:val="0"/>
        <w:spacing w:line="360" w:lineRule="auto"/>
        <w:jc w:val="right"/>
        <w:rPr>
          <w:rFonts w:ascii="宋体" w:hAnsi="宋体" w:cs="宋体"/>
          <w:szCs w:val="21"/>
          <w:highlight w:val="none"/>
        </w:rPr>
      </w:pPr>
      <w:r>
        <w:rPr>
          <w:rFonts w:hint="eastAsia" w:ascii="宋体" w:hAnsi="宋体" w:cs="宋体"/>
          <w:kern w:val="0"/>
          <w:szCs w:val="21"/>
          <w:highlight w:val="none"/>
        </w:rPr>
        <w:t> </w:t>
      </w:r>
    </w:p>
    <w:p>
      <w:pPr>
        <w:snapToGrid w:val="0"/>
        <w:spacing w:line="360" w:lineRule="auto"/>
        <w:jc w:val="right"/>
        <w:rPr>
          <w:rFonts w:ascii="宋体" w:hAnsi="宋体" w:cs="宋体"/>
          <w:b/>
          <w:kern w:val="0"/>
          <w:szCs w:val="21"/>
          <w:highlight w:val="none"/>
        </w:rPr>
      </w:pPr>
      <w:r>
        <w:rPr>
          <w:rFonts w:hint="eastAsia" w:ascii="宋体" w:hAnsi="宋体" w:cs="宋体"/>
          <w:kern w:val="0"/>
          <w:szCs w:val="21"/>
          <w:highlight w:val="none"/>
        </w:rPr>
        <w:t> </w:t>
      </w:r>
      <w:r>
        <w:rPr>
          <w:rFonts w:hint="eastAsia" w:ascii="宋体" w:hAnsi="宋体" w:cs="宋体"/>
          <w:b/>
          <w:kern w:val="0"/>
          <w:szCs w:val="21"/>
          <w:highlight w:val="none"/>
        </w:rPr>
        <w:t>湖北省招标股份有限公司</w:t>
      </w:r>
    </w:p>
    <w:p>
      <w:pPr>
        <w:snapToGrid w:val="0"/>
        <w:spacing w:line="360" w:lineRule="auto"/>
        <w:jc w:val="right"/>
        <w:rPr>
          <w:rFonts w:ascii="宋体" w:hAnsi="宋体" w:cs="宋体"/>
          <w:color w:val="0000FF"/>
          <w:highlight w:val="none"/>
        </w:rPr>
      </w:pPr>
      <w:r>
        <w:rPr>
          <w:rFonts w:hint="eastAsia" w:ascii="宋体" w:hAnsi="宋体" w:cs="宋体"/>
          <w:b/>
          <w:kern w:val="0"/>
          <w:szCs w:val="21"/>
          <w:highlight w:val="none"/>
        </w:rPr>
        <w:t>202</w:t>
      </w:r>
      <w:r>
        <w:rPr>
          <w:rFonts w:hint="eastAsia" w:ascii="宋体" w:hAnsi="宋体" w:cs="宋体"/>
          <w:b/>
          <w:kern w:val="0"/>
          <w:szCs w:val="21"/>
          <w:highlight w:val="none"/>
          <w:lang w:val="en-US" w:eastAsia="zh-CN"/>
        </w:rPr>
        <w:t>6</w:t>
      </w:r>
      <w:r>
        <w:rPr>
          <w:rFonts w:hint="eastAsia" w:ascii="宋体" w:hAnsi="宋体" w:cs="宋体"/>
          <w:b/>
          <w:kern w:val="0"/>
          <w:szCs w:val="21"/>
          <w:highlight w:val="none"/>
        </w:rPr>
        <w:t>年</w:t>
      </w:r>
      <w:r>
        <w:rPr>
          <w:rFonts w:hint="eastAsia" w:ascii="宋体" w:hAnsi="宋体" w:cs="宋体"/>
          <w:b/>
          <w:kern w:val="0"/>
          <w:szCs w:val="21"/>
          <w:highlight w:val="none"/>
          <w:lang w:val="en-US" w:eastAsia="zh-CN"/>
        </w:rPr>
        <w:t>07</w:t>
      </w:r>
      <w:r>
        <w:rPr>
          <w:rFonts w:hint="eastAsia" w:ascii="宋体" w:hAnsi="宋体" w:cs="宋体"/>
          <w:b/>
          <w:kern w:val="0"/>
          <w:szCs w:val="21"/>
          <w:highlight w:val="none"/>
        </w:rPr>
        <w:t>月</w:t>
      </w:r>
      <w:r>
        <w:rPr>
          <w:rFonts w:hint="eastAsia" w:ascii="宋体" w:hAnsi="宋体" w:cs="宋体"/>
          <w:b/>
          <w:kern w:val="0"/>
          <w:szCs w:val="21"/>
          <w:highlight w:val="none"/>
          <w:lang w:val="en-US" w:eastAsia="zh-CN"/>
        </w:rPr>
        <w:t>01</w:t>
      </w:r>
      <w:r>
        <w:rPr>
          <w:rFonts w:hint="eastAsia" w:ascii="宋体" w:hAnsi="宋体" w:cs="宋体"/>
          <w:b/>
          <w:kern w:val="0"/>
          <w:szCs w:val="21"/>
          <w:highlight w:val="none"/>
        </w:rPr>
        <w:t>日</w:t>
      </w:r>
      <w:bookmarkEnd w:id="1"/>
      <w:r>
        <w:rPr>
          <w:rFonts w:hint="eastAsia" w:ascii="宋体" w:hAnsi="宋体" w:cs="宋体"/>
          <w:b/>
          <w:color w:val="0000FF"/>
          <w:kern w:val="0"/>
          <w:sz w:val="24"/>
          <w:highlight w:val="none"/>
        </w:rPr>
        <w:br w:type="page"/>
      </w:r>
    </w:p>
    <w:p>
      <w:pPr>
        <w:pStyle w:val="4"/>
        <w:numPr>
          <w:ilvl w:val="0"/>
          <w:numId w:val="3"/>
        </w:numPr>
        <w:spacing w:before="120" w:after="120" w:line="300" w:lineRule="auto"/>
        <w:rPr>
          <w:rFonts w:hAnsi="宋体" w:cs="宋体"/>
          <w:sz w:val="32"/>
          <w:szCs w:val="32"/>
          <w:highlight w:val="none"/>
        </w:rPr>
      </w:pPr>
      <w:bookmarkStart w:id="20" w:name="_Toc27188"/>
      <w:r>
        <w:rPr>
          <w:rFonts w:hint="eastAsia" w:hAnsi="宋体" w:cs="宋体"/>
          <w:sz w:val="32"/>
          <w:szCs w:val="32"/>
          <w:highlight w:val="none"/>
        </w:rPr>
        <w:t>投标人须知</w:t>
      </w:r>
      <w:bookmarkEnd w:id="20"/>
    </w:p>
    <w:p>
      <w:pPr>
        <w:pStyle w:val="2"/>
        <w:snapToGrid w:val="0"/>
        <w:spacing w:before="0" w:after="0" w:line="360" w:lineRule="auto"/>
        <w:jc w:val="center"/>
        <w:rPr>
          <w:rFonts w:ascii="宋体" w:hAnsi="宋体" w:eastAsia="宋体" w:cs="宋体"/>
          <w:b w:val="0"/>
          <w:highlight w:val="none"/>
        </w:rPr>
      </w:pPr>
      <w:bookmarkStart w:id="21" w:name="_Toc46332774"/>
      <w:bookmarkStart w:id="22" w:name="_Toc141611042"/>
      <w:bookmarkStart w:id="23" w:name="_Toc37569474"/>
      <w:bookmarkStart w:id="24" w:name="_Toc69087134"/>
      <w:bookmarkStart w:id="25" w:name="_Toc14963"/>
      <w:bookmarkStart w:id="26" w:name="_Toc85864513"/>
      <w:bookmarkStart w:id="27" w:name="_Toc43915610"/>
      <w:bookmarkStart w:id="28" w:name="_Toc22284338"/>
      <w:bookmarkStart w:id="29" w:name="_Toc430813236"/>
      <w:bookmarkStart w:id="30" w:name="_Toc432367319"/>
      <w:r>
        <w:rPr>
          <w:rFonts w:hint="eastAsia" w:ascii="宋体" w:hAnsi="宋体" w:eastAsia="宋体" w:cs="宋体"/>
          <w:b w:val="0"/>
          <w:highlight w:val="none"/>
        </w:rPr>
        <w:t>投标人须知前附表</w:t>
      </w:r>
      <w:bookmarkEnd w:id="21"/>
      <w:bookmarkEnd w:id="22"/>
      <w:bookmarkEnd w:id="23"/>
      <w:bookmarkEnd w:id="24"/>
      <w:bookmarkEnd w:id="25"/>
      <w:bookmarkEnd w:id="26"/>
      <w:bookmarkEnd w:id="27"/>
      <w:bookmarkEnd w:id="28"/>
      <w:bookmarkEnd w:id="29"/>
      <w:bookmarkEnd w:id="30"/>
    </w:p>
    <w:p>
      <w:pPr>
        <w:autoSpaceDE w:val="0"/>
        <w:autoSpaceDN w:val="0"/>
        <w:adjustRightInd w:val="0"/>
        <w:snapToGrid w:val="0"/>
        <w:spacing w:line="360" w:lineRule="auto"/>
        <w:ind w:firstLine="420" w:firstLineChars="200"/>
        <w:rPr>
          <w:rFonts w:ascii="宋体" w:hAnsi="宋体" w:cs="宋体"/>
          <w:szCs w:val="21"/>
          <w:highlight w:val="none"/>
          <w:lang w:val="zh-CN"/>
        </w:rPr>
      </w:pPr>
      <w:r>
        <w:rPr>
          <w:rFonts w:hint="eastAsia" w:ascii="宋体" w:hAnsi="宋体" w:cs="宋体"/>
          <w:szCs w:val="21"/>
          <w:highlight w:val="none"/>
        </w:rPr>
        <w:t>投标人应仔细阅读本招标文件的第二章“投标人须知”，下面所列资料是对“投标人须知”的具体补充和说明。</w:t>
      </w:r>
      <w:r>
        <w:rPr>
          <w:rFonts w:hint="eastAsia" w:ascii="宋体" w:hAnsi="宋体" w:cs="宋体"/>
          <w:szCs w:val="21"/>
          <w:highlight w:val="none"/>
          <w:lang w:val="zh-CN"/>
        </w:rPr>
        <w:t>如有矛盾，应以本表为准。</w:t>
      </w:r>
    </w:p>
    <w:tbl>
      <w:tblPr>
        <w:tblStyle w:val="88"/>
        <w:tblW w:w="9226"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1057"/>
        <w:gridCol w:w="2"/>
        <w:gridCol w:w="2451"/>
        <w:gridCol w:w="2"/>
        <w:gridCol w:w="571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blHeader/>
        </w:trPr>
        <w:tc>
          <w:tcPr>
            <w:tcW w:w="1057" w:type="dxa"/>
            <w:shd w:val="clear" w:color="auto" w:fill="BFBFBF"/>
            <w:vAlign w:val="center"/>
          </w:tcPr>
          <w:p>
            <w:pPr>
              <w:autoSpaceDE w:val="0"/>
              <w:autoSpaceDN w:val="0"/>
              <w:snapToGrid w:val="0"/>
              <w:spacing w:line="300" w:lineRule="auto"/>
              <w:jc w:val="center"/>
              <w:rPr>
                <w:rFonts w:ascii="宋体" w:hAnsi="宋体" w:cs="宋体"/>
                <w:b/>
                <w:szCs w:val="21"/>
                <w:highlight w:val="none"/>
              </w:rPr>
            </w:pPr>
            <w:r>
              <w:rPr>
                <w:rFonts w:hint="eastAsia" w:ascii="宋体" w:hAnsi="宋体" w:cs="宋体"/>
                <w:b/>
                <w:szCs w:val="21"/>
                <w:highlight w:val="none"/>
              </w:rPr>
              <w:t>条款号</w:t>
            </w:r>
          </w:p>
        </w:tc>
        <w:tc>
          <w:tcPr>
            <w:tcW w:w="2453" w:type="dxa"/>
            <w:gridSpan w:val="2"/>
            <w:shd w:val="clear" w:color="auto" w:fill="BFBFBF"/>
            <w:vAlign w:val="center"/>
          </w:tcPr>
          <w:p>
            <w:pPr>
              <w:autoSpaceDE w:val="0"/>
              <w:autoSpaceDN w:val="0"/>
              <w:snapToGrid w:val="0"/>
              <w:spacing w:line="300" w:lineRule="auto"/>
              <w:jc w:val="center"/>
              <w:rPr>
                <w:rFonts w:ascii="宋体" w:hAnsi="宋体" w:cs="宋体"/>
                <w:b/>
                <w:szCs w:val="21"/>
                <w:highlight w:val="none"/>
              </w:rPr>
            </w:pPr>
            <w:r>
              <w:rPr>
                <w:rFonts w:hint="eastAsia" w:ascii="宋体" w:hAnsi="宋体" w:cs="宋体"/>
                <w:b/>
                <w:szCs w:val="21"/>
                <w:highlight w:val="none"/>
              </w:rPr>
              <w:t>条款名称</w:t>
            </w:r>
          </w:p>
        </w:tc>
        <w:tc>
          <w:tcPr>
            <w:tcW w:w="5716" w:type="dxa"/>
            <w:gridSpan w:val="2"/>
            <w:shd w:val="clear" w:color="auto" w:fill="BFBFBF"/>
            <w:vAlign w:val="center"/>
          </w:tcPr>
          <w:p>
            <w:pPr>
              <w:autoSpaceDE w:val="0"/>
              <w:autoSpaceDN w:val="0"/>
              <w:snapToGrid w:val="0"/>
              <w:spacing w:line="300" w:lineRule="auto"/>
              <w:jc w:val="center"/>
              <w:rPr>
                <w:rFonts w:ascii="宋体" w:hAnsi="宋体" w:cs="宋体"/>
                <w:b/>
                <w:szCs w:val="21"/>
                <w:highlight w:val="none"/>
              </w:rPr>
            </w:pPr>
            <w:r>
              <w:rPr>
                <w:rFonts w:hint="eastAsia" w:ascii="宋体" w:hAnsi="宋体" w:cs="宋体"/>
                <w:b/>
                <w:szCs w:val="21"/>
                <w:highlight w:val="none"/>
              </w:rPr>
              <w:t>内容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1.1.2</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采购人</w:t>
            </w:r>
          </w:p>
        </w:tc>
        <w:tc>
          <w:tcPr>
            <w:tcW w:w="5716" w:type="dxa"/>
            <w:gridSpan w:val="2"/>
            <w:vAlign w:val="center"/>
          </w:tcPr>
          <w:p>
            <w:pPr>
              <w:snapToGrid w:val="0"/>
              <w:spacing w:line="30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中南民族大学</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1.1.3</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采购代理机构</w:t>
            </w:r>
          </w:p>
        </w:tc>
        <w:tc>
          <w:tcPr>
            <w:tcW w:w="5716" w:type="dxa"/>
            <w:gridSpan w:val="2"/>
            <w:vAlign w:val="center"/>
          </w:tcPr>
          <w:p>
            <w:pPr>
              <w:pStyle w:val="81"/>
              <w:widowControl w:val="0"/>
              <w:autoSpaceDE w:val="0"/>
              <w:autoSpaceDN w:val="0"/>
              <w:adjustRightInd w:val="0"/>
              <w:spacing w:before="0" w:beforeAutospacing="0" w:after="0" w:afterAutospacing="0" w:line="300" w:lineRule="auto"/>
              <w:ind w:left="21" w:leftChars="10" w:right="21" w:rightChars="10"/>
              <w:jc w:val="both"/>
              <w:rPr>
                <w:kern w:val="2"/>
                <w:sz w:val="21"/>
                <w:szCs w:val="21"/>
                <w:highlight w:val="none"/>
                <w:lang w:val="zh-CN"/>
              </w:rPr>
            </w:pPr>
            <w:r>
              <w:rPr>
                <w:rFonts w:hint="eastAsia"/>
                <w:kern w:val="2"/>
                <w:sz w:val="21"/>
                <w:szCs w:val="21"/>
                <w:highlight w:val="none"/>
                <w:lang w:val="zh-CN"/>
              </w:rPr>
              <w:t>湖北省招标股份有限公司</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hint="eastAsia" w:ascii="宋体" w:hAnsi="宋体" w:eastAsia="宋体" w:cs="宋体"/>
                <w:szCs w:val="21"/>
                <w:highlight w:val="none"/>
                <w:lang w:eastAsia="zh-CN"/>
              </w:rPr>
            </w:pPr>
            <w:r>
              <w:rPr>
                <w:rFonts w:hint="eastAsia" w:ascii="宋体" w:hAnsi="宋体" w:cs="宋体"/>
                <w:szCs w:val="21"/>
                <w:highlight w:val="none"/>
              </w:rPr>
              <w:t>1.1.</w:t>
            </w:r>
            <w:r>
              <w:rPr>
                <w:rFonts w:hint="eastAsia" w:ascii="宋体" w:hAnsi="宋体" w:cs="宋体"/>
                <w:szCs w:val="21"/>
                <w:highlight w:val="none"/>
                <w:lang w:val="en-US" w:eastAsia="zh-CN"/>
              </w:rPr>
              <w:t>4</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项目名称</w:t>
            </w:r>
          </w:p>
        </w:tc>
        <w:tc>
          <w:tcPr>
            <w:tcW w:w="5716" w:type="dxa"/>
            <w:gridSpan w:val="2"/>
            <w:vAlign w:val="center"/>
          </w:tcPr>
          <w:p>
            <w:pPr>
              <w:snapToGrid w:val="0"/>
              <w:spacing w:line="300" w:lineRule="auto"/>
              <w:rPr>
                <w:rFonts w:hint="default" w:ascii="宋体" w:hAnsi="宋体" w:eastAsia="宋体" w:cs="宋体"/>
                <w:szCs w:val="21"/>
                <w:highlight w:val="none"/>
                <w:lang w:val="en-US" w:eastAsia="zh-CN"/>
              </w:rPr>
            </w:pPr>
            <w:r>
              <w:rPr>
                <w:rFonts w:hint="eastAsia" w:ascii="宋体" w:hAnsi="宋体" w:cs="宋体"/>
                <w:szCs w:val="21"/>
                <w:highlight w:val="none"/>
                <w:lang w:eastAsia="zh-CN"/>
              </w:rPr>
              <w:t>中南民族大学融媒体中心建设</w:t>
            </w:r>
            <w:r>
              <w:rPr>
                <w:rFonts w:hint="eastAsia" w:ascii="宋体" w:hAnsi="宋体" w:cs="宋体"/>
                <w:szCs w:val="21"/>
                <w:highlight w:val="none"/>
                <w:lang w:val="en-US" w:eastAsia="zh-CN"/>
              </w:rPr>
              <w:t>项目</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hint="eastAsia" w:ascii="宋体" w:hAnsi="宋体" w:eastAsia="宋体" w:cs="宋体"/>
                <w:szCs w:val="21"/>
                <w:highlight w:val="none"/>
                <w:lang w:eastAsia="zh-CN"/>
              </w:rPr>
            </w:pPr>
            <w:r>
              <w:rPr>
                <w:rFonts w:hint="eastAsia" w:ascii="宋体" w:hAnsi="宋体" w:cs="宋体"/>
                <w:szCs w:val="21"/>
                <w:highlight w:val="none"/>
              </w:rPr>
              <w:t>1.1.</w:t>
            </w:r>
            <w:r>
              <w:rPr>
                <w:rFonts w:hint="eastAsia" w:ascii="宋体" w:hAnsi="宋体" w:cs="宋体"/>
                <w:szCs w:val="21"/>
                <w:highlight w:val="none"/>
                <w:lang w:val="en-US" w:eastAsia="zh-CN"/>
              </w:rPr>
              <w:t>5</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项目地点</w:t>
            </w:r>
          </w:p>
        </w:tc>
        <w:tc>
          <w:tcPr>
            <w:tcW w:w="5716" w:type="dxa"/>
            <w:gridSpan w:val="2"/>
            <w:vAlign w:val="center"/>
          </w:tcPr>
          <w:p>
            <w:pPr>
              <w:autoSpaceDE w:val="0"/>
              <w:autoSpaceDN w:val="0"/>
              <w:snapToGrid w:val="0"/>
              <w:spacing w:line="30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中南民族大学</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hint="eastAsia" w:ascii="宋体" w:hAnsi="宋体" w:eastAsia="宋体" w:cs="宋体"/>
                <w:szCs w:val="21"/>
                <w:highlight w:val="none"/>
                <w:lang w:eastAsia="zh-CN"/>
              </w:rPr>
            </w:pPr>
            <w:r>
              <w:rPr>
                <w:rFonts w:hint="eastAsia" w:ascii="宋体" w:hAnsi="宋体" w:cs="宋体"/>
                <w:szCs w:val="21"/>
                <w:highlight w:val="none"/>
              </w:rPr>
              <w:t>1.1.</w:t>
            </w:r>
            <w:r>
              <w:rPr>
                <w:rFonts w:hint="eastAsia" w:ascii="宋体" w:hAnsi="宋体" w:cs="宋体"/>
                <w:szCs w:val="21"/>
                <w:highlight w:val="none"/>
                <w:lang w:val="en-US" w:eastAsia="zh-CN"/>
              </w:rPr>
              <w:t>6</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项目内容</w:t>
            </w:r>
          </w:p>
        </w:tc>
        <w:tc>
          <w:tcPr>
            <w:tcW w:w="5716" w:type="dxa"/>
            <w:gridSpan w:val="2"/>
            <w:vAlign w:val="center"/>
          </w:tcPr>
          <w:p>
            <w:pPr>
              <w:snapToGrid w:val="0"/>
              <w:spacing w:line="300" w:lineRule="auto"/>
              <w:rPr>
                <w:rFonts w:ascii="宋体" w:hAnsi="宋体" w:cs="宋体"/>
                <w:szCs w:val="21"/>
                <w:highlight w:val="none"/>
              </w:rPr>
            </w:pPr>
            <w:r>
              <w:rPr>
                <w:rFonts w:hint="eastAsia" w:ascii="宋体" w:hAnsi="宋体" w:cs="宋体"/>
                <w:szCs w:val="21"/>
                <w:highlight w:val="none"/>
              </w:rPr>
              <w:t>详见第三章《项目采购需求》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1.2.1</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资金来源</w:t>
            </w:r>
          </w:p>
        </w:tc>
        <w:tc>
          <w:tcPr>
            <w:tcW w:w="5716" w:type="dxa"/>
            <w:gridSpan w:val="2"/>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财政性资金</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1.2.2</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资金落实情况</w:t>
            </w:r>
          </w:p>
        </w:tc>
        <w:tc>
          <w:tcPr>
            <w:tcW w:w="5716" w:type="dxa"/>
            <w:gridSpan w:val="2"/>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已落实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1.3.1</w:t>
            </w:r>
          </w:p>
        </w:tc>
        <w:tc>
          <w:tcPr>
            <w:tcW w:w="2453" w:type="dxa"/>
            <w:gridSpan w:val="2"/>
            <w:vAlign w:val="center"/>
          </w:tcPr>
          <w:p>
            <w:pPr>
              <w:autoSpaceDE w:val="0"/>
              <w:autoSpaceDN w:val="0"/>
              <w:snapToGrid w:val="0"/>
              <w:spacing w:line="30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服务期</w:t>
            </w:r>
          </w:p>
        </w:tc>
        <w:tc>
          <w:tcPr>
            <w:tcW w:w="5716" w:type="dxa"/>
            <w:gridSpan w:val="2"/>
            <w:vAlign w:val="center"/>
          </w:tcPr>
          <w:p>
            <w:pPr>
              <w:snapToGrid w:val="0"/>
              <w:spacing w:line="300" w:lineRule="auto"/>
              <w:rPr>
                <w:rFonts w:ascii="宋体" w:hAnsi="宋体" w:cs="宋体"/>
                <w:szCs w:val="21"/>
                <w:highlight w:val="none"/>
                <w:u w:val="single"/>
              </w:rPr>
            </w:pPr>
            <w:r>
              <w:rPr>
                <w:rFonts w:hint="eastAsia" w:ascii="宋体" w:hAnsi="宋体" w:cs="宋体"/>
                <w:szCs w:val="21"/>
                <w:highlight w:val="none"/>
              </w:rPr>
              <w:t>详见第三章《项目采购需求》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hint="eastAsia" w:ascii="宋体" w:hAnsi="宋体" w:eastAsia="宋体" w:cs="宋体"/>
                <w:szCs w:val="21"/>
                <w:highlight w:val="none"/>
                <w:lang w:eastAsia="zh-CN"/>
              </w:rPr>
            </w:pPr>
            <w:r>
              <w:rPr>
                <w:rFonts w:hint="eastAsia" w:ascii="宋体" w:hAnsi="宋体" w:cs="宋体"/>
                <w:szCs w:val="21"/>
                <w:highlight w:val="none"/>
              </w:rPr>
              <w:t>1.3.</w:t>
            </w:r>
            <w:r>
              <w:rPr>
                <w:rFonts w:hint="eastAsia" w:ascii="宋体" w:hAnsi="宋体" w:cs="宋体"/>
                <w:szCs w:val="21"/>
                <w:highlight w:val="none"/>
                <w:lang w:val="en-US" w:eastAsia="zh-CN"/>
              </w:rPr>
              <w:t>2</w:t>
            </w:r>
          </w:p>
        </w:tc>
        <w:tc>
          <w:tcPr>
            <w:tcW w:w="2453" w:type="dxa"/>
            <w:gridSpan w:val="2"/>
            <w:vAlign w:val="center"/>
          </w:tcPr>
          <w:p>
            <w:pPr>
              <w:snapToGrid w:val="0"/>
              <w:spacing w:line="300" w:lineRule="auto"/>
              <w:jc w:val="center"/>
              <w:rPr>
                <w:rFonts w:hint="eastAsia" w:ascii="宋体" w:hAnsi="宋体" w:cs="宋体"/>
                <w:szCs w:val="21"/>
                <w:highlight w:val="none"/>
              </w:rPr>
            </w:pPr>
            <w:r>
              <w:rPr>
                <w:rFonts w:hint="eastAsia" w:ascii="宋体" w:hAnsi="宋体" w:cs="宋体"/>
                <w:szCs w:val="21"/>
                <w:highlight w:val="none"/>
              </w:rPr>
              <w:t>付款方式</w:t>
            </w:r>
          </w:p>
        </w:tc>
        <w:tc>
          <w:tcPr>
            <w:tcW w:w="5716" w:type="dxa"/>
            <w:gridSpan w:val="2"/>
            <w:vAlign w:val="center"/>
          </w:tcPr>
          <w:p>
            <w:pPr>
              <w:snapToGrid w:val="0"/>
              <w:spacing w:line="300" w:lineRule="auto"/>
              <w:jc w:val="both"/>
              <w:rPr>
                <w:rFonts w:hint="default" w:ascii="宋体" w:hAnsi="宋体" w:cs="宋体"/>
                <w:szCs w:val="21"/>
                <w:highlight w:val="none"/>
                <w:lang w:val="en-US" w:eastAsia="zh-CN"/>
              </w:rPr>
            </w:pPr>
            <w:r>
              <w:rPr>
                <w:rFonts w:hint="eastAsia" w:ascii="宋体" w:hAnsi="宋体" w:cs="宋体"/>
                <w:szCs w:val="21"/>
                <w:highlight w:val="none"/>
                <w:lang w:val="en-US" w:eastAsia="zh-CN"/>
              </w:rPr>
              <w:t>投标人完成总体项目服务的设计方案，并得到采购人书面认可，支付首笔项目进度款，</w:t>
            </w:r>
            <w:r>
              <w:rPr>
                <w:rFonts w:hint="default" w:ascii="宋体" w:hAnsi="宋体" w:cs="宋体"/>
                <w:szCs w:val="21"/>
                <w:highlight w:val="none"/>
                <w:lang w:val="en-US" w:eastAsia="zh-CN"/>
              </w:rPr>
              <w:t>支付金额不超过</w:t>
            </w:r>
            <w:r>
              <w:rPr>
                <w:rFonts w:hint="eastAsia" w:ascii="宋体" w:hAnsi="宋体" w:cs="宋体"/>
                <w:szCs w:val="21"/>
                <w:highlight w:val="none"/>
                <w:lang w:val="en-US" w:eastAsia="zh-CN"/>
              </w:rPr>
              <w:t>项目总金额的15%；完成基础办公环境部署</w:t>
            </w:r>
            <w:r>
              <w:rPr>
                <w:rFonts w:hint="default" w:ascii="宋体" w:hAnsi="宋体" w:cs="宋体"/>
                <w:szCs w:val="21"/>
                <w:highlight w:val="none"/>
                <w:lang w:val="en-US" w:eastAsia="zh-CN"/>
              </w:rPr>
              <w:t>，支付第</w:t>
            </w:r>
            <w:r>
              <w:rPr>
                <w:rFonts w:hint="eastAsia" w:ascii="宋体" w:hAnsi="宋体" w:cs="宋体"/>
                <w:szCs w:val="21"/>
                <w:highlight w:val="none"/>
                <w:lang w:val="en-US" w:eastAsia="zh-CN"/>
              </w:rPr>
              <w:t>二</w:t>
            </w:r>
            <w:r>
              <w:rPr>
                <w:rFonts w:hint="default" w:ascii="宋体" w:hAnsi="宋体" w:cs="宋体"/>
                <w:szCs w:val="21"/>
                <w:highlight w:val="none"/>
                <w:lang w:val="en-US" w:eastAsia="zh-CN"/>
              </w:rPr>
              <w:t>笔项目进度款，累计支付金额不超过项目总金额的50%；</w:t>
            </w:r>
            <w:r>
              <w:rPr>
                <w:rFonts w:hint="eastAsia" w:ascii="宋体" w:hAnsi="宋体" w:cs="宋体"/>
                <w:szCs w:val="21"/>
                <w:highlight w:val="none"/>
                <w:lang w:val="en-US" w:eastAsia="zh-CN"/>
              </w:rPr>
              <w:t>完成各系统现场部署及初步调试试运行</w:t>
            </w:r>
            <w:r>
              <w:rPr>
                <w:rFonts w:hint="default" w:ascii="宋体" w:hAnsi="宋体" w:cs="宋体"/>
                <w:color w:val="0000FF"/>
                <w:szCs w:val="21"/>
                <w:highlight w:val="none"/>
                <w:lang w:val="en-US" w:eastAsia="zh-CN"/>
              </w:rPr>
              <w:t>，</w:t>
            </w:r>
            <w:r>
              <w:rPr>
                <w:rFonts w:hint="eastAsia" w:ascii="宋体" w:hAnsi="宋体" w:cs="宋体"/>
                <w:szCs w:val="21"/>
                <w:highlight w:val="none"/>
                <w:lang w:val="en-US" w:eastAsia="zh-CN"/>
              </w:rPr>
              <w:t>并得到采购人书面认可，</w:t>
            </w:r>
            <w:r>
              <w:rPr>
                <w:rFonts w:hint="default" w:ascii="宋体" w:hAnsi="宋体" w:cs="宋体"/>
                <w:szCs w:val="21"/>
                <w:highlight w:val="none"/>
                <w:lang w:val="en-US" w:eastAsia="zh-CN"/>
              </w:rPr>
              <w:t>支付第</w:t>
            </w:r>
            <w:r>
              <w:rPr>
                <w:rFonts w:hint="eastAsia" w:ascii="宋体" w:hAnsi="宋体" w:cs="宋体"/>
                <w:szCs w:val="21"/>
                <w:highlight w:val="none"/>
                <w:lang w:val="en-US" w:eastAsia="zh-CN"/>
              </w:rPr>
              <w:t>三</w:t>
            </w:r>
            <w:r>
              <w:rPr>
                <w:rFonts w:hint="default" w:ascii="宋体" w:hAnsi="宋体" w:cs="宋体"/>
                <w:szCs w:val="21"/>
                <w:highlight w:val="none"/>
                <w:lang w:val="en-US" w:eastAsia="zh-CN"/>
              </w:rPr>
              <w:t>笔项目进度款，累计支付金额不超过项目总金额的80%；总体建设完成并交付后，支付项目金额剩余部分。（以合同签订为准）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adjustRightInd w:val="0"/>
              <w:snapToGrid w:val="0"/>
              <w:spacing w:line="300" w:lineRule="auto"/>
              <w:jc w:val="center"/>
              <w:rPr>
                <w:rFonts w:ascii="宋体" w:hAnsi="宋体" w:cs="宋体"/>
                <w:szCs w:val="21"/>
                <w:highlight w:val="none"/>
              </w:rPr>
            </w:pPr>
            <w:r>
              <w:rPr>
                <w:rFonts w:hint="eastAsia" w:ascii="宋体" w:hAnsi="宋体" w:cs="宋体"/>
                <w:szCs w:val="21"/>
                <w:highlight w:val="none"/>
              </w:rPr>
              <w:t>1.4.1</w:t>
            </w:r>
          </w:p>
        </w:tc>
        <w:tc>
          <w:tcPr>
            <w:tcW w:w="2453" w:type="dxa"/>
            <w:gridSpan w:val="2"/>
            <w:vAlign w:val="center"/>
          </w:tcPr>
          <w:p>
            <w:pPr>
              <w:autoSpaceDE w:val="0"/>
              <w:autoSpaceDN w:val="0"/>
              <w:adjustRightInd w:val="0"/>
              <w:snapToGrid w:val="0"/>
              <w:spacing w:line="300" w:lineRule="auto"/>
              <w:jc w:val="center"/>
              <w:rPr>
                <w:rFonts w:ascii="宋体" w:hAnsi="宋体" w:cs="宋体"/>
                <w:szCs w:val="21"/>
                <w:highlight w:val="none"/>
              </w:rPr>
            </w:pPr>
            <w:r>
              <w:rPr>
                <w:rFonts w:hint="eastAsia" w:ascii="宋体" w:hAnsi="宋体" w:cs="宋体"/>
                <w:szCs w:val="21"/>
                <w:highlight w:val="none"/>
              </w:rPr>
              <w:t>申请人资质条件、能力和信誉</w:t>
            </w:r>
          </w:p>
        </w:tc>
        <w:tc>
          <w:tcPr>
            <w:tcW w:w="5716" w:type="dxa"/>
            <w:gridSpan w:val="2"/>
            <w:vAlign w:val="center"/>
          </w:tcPr>
          <w:p>
            <w:pPr>
              <w:snapToGrid w:val="0"/>
              <w:spacing w:line="300" w:lineRule="auto"/>
              <w:rPr>
                <w:rFonts w:ascii="宋体" w:hAnsi="宋体" w:cs="宋体"/>
                <w:szCs w:val="21"/>
                <w:highlight w:val="none"/>
              </w:rPr>
            </w:pPr>
            <w:r>
              <w:rPr>
                <w:rFonts w:hint="eastAsia" w:ascii="宋体" w:hAnsi="宋体" w:cs="宋体"/>
                <w:szCs w:val="21"/>
                <w:highlight w:val="none"/>
              </w:rPr>
              <w:t>1.具体要求详见第一章《投标邀请》第二条“申请人资格要求”。</w:t>
            </w:r>
          </w:p>
          <w:p>
            <w:pPr>
              <w:snapToGrid w:val="0"/>
              <w:spacing w:line="300" w:lineRule="auto"/>
              <w:rPr>
                <w:rFonts w:ascii="宋体" w:hAnsi="宋体" w:cs="宋体"/>
                <w:szCs w:val="21"/>
                <w:highlight w:val="none"/>
              </w:rPr>
            </w:pPr>
            <w:r>
              <w:rPr>
                <w:rFonts w:hint="eastAsia" w:ascii="宋体" w:hAnsi="宋体" w:cs="宋体"/>
                <w:szCs w:val="21"/>
                <w:highlight w:val="none"/>
              </w:rPr>
              <w:t>2.须提供的证明文件详见第四章《评标方法、步骤及标准》中的《资格审查表》。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1.4.2</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是否接受联合体投标</w:t>
            </w:r>
          </w:p>
        </w:tc>
        <w:tc>
          <w:tcPr>
            <w:tcW w:w="5716" w:type="dxa"/>
            <w:gridSpan w:val="2"/>
            <w:vAlign w:val="center"/>
          </w:tcPr>
          <w:p>
            <w:pPr>
              <w:pStyle w:val="356"/>
              <w:snapToGrid w:val="0"/>
              <w:spacing w:line="300" w:lineRule="auto"/>
              <w:rPr>
                <w:rFonts w:ascii="宋体" w:hAnsi="宋体" w:eastAsia="宋体" w:cs="宋体"/>
                <w:color w:val="auto"/>
                <w:sz w:val="21"/>
                <w:szCs w:val="21"/>
                <w:highlight w:val="none"/>
              </w:rPr>
            </w:pPr>
            <w:r>
              <w:rPr>
                <w:rFonts w:hint="eastAsia" w:ascii="宋体" w:hAnsi="宋体" w:eastAsia="宋体" w:cs="宋体"/>
                <w:sz w:val="15"/>
                <w:szCs w:val="15"/>
                <w:highlight w:val="none"/>
                <w:bdr w:val="single" w:color="auto" w:sz="4" w:space="0"/>
              </w:rPr>
              <w:t>√</w:t>
            </w:r>
            <w:r>
              <w:rPr>
                <w:rFonts w:hint="eastAsia" w:ascii="宋体" w:hAnsi="宋体" w:eastAsia="宋体" w:cs="宋体"/>
                <w:color w:val="auto"/>
                <w:sz w:val="21"/>
                <w:szCs w:val="21"/>
                <w:highlight w:val="none"/>
              </w:rPr>
              <w:t>不接受</w:t>
            </w:r>
          </w:p>
          <w:p>
            <w:pPr>
              <w:pStyle w:val="356"/>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□接受，应满足下列要求：</w:t>
            </w:r>
          </w:p>
          <w:p>
            <w:pPr>
              <w:pStyle w:val="356"/>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联合体资质按照联合体协议约定的分工认定</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1.9.1</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踏勘现场</w:t>
            </w:r>
          </w:p>
        </w:tc>
        <w:tc>
          <w:tcPr>
            <w:tcW w:w="5716" w:type="dxa"/>
            <w:gridSpan w:val="2"/>
            <w:vAlign w:val="center"/>
          </w:tcPr>
          <w:p>
            <w:pPr>
              <w:pStyle w:val="356"/>
              <w:snapToGrid w:val="0"/>
              <w:spacing w:line="300" w:lineRule="auto"/>
              <w:rPr>
                <w:rFonts w:ascii="宋体" w:hAnsi="宋体" w:eastAsia="宋体" w:cs="宋体"/>
                <w:color w:val="auto"/>
                <w:sz w:val="21"/>
                <w:szCs w:val="21"/>
                <w:highlight w:val="none"/>
              </w:rPr>
            </w:pPr>
            <w:r>
              <w:rPr>
                <w:rFonts w:hint="eastAsia" w:ascii="宋体" w:hAnsi="宋体" w:eastAsia="宋体" w:cs="宋体"/>
                <w:sz w:val="15"/>
                <w:szCs w:val="15"/>
                <w:highlight w:val="none"/>
                <w:bdr w:val="single" w:color="auto" w:sz="4" w:space="0"/>
              </w:rPr>
              <w:t>√</w:t>
            </w:r>
            <w:r>
              <w:rPr>
                <w:rFonts w:hint="eastAsia" w:ascii="宋体" w:hAnsi="宋体" w:eastAsia="宋体" w:cs="宋体"/>
                <w:color w:val="auto"/>
                <w:sz w:val="21"/>
                <w:szCs w:val="21"/>
                <w:highlight w:val="none"/>
              </w:rPr>
              <w:t>不组织，投标人自行踏勘</w:t>
            </w:r>
          </w:p>
          <w:p>
            <w:pPr>
              <w:pStyle w:val="356"/>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□组织，踏勘时间：</w:t>
            </w:r>
          </w:p>
          <w:p>
            <w:pPr>
              <w:pStyle w:val="356"/>
              <w:snapToGrid w:val="0"/>
              <w:spacing w:line="300" w:lineRule="auto"/>
              <w:ind w:firstLine="840" w:firstLineChars="4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踏勘集中地点：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1.10.1</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投标预备会</w:t>
            </w:r>
          </w:p>
        </w:tc>
        <w:tc>
          <w:tcPr>
            <w:tcW w:w="5716" w:type="dxa"/>
            <w:gridSpan w:val="2"/>
            <w:vAlign w:val="center"/>
          </w:tcPr>
          <w:p>
            <w:pPr>
              <w:pStyle w:val="356"/>
              <w:snapToGrid w:val="0"/>
              <w:spacing w:line="300" w:lineRule="auto"/>
              <w:rPr>
                <w:rFonts w:ascii="宋体" w:hAnsi="宋体" w:eastAsia="宋体" w:cs="宋体"/>
                <w:color w:val="auto"/>
                <w:sz w:val="21"/>
                <w:szCs w:val="21"/>
                <w:highlight w:val="none"/>
              </w:rPr>
            </w:pPr>
            <w:r>
              <w:rPr>
                <w:rFonts w:hint="eastAsia" w:ascii="宋体" w:hAnsi="宋体" w:eastAsia="宋体" w:cs="宋体"/>
                <w:sz w:val="15"/>
                <w:szCs w:val="15"/>
                <w:highlight w:val="none"/>
                <w:bdr w:val="single" w:color="auto" w:sz="4" w:space="0"/>
              </w:rPr>
              <w:t>√</w:t>
            </w:r>
            <w:r>
              <w:rPr>
                <w:rFonts w:hint="eastAsia" w:ascii="宋体" w:hAnsi="宋体" w:eastAsia="宋体" w:cs="宋体"/>
                <w:color w:val="auto"/>
                <w:sz w:val="21"/>
                <w:szCs w:val="21"/>
                <w:highlight w:val="none"/>
              </w:rPr>
              <w:t>不召开</w:t>
            </w:r>
          </w:p>
          <w:p>
            <w:pPr>
              <w:pStyle w:val="356"/>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□召开，召开时间：</w:t>
            </w:r>
          </w:p>
          <w:p>
            <w:pPr>
              <w:pStyle w:val="356"/>
              <w:snapToGrid w:val="0"/>
              <w:spacing w:line="300" w:lineRule="auto"/>
              <w:ind w:firstLine="840" w:firstLineChars="4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召开地点：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color w:val="000000"/>
                <w:szCs w:val="21"/>
                <w:highlight w:val="none"/>
              </w:rPr>
            </w:pPr>
            <w:r>
              <w:rPr>
                <w:rFonts w:hint="eastAsia" w:ascii="宋体" w:hAnsi="宋体" w:cs="宋体"/>
                <w:color w:val="000000"/>
                <w:szCs w:val="21"/>
                <w:highlight w:val="none"/>
              </w:rPr>
              <w:t>1.11</w:t>
            </w:r>
          </w:p>
        </w:tc>
        <w:tc>
          <w:tcPr>
            <w:tcW w:w="2453" w:type="dxa"/>
            <w:gridSpan w:val="2"/>
            <w:vAlign w:val="center"/>
          </w:tcPr>
          <w:p>
            <w:pPr>
              <w:autoSpaceDE w:val="0"/>
              <w:autoSpaceDN w:val="0"/>
              <w:snapToGrid w:val="0"/>
              <w:spacing w:line="300" w:lineRule="auto"/>
              <w:jc w:val="center"/>
              <w:rPr>
                <w:rFonts w:ascii="宋体" w:hAnsi="宋体" w:cs="宋体"/>
                <w:color w:val="000000"/>
                <w:szCs w:val="21"/>
                <w:highlight w:val="none"/>
              </w:rPr>
            </w:pPr>
            <w:r>
              <w:rPr>
                <w:rFonts w:hint="eastAsia" w:ascii="宋体" w:hAnsi="宋体" w:cs="宋体"/>
                <w:color w:val="000000"/>
                <w:szCs w:val="21"/>
                <w:highlight w:val="none"/>
              </w:rPr>
              <w:t>中标后分包</w:t>
            </w:r>
          </w:p>
        </w:tc>
        <w:tc>
          <w:tcPr>
            <w:tcW w:w="5716" w:type="dxa"/>
            <w:gridSpan w:val="2"/>
            <w:vAlign w:val="center"/>
          </w:tcPr>
          <w:p>
            <w:pPr>
              <w:pStyle w:val="356"/>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p>
            <w:pPr>
              <w:autoSpaceDE w:val="0"/>
              <w:autoSpaceDN w:val="0"/>
              <w:snapToGrid w:val="0"/>
              <w:spacing w:line="300" w:lineRule="auto"/>
              <w:rPr>
                <w:rFonts w:hint="eastAsia" w:ascii="宋体" w:hAnsi="宋体" w:cs="宋体"/>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允许，</w:t>
            </w:r>
          </w:p>
          <w:p>
            <w:pPr>
              <w:widowControl w:val="0"/>
              <w:autoSpaceDE w:val="0"/>
              <w:autoSpaceDN w:val="0"/>
              <w:adjustRightInd w:val="0"/>
              <w:snapToGrid w:val="0"/>
              <w:spacing w:line="300" w:lineRule="auto"/>
              <w:ind w:left="840" w:hanging="840" w:hangingChars="400"/>
              <w:rPr>
                <w:rFonts w:ascii="宋体" w:hAnsi="宋体" w:eastAsia="宋体" w:cs="Arial"/>
                <w:color w:val="auto"/>
                <w:sz w:val="21"/>
                <w:szCs w:val="21"/>
                <w:highlight w:val="none"/>
                <w:lang w:val="en-US" w:eastAsia="zh-CN" w:bidi="ar-SA"/>
              </w:rPr>
            </w:pPr>
            <w:r>
              <w:rPr>
                <w:rFonts w:hint="eastAsia" w:ascii="宋体" w:hAnsi="宋体" w:eastAsia="宋体" w:cs="Arial"/>
                <w:color w:val="auto"/>
                <w:sz w:val="21"/>
                <w:szCs w:val="21"/>
                <w:highlight w:val="none"/>
                <w:lang w:val="en-US" w:eastAsia="zh-CN" w:bidi="ar-SA"/>
              </w:rPr>
              <w:t>（1）</w:t>
            </w:r>
            <w:bookmarkStart w:id="31" w:name="OLE_LINK64"/>
            <w:r>
              <w:rPr>
                <w:rFonts w:ascii="宋体" w:hAnsi="宋体" w:eastAsia="宋体" w:cs="Arial"/>
                <w:color w:val="auto"/>
                <w:sz w:val="21"/>
                <w:szCs w:val="21"/>
                <w:highlight w:val="none"/>
                <w:lang w:val="en-US" w:eastAsia="zh-CN" w:bidi="ar-SA"/>
              </w:rPr>
              <w:t>分包内容要求：</w:t>
            </w:r>
            <w:bookmarkStart w:id="32" w:name="OLE_LINK1"/>
            <w:r>
              <w:rPr>
                <w:rFonts w:hint="eastAsia" w:ascii="宋体" w:hAnsi="宋体" w:eastAsia="宋体" w:cs="Arial"/>
                <w:color w:val="auto"/>
                <w:sz w:val="21"/>
                <w:szCs w:val="21"/>
                <w:highlight w:val="none"/>
                <w:lang w:val="en-US" w:eastAsia="zh-CN" w:bidi="ar-SA"/>
              </w:rPr>
              <w:t>当中标人不具备承担分包内容的单位资质时，本项目</w:t>
            </w:r>
            <w:bookmarkEnd w:id="32"/>
            <w:r>
              <w:rPr>
                <w:rFonts w:hint="eastAsia" w:ascii="宋体" w:hAnsi="宋体" w:eastAsia="宋体" w:cs="Arial"/>
                <w:color w:val="auto"/>
                <w:sz w:val="21"/>
                <w:szCs w:val="21"/>
                <w:highlight w:val="none"/>
                <w:lang w:val="en-US" w:eastAsia="zh-CN" w:bidi="ar-SA"/>
              </w:rPr>
              <w:t>只允许将</w:t>
            </w:r>
            <w:bookmarkStart w:id="33" w:name="OLE_LINK3"/>
            <w:r>
              <w:rPr>
                <w:rFonts w:hint="eastAsia" w:ascii="宋体" w:hAnsi="宋体" w:eastAsia="宋体" w:cs="Arial"/>
                <w:color w:val="auto"/>
                <w:sz w:val="21"/>
                <w:szCs w:val="21"/>
                <w:highlight w:val="none"/>
                <w:lang w:val="en-US" w:eastAsia="zh-CN" w:bidi="ar-SA"/>
              </w:rPr>
              <w:t>“</w:t>
            </w:r>
            <w:bookmarkStart w:id="34" w:name="OLE_LINK8"/>
            <w:r>
              <w:rPr>
                <w:rFonts w:hint="eastAsia" w:ascii="宋体" w:hAnsi="宋体" w:eastAsia="宋体" w:cs="Arial"/>
                <w:b/>
                <w:bCs/>
                <w:color w:val="auto"/>
                <w:sz w:val="21"/>
                <w:szCs w:val="21"/>
                <w:highlight w:val="none"/>
                <w:lang w:val="en-US" w:eastAsia="zh-CN" w:bidi="ar-SA"/>
              </w:rPr>
              <w:t>中南民族大学融媒中心建设项目装饰部分</w:t>
            </w:r>
            <w:bookmarkEnd w:id="34"/>
            <w:r>
              <w:rPr>
                <w:rFonts w:hint="eastAsia" w:ascii="宋体" w:hAnsi="宋体" w:eastAsia="宋体" w:cs="Arial"/>
                <w:color w:val="auto"/>
                <w:sz w:val="21"/>
                <w:szCs w:val="21"/>
                <w:highlight w:val="none"/>
                <w:lang w:val="en-US" w:eastAsia="zh-CN" w:bidi="ar-SA"/>
              </w:rPr>
              <w:t>”</w:t>
            </w:r>
            <w:bookmarkEnd w:id="33"/>
            <w:r>
              <w:rPr>
                <w:rFonts w:hint="eastAsia" w:ascii="宋体" w:hAnsi="宋体" w:eastAsia="宋体" w:cs="Arial"/>
                <w:color w:val="auto"/>
                <w:sz w:val="21"/>
                <w:szCs w:val="21"/>
                <w:highlight w:val="none"/>
                <w:lang w:val="en-US" w:eastAsia="zh-CN" w:bidi="ar-SA"/>
              </w:rPr>
              <w:t>分包；当中标人具备承担分包内容的单位资质时，本项目不允许分包。</w:t>
            </w:r>
          </w:p>
          <w:bookmarkEnd w:id="31"/>
          <w:p>
            <w:pPr>
              <w:autoSpaceDE w:val="0"/>
              <w:autoSpaceDN w:val="0"/>
              <w:snapToGrid w:val="0"/>
              <w:spacing w:line="300" w:lineRule="auto"/>
              <w:rPr>
                <w:rFonts w:hint="default" w:ascii="宋体" w:hAnsi="宋体" w:eastAsia="宋体" w:cs="Arial"/>
                <w:b/>
                <w:bCs/>
                <w:color w:val="auto"/>
                <w:szCs w:val="21"/>
                <w:highlight w:val="none"/>
                <w:u w:val="single"/>
                <w:lang w:val="en-US" w:eastAsia="zh-CN"/>
              </w:rPr>
            </w:pPr>
            <w:r>
              <w:rPr>
                <w:rFonts w:hint="eastAsia" w:ascii="宋体" w:hAnsi="宋体" w:eastAsia="宋体" w:cs="Arial"/>
                <w:b/>
                <w:bCs/>
                <w:color w:val="auto"/>
                <w:szCs w:val="21"/>
                <w:highlight w:val="none"/>
              </w:rPr>
              <w:t>（2）</w:t>
            </w:r>
            <w:bookmarkStart w:id="35" w:name="OLE_LINK19"/>
            <w:r>
              <w:rPr>
                <w:rFonts w:ascii="宋体" w:hAnsi="宋体" w:eastAsia="宋体" w:cs="Arial"/>
                <w:b/>
                <w:bCs/>
                <w:color w:val="auto"/>
                <w:szCs w:val="21"/>
                <w:highlight w:val="none"/>
              </w:rPr>
              <w:t>分包</w:t>
            </w:r>
            <w:bookmarkEnd w:id="35"/>
            <w:r>
              <w:rPr>
                <w:rFonts w:ascii="宋体" w:hAnsi="宋体" w:eastAsia="宋体" w:cs="Arial"/>
                <w:b/>
                <w:bCs/>
                <w:color w:val="auto"/>
                <w:szCs w:val="21"/>
                <w:highlight w:val="none"/>
              </w:rPr>
              <w:t>金额要求：</w:t>
            </w:r>
            <w:r>
              <w:rPr>
                <w:rFonts w:hint="eastAsia" w:ascii="宋体" w:hAnsi="宋体" w:eastAsia="宋体" w:cs="Arial"/>
                <w:b/>
                <w:bCs/>
                <w:color w:val="auto"/>
                <w:szCs w:val="21"/>
                <w:highlight w:val="none"/>
              </w:rPr>
              <w:t>不超过</w:t>
            </w:r>
            <w:r>
              <w:rPr>
                <w:rFonts w:hint="eastAsia" w:ascii="宋体" w:hAnsi="宋体" w:eastAsia="宋体" w:cs="Arial"/>
                <w:b/>
                <w:bCs/>
                <w:color w:val="auto"/>
                <w:szCs w:val="21"/>
                <w:highlight w:val="none"/>
                <w:u w:val="single"/>
              </w:rPr>
              <w:t xml:space="preserve"> </w:t>
            </w:r>
            <w:r>
              <w:rPr>
                <w:rFonts w:hint="eastAsia" w:ascii="宋体" w:hAnsi="宋体" w:cs="Arial"/>
                <w:b/>
                <w:bCs/>
                <w:color w:val="auto"/>
                <w:szCs w:val="21"/>
                <w:highlight w:val="none"/>
                <w:u w:val="single"/>
                <w:lang w:val="en-US" w:eastAsia="zh-CN"/>
              </w:rPr>
              <w:t>1668797.13</w:t>
            </w:r>
            <w:r>
              <w:rPr>
                <w:rFonts w:hint="eastAsia" w:ascii="宋体" w:hAnsi="宋体" w:eastAsia="宋体" w:cs="Arial"/>
                <w:b/>
                <w:bCs/>
                <w:color w:val="auto"/>
                <w:szCs w:val="21"/>
                <w:highlight w:val="none"/>
                <w:u w:val="single"/>
              </w:rPr>
              <w:t xml:space="preserve"> </w:t>
            </w:r>
            <w:r>
              <w:rPr>
                <w:rFonts w:hint="eastAsia" w:ascii="宋体" w:hAnsi="宋体" w:eastAsia="宋体" w:cs="Arial"/>
                <w:b/>
                <w:bCs/>
                <w:color w:val="auto"/>
                <w:szCs w:val="21"/>
                <w:highlight w:val="none"/>
              </w:rPr>
              <w:t>元。</w:t>
            </w:r>
            <w:r>
              <w:rPr>
                <w:rFonts w:hint="eastAsia" w:ascii="宋体" w:hAnsi="宋体" w:eastAsia="宋体" w:cs="Arial"/>
                <w:b/>
                <w:bCs/>
                <w:color w:val="auto"/>
                <w:szCs w:val="21"/>
                <w:highlight w:val="none"/>
                <w:lang w:eastAsia="zh-CN"/>
              </w:rPr>
              <w:t>投标人投标报价的该项</w:t>
            </w:r>
            <w:r>
              <w:rPr>
                <w:rFonts w:ascii="宋体" w:hAnsi="宋体" w:eastAsia="宋体" w:cs="Arial"/>
                <w:b/>
                <w:bCs/>
                <w:color w:val="auto"/>
                <w:szCs w:val="21"/>
                <w:highlight w:val="none"/>
              </w:rPr>
              <w:t>分包</w:t>
            </w:r>
            <w:r>
              <w:rPr>
                <w:rFonts w:hint="eastAsia" w:ascii="宋体" w:hAnsi="宋体" w:eastAsia="宋体" w:cs="Arial"/>
                <w:b/>
                <w:bCs/>
                <w:color w:val="auto"/>
                <w:szCs w:val="21"/>
                <w:highlight w:val="none"/>
                <w:lang w:eastAsia="zh-CN"/>
              </w:rPr>
              <w:t>报价超过此限额的作无效投标处理。</w:t>
            </w:r>
          </w:p>
          <w:p>
            <w:pPr>
              <w:autoSpaceDE w:val="0"/>
              <w:autoSpaceDN w:val="0"/>
              <w:snapToGrid w:val="0"/>
              <w:spacing w:line="300" w:lineRule="auto"/>
              <w:rPr>
                <w:rFonts w:ascii="宋体" w:hAnsi="宋体" w:cs="宋体"/>
                <w:szCs w:val="21"/>
                <w:highlight w:val="none"/>
              </w:rPr>
            </w:pPr>
            <w:r>
              <w:rPr>
                <w:rFonts w:hint="eastAsia" w:ascii="宋体" w:hAnsi="宋体" w:eastAsia="宋体" w:cs="Arial"/>
                <w:b/>
                <w:bCs/>
                <w:color w:val="auto"/>
                <w:szCs w:val="21"/>
                <w:highlight w:val="none"/>
              </w:rPr>
              <w:t>（3）</w:t>
            </w:r>
            <w:r>
              <w:rPr>
                <w:rFonts w:ascii="宋体" w:hAnsi="宋体" w:eastAsia="宋体" w:cs="Arial"/>
                <w:b/>
                <w:bCs/>
                <w:color w:val="auto"/>
                <w:szCs w:val="21"/>
                <w:highlight w:val="none"/>
              </w:rPr>
              <w:t>资质要求：</w:t>
            </w:r>
            <w:r>
              <w:rPr>
                <w:rFonts w:hint="eastAsia" w:ascii="宋体" w:hAnsi="宋体" w:eastAsia="宋体" w:cs="Arial"/>
                <w:b/>
                <w:bCs/>
                <w:color w:val="auto"/>
                <w:szCs w:val="21"/>
                <w:highlight w:val="none"/>
                <w:lang w:eastAsia="zh-CN"/>
              </w:rPr>
              <w:t>承担</w:t>
            </w:r>
            <w:r>
              <w:rPr>
                <w:rFonts w:hint="eastAsia" w:ascii="宋体" w:hAnsi="宋体" w:eastAsia="宋体" w:cs="Arial"/>
                <w:b/>
                <w:bCs/>
                <w:color w:val="auto"/>
                <w:szCs w:val="21"/>
                <w:highlight w:val="none"/>
              </w:rPr>
              <w:t>分包</w:t>
            </w:r>
            <w:r>
              <w:rPr>
                <w:rFonts w:hint="eastAsia" w:ascii="宋体" w:hAnsi="宋体" w:eastAsia="宋体" w:cs="Arial"/>
                <w:b/>
                <w:bCs/>
                <w:color w:val="auto"/>
                <w:szCs w:val="21"/>
                <w:highlight w:val="none"/>
                <w:lang w:eastAsia="zh-CN"/>
              </w:rPr>
              <w:t>内容</w:t>
            </w:r>
            <w:r>
              <w:rPr>
                <w:rFonts w:hint="eastAsia" w:ascii="宋体" w:hAnsi="宋体" w:eastAsia="宋体" w:cs="Arial"/>
                <w:b/>
                <w:bCs/>
                <w:color w:val="auto"/>
                <w:szCs w:val="21"/>
                <w:highlight w:val="none"/>
              </w:rPr>
              <w:t>的单位须具备有效的国家建设行政主管部门颁发的</w:t>
            </w:r>
            <w:r>
              <w:rPr>
                <w:rFonts w:hint="eastAsia" w:ascii="宋体" w:hAnsi="宋体" w:eastAsia="宋体" w:cs="Arial"/>
                <w:b/>
                <w:bCs/>
                <w:color w:val="auto"/>
                <w:szCs w:val="21"/>
                <w:highlight w:val="none"/>
                <w:lang w:val="en-US" w:eastAsia="zh-CN"/>
              </w:rPr>
              <w:t>建筑装修装饰工程专业承包二级</w:t>
            </w:r>
            <w:r>
              <w:rPr>
                <w:rFonts w:hint="eastAsia" w:ascii="宋体" w:hAnsi="宋体" w:eastAsia="宋体" w:cs="Arial"/>
                <w:b/>
                <w:bCs/>
                <w:color w:val="auto"/>
                <w:szCs w:val="21"/>
                <w:highlight w:val="none"/>
              </w:rPr>
              <w:t>或以上资质及安全生产许可证。</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Merge w:val="restart"/>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1.12</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是否接受进口产品</w:t>
            </w:r>
          </w:p>
        </w:tc>
        <w:tc>
          <w:tcPr>
            <w:tcW w:w="5716" w:type="dxa"/>
            <w:gridSpan w:val="2"/>
            <w:vAlign w:val="center"/>
          </w:tcPr>
          <w:p>
            <w:pPr>
              <w:pStyle w:val="31"/>
              <w:topLinePunct/>
              <w:snapToGrid w:val="0"/>
              <w:spacing w:after="0" w:line="300" w:lineRule="auto"/>
              <w:rPr>
                <w:rFonts w:ascii="宋体" w:hAnsi="宋体" w:cs="宋体"/>
                <w:sz w:val="21"/>
                <w:szCs w:val="21"/>
                <w:highlight w:val="none"/>
              </w:rPr>
            </w:pPr>
            <w:r>
              <w:rPr>
                <w:rFonts w:hint="eastAsia" w:ascii="宋体" w:hAnsi="宋体" w:cs="宋体"/>
                <w:sz w:val="21"/>
                <w:szCs w:val="21"/>
                <w:highlight w:val="none"/>
              </w:rPr>
              <w:t>□接  受</w:t>
            </w:r>
          </w:p>
          <w:p>
            <w:pPr>
              <w:pStyle w:val="31"/>
              <w:topLinePunct/>
              <w:snapToGrid w:val="0"/>
              <w:spacing w:after="0" w:line="300" w:lineRule="auto"/>
              <w:rPr>
                <w:rFonts w:ascii="宋体" w:hAnsi="宋体" w:cs="宋体"/>
                <w:sz w:val="21"/>
                <w:szCs w:val="21"/>
                <w:highlight w:val="none"/>
              </w:rPr>
            </w:pPr>
            <w:r>
              <w:rPr>
                <w:rFonts w:hint="eastAsia" w:ascii="宋体" w:hAnsi="宋体" w:cs="宋体"/>
                <w:sz w:val="15"/>
                <w:szCs w:val="15"/>
                <w:highlight w:val="none"/>
                <w:bdr w:val="single" w:color="auto" w:sz="4" w:space="0"/>
              </w:rPr>
              <w:t>√</w:t>
            </w:r>
            <w:r>
              <w:rPr>
                <w:rFonts w:hint="eastAsia" w:ascii="宋体" w:hAnsi="宋体" w:cs="宋体"/>
                <w:sz w:val="21"/>
                <w:szCs w:val="21"/>
                <w:highlight w:val="none"/>
              </w:rPr>
              <w:t>不接受</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Merge w:val="continue"/>
            <w:vAlign w:val="center"/>
          </w:tcPr>
          <w:p>
            <w:pPr>
              <w:autoSpaceDE w:val="0"/>
              <w:autoSpaceDN w:val="0"/>
              <w:snapToGrid w:val="0"/>
              <w:spacing w:line="300" w:lineRule="auto"/>
              <w:jc w:val="center"/>
              <w:rPr>
                <w:rFonts w:ascii="宋体" w:hAnsi="宋体" w:cs="宋体"/>
                <w:szCs w:val="21"/>
                <w:highlight w:val="none"/>
              </w:rPr>
            </w:pP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支持中小企业政策</w:t>
            </w:r>
          </w:p>
        </w:tc>
        <w:tc>
          <w:tcPr>
            <w:tcW w:w="5716" w:type="dxa"/>
            <w:gridSpan w:val="2"/>
            <w:vAlign w:val="center"/>
          </w:tcPr>
          <w:p>
            <w:pPr>
              <w:snapToGrid w:val="0"/>
              <w:spacing w:line="300" w:lineRule="auto"/>
              <w:rPr>
                <w:rFonts w:ascii="宋体" w:hAnsi="宋体" w:cs="宋体"/>
                <w:b/>
                <w:szCs w:val="21"/>
                <w:highlight w:val="none"/>
              </w:rPr>
            </w:pPr>
            <w:r>
              <w:rPr>
                <w:rFonts w:hint="eastAsia" w:ascii="宋体" w:hAnsi="宋体" w:cs="宋体"/>
                <w:b/>
                <w:szCs w:val="21"/>
                <w:highlight w:val="none"/>
              </w:rPr>
              <w:t>本项目属于非预留份额的采购项目或者采购包，对于小微企业评审时价格扣除比例按以下规定执行：</w:t>
            </w:r>
          </w:p>
          <w:p>
            <w:pPr>
              <w:snapToGrid w:val="0"/>
              <w:spacing w:line="300" w:lineRule="auto"/>
              <w:ind w:firstLine="359" w:firstLineChars="171"/>
              <w:rPr>
                <w:rFonts w:ascii="宋体" w:hAnsi="宋体" w:cs="宋体"/>
                <w:szCs w:val="21"/>
                <w:highlight w:val="none"/>
              </w:rPr>
            </w:pPr>
            <w:r>
              <w:rPr>
                <w:rFonts w:hint="eastAsia" w:ascii="宋体" w:hAnsi="宋体" w:cs="宋体"/>
                <w:szCs w:val="21"/>
                <w:highlight w:val="none"/>
              </w:rPr>
              <w:t>依据《关于进一步加大政府采购支持中小企业力度的通知》（财库〔2022〕19号）的规定，本项目对参加政府采购活动的小型和微型企业报价给予10%（工程项目为3%）的扣除，用扣除后的价格参与评审；其中，对小微企业中的“四类小微企业”的报价，即残疾人企业或监狱企业；纳入创新产品应用示范推荐目录内的企业；政府采购项目的品目属于政府优先采购《节能产品政府采购品目清单》《环境标志产品政府采购品目》范围内，获得相关证书的企业，以《关于落实稳住经济一揽子政策进一步加大政府采购支持中小企业力度的通知》（鄂财采发〔2022〕5号）对应的价格评审优惠幅度的上限给予评审优惠。中小企业应当提供《中小企业声明函》（详见本</w:t>
            </w:r>
            <w:r>
              <w:rPr>
                <w:rFonts w:hint="eastAsia" w:ascii="宋体" w:hAnsi="宋体" w:cs="宋体"/>
                <w:szCs w:val="21"/>
                <w:highlight w:val="none"/>
                <w:lang w:val="en-US" w:eastAsia="zh-CN"/>
              </w:rPr>
              <w:t>招标</w:t>
            </w:r>
            <w:r>
              <w:rPr>
                <w:rFonts w:hint="eastAsia" w:ascii="宋体" w:hAnsi="宋体" w:cs="宋体"/>
                <w:szCs w:val="21"/>
                <w:highlight w:val="none"/>
              </w:rPr>
              <w:t xml:space="preserve">文件第六章 </w:t>
            </w:r>
            <w:r>
              <w:rPr>
                <w:rFonts w:hint="eastAsia" w:ascii="宋体" w:hAnsi="宋体" w:cs="宋体"/>
                <w:szCs w:val="21"/>
                <w:highlight w:val="none"/>
                <w:lang w:val="en-US" w:eastAsia="zh-CN"/>
              </w:rPr>
              <w:t>投标</w:t>
            </w:r>
            <w:r>
              <w:rPr>
                <w:rFonts w:hint="eastAsia" w:ascii="宋体" w:hAnsi="宋体" w:cs="宋体"/>
                <w:szCs w:val="21"/>
                <w:highlight w:val="none"/>
              </w:rPr>
              <w:t>文件格式），对符合小微企业中的上述“四类小微企业”，还应提供</w:t>
            </w:r>
            <w:r>
              <w:rPr>
                <w:rFonts w:hint="eastAsia" w:ascii="宋体" w:hAnsi="宋体" w:cs="宋体"/>
                <w:b/>
                <w:bCs/>
                <w:szCs w:val="21"/>
                <w:highlight w:val="none"/>
              </w:rPr>
              <w:t>符合该条款要求的其他证明材料</w:t>
            </w:r>
            <w:r>
              <w:rPr>
                <w:rFonts w:hint="eastAsia" w:ascii="宋体" w:hAnsi="宋体" w:cs="宋体"/>
                <w:snapToGrid w:val="0"/>
                <w:kern w:val="0"/>
                <w:szCs w:val="21"/>
                <w:highlight w:val="none"/>
                <w:lang w:val="zh-CN"/>
              </w:rPr>
              <w:t>，否则在评审时不享受上述评审优惠。</w:t>
            </w:r>
          </w:p>
          <w:p>
            <w:pPr>
              <w:snapToGrid w:val="0"/>
              <w:spacing w:line="300" w:lineRule="auto"/>
              <w:ind w:firstLine="359" w:firstLineChars="171"/>
              <w:rPr>
                <w:rFonts w:ascii="宋体" w:hAnsi="宋体" w:cs="宋体"/>
                <w:szCs w:val="21"/>
                <w:highlight w:val="none"/>
              </w:rPr>
            </w:pPr>
            <w:r>
              <w:rPr>
                <w:rFonts w:hint="eastAsia" w:ascii="宋体" w:hAnsi="宋体" w:cs="宋体"/>
                <w:szCs w:val="21"/>
                <w:highlight w:val="none"/>
              </w:rPr>
              <w:t>根据工业和信息化部 国家统计局 国家发展和改革委员会 财政部《中小企业划型标准规定》（工信部联企业〔2011〕300号）的规定，本项目采购标的对应的中小企业划分标准所属行业为</w:t>
            </w:r>
            <w:bookmarkStart w:id="36" w:name="OLE_LINK66"/>
            <w:r>
              <w:rPr>
                <w:rFonts w:hint="eastAsia" w:ascii="宋体" w:hAnsi="宋体" w:cs="宋体"/>
                <w:b/>
                <w:szCs w:val="21"/>
                <w:highlight w:val="none"/>
                <w:u w:val="single"/>
                <w:lang w:val="en-US" w:eastAsia="zh-CN"/>
              </w:rPr>
              <w:t>软件和信息技术服务业</w:t>
            </w:r>
            <w:bookmarkEnd w:id="36"/>
            <w:r>
              <w:rPr>
                <w:rFonts w:hint="eastAsia" w:ascii="宋体" w:hAnsi="宋体" w:cs="宋体"/>
                <w:szCs w:val="21"/>
                <w:highlight w:val="none"/>
              </w:rPr>
              <w:t>。</w:t>
            </w:r>
          </w:p>
          <w:p>
            <w:pPr>
              <w:snapToGrid w:val="0"/>
              <w:spacing w:line="300" w:lineRule="auto"/>
              <w:ind w:firstLine="359" w:firstLineChars="171"/>
              <w:rPr>
                <w:rFonts w:hint="eastAsia" w:ascii="宋体" w:hAnsi="宋体" w:cs="宋体"/>
                <w:szCs w:val="21"/>
                <w:highlight w:val="none"/>
              </w:rPr>
            </w:pPr>
            <w:r>
              <w:rPr>
                <w:rFonts w:hint="eastAsia" w:ascii="宋体" w:hAnsi="宋体" w:eastAsia="宋体" w:cs="Arial"/>
                <w:color w:val="auto"/>
                <w:szCs w:val="21"/>
                <w:highlight w:val="none"/>
              </w:rPr>
              <w:t>根据工业和信息化部 国家统计局 国家发展和改革委员会 财政部《中小企业划型标准规定》（工信部联企业〔2011〕300号）的规定，本项目</w:t>
            </w:r>
            <w:r>
              <w:rPr>
                <w:rFonts w:hint="eastAsia" w:ascii="宋体" w:hAnsi="宋体" w:eastAsia="宋体" w:cs="Arial"/>
                <w:b w:val="0"/>
                <w:bCs w:val="0"/>
                <w:color w:val="auto"/>
                <w:szCs w:val="21"/>
                <w:highlight w:val="none"/>
                <w:u w:val="none"/>
              </w:rPr>
              <w:t>采购标的</w:t>
            </w:r>
            <w:r>
              <w:rPr>
                <w:rFonts w:hint="eastAsia" w:ascii="宋体" w:hAnsi="宋体" w:eastAsia="宋体" w:cs="Arial"/>
                <w:b w:val="0"/>
                <w:bCs w:val="0"/>
                <w:color w:val="auto"/>
                <w:szCs w:val="21"/>
                <w:highlight w:val="none"/>
                <w:u w:val="none"/>
                <w:lang w:val="en-US" w:eastAsia="zh-CN"/>
              </w:rPr>
              <w:t>允许分包的</w:t>
            </w:r>
            <w:r>
              <w:rPr>
                <w:rFonts w:hint="eastAsia" w:ascii="宋体" w:hAnsi="宋体" w:eastAsia="宋体" w:cs="Arial"/>
                <w:b/>
                <w:bCs/>
                <w:color w:val="auto"/>
                <w:szCs w:val="21"/>
                <w:highlight w:val="none"/>
                <w:u w:val="none"/>
                <w:lang w:val="en-US" w:eastAsia="zh-CN"/>
              </w:rPr>
              <w:t>“中南民族大学融媒中心建设项目装饰部分”</w:t>
            </w:r>
            <w:r>
              <w:rPr>
                <w:rFonts w:hint="eastAsia" w:ascii="宋体" w:hAnsi="宋体" w:eastAsia="宋体" w:cs="Arial"/>
                <w:b w:val="0"/>
                <w:bCs w:val="0"/>
                <w:color w:val="auto"/>
                <w:szCs w:val="21"/>
                <w:highlight w:val="none"/>
                <w:u w:val="none"/>
              </w:rPr>
              <w:t>对应的中小企业划分标准所属行业为</w:t>
            </w:r>
            <w:r>
              <w:rPr>
                <w:rFonts w:hint="eastAsia" w:ascii="宋体" w:hAnsi="宋体" w:eastAsia="宋体" w:cs="Arial"/>
                <w:b/>
                <w:bCs/>
                <w:color w:val="auto"/>
                <w:szCs w:val="21"/>
                <w:highlight w:val="none"/>
                <w:u w:val="none"/>
                <w:lang w:val="en-US" w:eastAsia="zh-CN"/>
              </w:rPr>
              <w:t>建筑业</w:t>
            </w:r>
            <w:r>
              <w:rPr>
                <w:rFonts w:hint="eastAsia" w:ascii="宋体" w:hAnsi="宋体" w:eastAsia="宋体" w:cs="Arial"/>
                <w:color w:val="auto"/>
                <w:szCs w:val="21"/>
                <w:highlight w:val="none"/>
              </w:rPr>
              <w:t>。</w:t>
            </w:r>
          </w:p>
          <w:p>
            <w:pPr>
              <w:snapToGrid w:val="0"/>
              <w:spacing w:line="300" w:lineRule="auto"/>
              <w:ind w:firstLine="359" w:firstLineChars="171"/>
              <w:rPr>
                <w:rFonts w:ascii="宋体" w:hAnsi="宋体" w:cs="宋体"/>
                <w:szCs w:val="21"/>
                <w:highlight w:val="none"/>
              </w:rPr>
            </w:pPr>
            <w:r>
              <w:rPr>
                <w:rFonts w:hint="eastAsia" w:ascii="宋体" w:hAnsi="宋体" w:cs="宋体"/>
                <w:szCs w:val="21"/>
                <w:highlight w:val="none"/>
              </w:rPr>
              <w:t>依据财政部 司法部《关于政府采购支持监狱企业发展有关问题的通知》（财库[2014]68号）的规定，监狱企业视同小型、微型企业，享受预留份额、评审中价格扣除等促进中小企业发展的政府采购政策。监狱企业应当提供由省级以上监狱管理局、戒毒管理局(含新疆生产建设兵团)出具的属于监狱企业的证明文件。</w:t>
            </w:r>
          </w:p>
          <w:p>
            <w:pPr>
              <w:snapToGrid w:val="0"/>
              <w:spacing w:line="300" w:lineRule="auto"/>
              <w:ind w:firstLine="359" w:firstLineChars="171"/>
              <w:jc w:val="left"/>
              <w:rPr>
                <w:rFonts w:ascii="宋体" w:hAnsi="宋体" w:cs="宋体"/>
                <w:szCs w:val="21"/>
                <w:highlight w:val="none"/>
              </w:rPr>
            </w:pPr>
            <w:r>
              <w:rPr>
                <w:rFonts w:hint="eastAsia" w:ascii="宋体" w:hAnsi="宋体" w:cs="宋体"/>
                <w:szCs w:val="21"/>
                <w:highlight w:val="none"/>
              </w:rPr>
              <w:t>依据财政部 民政部 中国残疾人联合会《关于促进残疾人就业政府采购政策的通知》（财库[2017]141号）的规定，残疾人福利性单位视同小型、微型企业，享受预留份额、评审中价格扣除等促进中小企业发展的政府采购政策。残疾人福利性单位属于小型、微型企业的，不重复享受政策。符合该通知规定条件的残疾人福利性单位应当提供《残疾人福利性单位声明函》（见附件）。</w:t>
            </w:r>
          </w:p>
          <w:p>
            <w:pPr>
              <w:snapToGrid w:val="0"/>
              <w:spacing w:line="300" w:lineRule="auto"/>
              <w:ind w:firstLine="359" w:firstLineChars="171"/>
              <w:rPr>
                <w:rFonts w:ascii="宋体" w:hAnsi="宋体" w:cs="宋体"/>
                <w:szCs w:val="21"/>
                <w:highlight w:val="none"/>
              </w:rPr>
            </w:pPr>
            <w:r>
              <w:rPr>
                <w:rFonts w:hint="eastAsia" w:ascii="宋体" w:hAnsi="宋体" w:cs="宋体"/>
                <w:szCs w:val="21"/>
                <w:highlight w:val="none"/>
              </w:rPr>
              <w:t>满足本招标文件第1.4.2条的规定且接受大中型企业与小微企业组成联合体，或者满足本招标文件第1.11条的规定且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pPr>
              <w:snapToGrid w:val="0"/>
              <w:spacing w:line="300" w:lineRule="auto"/>
              <w:ind w:firstLine="361" w:firstLineChars="171"/>
              <w:rPr>
                <w:rFonts w:ascii="宋体" w:hAnsi="宋体" w:cs="宋体"/>
                <w:b/>
                <w:szCs w:val="21"/>
                <w:highlight w:val="none"/>
              </w:rPr>
            </w:pPr>
            <w:r>
              <w:rPr>
                <w:rFonts w:hint="eastAsia" w:ascii="宋体" w:hAnsi="宋体" w:cs="宋体"/>
                <w:b/>
                <w:szCs w:val="21"/>
                <w:highlight w:val="none"/>
              </w:rPr>
              <w:t>供应商应当对《中小企业声明函》、监狱企业证明文件、《残疾人福利性单位声明函》及其它符合鄂财采发〔2022〕5号文件第二条规定的证明材料的真实性负责，</w:t>
            </w:r>
            <w:r>
              <w:rPr>
                <w:rFonts w:hint="eastAsia" w:ascii="宋体" w:hAnsi="宋体" w:cs="宋体"/>
                <w:szCs w:val="21"/>
                <w:highlight w:val="none"/>
              </w:rPr>
              <w:t>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Merge w:val="continue"/>
            <w:vAlign w:val="center"/>
          </w:tcPr>
          <w:p>
            <w:pPr>
              <w:autoSpaceDE w:val="0"/>
              <w:autoSpaceDN w:val="0"/>
              <w:snapToGrid w:val="0"/>
              <w:spacing w:line="300" w:lineRule="auto"/>
              <w:jc w:val="center"/>
              <w:rPr>
                <w:rFonts w:ascii="宋体" w:hAnsi="宋体" w:cs="宋体"/>
                <w:szCs w:val="21"/>
                <w:highlight w:val="none"/>
              </w:rPr>
            </w:pP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采购节能产品政策</w:t>
            </w:r>
          </w:p>
        </w:tc>
        <w:tc>
          <w:tcPr>
            <w:tcW w:w="5716" w:type="dxa"/>
            <w:gridSpan w:val="2"/>
            <w:vAlign w:val="center"/>
          </w:tcPr>
          <w:p>
            <w:pPr>
              <w:snapToGrid w:val="0"/>
              <w:spacing w:line="300" w:lineRule="auto"/>
              <w:ind w:firstLine="359" w:firstLineChars="171"/>
              <w:rPr>
                <w:rFonts w:ascii="宋体" w:hAnsi="宋体" w:cs="宋体"/>
                <w:szCs w:val="21"/>
                <w:highlight w:val="none"/>
              </w:rPr>
            </w:pPr>
            <w:r>
              <w:rPr>
                <w:rFonts w:hint="eastAsia" w:ascii="宋体" w:hAnsi="宋体" w:cs="宋体"/>
                <w:szCs w:val="21"/>
                <w:highlight w:val="none"/>
              </w:rPr>
              <w:t>供应商提供的产品如属于《节能产品政府采购品目清单》中“政府强制采购产品”的，评审时不予价格扣除。</w:t>
            </w:r>
          </w:p>
          <w:p>
            <w:pPr>
              <w:snapToGrid w:val="0"/>
              <w:spacing w:line="300" w:lineRule="auto"/>
              <w:ind w:firstLine="359" w:firstLineChars="171"/>
              <w:rPr>
                <w:rFonts w:ascii="宋体" w:hAnsi="宋体" w:cs="宋体"/>
                <w:szCs w:val="21"/>
                <w:highlight w:val="none"/>
              </w:rPr>
            </w:pPr>
            <w:r>
              <w:rPr>
                <w:rFonts w:hint="eastAsia" w:ascii="宋体" w:hAnsi="宋体" w:cs="宋体"/>
                <w:szCs w:val="21"/>
                <w:highlight w:val="none"/>
              </w:rPr>
              <w:t>供应商提供的产品如属于《节能产品政府采购品目清单》中非“政府强制采购产品”的，给予该项产品价格1%的扣除，用扣除后的价格参与评审。</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Merge w:val="continue"/>
            <w:vAlign w:val="center"/>
          </w:tcPr>
          <w:p>
            <w:pPr>
              <w:autoSpaceDE w:val="0"/>
              <w:autoSpaceDN w:val="0"/>
              <w:snapToGrid w:val="0"/>
              <w:spacing w:line="300" w:lineRule="auto"/>
              <w:jc w:val="center"/>
              <w:rPr>
                <w:rFonts w:ascii="宋体" w:hAnsi="宋体" w:cs="宋体"/>
                <w:szCs w:val="21"/>
                <w:highlight w:val="none"/>
              </w:rPr>
            </w:pP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采购环保产品政策</w:t>
            </w:r>
          </w:p>
        </w:tc>
        <w:tc>
          <w:tcPr>
            <w:tcW w:w="5716" w:type="dxa"/>
            <w:gridSpan w:val="2"/>
            <w:vAlign w:val="center"/>
          </w:tcPr>
          <w:p>
            <w:pPr>
              <w:snapToGrid w:val="0"/>
              <w:spacing w:line="300" w:lineRule="auto"/>
              <w:ind w:firstLine="359" w:firstLineChars="171"/>
              <w:rPr>
                <w:rFonts w:ascii="宋体" w:hAnsi="宋体" w:cs="宋体"/>
                <w:szCs w:val="21"/>
                <w:highlight w:val="none"/>
              </w:rPr>
            </w:pPr>
            <w:r>
              <w:rPr>
                <w:rFonts w:hint="eastAsia" w:ascii="宋体" w:hAnsi="宋体" w:cs="宋体"/>
                <w:szCs w:val="21"/>
                <w:highlight w:val="none"/>
              </w:rPr>
              <w:t>供应商提供的产品如属于《环境标志产品政府采购品目清单》范围的，给予该项产品价格1%的扣除，用扣除后的价格参与评审。</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snapToGrid w:val="0"/>
              <w:spacing w:line="300" w:lineRule="auto"/>
              <w:jc w:val="center"/>
              <w:rPr>
                <w:rFonts w:ascii="宋体" w:hAnsi="宋体" w:cs="宋体"/>
                <w:szCs w:val="21"/>
                <w:highlight w:val="none"/>
              </w:rPr>
            </w:pPr>
            <w:r>
              <w:rPr>
                <w:rFonts w:hint="eastAsia" w:ascii="宋体" w:hAnsi="宋体" w:cs="宋体"/>
                <w:szCs w:val="21"/>
                <w:highlight w:val="none"/>
              </w:rPr>
              <w:t>2.2.3</w:t>
            </w:r>
          </w:p>
        </w:tc>
        <w:tc>
          <w:tcPr>
            <w:tcW w:w="2453" w:type="dxa"/>
            <w:gridSpan w:val="2"/>
            <w:vAlign w:val="center"/>
          </w:tcPr>
          <w:p>
            <w:pPr>
              <w:snapToGrid w:val="0"/>
              <w:spacing w:line="300" w:lineRule="auto"/>
              <w:jc w:val="center"/>
              <w:rPr>
                <w:rFonts w:ascii="宋体" w:hAnsi="宋体" w:cs="宋体"/>
                <w:szCs w:val="21"/>
                <w:highlight w:val="none"/>
              </w:rPr>
            </w:pPr>
            <w:r>
              <w:rPr>
                <w:rFonts w:hint="eastAsia" w:ascii="宋体" w:hAnsi="宋体" w:cs="宋体"/>
                <w:szCs w:val="21"/>
                <w:highlight w:val="none"/>
              </w:rPr>
              <w:t>投标人确认收到招标文件澄清或者修改的时间</w:t>
            </w:r>
          </w:p>
        </w:tc>
        <w:tc>
          <w:tcPr>
            <w:tcW w:w="5716" w:type="dxa"/>
            <w:gridSpan w:val="2"/>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在收到相应澄清文件后</w:t>
            </w:r>
            <w:r>
              <w:rPr>
                <w:rFonts w:hint="eastAsia" w:ascii="宋体" w:hAnsi="宋体" w:cs="宋体"/>
                <w:szCs w:val="21"/>
                <w:highlight w:val="none"/>
                <w:u w:val="single"/>
              </w:rPr>
              <w:t>24</w:t>
            </w:r>
            <w:r>
              <w:rPr>
                <w:rFonts w:hint="eastAsia" w:ascii="宋体" w:hAnsi="宋体" w:cs="宋体"/>
                <w:szCs w:val="21"/>
                <w:highlight w:val="none"/>
              </w:rPr>
              <w:t>小时内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snapToGrid w:val="0"/>
              <w:spacing w:line="300" w:lineRule="auto"/>
              <w:jc w:val="center"/>
              <w:rPr>
                <w:rFonts w:ascii="宋体" w:hAnsi="宋体" w:cs="宋体"/>
                <w:szCs w:val="21"/>
                <w:highlight w:val="none"/>
              </w:rPr>
            </w:pPr>
            <w:r>
              <w:rPr>
                <w:rFonts w:hint="eastAsia" w:ascii="宋体" w:hAnsi="宋体" w:cs="宋体"/>
                <w:szCs w:val="21"/>
                <w:highlight w:val="none"/>
              </w:rPr>
              <w:t>3.2.4</w:t>
            </w:r>
          </w:p>
        </w:tc>
        <w:tc>
          <w:tcPr>
            <w:tcW w:w="2453" w:type="dxa"/>
            <w:gridSpan w:val="2"/>
            <w:vAlign w:val="center"/>
          </w:tcPr>
          <w:p>
            <w:pPr>
              <w:snapToGrid w:val="0"/>
              <w:spacing w:line="300" w:lineRule="auto"/>
              <w:jc w:val="center"/>
              <w:rPr>
                <w:rFonts w:ascii="宋体" w:hAnsi="宋体" w:cs="宋体"/>
                <w:szCs w:val="21"/>
                <w:highlight w:val="none"/>
              </w:rPr>
            </w:pPr>
            <w:r>
              <w:rPr>
                <w:rFonts w:hint="eastAsia" w:ascii="宋体" w:hAnsi="宋体" w:cs="宋体"/>
                <w:szCs w:val="21"/>
                <w:highlight w:val="none"/>
              </w:rPr>
              <w:t>采购预算价格</w:t>
            </w:r>
          </w:p>
        </w:tc>
        <w:tc>
          <w:tcPr>
            <w:tcW w:w="5716" w:type="dxa"/>
            <w:gridSpan w:val="2"/>
            <w:vAlign w:val="center"/>
          </w:tcPr>
          <w:p>
            <w:pPr>
              <w:autoSpaceDE w:val="0"/>
              <w:autoSpaceDN w:val="0"/>
              <w:snapToGrid w:val="0"/>
              <w:spacing w:line="300" w:lineRule="auto"/>
              <w:rPr>
                <w:rFonts w:ascii="宋体" w:hAnsi="宋体" w:cs="宋体"/>
                <w:szCs w:val="21"/>
                <w:highlight w:val="none"/>
                <w:u w:val="single"/>
              </w:rPr>
            </w:pPr>
            <w:r>
              <w:rPr>
                <w:rFonts w:hint="eastAsia" w:ascii="宋体" w:hAnsi="宋体" w:cs="宋体"/>
                <w:szCs w:val="21"/>
                <w:highlight w:val="none"/>
              </w:rPr>
              <w:t>本项目采购预算详见第一章《投标邀请》。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3.3.1</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投标有效期</w:t>
            </w:r>
          </w:p>
        </w:tc>
        <w:tc>
          <w:tcPr>
            <w:tcW w:w="5716" w:type="dxa"/>
            <w:gridSpan w:val="2"/>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投标截止日期后</w:t>
            </w:r>
            <w:r>
              <w:rPr>
                <w:rFonts w:hint="eastAsia" w:ascii="宋体" w:hAnsi="宋体" w:cs="宋体"/>
                <w:szCs w:val="21"/>
                <w:highlight w:val="none"/>
                <w:u w:val="single"/>
              </w:rPr>
              <w:t xml:space="preserve"> 90 </w:t>
            </w:r>
            <w:r>
              <w:rPr>
                <w:rFonts w:hint="eastAsia" w:ascii="宋体" w:hAnsi="宋体" w:cs="宋体"/>
                <w:szCs w:val="21"/>
                <w:highlight w:val="none"/>
              </w:rPr>
              <w:t>日历日</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3.4.1</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投标保证金</w:t>
            </w:r>
          </w:p>
        </w:tc>
        <w:tc>
          <w:tcPr>
            <w:tcW w:w="5716" w:type="dxa"/>
            <w:gridSpan w:val="2"/>
            <w:vAlign w:val="center"/>
          </w:tcPr>
          <w:p>
            <w:pPr>
              <w:autoSpaceDE w:val="0"/>
              <w:autoSpaceDN w:val="0"/>
              <w:snapToGrid w:val="0"/>
              <w:spacing w:line="300" w:lineRule="auto"/>
              <w:rPr>
                <w:rFonts w:ascii="宋体" w:hAnsi="宋体" w:cs="宋体"/>
                <w:b/>
                <w:szCs w:val="21"/>
                <w:highlight w:val="none"/>
              </w:rPr>
            </w:pPr>
            <w:r>
              <w:rPr>
                <w:rFonts w:hint="eastAsia" w:ascii="宋体" w:hAnsi="宋体" w:cs="宋体"/>
                <w:b/>
                <w:szCs w:val="21"/>
                <w:highlight w:val="none"/>
              </w:rPr>
              <w:t>本项目不收投标保证金。</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snapToGrid w:val="0"/>
              <w:spacing w:line="300" w:lineRule="auto"/>
              <w:jc w:val="center"/>
              <w:rPr>
                <w:rFonts w:ascii="宋体" w:hAnsi="宋体" w:cs="宋体"/>
                <w:szCs w:val="21"/>
                <w:highlight w:val="none"/>
              </w:rPr>
            </w:pPr>
            <w:r>
              <w:rPr>
                <w:rFonts w:hint="eastAsia" w:ascii="宋体" w:hAnsi="宋体" w:cs="宋体"/>
                <w:szCs w:val="21"/>
                <w:highlight w:val="none"/>
              </w:rPr>
              <w:t>3.5.1</w:t>
            </w:r>
          </w:p>
        </w:tc>
        <w:tc>
          <w:tcPr>
            <w:tcW w:w="2453" w:type="dxa"/>
            <w:gridSpan w:val="2"/>
            <w:vAlign w:val="center"/>
          </w:tcPr>
          <w:p>
            <w:pPr>
              <w:snapToGrid w:val="0"/>
              <w:spacing w:line="300" w:lineRule="auto"/>
              <w:jc w:val="center"/>
              <w:rPr>
                <w:rFonts w:ascii="宋体" w:hAnsi="宋体" w:cs="宋体"/>
                <w:szCs w:val="21"/>
                <w:highlight w:val="none"/>
              </w:rPr>
            </w:pPr>
            <w:r>
              <w:rPr>
                <w:rFonts w:hint="eastAsia" w:ascii="宋体" w:hAnsi="宋体" w:cs="宋体"/>
                <w:szCs w:val="21"/>
                <w:highlight w:val="none"/>
              </w:rPr>
              <w:t>是否允许递交备选投标方案</w:t>
            </w:r>
          </w:p>
        </w:tc>
        <w:tc>
          <w:tcPr>
            <w:tcW w:w="5716" w:type="dxa"/>
            <w:gridSpan w:val="2"/>
            <w:vAlign w:val="center"/>
          </w:tcPr>
          <w:p>
            <w:pPr>
              <w:pStyle w:val="31"/>
              <w:topLinePunct/>
              <w:snapToGrid w:val="0"/>
              <w:spacing w:after="0" w:line="300" w:lineRule="auto"/>
              <w:rPr>
                <w:rFonts w:ascii="宋体" w:hAnsi="宋体" w:cs="宋体"/>
                <w:sz w:val="21"/>
                <w:szCs w:val="21"/>
                <w:highlight w:val="none"/>
              </w:rPr>
            </w:pPr>
            <w:r>
              <w:rPr>
                <w:rFonts w:hint="eastAsia" w:ascii="宋体" w:hAnsi="宋体" w:cs="宋体"/>
                <w:sz w:val="15"/>
                <w:szCs w:val="15"/>
                <w:highlight w:val="none"/>
                <w:bdr w:val="single" w:color="auto" w:sz="4" w:space="0"/>
              </w:rPr>
              <w:t>√</w:t>
            </w:r>
            <w:r>
              <w:rPr>
                <w:rFonts w:hint="eastAsia" w:ascii="宋体" w:hAnsi="宋体" w:cs="宋体"/>
                <w:sz w:val="21"/>
                <w:szCs w:val="21"/>
                <w:highlight w:val="none"/>
              </w:rPr>
              <w:t>不允许</w:t>
            </w:r>
          </w:p>
          <w:p>
            <w:pPr>
              <w:snapToGrid w:val="0"/>
              <w:spacing w:line="300" w:lineRule="auto"/>
              <w:rPr>
                <w:rFonts w:ascii="宋体" w:hAnsi="宋体" w:cs="宋体"/>
                <w:szCs w:val="21"/>
                <w:highlight w:val="none"/>
              </w:rPr>
            </w:pPr>
            <w:r>
              <w:rPr>
                <w:rFonts w:hint="eastAsia" w:ascii="宋体" w:hAnsi="宋体" w:cs="宋体"/>
                <w:szCs w:val="21"/>
                <w:highlight w:val="none"/>
              </w:rPr>
              <w:t>□允许</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3.6.4</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投标文件份数</w:t>
            </w:r>
          </w:p>
        </w:tc>
        <w:tc>
          <w:tcPr>
            <w:tcW w:w="5716" w:type="dxa"/>
            <w:gridSpan w:val="2"/>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投标文件纸质版：正本一份，副本</w:t>
            </w:r>
            <w:r>
              <w:rPr>
                <w:rFonts w:hint="eastAsia" w:ascii="宋体" w:hAnsi="宋体" w:cs="宋体"/>
                <w:szCs w:val="21"/>
                <w:highlight w:val="none"/>
                <w:u w:val="single"/>
                <w:lang w:val="en-US" w:eastAsia="zh-CN"/>
              </w:rPr>
              <w:t>四</w:t>
            </w:r>
            <w:r>
              <w:rPr>
                <w:rFonts w:hint="eastAsia" w:ascii="宋体" w:hAnsi="宋体" w:cs="宋体"/>
                <w:szCs w:val="21"/>
                <w:highlight w:val="none"/>
              </w:rPr>
              <w:t>份</w:t>
            </w:r>
          </w:p>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投标文件电子版：</w:t>
            </w:r>
          </w:p>
          <w:p>
            <w:pPr>
              <w:autoSpaceDE w:val="0"/>
              <w:autoSpaceDN w:val="0"/>
              <w:snapToGrid w:val="0"/>
              <w:spacing w:line="300" w:lineRule="auto"/>
              <w:rPr>
                <w:rFonts w:ascii="宋体" w:hAnsi="宋体" w:cs="宋体"/>
                <w:szCs w:val="21"/>
                <w:highlight w:val="none"/>
              </w:rPr>
            </w:pPr>
            <w:r>
              <w:rPr>
                <w:rFonts w:hint="eastAsia" w:ascii="宋体" w:hAnsi="宋体" w:cs="宋体"/>
                <w:sz w:val="15"/>
                <w:szCs w:val="15"/>
                <w:highlight w:val="none"/>
                <w:bdr w:val="single" w:color="auto" w:sz="4" w:space="0"/>
              </w:rPr>
              <w:t>√</w:t>
            </w:r>
            <w:r>
              <w:rPr>
                <w:rFonts w:hint="eastAsia" w:ascii="宋体" w:hAnsi="宋体" w:cs="宋体"/>
                <w:szCs w:val="21"/>
                <w:highlight w:val="none"/>
              </w:rPr>
              <w:t>不要求</w:t>
            </w:r>
          </w:p>
          <w:p>
            <w:pPr>
              <w:autoSpaceDE w:val="0"/>
              <w:autoSpaceDN w:val="0"/>
              <w:snapToGrid w:val="0"/>
              <w:spacing w:line="300" w:lineRule="auto"/>
              <w:rPr>
                <w:rFonts w:ascii="宋体" w:hAnsi="宋体" w:cs="宋体"/>
                <w:szCs w:val="21"/>
                <w:highlight w:val="none"/>
                <w:u w:val="single"/>
              </w:rPr>
            </w:pPr>
            <w:r>
              <w:rPr>
                <w:rFonts w:hint="eastAsia" w:ascii="宋体" w:hAnsi="宋体" w:cs="宋体"/>
                <w:szCs w:val="21"/>
                <w:highlight w:val="none"/>
              </w:rPr>
              <w:t>□要求</w:t>
            </w:r>
          </w:p>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以上资料均应密封提交。</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bookmarkStart w:id="37" w:name="_Toc293340766"/>
            <w:bookmarkEnd w:id="37"/>
            <w:bookmarkStart w:id="38" w:name="_Toc293340906"/>
            <w:bookmarkEnd w:id="38"/>
            <w:bookmarkStart w:id="39" w:name="_Toc291177824"/>
            <w:bookmarkEnd w:id="39"/>
            <w:bookmarkStart w:id="40" w:name="_Toc293650191"/>
            <w:bookmarkEnd w:id="40"/>
            <w:bookmarkStart w:id="41" w:name="_Toc291177681"/>
            <w:bookmarkEnd w:id="41"/>
            <w:bookmarkStart w:id="42" w:name="_Toc293650331"/>
            <w:bookmarkEnd w:id="42"/>
            <w:bookmarkStart w:id="43" w:name="_Toc291177538"/>
            <w:bookmarkEnd w:id="43"/>
            <w:r>
              <w:rPr>
                <w:rFonts w:hint="eastAsia" w:ascii="宋体" w:hAnsi="宋体" w:cs="宋体"/>
                <w:szCs w:val="21"/>
                <w:highlight w:val="none"/>
              </w:rPr>
              <w:t>3.6.5</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装订要求</w:t>
            </w:r>
          </w:p>
        </w:tc>
        <w:tc>
          <w:tcPr>
            <w:tcW w:w="5716" w:type="dxa"/>
            <w:gridSpan w:val="2"/>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按照投标人须知第3.1项规定的投标文件组成内容，投标文件应按以下要求装订：</w:t>
            </w:r>
          </w:p>
          <w:p>
            <w:pPr>
              <w:pStyle w:val="31"/>
              <w:topLinePunct/>
              <w:snapToGrid w:val="0"/>
              <w:spacing w:after="0" w:line="300" w:lineRule="auto"/>
              <w:rPr>
                <w:rFonts w:ascii="宋体" w:hAnsi="宋体" w:cs="宋体"/>
                <w:sz w:val="21"/>
                <w:szCs w:val="21"/>
                <w:highlight w:val="none"/>
              </w:rPr>
            </w:pPr>
            <w:r>
              <w:rPr>
                <w:rFonts w:hint="eastAsia" w:ascii="宋体" w:hAnsi="宋体" w:cs="宋体"/>
                <w:sz w:val="15"/>
                <w:szCs w:val="15"/>
                <w:highlight w:val="none"/>
                <w:bdr w:val="single" w:color="auto" w:sz="4" w:space="0"/>
              </w:rPr>
              <w:t>√</w:t>
            </w:r>
            <w:r>
              <w:rPr>
                <w:rFonts w:hint="eastAsia" w:ascii="宋体" w:hAnsi="宋体" w:cs="宋体"/>
                <w:sz w:val="21"/>
                <w:szCs w:val="21"/>
                <w:highlight w:val="none"/>
              </w:rPr>
              <w:t>装订成一册</w:t>
            </w:r>
          </w:p>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□分册装订，共分册，分别为：</w:t>
            </w:r>
          </w:p>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第一册，包括</w:t>
            </w:r>
          </w:p>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第二册，包括</w:t>
            </w:r>
          </w:p>
          <w:p>
            <w:pPr>
              <w:pStyle w:val="34"/>
              <w:rPr>
                <w:rFonts w:ascii="宋体" w:hAnsi="宋体" w:cs="宋体"/>
                <w:highlight w:val="none"/>
              </w:rPr>
            </w:pPr>
            <w:r>
              <w:rPr>
                <w:rFonts w:hint="eastAsia" w:ascii="宋体" w:hAnsi="宋体" w:cs="宋体"/>
                <w:szCs w:val="21"/>
                <w:highlight w:val="none"/>
              </w:rPr>
              <w:t>投标文件采用胶粘方式装订，装订应牢固、不易拆散和换页，不得采用活页装订。</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4.1.2</w:t>
            </w:r>
          </w:p>
        </w:tc>
        <w:tc>
          <w:tcPr>
            <w:tcW w:w="2453" w:type="dxa"/>
            <w:gridSpan w:val="2"/>
            <w:vAlign w:val="center"/>
          </w:tcPr>
          <w:p>
            <w:pPr>
              <w:pStyle w:val="356"/>
              <w:snapToGrid w:val="0"/>
              <w:spacing w:line="300"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封套上写明</w:t>
            </w:r>
          </w:p>
        </w:tc>
        <w:tc>
          <w:tcPr>
            <w:tcW w:w="5716" w:type="dxa"/>
            <w:gridSpan w:val="2"/>
            <w:vAlign w:val="center"/>
          </w:tcPr>
          <w:p>
            <w:pPr>
              <w:pStyle w:val="356"/>
              <w:snapToGrid w:val="0"/>
              <w:spacing w:line="30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采购代理机构名称：</w:t>
            </w:r>
            <w:r>
              <w:rPr>
                <w:rFonts w:hint="eastAsia" w:ascii="宋体" w:hAnsi="宋体" w:eastAsia="宋体" w:cs="宋体"/>
                <w:color w:val="auto"/>
                <w:sz w:val="21"/>
                <w:szCs w:val="21"/>
                <w:highlight w:val="none"/>
                <w:u w:val="single"/>
              </w:rPr>
              <w:t>湖北省招标股份有限公司</w:t>
            </w:r>
          </w:p>
          <w:p>
            <w:pPr>
              <w:pStyle w:val="356"/>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（项目名称）投标文件在年月日时分前不得开启</w:t>
            </w:r>
          </w:p>
          <w:p>
            <w:pPr>
              <w:pStyle w:val="356"/>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w:t>
            </w:r>
          </w:p>
          <w:p>
            <w:pPr>
              <w:pStyle w:val="356"/>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投标人地址：</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4.1.3</w:t>
            </w:r>
          </w:p>
        </w:tc>
        <w:tc>
          <w:tcPr>
            <w:tcW w:w="2453" w:type="dxa"/>
            <w:gridSpan w:val="2"/>
            <w:vAlign w:val="center"/>
          </w:tcPr>
          <w:p>
            <w:pPr>
              <w:pStyle w:val="356"/>
              <w:snapToGrid w:val="0"/>
              <w:spacing w:line="300" w:lineRule="auto"/>
              <w:jc w:val="center"/>
              <w:rPr>
                <w:rFonts w:ascii="宋体" w:hAnsi="宋体" w:eastAsia="宋体" w:cs="宋体"/>
                <w:color w:val="auto"/>
                <w:sz w:val="21"/>
                <w:szCs w:val="21"/>
                <w:highlight w:val="none"/>
              </w:rPr>
            </w:pPr>
            <w:r>
              <w:rPr>
                <w:rFonts w:hint="eastAsia" w:ascii="宋体" w:hAnsi="宋体" w:eastAsia="宋体" w:cs="宋体"/>
                <w:highlight w:val="none"/>
              </w:rPr>
              <w:t>开标一览表</w:t>
            </w:r>
          </w:p>
        </w:tc>
        <w:tc>
          <w:tcPr>
            <w:tcW w:w="5716" w:type="dxa"/>
            <w:gridSpan w:val="2"/>
            <w:vAlign w:val="center"/>
          </w:tcPr>
          <w:p>
            <w:pPr>
              <w:snapToGrid w:val="0"/>
              <w:spacing w:line="360" w:lineRule="auto"/>
              <w:rPr>
                <w:rFonts w:ascii="宋体" w:hAnsi="宋体" w:cs="宋体"/>
                <w:szCs w:val="21"/>
                <w:highlight w:val="none"/>
              </w:rPr>
            </w:pPr>
            <w:r>
              <w:rPr>
                <w:rFonts w:hint="eastAsia" w:ascii="宋体" w:hAnsi="宋体" w:cs="宋体"/>
                <w:highlight w:val="none"/>
              </w:rPr>
              <w:t>为方便开标唱标，投标人应将《开标一览表》和《</w:t>
            </w:r>
            <w:r>
              <w:rPr>
                <w:rFonts w:hint="eastAsia" w:ascii="宋体" w:hAnsi="宋体" w:cs="宋体"/>
                <w:bCs/>
                <w:highlight w:val="none"/>
              </w:rPr>
              <w:t>法定代表人授权书》</w:t>
            </w:r>
            <w:r>
              <w:rPr>
                <w:rFonts w:hint="eastAsia" w:ascii="宋体" w:hAnsi="宋体" w:cs="宋体"/>
                <w:highlight w:val="none"/>
              </w:rPr>
              <w:t>单独密封提交，并在密封袋上标明“开标一览表”字样。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4.2.1</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提交投标文件截止时间</w:t>
            </w:r>
          </w:p>
        </w:tc>
        <w:tc>
          <w:tcPr>
            <w:tcW w:w="5716" w:type="dxa"/>
            <w:gridSpan w:val="2"/>
            <w:vAlign w:val="center"/>
          </w:tcPr>
          <w:p>
            <w:pPr>
              <w:autoSpaceDE w:val="0"/>
              <w:autoSpaceDN w:val="0"/>
              <w:snapToGrid w:val="0"/>
              <w:spacing w:line="300" w:lineRule="auto"/>
              <w:rPr>
                <w:rFonts w:ascii="宋体" w:hAnsi="宋体" w:cs="宋体"/>
                <w:bCs/>
                <w:szCs w:val="21"/>
                <w:highlight w:val="none"/>
              </w:rPr>
            </w:pPr>
            <w:r>
              <w:rPr>
                <w:rFonts w:hint="eastAsia" w:ascii="宋体" w:hAnsi="宋体" w:cs="宋体"/>
                <w:szCs w:val="21"/>
                <w:highlight w:val="none"/>
              </w:rPr>
              <w:t>详见第一章《投标邀请》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4.2.2</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提交投标文件地点</w:t>
            </w:r>
          </w:p>
        </w:tc>
        <w:tc>
          <w:tcPr>
            <w:tcW w:w="5716" w:type="dxa"/>
            <w:gridSpan w:val="2"/>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详见第一章《投标邀请》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5.1.1</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开标时间和地点</w:t>
            </w:r>
          </w:p>
        </w:tc>
        <w:tc>
          <w:tcPr>
            <w:tcW w:w="5716" w:type="dxa"/>
            <w:gridSpan w:val="2"/>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详见第一章《投标邀请》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6.1.1</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评标委员会的组建</w:t>
            </w:r>
          </w:p>
        </w:tc>
        <w:tc>
          <w:tcPr>
            <w:tcW w:w="5716" w:type="dxa"/>
            <w:gridSpan w:val="2"/>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评标委员会由采购人代表和评审专家组成，成员人数应当为五人以上单数。其中，评审专家不得少于成员总数的2/3，从政府采购专家库中随机抽取。</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6.3.2</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推荐中标候选人</w:t>
            </w:r>
          </w:p>
        </w:tc>
        <w:tc>
          <w:tcPr>
            <w:tcW w:w="5716" w:type="dxa"/>
            <w:gridSpan w:val="2"/>
            <w:vAlign w:val="center"/>
          </w:tcPr>
          <w:p>
            <w:pPr>
              <w:snapToGrid w:val="0"/>
              <w:spacing w:line="300" w:lineRule="auto"/>
              <w:rPr>
                <w:rFonts w:ascii="宋体" w:hAnsi="宋体" w:cs="宋体"/>
                <w:szCs w:val="21"/>
                <w:highlight w:val="none"/>
              </w:rPr>
            </w:pPr>
            <w:r>
              <w:rPr>
                <w:rFonts w:hint="eastAsia" w:ascii="宋体" w:hAnsi="宋体" w:cs="宋体"/>
                <w:szCs w:val="21"/>
                <w:highlight w:val="none"/>
              </w:rPr>
              <w:t>中标候选人数量</w:t>
            </w:r>
            <w:r>
              <w:rPr>
                <w:rFonts w:hint="eastAsia" w:ascii="宋体" w:hAnsi="宋体" w:cs="宋体"/>
                <w:szCs w:val="21"/>
                <w:highlight w:val="none"/>
                <w:u w:val="single"/>
              </w:rPr>
              <w:t>3</w:t>
            </w:r>
            <w:r>
              <w:rPr>
                <w:rFonts w:hint="eastAsia" w:ascii="宋体" w:hAnsi="宋体" w:cs="宋体"/>
                <w:szCs w:val="21"/>
                <w:highlight w:val="none"/>
              </w:rPr>
              <w:t>家</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7.1.1</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定标原则</w:t>
            </w:r>
          </w:p>
        </w:tc>
        <w:tc>
          <w:tcPr>
            <w:tcW w:w="5716" w:type="dxa"/>
            <w:gridSpan w:val="2"/>
            <w:vAlign w:val="center"/>
          </w:tcPr>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采购人按评审报告中推荐的中标候选人排序确定中标人。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7.2.2</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中标结果公告</w:t>
            </w:r>
          </w:p>
        </w:tc>
        <w:tc>
          <w:tcPr>
            <w:tcW w:w="5716" w:type="dxa"/>
            <w:gridSpan w:val="2"/>
            <w:vAlign w:val="center"/>
          </w:tcPr>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公告媒介：</w:t>
            </w:r>
          </w:p>
          <w:p>
            <w:pPr>
              <w:tabs>
                <w:tab w:val="left" w:pos="1260"/>
              </w:tabs>
              <w:snapToGrid w:val="0"/>
              <w:spacing w:line="300" w:lineRule="auto"/>
              <w:rPr>
                <w:rFonts w:ascii="宋体" w:hAnsi="宋体" w:cs="宋体"/>
                <w:color w:val="000000"/>
                <w:szCs w:val="21"/>
                <w:highlight w:val="none"/>
              </w:rPr>
            </w:pPr>
            <w:r>
              <w:rPr>
                <w:rFonts w:hint="eastAsia" w:ascii="宋体" w:hAnsi="宋体" w:cs="宋体"/>
                <w:szCs w:val="21"/>
                <w:highlight w:val="none"/>
                <w:lang w:val="en-US" w:eastAsia="zh-CN"/>
              </w:rPr>
              <w:t>中国</w:t>
            </w:r>
            <w:r>
              <w:rPr>
                <w:rFonts w:hint="eastAsia" w:ascii="宋体" w:hAnsi="宋体" w:cs="宋体"/>
                <w:szCs w:val="21"/>
                <w:highlight w:val="none"/>
              </w:rPr>
              <w:t>政府采购</w:t>
            </w:r>
            <w:r>
              <w:rPr>
                <w:rFonts w:hint="eastAsia" w:ascii="宋体" w:hAnsi="宋体" w:cs="宋体"/>
                <w:color w:val="000000"/>
                <w:szCs w:val="21"/>
                <w:highlight w:val="none"/>
              </w:rPr>
              <w:t>网（</w:t>
            </w:r>
            <w:r>
              <w:rPr>
                <w:highlight w:val="none"/>
              </w:rPr>
              <w:fldChar w:fldCharType="begin"/>
            </w:r>
            <w:r>
              <w:rPr>
                <w:highlight w:val="none"/>
              </w:rPr>
              <w:instrText xml:space="preserve"> HYPERLINK "http://www.ccgp-hubei.gov.cn/" </w:instrText>
            </w:r>
            <w:r>
              <w:rPr>
                <w:highlight w:val="none"/>
              </w:rPr>
              <w:fldChar w:fldCharType="separate"/>
            </w:r>
            <w:r>
              <w:rPr>
                <w:rStyle w:val="95"/>
                <w:rFonts w:hint="eastAsia" w:ascii="宋体" w:hAnsi="宋体" w:cs="宋体"/>
                <w:color w:val="000000"/>
                <w:szCs w:val="21"/>
                <w:highlight w:val="none"/>
                <w:u w:val="none"/>
              </w:rPr>
              <w:t>http://www.ccgp-hubei.gov.cn/</w:t>
            </w:r>
            <w:r>
              <w:rPr>
                <w:rStyle w:val="95"/>
                <w:rFonts w:hint="eastAsia" w:ascii="宋体" w:hAnsi="宋体" w:cs="宋体"/>
                <w:color w:val="000000"/>
                <w:szCs w:val="21"/>
                <w:highlight w:val="none"/>
                <w:u w:val="none"/>
              </w:rPr>
              <w:fldChar w:fldCharType="end"/>
            </w:r>
            <w:r>
              <w:rPr>
                <w:rFonts w:hint="eastAsia" w:ascii="宋体" w:hAnsi="宋体" w:cs="宋体"/>
                <w:color w:val="000000"/>
                <w:szCs w:val="21"/>
                <w:highlight w:val="none"/>
              </w:rPr>
              <w:t>）</w:t>
            </w:r>
          </w:p>
          <w:p>
            <w:pPr>
              <w:tabs>
                <w:tab w:val="left" w:pos="1260"/>
              </w:tabs>
              <w:snapToGrid w:val="0"/>
              <w:spacing w:line="300" w:lineRule="auto"/>
              <w:rPr>
                <w:rFonts w:ascii="宋体" w:hAnsi="宋体" w:cs="宋体"/>
                <w:szCs w:val="21"/>
                <w:highlight w:val="none"/>
                <w:u w:val="single"/>
              </w:rPr>
            </w:pPr>
            <w:r>
              <w:rPr>
                <w:rFonts w:hint="eastAsia" w:ascii="宋体" w:hAnsi="宋体" w:cs="宋体"/>
                <w:szCs w:val="21"/>
                <w:highlight w:val="none"/>
              </w:rPr>
              <w:t>公告期限：</w:t>
            </w:r>
            <w:r>
              <w:rPr>
                <w:rFonts w:hint="eastAsia" w:ascii="宋体" w:hAnsi="宋体" w:cs="宋体"/>
                <w:szCs w:val="21"/>
                <w:highlight w:val="none"/>
                <w:u w:val="single"/>
              </w:rPr>
              <w:t>1个工作日</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7.3.2</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中标通知书领取</w:t>
            </w:r>
          </w:p>
        </w:tc>
        <w:tc>
          <w:tcPr>
            <w:tcW w:w="5716" w:type="dxa"/>
            <w:gridSpan w:val="2"/>
            <w:vAlign w:val="center"/>
          </w:tcPr>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中标结果公告发布后，中标人即可前往采购代理机构处领取中标通知书，并于30日内按照招标文件要求和投标文件承诺与采购人签订政府采购合同。</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8.1.1</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质疑期</w:t>
            </w:r>
          </w:p>
        </w:tc>
        <w:tc>
          <w:tcPr>
            <w:tcW w:w="5716" w:type="dxa"/>
            <w:gridSpan w:val="2"/>
            <w:vAlign w:val="center"/>
          </w:tcPr>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投标人认为招标文件、招标过程和中标结果使自己的权益受到损害的，可以在知道或者应知其权益受到损害之日起7个工作日内，以书面形式</w:t>
            </w:r>
            <w:r>
              <w:rPr>
                <w:rFonts w:hint="eastAsia" w:ascii="宋体" w:hAnsi="宋体" w:cs="宋体"/>
                <w:snapToGrid w:val="0"/>
                <w:kern w:val="0"/>
                <w:szCs w:val="21"/>
                <w:highlight w:val="none"/>
                <w:lang w:val="zh-CN"/>
              </w:rPr>
              <w:t>一次性</w:t>
            </w:r>
            <w:r>
              <w:rPr>
                <w:rFonts w:hint="eastAsia" w:ascii="宋体" w:hAnsi="宋体" w:cs="宋体"/>
                <w:szCs w:val="21"/>
                <w:highlight w:val="none"/>
              </w:rPr>
              <w:t>向采购人或采购代理机构提出质疑。</w:t>
            </w:r>
            <w:r>
              <w:rPr>
                <w:rFonts w:hint="eastAsia" w:ascii="宋体" w:hAnsi="宋体" w:cs="宋体"/>
                <w:snapToGrid w:val="0"/>
                <w:kern w:val="0"/>
                <w:szCs w:val="21"/>
                <w:highlight w:val="none"/>
                <w:lang w:val="zh-CN"/>
              </w:rPr>
              <w:t>我公司受理项目质疑部门为运营管理部，联系人：刘刚，联系电话：027-87816246。</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8.2.1</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质疑回复</w:t>
            </w:r>
          </w:p>
        </w:tc>
        <w:tc>
          <w:tcPr>
            <w:tcW w:w="5716" w:type="dxa"/>
            <w:gridSpan w:val="2"/>
            <w:vAlign w:val="center"/>
          </w:tcPr>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采购人或采购代理机构应当在收到投标人的书面质疑后7个工作日内作出答复，并以书面形式通知质疑投标人和其他有关投标人，但答复的内容不得涉及商业秘密。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9.1.1</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履约担保</w:t>
            </w:r>
          </w:p>
        </w:tc>
        <w:tc>
          <w:tcPr>
            <w:tcW w:w="5716" w:type="dxa"/>
            <w:gridSpan w:val="2"/>
            <w:vAlign w:val="center"/>
          </w:tcPr>
          <w:p>
            <w:pPr>
              <w:tabs>
                <w:tab w:val="left" w:pos="1260"/>
              </w:tabs>
              <w:snapToGrid w:val="0"/>
              <w:spacing w:line="300" w:lineRule="auto"/>
              <w:rPr>
                <w:rFonts w:ascii="宋体" w:hAnsi="宋体" w:cs="宋体"/>
                <w:b/>
                <w:szCs w:val="21"/>
                <w:highlight w:val="none"/>
              </w:rPr>
            </w:pPr>
            <w:r>
              <w:rPr>
                <w:rFonts w:hint="eastAsia" w:ascii="宋体" w:hAnsi="宋体" w:cs="宋体"/>
                <w:szCs w:val="21"/>
                <w:highlight w:val="none"/>
              </w:rPr>
              <w:sym w:font="Wingdings 2" w:char="00A3"/>
            </w:r>
            <w:r>
              <w:rPr>
                <w:rFonts w:hint="eastAsia" w:ascii="宋体" w:hAnsi="宋体" w:cs="宋体"/>
                <w:szCs w:val="21"/>
                <w:highlight w:val="none"/>
              </w:rPr>
              <w:t>有</w:t>
            </w:r>
          </w:p>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sym w:font="Wingdings 2" w:char="0052"/>
            </w:r>
            <w:r>
              <w:rPr>
                <w:rFonts w:hint="eastAsia" w:ascii="宋体" w:hAnsi="宋体" w:cs="宋体"/>
                <w:szCs w:val="21"/>
                <w:highlight w:val="none"/>
              </w:rPr>
              <w:t>无</w:t>
            </w:r>
          </w:p>
          <w:p>
            <w:pPr>
              <w:tabs>
                <w:tab w:val="left" w:pos="1260"/>
              </w:tabs>
              <w:snapToGrid w:val="0"/>
              <w:spacing w:line="300" w:lineRule="auto"/>
              <w:rPr>
                <w:rFonts w:ascii="宋体" w:hAnsi="宋体" w:cs="宋体"/>
                <w:szCs w:val="21"/>
                <w:highlight w:val="none"/>
                <w:u w:val="single"/>
              </w:rPr>
            </w:pPr>
            <w:r>
              <w:rPr>
                <w:rFonts w:hint="eastAsia" w:ascii="宋体" w:hAnsi="宋体" w:cs="宋体"/>
                <w:szCs w:val="21"/>
                <w:highlight w:val="none"/>
              </w:rPr>
              <w:t>履约担保金额：</w:t>
            </w:r>
            <w:r>
              <w:rPr>
                <w:rFonts w:hint="eastAsia" w:ascii="宋体" w:hAnsi="宋体" w:cs="宋体"/>
                <w:szCs w:val="21"/>
                <w:highlight w:val="none"/>
                <w:u w:val="single"/>
                <w:lang w:val="en-US" w:eastAsia="zh-CN"/>
              </w:rPr>
              <w:t>/</w:t>
            </w:r>
            <w:r>
              <w:rPr>
                <w:rFonts w:hint="eastAsia" w:ascii="宋体" w:hAnsi="宋体" w:cs="宋体"/>
                <w:szCs w:val="21"/>
                <w:highlight w:val="none"/>
                <w:u w:val="single"/>
              </w:rPr>
              <w:t xml:space="preserve"> </w:t>
            </w:r>
          </w:p>
          <w:p>
            <w:pPr>
              <w:tabs>
                <w:tab w:val="left" w:pos="1260"/>
              </w:tabs>
              <w:snapToGrid w:val="0"/>
              <w:spacing w:line="300" w:lineRule="auto"/>
              <w:rPr>
                <w:rFonts w:ascii="宋体" w:hAnsi="宋体" w:cs="宋体"/>
                <w:highlight w:val="none"/>
              </w:rPr>
            </w:pPr>
            <w:r>
              <w:rPr>
                <w:rFonts w:hint="eastAsia" w:ascii="宋体" w:hAnsi="宋体" w:cs="宋体"/>
                <w:szCs w:val="21"/>
                <w:highlight w:val="none"/>
              </w:rPr>
              <w:t>履约担保形式：支票、汇票、本票或者金融机构、担保机构出具的保函等非现金形式提交</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10.1.1</w:t>
            </w:r>
          </w:p>
        </w:tc>
        <w:tc>
          <w:tcPr>
            <w:tcW w:w="2453" w:type="dxa"/>
            <w:gridSpan w:val="2"/>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招标代理服务费收取方式和标准</w:t>
            </w:r>
          </w:p>
        </w:tc>
        <w:tc>
          <w:tcPr>
            <w:tcW w:w="5716" w:type="dxa"/>
            <w:gridSpan w:val="2"/>
            <w:vAlign w:val="center"/>
          </w:tcPr>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根据采购人和采购代理机构签署的委托代理协议书约定：</w:t>
            </w:r>
          </w:p>
          <w:p>
            <w:pPr>
              <w:snapToGrid w:val="0"/>
              <w:spacing w:line="300" w:lineRule="auto"/>
              <w:rPr>
                <w:rFonts w:ascii="宋体" w:hAnsi="宋体" w:cs="宋体"/>
                <w:szCs w:val="21"/>
                <w:highlight w:val="none"/>
              </w:rPr>
            </w:pPr>
            <w:r>
              <w:rPr>
                <w:rFonts w:hint="eastAsia" w:ascii="宋体" w:hAnsi="宋体" w:cs="宋体"/>
                <w:szCs w:val="21"/>
                <w:highlight w:val="none"/>
              </w:rPr>
              <w:t>1）招标代理服务费：</w:t>
            </w:r>
            <w:r>
              <w:rPr>
                <w:rFonts w:hint="eastAsia" w:ascii="宋体" w:hAnsi="宋体" w:cs="宋体"/>
                <w:sz w:val="13"/>
                <w:szCs w:val="21"/>
                <w:highlight w:val="none"/>
                <w:bdr w:val="single" w:color="auto" w:sz="4" w:space="0"/>
              </w:rPr>
              <w:t>√</w:t>
            </w:r>
            <w:r>
              <w:rPr>
                <w:rFonts w:hint="eastAsia" w:ascii="宋体" w:hAnsi="宋体" w:cs="宋体"/>
                <w:szCs w:val="21"/>
                <w:highlight w:val="none"/>
              </w:rPr>
              <w:t>由中标人支付  □由采购人支付</w:t>
            </w:r>
          </w:p>
          <w:p>
            <w:pPr>
              <w:tabs>
                <w:tab w:val="left" w:pos="1260"/>
              </w:tabs>
              <w:snapToGrid w:val="0"/>
              <w:spacing w:line="300" w:lineRule="auto"/>
              <w:rPr>
                <w:rFonts w:ascii="宋体" w:hAnsi="宋体" w:cs="宋体"/>
                <w:szCs w:val="21"/>
                <w:highlight w:val="none"/>
                <w:u w:val="single"/>
              </w:rPr>
            </w:pPr>
            <w:r>
              <w:rPr>
                <w:rFonts w:hint="eastAsia" w:ascii="宋体" w:hAnsi="宋体" w:cs="宋体"/>
                <w:szCs w:val="21"/>
                <w:highlight w:val="none"/>
              </w:rPr>
              <w:t>2）支付标准：</w:t>
            </w:r>
            <w:bookmarkStart w:id="44" w:name="OLE_LINK73"/>
            <w:r>
              <w:rPr>
                <w:rFonts w:hint="eastAsia" w:ascii="宋体" w:hAnsi="宋体" w:cs="宋体"/>
                <w:szCs w:val="21"/>
                <w:highlight w:val="none"/>
              </w:rPr>
              <w:t>参照原国家计委计价格[2002]1980号规定的工程类收费标准的70%计取，不足4000元按4000元支付。</w:t>
            </w:r>
          </w:p>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3）支付时间：招标代理服务费由中标人在领取中标通知书的同时，向代理机构支付。</w:t>
            </w:r>
          </w:p>
          <w:bookmarkEnd w:id="44"/>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4）支付方式：银行转账等非现金方式支付。</w:t>
            </w:r>
          </w:p>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5）银行账户信息</w:t>
            </w:r>
          </w:p>
          <w:p>
            <w:pPr>
              <w:snapToGrid w:val="0"/>
              <w:spacing w:line="300" w:lineRule="auto"/>
              <w:ind w:firstLine="420" w:firstLineChars="200"/>
              <w:rPr>
                <w:rFonts w:ascii="宋体" w:hAnsi="宋体" w:cs="宋体"/>
                <w:bCs/>
                <w:szCs w:val="21"/>
                <w:highlight w:val="none"/>
              </w:rPr>
            </w:pPr>
            <w:r>
              <w:rPr>
                <w:rFonts w:hint="eastAsia" w:ascii="宋体" w:hAnsi="宋体" w:cs="宋体"/>
                <w:bCs/>
                <w:szCs w:val="21"/>
                <w:highlight w:val="none"/>
              </w:rPr>
              <w:t>户    名：湖北省招标股份有限公司</w:t>
            </w:r>
          </w:p>
          <w:p>
            <w:pPr>
              <w:snapToGrid w:val="0"/>
              <w:spacing w:line="300" w:lineRule="auto"/>
              <w:ind w:firstLine="420" w:firstLineChars="200"/>
              <w:rPr>
                <w:rFonts w:ascii="宋体" w:hAnsi="宋体" w:cs="宋体"/>
                <w:bCs/>
                <w:szCs w:val="21"/>
                <w:highlight w:val="none"/>
              </w:rPr>
            </w:pPr>
            <w:r>
              <w:rPr>
                <w:rFonts w:hint="eastAsia" w:ascii="宋体" w:hAnsi="宋体" w:cs="宋体"/>
                <w:bCs/>
                <w:szCs w:val="21"/>
                <w:highlight w:val="none"/>
              </w:rPr>
              <w:t>开 户 行：招商银行水果湖支行</w:t>
            </w:r>
          </w:p>
          <w:p>
            <w:pPr>
              <w:snapToGrid w:val="0"/>
              <w:spacing w:line="300" w:lineRule="auto"/>
              <w:ind w:firstLine="420" w:firstLineChars="200"/>
              <w:rPr>
                <w:rFonts w:ascii="宋体" w:hAnsi="宋体" w:cs="宋体"/>
                <w:bCs/>
                <w:szCs w:val="21"/>
                <w:highlight w:val="none"/>
              </w:rPr>
            </w:pPr>
            <w:r>
              <w:rPr>
                <w:rFonts w:hint="eastAsia" w:ascii="宋体" w:hAnsi="宋体" w:cs="宋体"/>
                <w:bCs/>
                <w:szCs w:val="21"/>
                <w:highlight w:val="none"/>
              </w:rPr>
              <w:t>行    号：308521015186</w:t>
            </w:r>
          </w:p>
          <w:p>
            <w:pPr>
              <w:snapToGrid w:val="0"/>
              <w:spacing w:line="300" w:lineRule="auto"/>
              <w:ind w:firstLine="420" w:firstLineChars="200"/>
              <w:rPr>
                <w:rFonts w:ascii="宋体" w:hAnsi="宋体" w:cs="宋体"/>
                <w:bCs/>
                <w:szCs w:val="21"/>
                <w:highlight w:val="none"/>
              </w:rPr>
            </w:pPr>
            <w:r>
              <w:rPr>
                <w:rFonts w:hint="eastAsia" w:ascii="宋体" w:hAnsi="宋体" w:cs="宋体"/>
                <w:bCs/>
                <w:szCs w:val="21"/>
                <w:highlight w:val="none"/>
              </w:rPr>
              <w:t>账    号：12790 54338 10603</w:t>
            </w:r>
          </w:p>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6）其他事项：中标人交纳采购代理服务费时需携带以下开票资料：①开票单位名称；②纳税人识别号（或统一社会信用代码）；③营业执照或税务登记证地址；④单位联系电话；⑤开户行及账号。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tcBorders>
              <w:right w:val="single" w:color="auto" w:sz="4" w:space="0"/>
            </w:tcBorders>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10.2.1</w:t>
            </w:r>
          </w:p>
        </w:tc>
        <w:tc>
          <w:tcPr>
            <w:tcW w:w="2453" w:type="dxa"/>
            <w:gridSpan w:val="2"/>
            <w:tcBorders>
              <w:left w:val="single" w:color="auto" w:sz="4" w:space="0"/>
              <w:right w:val="single" w:color="auto" w:sz="4" w:space="0"/>
            </w:tcBorders>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招标代理服务费收讫时限</w:t>
            </w:r>
          </w:p>
        </w:tc>
        <w:tc>
          <w:tcPr>
            <w:tcW w:w="5716" w:type="dxa"/>
            <w:gridSpan w:val="2"/>
            <w:tcBorders>
              <w:left w:val="single" w:color="auto" w:sz="4" w:space="0"/>
            </w:tcBorders>
            <w:vAlign w:val="center"/>
          </w:tcPr>
          <w:p>
            <w:pPr>
              <w:tabs>
                <w:tab w:val="left" w:pos="1260"/>
              </w:tabs>
              <w:snapToGrid w:val="0"/>
              <w:spacing w:line="300" w:lineRule="auto"/>
              <w:rPr>
                <w:rFonts w:ascii="宋体" w:hAnsi="宋体" w:cs="宋体"/>
                <w:i/>
                <w:szCs w:val="21"/>
                <w:highlight w:val="none"/>
                <w:u w:val="single"/>
              </w:rPr>
            </w:pPr>
            <w:r>
              <w:rPr>
                <w:rFonts w:hint="eastAsia" w:ascii="宋体" w:hAnsi="宋体" w:cs="宋体"/>
                <w:szCs w:val="21"/>
                <w:highlight w:val="none"/>
              </w:rPr>
              <w:t>领取中标通知书当天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9" w:type="dxa"/>
            <w:gridSpan w:val="2"/>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auto"/>
              <w:jc w:val="center"/>
              <w:textAlignment w:val="auto"/>
              <w:rPr>
                <w:rFonts w:hint="eastAsia" w:ascii="宋体" w:hAnsi="宋体" w:eastAsia="宋体" w:cs="宋体"/>
                <w:b/>
                <w:szCs w:val="21"/>
                <w:highlight w:val="none"/>
                <w:lang w:eastAsia="zh-CN"/>
              </w:rPr>
            </w:pPr>
            <w:r>
              <w:rPr>
                <w:rFonts w:hint="eastAsia" w:ascii="宋体" w:hAnsi="宋体" w:eastAsia="宋体" w:cs="宋体"/>
                <w:highlight w:val="none"/>
              </w:rPr>
              <w:t>1.12.</w:t>
            </w:r>
            <w:r>
              <w:rPr>
                <w:rFonts w:hint="eastAsia" w:ascii="宋体" w:hAnsi="宋体" w:cs="宋体"/>
                <w:highlight w:val="none"/>
                <w:lang w:val="en-US" w:eastAsia="zh-CN"/>
              </w:rPr>
              <w:t>5</w:t>
            </w:r>
          </w:p>
        </w:tc>
        <w:tc>
          <w:tcPr>
            <w:tcW w:w="2453"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szCs w:val="21"/>
                <w:highlight w:val="none"/>
                <w:lang w:val="en-US" w:eastAsia="zh-CN"/>
              </w:rPr>
              <w:t>异常低价情形</w:t>
            </w:r>
          </w:p>
        </w:tc>
        <w:tc>
          <w:tcPr>
            <w:tcW w:w="5714" w:type="dxa"/>
            <w:tcBorders>
              <w:left w:val="single" w:color="auto" w:sz="4" w:space="0"/>
            </w:tcBorders>
            <w:vAlign w:val="center"/>
          </w:tcPr>
          <w:p>
            <w:pPr>
              <w:tabs>
                <w:tab w:val="left" w:pos="1260"/>
              </w:tabs>
              <w:snapToGrid w:val="0"/>
              <w:spacing w:line="30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（1）投标报价低于全部通过符合性审查供应商投标报价平均值 65%的，即投标报价＜全部通过符合性审查供应商投标报价平均值×65%；</w:t>
            </w:r>
          </w:p>
          <w:p>
            <w:pPr>
              <w:tabs>
                <w:tab w:val="left" w:pos="1260"/>
              </w:tabs>
              <w:snapToGrid w:val="0"/>
              <w:spacing w:line="30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（2）投标报价低于通过符合性审查的次低报价供应商投标报价65%的，即投标报价＜通过符合性审查的次低报价供应商投标报价×65 %；</w:t>
            </w:r>
          </w:p>
          <w:p>
            <w:pPr>
              <w:tabs>
                <w:tab w:val="left" w:pos="1260"/>
              </w:tabs>
              <w:snapToGrid w:val="0"/>
              <w:spacing w:line="30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（3）投标报价低于采购项目最高限价65 %的，即投标报价＜采购项目最高限价×65 %；</w:t>
            </w:r>
          </w:p>
          <w:p>
            <w:pPr>
              <w:tabs>
                <w:tab w:val="left" w:pos="1260"/>
              </w:tabs>
              <w:snapToGrid w:val="0"/>
              <w:spacing w:line="30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（4）评标委员会基于专业判断，认为供应商报价过低，有可能影响产品质量或者不能诚信履约的其他情形。</w:t>
            </w:r>
          </w:p>
          <w:p>
            <w:pPr>
              <w:tabs>
                <w:tab w:val="left" w:pos="1260"/>
              </w:tabs>
              <w:snapToGrid w:val="0"/>
              <w:spacing w:line="30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相关法律法规对供应商报价有规定的，从其规定：</w:t>
            </w:r>
          </w:p>
          <w:p>
            <w:pPr>
              <w:tabs>
                <w:tab w:val="left" w:pos="1260"/>
              </w:tabs>
              <w:snapToGrid w:val="0"/>
              <w:spacing w:line="300" w:lineRule="auto"/>
              <w:rPr>
                <w:rFonts w:hint="eastAsia" w:ascii="宋体" w:hAnsi="宋体" w:cs="宋体"/>
                <w:szCs w:val="21"/>
                <w:highlight w:val="none"/>
              </w:rPr>
            </w:pPr>
            <w:r>
              <w:rPr>
                <w:rFonts w:hint="eastAsia" w:ascii="宋体" w:hAnsi="宋体" w:cs="宋体"/>
                <w:szCs w:val="21"/>
                <w:highlight w:val="none"/>
                <w:lang w:val="en-US" w:eastAsia="zh-CN"/>
              </w:rPr>
              <w:t>□有，具体规定为：______________</w:t>
            </w:r>
          </w:p>
          <w:p>
            <w:pPr>
              <w:tabs>
                <w:tab w:val="left" w:pos="1260"/>
              </w:tabs>
              <w:snapToGrid w:val="0"/>
              <w:spacing w:line="300" w:lineRule="auto"/>
              <w:rPr>
                <w:rFonts w:hint="eastAsia" w:ascii="宋体" w:hAnsi="宋体" w:cs="宋体"/>
                <w:b/>
                <w:szCs w:val="21"/>
                <w:highlight w:val="none"/>
              </w:rPr>
            </w:pPr>
            <w:r>
              <w:rPr>
                <w:rFonts w:hint="eastAsia" w:ascii="宋体" w:hAnsi="宋体" w:cs="宋体"/>
                <w:szCs w:val="21"/>
                <w:highlight w:val="none"/>
                <w:lang w:val="en-US" w:eastAsia="zh-CN"/>
              </w:rPr>
              <w:sym w:font="Wingdings 2" w:char="0052"/>
            </w:r>
            <w:r>
              <w:rPr>
                <w:rFonts w:hint="eastAsia" w:ascii="宋体" w:hAnsi="宋体" w:cs="宋体"/>
                <w:szCs w:val="21"/>
                <w:highlight w:val="none"/>
                <w:lang w:val="en-US" w:eastAsia="zh-CN"/>
              </w:rPr>
              <w:t>无</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9" w:type="dxa"/>
            <w:gridSpan w:val="2"/>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auto"/>
              <w:jc w:val="center"/>
              <w:textAlignment w:val="auto"/>
              <w:rPr>
                <w:rFonts w:hint="eastAsia" w:ascii="宋体" w:hAnsi="宋体" w:eastAsia="宋体" w:cs="宋体"/>
                <w:b/>
                <w:szCs w:val="21"/>
                <w:highlight w:val="none"/>
                <w:lang w:val="en-US" w:eastAsia="zh-CN"/>
              </w:rPr>
            </w:pPr>
            <w:r>
              <w:rPr>
                <w:rFonts w:hint="eastAsia" w:ascii="宋体" w:hAnsi="宋体" w:eastAsia="宋体" w:cs="宋体"/>
                <w:highlight w:val="none"/>
              </w:rPr>
              <w:t>1.12.</w:t>
            </w:r>
            <w:r>
              <w:rPr>
                <w:rFonts w:hint="eastAsia" w:ascii="宋体" w:hAnsi="宋体" w:cs="宋体"/>
                <w:highlight w:val="none"/>
                <w:lang w:val="en-US" w:eastAsia="zh-CN"/>
              </w:rPr>
              <w:t>6</w:t>
            </w:r>
          </w:p>
        </w:tc>
        <w:tc>
          <w:tcPr>
            <w:tcW w:w="2453"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szCs w:val="21"/>
                <w:highlight w:val="none"/>
                <w:lang w:val="en-US" w:eastAsia="zh-CN"/>
              </w:rPr>
              <w:t>是否适用本国产品支持政策</w:t>
            </w:r>
          </w:p>
        </w:tc>
        <w:tc>
          <w:tcPr>
            <w:tcW w:w="5714" w:type="dxa"/>
            <w:tcBorders>
              <w:left w:val="single" w:color="auto" w:sz="4" w:space="0"/>
            </w:tcBorders>
            <w:vAlign w:val="center"/>
          </w:tcPr>
          <w:p>
            <w:pPr>
              <w:tabs>
                <w:tab w:val="left" w:pos="1260"/>
              </w:tabs>
              <w:snapToGrid w:val="0"/>
              <w:spacing w:line="30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sym w:font="Wingdings 2" w:char="0052"/>
            </w:r>
            <w:r>
              <w:rPr>
                <w:rFonts w:hint="eastAsia" w:ascii="宋体" w:hAnsi="宋体" w:cs="宋体"/>
                <w:szCs w:val="21"/>
                <w:highlight w:val="none"/>
                <w:lang w:val="en-US" w:eastAsia="zh-CN"/>
              </w:rPr>
              <w:t>适用，本项目采购标的含第二章《投标人须知》中适用本国产品标准的货物</w:t>
            </w:r>
          </w:p>
          <w:p>
            <w:pPr>
              <w:tabs>
                <w:tab w:val="left" w:pos="1260"/>
              </w:tabs>
              <w:snapToGrid w:val="0"/>
              <w:spacing w:line="300" w:lineRule="auto"/>
              <w:rPr>
                <w:rFonts w:hint="eastAsia" w:ascii="宋体" w:hAnsi="宋体" w:eastAsia="宋体" w:cs="宋体"/>
                <w:color w:val="auto"/>
                <w:kern w:val="0"/>
                <w:sz w:val="24"/>
                <w:szCs w:val="24"/>
                <w:highlight w:val="none"/>
                <w:lang w:val="en-US" w:eastAsia="zh-CN" w:bidi="ar"/>
              </w:rPr>
            </w:pPr>
            <w:r>
              <w:rPr>
                <w:rFonts w:hint="eastAsia" w:ascii="宋体" w:hAnsi="宋体" w:cs="宋体"/>
                <w:szCs w:val="21"/>
                <w:highlight w:val="none"/>
                <w:lang w:val="en-US" w:eastAsia="zh-CN"/>
              </w:rPr>
              <w:t>□不适用，本项目采购标的不含第二章《投标人须知》中适用本国产品标准的货物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226" w:type="dxa"/>
            <w:gridSpan w:val="5"/>
            <w:vAlign w:val="center"/>
          </w:tcPr>
          <w:p>
            <w:pPr>
              <w:autoSpaceDE w:val="0"/>
              <w:autoSpaceDN w:val="0"/>
              <w:snapToGrid w:val="0"/>
              <w:spacing w:line="300" w:lineRule="auto"/>
              <w:jc w:val="both"/>
              <w:rPr>
                <w:rFonts w:hint="eastAsia" w:ascii="宋体" w:hAnsi="宋体" w:cs="宋体"/>
                <w:b/>
                <w:szCs w:val="21"/>
                <w:highlight w:val="none"/>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226" w:type="dxa"/>
            <w:gridSpan w:val="5"/>
            <w:vAlign w:val="center"/>
          </w:tcPr>
          <w:p>
            <w:pPr>
              <w:autoSpaceDE w:val="0"/>
              <w:autoSpaceDN w:val="0"/>
              <w:snapToGrid w:val="0"/>
              <w:spacing w:line="300" w:lineRule="auto"/>
              <w:ind w:firstLine="420" w:firstLineChars="200"/>
              <w:jc w:val="left"/>
              <w:rPr>
                <w:rFonts w:ascii="宋体" w:hAnsi="宋体" w:cs="宋体"/>
                <w:szCs w:val="21"/>
                <w:highlight w:val="none"/>
              </w:rPr>
            </w:pPr>
            <w:r>
              <w:rPr>
                <w:rFonts w:hint="eastAsia" w:ascii="宋体" w:hAnsi="宋体" w:cs="宋体"/>
                <w:szCs w:val="21"/>
                <w:highlight w:val="none"/>
              </w:rPr>
              <w:t>1）除本招标文件另有规定外，招标文件中出现的类似于“近三年”或“前三年”、“近五年”或“前五年”均指递交投标文件时间以前3年或前5年，以此类推。如：递交投标文件时间为2019年3月1日，则“近三年”是指2016年3月1日至2019年3月1日。</w:t>
            </w:r>
          </w:p>
          <w:p>
            <w:pPr>
              <w:autoSpaceDE w:val="0"/>
              <w:autoSpaceDN w:val="0"/>
              <w:snapToGrid w:val="0"/>
              <w:spacing w:line="300" w:lineRule="auto"/>
              <w:ind w:firstLine="420" w:firstLineChars="200"/>
              <w:jc w:val="left"/>
              <w:rPr>
                <w:rFonts w:ascii="宋体" w:hAnsi="宋体" w:cs="宋体"/>
                <w:szCs w:val="21"/>
                <w:highlight w:val="none"/>
              </w:rPr>
            </w:pPr>
            <w:r>
              <w:rPr>
                <w:rFonts w:hint="eastAsia" w:ascii="宋体" w:hAnsi="宋体" w:cs="宋体"/>
                <w:szCs w:val="21"/>
                <w:highlight w:val="none"/>
              </w:rPr>
              <w:t>2）本招标文件所称的“以上”、“以下”、“内”、“以内”，包括本数；所称的“不足”，不包括本数。</w:t>
            </w:r>
          </w:p>
          <w:p>
            <w:pPr>
              <w:autoSpaceDE w:val="0"/>
              <w:autoSpaceDN w:val="0"/>
              <w:snapToGrid w:val="0"/>
              <w:spacing w:line="300" w:lineRule="auto"/>
              <w:ind w:firstLine="420" w:firstLineChars="200"/>
              <w:jc w:val="left"/>
              <w:rPr>
                <w:rFonts w:ascii="宋体" w:hAnsi="宋体" w:cs="宋体"/>
                <w:b/>
                <w:szCs w:val="21"/>
                <w:highlight w:val="none"/>
              </w:rPr>
            </w:pPr>
            <w:r>
              <w:rPr>
                <w:rFonts w:hint="eastAsia" w:ascii="宋体" w:hAnsi="宋体" w:cs="宋体"/>
                <w:szCs w:val="21"/>
                <w:highlight w:val="none"/>
              </w:rPr>
              <w:t>3）投标人须知前附表中，“</w:t>
            </w:r>
            <w:r>
              <w:rPr>
                <w:rFonts w:hint="eastAsia" w:ascii="宋体" w:hAnsi="宋体" w:cs="宋体"/>
                <w:sz w:val="15"/>
                <w:szCs w:val="15"/>
                <w:highlight w:val="none"/>
                <w:bdr w:val="single" w:color="auto" w:sz="4" w:space="0"/>
              </w:rPr>
              <w:t>√</w:t>
            </w:r>
            <w:r>
              <w:rPr>
                <w:rFonts w:hint="eastAsia" w:ascii="宋体" w:hAnsi="宋体" w:cs="宋体"/>
                <w:szCs w:val="21"/>
                <w:highlight w:val="none"/>
              </w:rPr>
              <w:t>”代表选中，“□”代表未选中。</w:t>
            </w:r>
          </w:p>
        </w:tc>
      </w:tr>
    </w:tbl>
    <w:p>
      <w:pPr>
        <w:pStyle w:val="295"/>
        <w:jc w:val="center"/>
        <w:rPr>
          <w:rFonts w:ascii="宋体" w:hAnsi="Times New Roman" w:eastAsia="宋体" w:cs="Times New Roman"/>
          <w:highlight w:val="none"/>
        </w:rPr>
      </w:pPr>
      <w:r>
        <w:rPr>
          <w:rFonts w:hint="eastAsia" w:ascii="宋体" w:hAnsi="宋体" w:eastAsia="宋体" w:cs="宋体"/>
          <w:highlight w:val="none"/>
        </w:rPr>
        <w:br w:type="page"/>
      </w:r>
      <w:bookmarkStart w:id="45" w:name="_Toc432367320"/>
      <w:bookmarkStart w:id="46" w:name="_Toc430813237"/>
      <w:bookmarkStart w:id="47" w:name="_Toc152045529"/>
      <w:bookmarkStart w:id="48" w:name="_Toc247527553"/>
      <w:bookmarkStart w:id="49" w:name="_Toc300834949"/>
      <w:bookmarkStart w:id="50" w:name="_Toc247513952"/>
      <w:bookmarkStart w:id="51" w:name="_Toc152042305"/>
      <w:bookmarkStart w:id="52" w:name="_Toc144974497"/>
      <w:r>
        <w:rPr>
          <w:rFonts w:ascii="Arial" w:hAnsi="Arial" w:eastAsia="黑体" w:cs="Arial"/>
          <w:bCs/>
          <w:kern w:val="2"/>
          <w:sz w:val="32"/>
          <w:szCs w:val="32"/>
          <w:highlight w:val="none"/>
        </w:rPr>
        <w:t>投标人须知</w:t>
      </w:r>
      <w:bookmarkEnd w:id="45"/>
      <w:bookmarkEnd w:id="46"/>
    </w:p>
    <w:p>
      <w:pPr>
        <w:keepNext/>
        <w:keepLines/>
        <w:widowControl w:val="0"/>
        <w:numPr>
          <w:ilvl w:val="0"/>
          <w:numId w:val="4"/>
        </w:numPr>
        <w:snapToGrid w:val="0"/>
        <w:spacing w:before="0" w:beforeLines="0" w:after="0" w:afterLines="0" w:line="360" w:lineRule="auto"/>
        <w:ind w:left="930" w:hanging="720"/>
        <w:jc w:val="both"/>
        <w:outlineLvl w:val="1"/>
        <w:rPr>
          <w:rFonts w:ascii="Arial" w:hAnsi="Arial" w:eastAsia="黑体" w:cs="Times New Roman"/>
          <w:b/>
          <w:bCs/>
          <w:kern w:val="2"/>
          <w:sz w:val="28"/>
          <w:szCs w:val="28"/>
          <w:highlight w:val="none"/>
          <w:lang w:val="en-US" w:eastAsia="zh-CN" w:bidi="ar-SA"/>
        </w:rPr>
      </w:pPr>
      <w:bookmarkStart w:id="53" w:name="_Toc29430"/>
      <w:bookmarkStart w:id="54" w:name="_Toc23094"/>
      <w:bookmarkStart w:id="55" w:name="_Toc430813238"/>
      <w:bookmarkStart w:id="56" w:name="_Toc432367321"/>
      <w:bookmarkStart w:id="57" w:name="_Toc76047115"/>
      <w:r>
        <w:rPr>
          <w:rFonts w:ascii="Arial" w:hAnsi="Arial" w:eastAsia="黑体" w:cs="Times New Roman"/>
          <w:b/>
          <w:bCs/>
          <w:kern w:val="2"/>
          <w:sz w:val="28"/>
          <w:szCs w:val="28"/>
          <w:highlight w:val="none"/>
          <w:lang w:val="en-US" w:eastAsia="zh-CN" w:bidi="ar-SA"/>
        </w:rPr>
        <w:t>总则</w:t>
      </w:r>
      <w:bookmarkEnd w:id="47"/>
      <w:bookmarkEnd w:id="48"/>
      <w:bookmarkEnd w:id="49"/>
      <w:bookmarkEnd w:id="50"/>
      <w:bookmarkEnd w:id="51"/>
      <w:bookmarkEnd w:id="52"/>
      <w:bookmarkEnd w:id="53"/>
      <w:bookmarkEnd w:id="54"/>
      <w:bookmarkEnd w:id="55"/>
      <w:bookmarkEnd w:id="56"/>
      <w:bookmarkEnd w:id="57"/>
    </w:p>
    <w:p>
      <w:pPr>
        <w:keepNext/>
        <w:keepLines/>
        <w:widowControl w:val="0"/>
        <w:snapToGrid w:val="0"/>
        <w:spacing w:before="0" w:beforeLines="0" w:after="0" w:afterLines="0" w:line="360" w:lineRule="auto"/>
        <w:jc w:val="left"/>
        <w:outlineLvl w:val="2"/>
        <w:rPr>
          <w:rFonts w:ascii="宋体" w:hAnsi="宋体" w:eastAsia="宋体" w:cs="Arial"/>
          <w:b/>
          <w:kern w:val="2"/>
          <w:sz w:val="24"/>
          <w:szCs w:val="24"/>
          <w:highlight w:val="none"/>
          <w:lang w:val="en-US" w:eastAsia="zh-CN" w:bidi="ar-SA"/>
        </w:rPr>
      </w:pPr>
      <w:bookmarkStart w:id="58" w:name="_Toc432367322"/>
      <w:bookmarkStart w:id="59" w:name="_Toc430813239"/>
      <w:bookmarkStart w:id="60" w:name="_Toc247513953"/>
      <w:bookmarkStart w:id="61" w:name="_Toc23232"/>
      <w:bookmarkStart w:id="62" w:name="_Toc144974498"/>
      <w:bookmarkStart w:id="63" w:name="_Toc15896"/>
      <w:bookmarkStart w:id="64" w:name="_Toc247527554"/>
      <w:bookmarkStart w:id="65" w:name="_Toc152045530"/>
      <w:bookmarkStart w:id="66" w:name="_Toc76047116"/>
      <w:bookmarkStart w:id="67" w:name="_Toc152042306"/>
      <w:bookmarkStart w:id="68" w:name="_Toc300834950"/>
      <w:r>
        <w:rPr>
          <w:rFonts w:hint="eastAsia" w:ascii="宋体" w:hAnsi="宋体" w:eastAsia="宋体" w:cs="Arial"/>
          <w:b/>
          <w:kern w:val="2"/>
          <w:sz w:val="24"/>
          <w:szCs w:val="24"/>
          <w:highlight w:val="none"/>
          <w:lang w:val="en-US" w:eastAsia="zh-CN" w:bidi="ar-SA"/>
        </w:rPr>
        <w:t xml:space="preserve">1.1 </w:t>
      </w:r>
      <w:r>
        <w:rPr>
          <w:rFonts w:ascii="宋体" w:hAnsi="宋体" w:eastAsia="宋体" w:cs="Arial"/>
          <w:b/>
          <w:kern w:val="2"/>
          <w:sz w:val="24"/>
          <w:szCs w:val="24"/>
          <w:highlight w:val="none"/>
          <w:lang w:val="en-US" w:eastAsia="zh-CN" w:bidi="ar-SA"/>
        </w:rPr>
        <w:t>项目概况</w:t>
      </w:r>
      <w:bookmarkEnd w:id="58"/>
      <w:bookmarkEnd w:id="59"/>
      <w:bookmarkEnd w:id="60"/>
      <w:bookmarkEnd w:id="61"/>
      <w:bookmarkEnd w:id="62"/>
      <w:bookmarkEnd w:id="63"/>
      <w:bookmarkEnd w:id="64"/>
      <w:bookmarkEnd w:id="65"/>
      <w:bookmarkEnd w:id="66"/>
      <w:bookmarkEnd w:id="67"/>
      <w:bookmarkEnd w:id="68"/>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1.1.1根据《中华人民共和国</w:t>
      </w:r>
      <w:r>
        <w:rPr>
          <w:rFonts w:hint="eastAsia" w:ascii="Arial" w:hAnsi="Arial" w:eastAsia="宋体" w:cs="Arial"/>
          <w:szCs w:val="21"/>
          <w:highlight w:val="none"/>
        </w:rPr>
        <w:t>政府采购</w:t>
      </w:r>
      <w:r>
        <w:rPr>
          <w:rFonts w:ascii="Arial" w:hAnsi="Arial" w:eastAsia="宋体" w:cs="Arial"/>
          <w:szCs w:val="21"/>
          <w:highlight w:val="none"/>
        </w:rPr>
        <w:t>法》</w:t>
      </w:r>
      <w:r>
        <w:rPr>
          <w:rFonts w:hint="eastAsia" w:ascii="Arial" w:hAnsi="Arial" w:eastAsia="宋体" w:cs="Arial"/>
          <w:szCs w:val="21"/>
          <w:highlight w:val="none"/>
        </w:rPr>
        <w:t>、《中华人民共和国政府采购法实施条例》、《政府采购货物和服务招标投标管理办法》</w:t>
      </w:r>
      <w:r>
        <w:rPr>
          <w:rFonts w:ascii="Arial" w:hAnsi="Arial" w:eastAsia="宋体" w:cs="Arial"/>
          <w:szCs w:val="21"/>
          <w:highlight w:val="none"/>
        </w:rPr>
        <w:t>等有关法律、法规和规章的规定，</w:t>
      </w:r>
      <w:r>
        <w:rPr>
          <w:rFonts w:hint="eastAsia" w:ascii="Arial" w:hAnsi="Arial" w:eastAsia="宋体" w:cs="Arial"/>
          <w:szCs w:val="21"/>
          <w:highlight w:val="none"/>
        </w:rPr>
        <w:t>制定本招标文件</w:t>
      </w:r>
      <w:r>
        <w:rPr>
          <w:rFonts w:ascii="Arial" w:hAnsi="Arial" w:eastAsia="宋体" w:cs="Arial"/>
          <w:szCs w:val="21"/>
          <w:highlight w:val="none"/>
        </w:rPr>
        <w:t>。</w:t>
      </w:r>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1.1.2采购人：见投标人须知前附表。</w:t>
      </w:r>
    </w:p>
    <w:p>
      <w:pPr>
        <w:snapToGrid w:val="0"/>
        <w:spacing w:line="360" w:lineRule="auto"/>
        <w:ind w:firstLine="420" w:firstLineChars="200"/>
        <w:rPr>
          <w:rFonts w:hint="eastAsia" w:ascii="Arial" w:hAnsi="Arial" w:eastAsia="宋体" w:cs="Arial"/>
          <w:szCs w:val="21"/>
          <w:highlight w:val="none"/>
        </w:rPr>
      </w:pPr>
      <w:r>
        <w:rPr>
          <w:rFonts w:ascii="Arial" w:hAnsi="Arial" w:eastAsia="宋体" w:cs="Arial"/>
          <w:szCs w:val="21"/>
          <w:highlight w:val="none"/>
        </w:rPr>
        <w:t>1.1.3采购代理机构：见投标人须知前附表。</w:t>
      </w:r>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1.1.</w:t>
      </w:r>
      <w:r>
        <w:rPr>
          <w:rFonts w:hint="eastAsia" w:ascii="Arial" w:hAnsi="Arial" w:cs="Arial"/>
          <w:szCs w:val="21"/>
          <w:highlight w:val="none"/>
          <w:lang w:val="en-US" w:eastAsia="zh-CN"/>
        </w:rPr>
        <w:t>4</w:t>
      </w:r>
      <w:r>
        <w:rPr>
          <w:rFonts w:ascii="Arial" w:hAnsi="Arial" w:eastAsia="宋体" w:cs="Arial"/>
          <w:szCs w:val="21"/>
          <w:highlight w:val="none"/>
        </w:rPr>
        <w:t>项目名称：见投标人须知前附表。</w:t>
      </w:r>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1.1.</w:t>
      </w:r>
      <w:r>
        <w:rPr>
          <w:rFonts w:hint="eastAsia" w:ascii="Arial" w:hAnsi="Arial" w:cs="Arial"/>
          <w:szCs w:val="21"/>
          <w:highlight w:val="none"/>
          <w:lang w:val="en-US" w:eastAsia="zh-CN"/>
        </w:rPr>
        <w:t>5</w:t>
      </w:r>
      <w:r>
        <w:rPr>
          <w:rFonts w:ascii="Arial" w:hAnsi="Arial" w:eastAsia="宋体" w:cs="Arial"/>
          <w:szCs w:val="21"/>
          <w:highlight w:val="none"/>
        </w:rPr>
        <w:t>项目地点：见投标人须知前附表。</w:t>
      </w:r>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1.1.</w:t>
      </w:r>
      <w:r>
        <w:rPr>
          <w:rFonts w:hint="eastAsia" w:ascii="Arial" w:hAnsi="Arial" w:cs="Arial"/>
          <w:szCs w:val="21"/>
          <w:highlight w:val="none"/>
          <w:lang w:val="en-US" w:eastAsia="zh-CN"/>
        </w:rPr>
        <w:t>6</w:t>
      </w:r>
      <w:r>
        <w:rPr>
          <w:rFonts w:ascii="Arial" w:hAnsi="Arial" w:eastAsia="宋体" w:cs="Arial"/>
          <w:szCs w:val="21"/>
          <w:highlight w:val="none"/>
        </w:rPr>
        <w:t>项目内容：见投标人须知前附表。</w:t>
      </w:r>
    </w:p>
    <w:p>
      <w:pPr>
        <w:keepNext/>
        <w:keepLines/>
        <w:widowControl w:val="0"/>
        <w:snapToGrid w:val="0"/>
        <w:spacing w:before="0" w:beforeLines="0" w:after="0" w:afterLines="0" w:line="360" w:lineRule="auto"/>
        <w:jc w:val="left"/>
        <w:outlineLvl w:val="2"/>
        <w:rPr>
          <w:rFonts w:ascii="宋体" w:hAnsi="宋体" w:eastAsia="宋体" w:cs="Arial"/>
          <w:b/>
          <w:kern w:val="2"/>
          <w:sz w:val="24"/>
          <w:szCs w:val="24"/>
          <w:highlight w:val="none"/>
          <w:lang w:val="en-US" w:eastAsia="zh-CN" w:bidi="ar-SA"/>
        </w:rPr>
      </w:pPr>
      <w:bookmarkStart w:id="69" w:name="_Toc300834951"/>
      <w:bookmarkStart w:id="70" w:name="_Toc152045531"/>
      <w:bookmarkStart w:id="71" w:name="_Toc247527555"/>
      <w:bookmarkStart w:id="72" w:name="_Toc144974499"/>
      <w:bookmarkStart w:id="73" w:name="_Toc76047117"/>
      <w:bookmarkStart w:id="74" w:name="_Toc430813240"/>
      <w:bookmarkStart w:id="75" w:name="_Toc247513954"/>
      <w:bookmarkStart w:id="76" w:name="_Toc19734"/>
      <w:bookmarkStart w:id="77" w:name="_Toc152042307"/>
      <w:bookmarkStart w:id="78" w:name="_Toc28000"/>
      <w:bookmarkStart w:id="79" w:name="_Toc432367323"/>
      <w:r>
        <w:rPr>
          <w:rFonts w:ascii="宋体" w:hAnsi="宋体" w:eastAsia="宋体" w:cs="Arial"/>
          <w:b/>
          <w:kern w:val="2"/>
          <w:sz w:val="24"/>
          <w:szCs w:val="24"/>
          <w:highlight w:val="none"/>
          <w:lang w:val="en-US" w:eastAsia="zh-CN" w:bidi="ar-SA"/>
        </w:rPr>
        <w:t>1.2</w:t>
      </w:r>
      <w:r>
        <w:rPr>
          <w:rFonts w:hint="eastAsia" w:ascii="宋体" w:hAnsi="宋体" w:eastAsia="宋体" w:cs="Arial"/>
          <w:b/>
          <w:kern w:val="2"/>
          <w:sz w:val="24"/>
          <w:szCs w:val="24"/>
          <w:highlight w:val="none"/>
          <w:lang w:val="en-US" w:eastAsia="zh-CN" w:bidi="ar-SA"/>
        </w:rPr>
        <w:t xml:space="preserve"> </w:t>
      </w:r>
      <w:r>
        <w:rPr>
          <w:rFonts w:ascii="宋体" w:hAnsi="宋体" w:eastAsia="宋体" w:cs="Arial"/>
          <w:b/>
          <w:kern w:val="2"/>
          <w:sz w:val="24"/>
          <w:szCs w:val="24"/>
          <w:highlight w:val="none"/>
          <w:lang w:val="en-US" w:eastAsia="zh-CN" w:bidi="ar-SA"/>
        </w:rPr>
        <w:t>资金来源和落实情况</w:t>
      </w:r>
      <w:bookmarkEnd w:id="69"/>
      <w:bookmarkEnd w:id="70"/>
      <w:bookmarkEnd w:id="71"/>
      <w:bookmarkEnd w:id="72"/>
      <w:bookmarkEnd w:id="73"/>
      <w:bookmarkEnd w:id="74"/>
      <w:bookmarkEnd w:id="75"/>
      <w:bookmarkEnd w:id="76"/>
      <w:bookmarkEnd w:id="77"/>
      <w:bookmarkEnd w:id="78"/>
      <w:bookmarkEnd w:id="79"/>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1.2.1资金来源：见投标人须知前附表。</w:t>
      </w:r>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1.2.2资金落实情况：见投标人须知前附表。</w:t>
      </w:r>
    </w:p>
    <w:p>
      <w:pPr>
        <w:keepNext/>
        <w:keepLines/>
        <w:widowControl w:val="0"/>
        <w:snapToGrid w:val="0"/>
        <w:spacing w:before="0" w:beforeLines="0" w:after="0" w:afterLines="0" w:line="360" w:lineRule="auto"/>
        <w:jc w:val="left"/>
        <w:outlineLvl w:val="2"/>
        <w:rPr>
          <w:rFonts w:ascii="宋体" w:hAnsi="宋体" w:eastAsia="宋体" w:cs="Arial"/>
          <w:b/>
          <w:kern w:val="2"/>
          <w:sz w:val="24"/>
          <w:szCs w:val="24"/>
          <w:highlight w:val="none"/>
          <w:lang w:val="en-US" w:eastAsia="zh-CN" w:bidi="ar-SA"/>
        </w:rPr>
      </w:pPr>
      <w:bookmarkStart w:id="80" w:name="_Toc152042308"/>
      <w:bookmarkStart w:id="81" w:name="_Toc430813241"/>
      <w:bookmarkStart w:id="82" w:name="_Toc247527556"/>
      <w:bookmarkStart w:id="83" w:name="_Toc144974500"/>
      <w:bookmarkStart w:id="84" w:name="_Toc300834952"/>
      <w:bookmarkStart w:id="85" w:name="_Toc152045532"/>
      <w:bookmarkStart w:id="86" w:name="_Toc247513955"/>
      <w:bookmarkStart w:id="87" w:name="_Toc432367324"/>
      <w:bookmarkStart w:id="88" w:name="_Toc76047118"/>
      <w:bookmarkStart w:id="89" w:name="_Toc23204"/>
      <w:bookmarkStart w:id="90" w:name="_Toc8563"/>
      <w:r>
        <w:rPr>
          <w:rFonts w:ascii="宋体" w:hAnsi="宋体" w:eastAsia="宋体" w:cs="Arial"/>
          <w:b/>
          <w:kern w:val="2"/>
          <w:sz w:val="24"/>
          <w:szCs w:val="24"/>
          <w:highlight w:val="none"/>
          <w:lang w:val="en-US" w:eastAsia="zh-CN" w:bidi="ar-SA"/>
        </w:rPr>
        <w:t xml:space="preserve">1.3 </w:t>
      </w:r>
      <w:r>
        <w:rPr>
          <w:rFonts w:hint="eastAsia" w:ascii="宋体" w:hAnsi="宋体" w:eastAsia="宋体" w:cs="Arial"/>
          <w:b/>
          <w:kern w:val="2"/>
          <w:sz w:val="24"/>
          <w:szCs w:val="24"/>
          <w:highlight w:val="none"/>
          <w:lang w:val="en-US" w:eastAsia="zh-CN" w:bidi="ar-SA"/>
        </w:rPr>
        <w:t>服务</w:t>
      </w:r>
      <w:bookmarkEnd w:id="80"/>
      <w:bookmarkEnd w:id="81"/>
      <w:bookmarkEnd w:id="82"/>
      <w:bookmarkEnd w:id="83"/>
      <w:bookmarkEnd w:id="84"/>
      <w:bookmarkEnd w:id="85"/>
      <w:bookmarkEnd w:id="86"/>
      <w:bookmarkEnd w:id="87"/>
      <w:r>
        <w:rPr>
          <w:rFonts w:hint="eastAsia" w:ascii="宋体" w:hAnsi="宋体" w:eastAsia="宋体" w:cs="Arial"/>
          <w:b/>
          <w:kern w:val="2"/>
          <w:sz w:val="24"/>
          <w:szCs w:val="24"/>
          <w:highlight w:val="none"/>
          <w:lang w:val="en-US" w:eastAsia="zh-CN" w:bidi="ar-SA"/>
        </w:rPr>
        <w:t>期限及付款方式</w:t>
      </w:r>
      <w:bookmarkEnd w:id="88"/>
      <w:bookmarkEnd w:id="89"/>
      <w:bookmarkEnd w:id="90"/>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1.3.1</w:t>
      </w:r>
      <w:r>
        <w:rPr>
          <w:rFonts w:hint="eastAsia" w:ascii="Arial" w:hAnsi="Arial" w:eastAsia="宋体" w:cs="Arial"/>
          <w:szCs w:val="21"/>
          <w:highlight w:val="none"/>
        </w:rPr>
        <w:t>服务期限</w:t>
      </w:r>
      <w:r>
        <w:rPr>
          <w:rFonts w:ascii="Arial" w:hAnsi="Arial" w:eastAsia="宋体" w:cs="Arial"/>
          <w:szCs w:val="21"/>
          <w:highlight w:val="none"/>
        </w:rPr>
        <w:t>：见投标人须知前附表。</w:t>
      </w:r>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1.3.2</w:t>
      </w:r>
      <w:r>
        <w:rPr>
          <w:rFonts w:hint="eastAsia" w:ascii="Arial" w:hAnsi="Arial" w:eastAsia="宋体" w:cs="Arial"/>
          <w:szCs w:val="21"/>
          <w:highlight w:val="none"/>
        </w:rPr>
        <w:t>付款方式：</w:t>
      </w:r>
      <w:r>
        <w:rPr>
          <w:rFonts w:ascii="Arial" w:hAnsi="Arial" w:eastAsia="宋体" w:cs="Arial"/>
          <w:szCs w:val="21"/>
          <w:highlight w:val="none"/>
        </w:rPr>
        <w:t>见投标人须知前附表。</w:t>
      </w:r>
    </w:p>
    <w:p>
      <w:pPr>
        <w:keepNext/>
        <w:keepLines/>
        <w:widowControl w:val="0"/>
        <w:snapToGrid w:val="0"/>
        <w:spacing w:before="0" w:beforeLines="0" w:after="0" w:afterLines="0" w:line="360" w:lineRule="auto"/>
        <w:jc w:val="left"/>
        <w:outlineLvl w:val="2"/>
        <w:rPr>
          <w:rFonts w:ascii="宋体" w:hAnsi="宋体" w:eastAsia="宋体" w:cs="Arial"/>
          <w:b/>
          <w:kern w:val="2"/>
          <w:sz w:val="24"/>
          <w:szCs w:val="24"/>
          <w:highlight w:val="none"/>
          <w:lang w:val="en-US" w:eastAsia="zh-CN" w:bidi="ar-SA"/>
        </w:rPr>
      </w:pPr>
      <w:bookmarkStart w:id="91" w:name="_Toc430813242"/>
      <w:bookmarkStart w:id="92" w:name="_Toc432367325"/>
      <w:bookmarkStart w:id="93" w:name="_Toc9128"/>
      <w:bookmarkStart w:id="94" w:name="_Toc152045534"/>
      <w:bookmarkStart w:id="95" w:name="_Toc247513957"/>
      <w:bookmarkStart w:id="96" w:name="_Toc247527558"/>
      <w:bookmarkStart w:id="97" w:name="_Toc76047119"/>
      <w:bookmarkStart w:id="98" w:name="_Toc144974502"/>
      <w:bookmarkStart w:id="99" w:name="_Toc152042310"/>
      <w:bookmarkStart w:id="100" w:name="_Toc763"/>
      <w:bookmarkStart w:id="101" w:name="_Toc300834954"/>
      <w:r>
        <w:rPr>
          <w:rFonts w:ascii="宋体" w:hAnsi="宋体" w:eastAsia="宋体" w:cs="Arial"/>
          <w:b/>
          <w:kern w:val="2"/>
          <w:sz w:val="24"/>
          <w:szCs w:val="24"/>
          <w:highlight w:val="none"/>
          <w:lang w:val="en-US" w:eastAsia="zh-CN" w:bidi="ar-SA"/>
        </w:rPr>
        <w:t xml:space="preserve">1.4 </w:t>
      </w:r>
      <w:r>
        <w:rPr>
          <w:rFonts w:hint="eastAsia" w:ascii="宋体" w:hAnsi="宋体" w:eastAsia="宋体" w:cs="Arial"/>
          <w:b/>
          <w:kern w:val="2"/>
          <w:sz w:val="24"/>
          <w:szCs w:val="24"/>
          <w:highlight w:val="none"/>
          <w:lang w:val="en-US" w:eastAsia="zh-CN" w:bidi="ar-SA"/>
        </w:rPr>
        <w:t>投标人</w:t>
      </w:r>
      <w:r>
        <w:rPr>
          <w:rFonts w:ascii="宋体" w:hAnsi="宋体" w:eastAsia="宋体" w:cs="Arial"/>
          <w:b/>
          <w:kern w:val="2"/>
          <w:sz w:val="24"/>
          <w:szCs w:val="24"/>
          <w:highlight w:val="none"/>
          <w:lang w:val="en-US" w:eastAsia="zh-CN" w:bidi="ar-SA"/>
        </w:rPr>
        <w:t>资格要求</w:t>
      </w:r>
      <w:bookmarkEnd w:id="91"/>
      <w:bookmarkEnd w:id="92"/>
      <w:bookmarkEnd w:id="93"/>
      <w:bookmarkEnd w:id="94"/>
      <w:bookmarkEnd w:id="95"/>
      <w:bookmarkEnd w:id="96"/>
      <w:bookmarkEnd w:id="97"/>
      <w:bookmarkEnd w:id="98"/>
      <w:bookmarkEnd w:id="99"/>
      <w:bookmarkEnd w:id="100"/>
      <w:bookmarkEnd w:id="101"/>
    </w:p>
    <w:p>
      <w:pPr>
        <w:snapToGrid w:val="0"/>
        <w:spacing w:line="360" w:lineRule="auto"/>
        <w:ind w:firstLine="420" w:firstLineChars="200"/>
        <w:rPr>
          <w:rFonts w:ascii="Arial" w:hAnsi="Arial" w:eastAsia="宋体" w:cs="Arial"/>
          <w:highlight w:val="none"/>
        </w:rPr>
      </w:pPr>
      <w:r>
        <w:rPr>
          <w:rFonts w:ascii="Arial" w:hAnsi="Arial" w:eastAsia="宋体" w:cs="Arial"/>
          <w:highlight w:val="none"/>
        </w:rPr>
        <w:t xml:space="preserve">1.4.1 </w:t>
      </w:r>
      <w:r>
        <w:rPr>
          <w:rFonts w:hint="eastAsia" w:ascii="Arial" w:hAnsi="Arial" w:eastAsia="宋体" w:cs="Arial"/>
          <w:highlight w:val="none"/>
        </w:rPr>
        <w:t>投标人</w:t>
      </w:r>
      <w:r>
        <w:rPr>
          <w:rFonts w:ascii="Arial" w:hAnsi="Arial" w:eastAsia="宋体" w:cs="Arial"/>
          <w:highlight w:val="none"/>
        </w:rPr>
        <w:t>应具备承担本招标项目资质条件、能力和信誉。</w:t>
      </w:r>
    </w:p>
    <w:p>
      <w:pPr>
        <w:snapToGrid w:val="0"/>
        <w:spacing w:line="360" w:lineRule="auto"/>
        <w:ind w:firstLine="420" w:firstLineChars="200"/>
        <w:rPr>
          <w:rFonts w:ascii="Arial" w:hAnsi="Arial" w:eastAsia="宋体" w:cs="Arial"/>
          <w:highlight w:val="none"/>
        </w:rPr>
      </w:pPr>
      <w:r>
        <w:rPr>
          <w:rFonts w:ascii="Arial" w:hAnsi="Arial" w:eastAsia="宋体" w:cs="Arial"/>
          <w:highlight w:val="none"/>
        </w:rPr>
        <w:t>（1）资质要求：见投标人须知前附表；</w:t>
      </w:r>
    </w:p>
    <w:p>
      <w:pPr>
        <w:snapToGrid w:val="0"/>
        <w:spacing w:line="360" w:lineRule="auto"/>
        <w:ind w:firstLine="420" w:firstLineChars="200"/>
        <w:rPr>
          <w:rFonts w:ascii="Arial" w:hAnsi="Arial" w:eastAsia="宋体" w:cs="Arial"/>
          <w:highlight w:val="none"/>
        </w:rPr>
      </w:pPr>
      <w:r>
        <w:rPr>
          <w:rFonts w:ascii="Arial" w:hAnsi="Arial" w:eastAsia="宋体" w:cs="Arial"/>
          <w:highlight w:val="none"/>
        </w:rPr>
        <w:t>（</w:t>
      </w:r>
      <w:r>
        <w:rPr>
          <w:rFonts w:hint="eastAsia" w:ascii="Arial" w:hAnsi="Arial" w:eastAsia="宋体" w:cs="Arial"/>
          <w:highlight w:val="none"/>
        </w:rPr>
        <w:t>2</w:t>
      </w:r>
      <w:r>
        <w:rPr>
          <w:rFonts w:ascii="Arial" w:hAnsi="Arial" w:eastAsia="宋体" w:cs="Arial"/>
          <w:highlight w:val="none"/>
        </w:rPr>
        <w:t>）其他要求：见投标人须知前附表。</w:t>
      </w:r>
    </w:p>
    <w:p>
      <w:pPr>
        <w:snapToGrid w:val="0"/>
        <w:spacing w:line="360" w:lineRule="auto"/>
        <w:ind w:firstLine="420" w:firstLineChars="200"/>
        <w:rPr>
          <w:rFonts w:ascii="Arial" w:hAnsi="Arial" w:eastAsia="宋体" w:cs="Arial"/>
          <w:highlight w:val="none"/>
        </w:rPr>
      </w:pPr>
      <w:r>
        <w:rPr>
          <w:rFonts w:ascii="Arial" w:hAnsi="Arial" w:eastAsia="宋体" w:cs="Arial"/>
          <w:highlight w:val="none"/>
        </w:rPr>
        <w:t xml:space="preserve">1.4.2 投标人须知前附表规定接受联合体投标的，除应符合本章第1.4.1项和投标人须知前附表的要求外，还应遵守以下规定： </w:t>
      </w:r>
    </w:p>
    <w:p>
      <w:pPr>
        <w:snapToGrid w:val="0"/>
        <w:spacing w:line="360" w:lineRule="auto"/>
        <w:ind w:firstLine="315" w:firstLineChars="150"/>
        <w:rPr>
          <w:rFonts w:ascii="Arial" w:hAnsi="Arial" w:eastAsia="宋体" w:cs="Arial"/>
          <w:highlight w:val="none"/>
        </w:rPr>
      </w:pPr>
      <w:r>
        <w:rPr>
          <w:rFonts w:ascii="Arial" w:hAnsi="Arial" w:eastAsia="宋体" w:cs="Arial"/>
          <w:highlight w:val="none"/>
        </w:rPr>
        <w:t>（1）联合体各方应按招标文件提供的格式签订联合体协议书，明确联合体牵头人和各方权利义务；</w:t>
      </w:r>
    </w:p>
    <w:p>
      <w:pPr>
        <w:snapToGrid w:val="0"/>
        <w:spacing w:line="360" w:lineRule="auto"/>
        <w:ind w:firstLine="315" w:firstLineChars="150"/>
        <w:rPr>
          <w:rFonts w:ascii="Arial" w:hAnsi="Arial" w:eastAsia="宋体" w:cs="Arial"/>
          <w:highlight w:val="none"/>
        </w:rPr>
      </w:pPr>
      <w:r>
        <w:rPr>
          <w:rFonts w:ascii="Arial" w:hAnsi="Arial" w:eastAsia="宋体" w:cs="Arial"/>
          <w:highlight w:val="none"/>
        </w:rPr>
        <w:t>（2）由同一专业的单位组成的联合体，按照资质等级较低的单位确定资质等级；</w:t>
      </w:r>
    </w:p>
    <w:p>
      <w:pPr>
        <w:snapToGrid w:val="0"/>
        <w:spacing w:line="360" w:lineRule="auto"/>
        <w:ind w:firstLine="315" w:firstLineChars="150"/>
        <w:rPr>
          <w:rFonts w:hint="eastAsia" w:ascii="Arial" w:hAnsi="Arial" w:eastAsia="宋体" w:cs="Arial"/>
          <w:highlight w:val="none"/>
        </w:rPr>
      </w:pPr>
      <w:r>
        <w:rPr>
          <w:rFonts w:ascii="Arial" w:hAnsi="Arial" w:eastAsia="宋体" w:cs="Arial"/>
          <w:highlight w:val="none"/>
        </w:rPr>
        <w:t>（3）联合体各方不得再以自己名义单独或参加其他联合体在本招标项目中投标</w:t>
      </w:r>
      <w:r>
        <w:rPr>
          <w:rFonts w:hint="eastAsia" w:ascii="Arial" w:hAnsi="Arial" w:eastAsia="宋体" w:cs="Arial"/>
          <w:highlight w:val="none"/>
        </w:rPr>
        <w:t>；</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02" w:name="_Toc432367326"/>
      <w:bookmarkStart w:id="103" w:name="_Toc27836"/>
      <w:bookmarkStart w:id="104" w:name="_Toc21807"/>
      <w:r>
        <w:rPr>
          <w:rFonts w:hint="eastAsia" w:ascii="宋体" w:hAnsi="宋体" w:eastAsia="宋体" w:cs="宋体"/>
          <w:b/>
          <w:kern w:val="2"/>
          <w:sz w:val="24"/>
          <w:szCs w:val="24"/>
          <w:highlight w:val="none"/>
          <w:lang w:val="en-US" w:eastAsia="zh-CN" w:bidi="ar-SA"/>
        </w:rPr>
        <w:t>1.5</w:t>
      </w:r>
      <w:bookmarkStart w:id="105" w:name="_Toc247527559"/>
      <w:bookmarkStart w:id="106" w:name="_Toc247513958"/>
      <w:bookmarkStart w:id="107" w:name="_Toc300834955"/>
      <w:bookmarkStart w:id="108" w:name="_Toc144974503"/>
      <w:bookmarkStart w:id="109" w:name="_Toc152042311"/>
      <w:bookmarkStart w:id="110" w:name="_Toc152045535"/>
      <w:bookmarkStart w:id="111" w:name="_Toc430813243"/>
      <w:r>
        <w:rPr>
          <w:rFonts w:hint="eastAsia" w:ascii="宋体" w:hAnsi="宋体" w:eastAsia="宋体" w:cs="宋体"/>
          <w:b/>
          <w:kern w:val="2"/>
          <w:sz w:val="24"/>
          <w:szCs w:val="24"/>
          <w:highlight w:val="none"/>
          <w:lang w:val="en-US" w:eastAsia="zh-CN" w:bidi="ar-SA"/>
        </w:rPr>
        <w:t xml:space="preserve"> 费用承担</w:t>
      </w:r>
      <w:bookmarkEnd w:id="102"/>
      <w:bookmarkEnd w:id="103"/>
      <w:bookmarkEnd w:id="104"/>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105"/>
      <w:bookmarkEnd w:id="106"/>
      <w:bookmarkEnd w:id="107"/>
      <w:bookmarkEnd w:id="108"/>
      <w:bookmarkEnd w:id="109"/>
      <w:bookmarkEnd w:id="110"/>
      <w:bookmarkEnd w:id="111"/>
      <w:r>
        <w:rPr>
          <w:rFonts w:hint="eastAsia" w:ascii="宋体" w:hAnsi="宋体" w:eastAsia="宋体" w:cs="宋体"/>
          <w:highlight w:val="none"/>
        </w:rPr>
        <w:t>5.1投标人应承担所有与准备和参加投标有关的费用。不论投标的结果如何，采购代理机构和采购人均无义务和责任承担这些费用。</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12" w:name="_Toc14830"/>
      <w:bookmarkStart w:id="113" w:name="_Toc432367327"/>
      <w:bookmarkStart w:id="114" w:name="_Toc7639"/>
      <w:r>
        <w:rPr>
          <w:rFonts w:hint="eastAsia" w:ascii="宋体" w:hAnsi="宋体" w:eastAsia="宋体" w:cs="宋体"/>
          <w:b/>
          <w:kern w:val="2"/>
          <w:sz w:val="24"/>
          <w:szCs w:val="24"/>
          <w:highlight w:val="none"/>
          <w:lang w:val="en-US" w:eastAsia="zh-CN" w:bidi="ar-SA"/>
        </w:rPr>
        <w:t>1.6</w:t>
      </w:r>
      <w:bookmarkStart w:id="115" w:name="_Toc300834956"/>
      <w:bookmarkStart w:id="116" w:name="_Toc152045536"/>
      <w:bookmarkStart w:id="117" w:name="_Toc152042312"/>
      <w:bookmarkStart w:id="118" w:name="_Toc247513959"/>
      <w:bookmarkStart w:id="119" w:name="_Toc144974504"/>
      <w:bookmarkStart w:id="120" w:name="_Toc430813244"/>
      <w:bookmarkStart w:id="121" w:name="_Toc247527560"/>
      <w:r>
        <w:rPr>
          <w:rFonts w:hint="eastAsia" w:ascii="宋体" w:hAnsi="宋体" w:eastAsia="宋体" w:cs="宋体"/>
          <w:b/>
          <w:kern w:val="2"/>
          <w:sz w:val="24"/>
          <w:szCs w:val="24"/>
          <w:highlight w:val="none"/>
          <w:lang w:val="en-US" w:eastAsia="zh-CN" w:bidi="ar-SA"/>
        </w:rPr>
        <w:t xml:space="preserve"> 保密</w:t>
      </w:r>
      <w:bookmarkEnd w:id="112"/>
      <w:bookmarkEnd w:id="113"/>
      <w:bookmarkEnd w:id="114"/>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115"/>
      <w:bookmarkEnd w:id="116"/>
      <w:bookmarkEnd w:id="117"/>
      <w:bookmarkEnd w:id="118"/>
      <w:bookmarkEnd w:id="119"/>
      <w:bookmarkEnd w:id="120"/>
      <w:bookmarkEnd w:id="121"/>
      <w:r>
        <w:rPr>
          <w:rFonts w:hint="eastAsia" w:ascii="宋体" w:hAnsi="宋体" w:eastAsia="宋体" w:cs="宋体"/>
          <w:highlight w:val="none"/>
        </w:rPr>
        <w:t>6.1参与招标投标活动的各方应对招标文件和投标文件中的商业和技术等秘密保密，否则应承担相应的法律责任。</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22" w:name="_Toc23316"/>
      <w:bookmarkStart w:id="123" w:name="_Toc432367328"/>
      <w:bookmarkStart w:id="124" w:name="_Toc20780"/>
      <w:r>
        <w:rPr>
          <w:rFonts w:hint="eastAsia" w:ascii="宋体" w:hAnsi="宋体" w:eastAsia="宋体" w:cs="宋体"/>
          <w:b/>
          <w:kern w:val="2"/>
          <w:sz w:val="24"/>
          <w:szCs w:val="24"/>
          <w:highlight w:val="none"/>
          <w:lang w:val="en-US" w:eastAsia="zh-CN" w:bidi="ar-SA"/>
        </w:rPr>
        <w:t>1.7</w:t>
      </w:r>
      <w:bookmarkStart w:id="125" w:name="_Toc144974505"/>
      <w:bookmarkStart w:id="126" w:name="_Toc247513960"/>
      <w:bookmarkStart w:id="127" w:name="_Toc152042313"/>
      <w:bookmarkStart w:id="128" w:name="_Toc300834957"/>
      <w:bookmarkStart w:id="129" w:name="_Toc247527561"/>
      <w:bookmarkStart w:id="130" w:name="_Toc430813245"/>
      <w:bookmarkStart w:id="131" w:name="_Toc152045537"/>
      <w:r>
        <w:rPr>
          <w:rFonts w:hint="eastAsia" w:ascii="宋体" w:hAnsi="宋体" w:eastAsia="宋体" w:cs="宋体"/>
          <w:b/>
          <w:kern w:val="2"/>
          <w:sz w:val="24"/>
          <w:szCs w:val="24"/>
          <w:highlight w:val="none"/>
          <w:lang w:val="en-US" w:eastAsia="zh-CN" w:bidi="ar-SA"/>
        </w:rPr>
        <w:t xml:space="preserve"> 语言文字</w:t>
      </w:r>
      <w:bookmarkEnd w:id="122"/>
      <w:bookmarkEnd w:id="123"/>
      <w:bookmarkEnd w:id="124"/>
    </w:p>
    <w:bookmarkEnd w:id="125"/>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126"/>
      <w:bookmarkEnd w:id="127"/>
      <w:bookmarkEnd w:id="128"/>
      <w:bookmarkEnd w:id="129"/>
      <w:bookmarkEnd w:id="130"/>
      <w:bookmarkEnd w:id="131"/>
      <w:r>
        <w:rPr>
          <w:rFonts w:hint="eastAsia" w:ascii="宋体" w:hAnsi="宋体" w:eastAsia="宋体" w:cs="宋体"/>
          <w:highlight w:val="none"/>
        </w:rPr>
        <w:t>7.1招标投标文件使用的语言文字为中文。专用术语使用外文的，应附有中文注释。</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32" w:name="_Toc432367329"/>
      <w:bookmarkStart w:id="133" w:name="_Toc14305"/>
      <w:bookmarkStart w:id="134" w:name="_Toc4339"/>
      <w:r>
        <w:rPr>
          <w:rFonts w:hint="eastAsia" w:ascii="宋体" w:hAnsi="宋体" w:eastAsia="宋体" w:cs="宋体"/>
          <w:b/>
          <w:kern w:val="2"/>
          <w:sz w:val="24"/>
          <w:szCs w:val="24"/>
          <w:highlight w:val="none"/>
          <w:lang w:val="en-US" w:eastAsia="zh-CN" w:bidi="ar-SA"/>
        </w:rPr>
        <w:t>1.8</w:t>
      </w:r>
      <w:bookmarkStart w:id="135" w:name="_Toc247527562"/>
      <w:bookmarkStart w:id="136" w:name="_Toc144974506"/>
      <w:bookmarkStart w:id="137" w:name="_Toc430813246"/>
      <w:bookmarkStart w:id="138" w:name="_Toc300834958"/>
      <w:bookmarkStart w:id="139" w:name="_Toc247513961"/>
      <w:bookmarkStart w:id="140" w:name="_Toc152045538"/>
      <w:bookmarkStart w:id="141" w:name="_Toc152042314"/>
      <w:r>
        <w:rPr>
          <w:rFonts w:hint="eastAsia" w:ascii="宋体" w:hAnsi="宋体" w:eastAsia="宋体" w:cs="宋体"/>
          <w:b/>
          <w:kern w:val="2"/>
          <w:sz w:val="24"/>
          <w:szCs w:val="24"/>
          <w:highlight w:val="none"/>
          <w:lang w:val="en-US" w:eastAsia="zh-CN" w:bidi="ar-SA"/>
        </w:rPr>
        <w:t xml:space="preserve"> 计量单位</w:t>
      </w:r>
      <w:bookmarkEnd w:id="132"/>
      <w:bookmarkEnd w:id="133"/>
      <w:bookmarkEnd w:id="134"/>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135"/>
      <w:bookmarkEnd w:id="136"/>
      <w:bookmarkEnd w:id="137"/>
      <w:bookmarkEnd w:id="138"/>
      <w:bookmarkEnd w:id="139"/>
      <w:bookmarkEnd w:id="140"/>
      <w:bookmarkEnd w:id="141"/>
      <w:r>
        <w:rPr>
          <w:rFonts w:hint="eastAsia" w:ascii="宋体" w:hAnsi="宋体" w:eastAsia="宋体" w:cs="宋体"/>
          <w:highlight w:val="none"/>
        </w:rPr>
        <w:t>8.1所有计量均采用中华人民共和国法定计量单位。</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42" w:name="_Toc432367330"/>
      <w:bookmarkStart w:id="143" w:name="_Toc17317"/>
      <w:bookmarkStart w:id="144" w:name="_Toc19714"/>
      <w:r>
        <w:rPr>
          <w:rFonts w:hint="eastAsia" w:ascii="宋体" w:hAnsi="宋体" w:eastAsia="宋体" w:cs="宋体"/>
          <w:b/>
          <w:kern w:val="2"/>
          <w:sz w:val="24"/>
          <w:szCs w:val="24"/>
          <w:highlight w:val="none"/>
          <w:lang w:val="en-US" w:eastAsia="zh-CN" w:bidi="ar-SA"/>
        </w:rPr>
        <w:t>1.9</w:t>
      </w:r>
      <w:bookmarkStart w:id="145" w:name="_Toc300834959"/>
      <w:bookmarkStart w:id="146" w:name="_Toc247513962"/>
      <w:bookmarkStart w:id="147" w:name="_Toc247527563"/>
      <w:bookmarkStart w:id="148" w:name="_Toc152042315"/>
      <w:bookmarkStart w:id="149" w:name="_Toc144974507"/>
      <w:bookmarkStart w:id="150" w:name="_Toc430813247"/>
      <w:bookmarkStart w:id="151" w:name="_Toc152045539"/>
      <w:r>
        <w:rPr>
          <w:rFonts w:hint="eastAsia" w:ascii="宋体" w:hAnsi="宋体" w:eastAsia="宋体" w:cs="宋体"/>
          <w:b/>
          <w:kern w:val="2"/>
          <w:sz w:val="24"/>
          <w:szCs w:val="24"/>
          <w:highlight w:val="none"/>
          <w:lang w:val="en-US" w:eastAsia="zh-CN" w:bidi="ar-SA"/>
        </w:rPr>
        <w:t xml:space="preserve"> 踏勘现场</w:t>
      </w:r>
      <w:bookmarkEnd w:id="142"/>
      <w:bookmarkEnd w:id="143"/>
      <w:bookmarkEnd w:id="144"/>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145"/>
      <w:bookmarkEnd w:id="146"/>
      <w:bookmarkEnd w:id="147"/>
      <w:bookmarkEnd w:id="148"/>
      <w:bookmarkEnd w:id="149"/>
      <w:bookmarkEnd w:id="150"/>
      <w:bookmarkEnd w:id="151"/>
      <w:r>
        <w:rPr>
          <w:rFonts w:hint="eastAsia" w:ascii="宋体" w:hAnsi="宋体" w:eastAsia="宋体" w:cs="宋体"/>
          <w:highlight w:val="none"/>
        </w:rPr>
        <w:t>9.1 投标人须知前附表规定组织踏勘现场的，采购代理机构按投标人须知前附表规定的时间、地点组织投标人踏勘项目现场。</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1.9.2 投标人踏勘现场发生的费用自理。</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1.9.3 除采购人和采购代理机构的原因外，投标人自行负责在踏勘现场中所发生的人员伤亡和财产损失。</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1.9.4 采购人在踏勘现场中介绍的项目场地和相关的周边环境情况，投标人在编制投标文件时参考，采购人和采购代理机构不对投标人据此作出的判断和决策负责。</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52" w:name="_Toc20773"/>
      <w:bookmarkStart w:id="153" w:name="_Toc19586"/>
      <w:bookmarkStart w:id="154" w:name="_Toc432367331"/>
      <w:r>
        <w:rPr>
          <w:rFonts w:hint="eastAsia" w:ascii="宋体" w:hAnsi="宋体" w:eastAsia="宋体" w:cs="宋体"/>
          <w:b/>
          <w:kern w:val="2"/>
          <w:sz w:val="24"/>
          <w:szCs w:val="24"/>
          <w:highlight w:val="none"/>
          <w:lang w:val="en-US" w:eastAsia="zh-CN" w:bidi="ar-SA"/>
        </w:rPr>
        <w:t>1.1</w:t>
      </w:r>
      <w:bookmarkStart w:id="155" w:name="_Toc152042316"/>
      <w:bookmarkStart w:id="156" w:name="_Toc430813248"/>
      <w:bookmarkStart w:id="157" w:name="_Toc152045540"/>
      <w:bookmarkStart w:id="158" w:name="_Toc144974508"/>
      <w:bookmarkStart w:id="159" w:name="_Toc247513963"/>
      <w:bookmarkStart w:id="160" w:name="_Toc300834960"/>
      <w:bookmarkStart w:id="161" w:name="_Toc247527564"/>
      <w:r>
        <w:rPr>
          <w:rFonts w:hint="eastAsia" w:ascii="宋体" w:hAnsi="宋体" w:eastAsia="宋体" w:cs="宋体"/>
          <w:b/>
          <w:kern w:val="2"/>
          <w:sz w:val="24"/>
          <w:szCs w:val="24"/>
          <w:highlight w:val="none"/>
          <w:lang w:val="en-US" w:eastAsia="zh-CN" w:bidi="ar-SA"/>
        </w:rPr>
        <w:t>0 投标预备会</w:t>
      </w:r>
      <w:bookmarkEnd w:id="152"/>
      <w:bookmarkEnd w:id="153"/>
      <w:bookmarkEnd w:id="154"/>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155"/>
      <w:bookmarkEnd w:id="156"/>
      <w:bookmarkEnd w:id="157"/>
      <w:bookmarkEnd w:id="158"/>
      <w:bookmarkEnd w:id="159"/>
      <w:bookmarkEnd w:id="160"/>
      <w:bookmarkEnd w:id="161"/>
      <w:r>
        <w:rPr>
          <w:rFonts w:hint="eastAsia" w:ascii="宋体" w:hAnsi="宋体" w:eastAsia="宋体" w:cs="宋体"/>
          <w:highlight w:val="none"/>
        </w:rPr>
        <w:t>10.1 投标人须知前附表规定召开投标预备会的，采购代理机构按投标人须知前附表规定的时间和地点召开投标预备会，澄清投标人提出的问题。</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62" w:name="_Toc432367332"/>
      <w:bookmarkStart w:id="163" w:name="_Toc3305"/>
      <w:bookmarkStart w:id="164" w:name="_Toc1265"/>
      <w:r>
        <w:rPr>
          <w:rFonts w:hint="eastAsia" w:ascii="宋体" w:hAnsi="宋体" w:eastAsia="宋体" w:cs="宋体"/>
          <w:b/>
          <w:kern w:val="2"/>
          <w:sz w:val="24"/>
          <w:szCs w:val="24"/>
          <w:highlight w:val="none"/>
          <w:lang w:val="en-US" w:eastAsia="zh-CN" w:bidi="ar-SA"/>
        </w:rPr>
        <w:t>1.1</w:t>
      </w:r>
      <w:bookmarkStart w:id="165" w:name="_Toc430813249"/>
      <w:bookmarkStart w:id="166" w:name="_Toc152042317"/>
      <w:bookmarkStart w:id="167" w:name="_Toc247513964"/>
      <w:bookmarkStart w:id="168" w:name="_Toc300834961"/>
      <w:bookmarkStart w:id="169" w:name="_Toc152045541"/>
      <w:bookmarkStart w:id="170" w:name="_Toc247527565"/>
      <w:bookmarkStart w:id="171" w:name="_Toc144974509"/>
      <w:r>
        <w:rPr>
          <w:rFonts w:hint="eastAsia" w:ascii="宋体" w:hAnsi="宋体" w:eastAsia="宋体" w:cs="宋体"/>
          <w:b/>
          <w:kern w:val="2"/>
          <w:sz w:val="24"/>
          <w:szCs w:val="24"/>
          <w:highlight w:val="none"/>
          <w:lang w:val="en-US" w:eastAsia="zh-CN" w:bidi="ar-SA"/>
        </w:rPr>
        <w:t>1 中标后分包</w:t>
      </w:r>
      <w:bookmarkEnd w:id="162"/>
      <w:bookmarkEnd w:id="163"/>
      <w:bookmarkEnd w:id="164"/>
    </w:p>
    <w:bookmarkEnd w:id="165"/>
    <w:bookmarkEnd w:id="166"/>
    <w:bookmarkEnd w:id="167"/>
    <w:bookmarkEnd w:id="168"/>
    <w:bookmarkEnd w:id="169"/>
    <w:bookmarkEnd w:id="170"/>
    <w:bookmarkEnd w:id="171"/>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1.11.1 投标人须知前附表规定应当由分包人实施的非主体、非关键性工作，投标人应当提供分包人名称及其相应资料。</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1.11.2 投标人拟在中标后将中标项目的部分非主体、非关键性工作进行分包的，应符合投标人须知前附表规定的分包内容、分包金额和资质要求等限制性条件，并提供分包人名称及其相应资料。</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72" w:name="_Toc432367334"/>
      <w:bookmarkStart w:id="173" w:name="_Toc16689"/>
      <w:bookmarkStart w:id="174" w:name="_Toc18582"/>
      <w:r>
        <w:rPr>
          <w:rFonts w:hint="eastAsia" w:ascii="宋体" w:hAnsi="宋体" w:eastAsia="宋体" w:cs="宋体"/>
          <w:b/>
          <w:kern w:val="2"/>
          <w:sz w:val="24"/>
          <w:szCs w:val="24"/>
          <w:highlight w:val="none"/>
          <w:lang w:val="en-US" w:eastAsia="zh-CN" w:bidi="ar-SA"/>
        </w:rPr>
        <w:t>1.12 政府采购政策</w:t>
      </w:r>
      <w:bookmarkEnd w:id="172"/>
      <w:bookmarkEnd w:id="173"/>
      <w:bookmarkEnd w:id="174"/>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1.12.1 除非</w:t>
      </w:r>
      <w:r>
        <w:rPr>
          <w:rFonts w:hint="eastAsia" w:ascii="宋体" w:hAnsi="宋体" w:eastAsia="宋体" w:cs="宋体"/>
          <w:b/>
          <w:highlight w:val="none"/>
        </w:rPr>
        <w:t>《投标人须知前附表》</w:t>
      </w:r>
      <w:r>
        <w:rPr>
          <w:rFonts w:hint="eastAsia" w:ascii="宋体" w:hAnsi="宋体" w:eastAsia="宋体" w:cs="宋体"/>
          <w:highlight w:val="none"/>
        </w:rPr>
        <w:t>中有特殊规定，本项目所采购的</w:t>
      </w:r>
      <w:r>
        <w:rPr>
          <w:rFonts w:hint="eastAsia" w:ascii="宋体" w:hAnsi="宋体" w:cs="宋体"/>
          <w:highlight w:val="none"/>
          <w:lang w:val="en-US" w:eastAsia="zh-CN"/>
        </w:rPr>
        <w:t>服务及</w:t>
      </w:r>
      <w:r>
        <w:rPr>
          <w:rFonts w:hint="eastAsia" w:ascii="宋体" w:hAnsi="宋体" w:eastAsia="宋体" w:cs="宋体"/>
          <w:highlight w:val="none"/>
        </w:rPr>
        <w:t>货物应当为中华人民共和国境内提供。</w:t>
      </w:r>
    </w:p>
    <w:p>
      <w:pPr>
        <w:snapToGrid w:val="0"/>
        <w:spacing w:line="360" w:lineRule="auto"/>
        <w:ind w:firstLine="359" w:firstLineChars="171"/>
        <w:rPr>
          <w:rFonts w:ascii="宋体" w:hAnsi="宋体" w:eastAsia="宋体" w:cs="宋体"/>
          <w:szCs w:val="21"/>
          <w:highlight w:val="none"/>
        </w:rPr>
      </w:pPr>
      <w:bookmarkStart w:id="175" w:name="OLE_LINK10"/>
      <w:r>
        <w:rPr>
          <w:rFonts w:hint="eastAsia" w:ascii="宋体" w:hAnsi="宋体" w:eastAsia="宋体" w:cs="宋体"/>
          <w:highlight w:val="none"/>
        </w:rPr>
        <w:t>1.12.2</w:t>
      </w:r>
      <w:bookmarkEnd w:id="175"/>
      <w:r>
        <w:rPr>
          <w:rFonts w:hint="eastAsia" w:ascii="宋体" w:hAnsi="宋体" w:eastAsia="宋体" w:cs="宋体"/>
          <w:highlight w:val="none"/>
        </w:rPr>
        <w:t>为促进中小企业发展，</w:t>
      </w:r>
      <w:r>
        <w:rPr>
          <w:rFonts w:hint="eastAsia" w:ascii="宋体" w:hAnsi="宋体" w:eastAsia="宋体" w:cs="宋体"/>
          <w:szCs w:val="21"/>
          <w:highlight w:val="none"/>
        </w:rPr>
        <w:t>依据《关于进一步加大政府采购支持中小企业力度的通知》（财库〔2022〕19号）、</w:t>
      </w:r>
      <w:r>
        <w:rPr>
          <w:rFonts w:hint="eastAsia" w:ascii="宋体" w:hAnsi="宋体" w:eastAsia="宋体" w:cs="宋体"/>
          <w:highlight w:val="none"/>
        </w:rPr>
        <w:t>财政部、工业和信息化部</w:t>
      </w:r>
      <w:r>
        <w:rPr>
          <w:rFonts w:hint="eastAsia" w:ascii="宋体" w:hAnsi="宋体" w:eastAsia="宋体" w:cs="宋体"/>
          <w:szCs w:val="21"/>
          <w:highlight w:val="none"/>
        </w:rPr>
        <w:t>《关于印发&lt;政府采购促进中小企业发展管理办法&gt;的通知》（财库[2020]46号）、财政部 司法部《关于政府采购支持监狱企业发展有关问题的通知》（财库[2014]68号）、财政部 民政部 中国残疾人联合会《关于促进残疾人就业政府采购政策的通知》（财库[2017]141号），本项目投标人如符合上述文件规定的，需提供《中小企业声明函》、监狱企业证明文件、《残疾人福利性单位声明函》，评审时将对投标人报价给予一定比例的扣除，用扣除后的价格参与评审。具体扣除比例详见《投标人须知前附表》。</w:t>
      </w:r>
    </w:p>
    <w:p>
      <w:pPr>
        <w:snapToGrid w:val="0"/>
        <w:spacing w:line="360" w:lineRule="auto"/>
        <w:ind w:firstLine="359" w:firstLineChars="171"/>
        <w:rPr>
          <w:rFonts w:ascii="宋体" w:hAnsi="宋体" w:eastAsia="宋体" w:cs="宋体"/>
          <w:szCs w:val="21"/>
          <w:highlight w:val="none"/>
        </w:rPr>
      </w:pPr>
      <w:r>
        <w:rPr>
          <w:rFonts w:hint="eastAsia" w:ascii="宋体" w:hAnsi="宋体" w:eastAsia="宋体" w:cs="宋体"/>
          <w:szCs w:val="21"/>
          <w:highlight w:val="none"/>
        </w:rPr>
        <w:t>中小企业划型标准详见附件1：工业和信息化部 国家统计局 国家发展和改革委员会 财政部《中小企业划型标准规定》（工信部联企业〔2011〕300号）。</w:t>
      </w:r>
    </w:p>
    <w:p>
      <w:pPr>
        <w:snapToGrid w:val="0"/>
        <w:spacing w:line="360" w:lineRule="auto"/>
        <w:ind w:firstLine="359" w:firstLineChars="171"/>
        <w:rPr>
          <w:rFonts w:ascii="宋体" w:hAnsi="宋体" w:eastAsia="宋体" w:cs="宋体"/>
          <w:szCs w:val="21"/>
          <w:highlight w:val="none"/>
        </w:rPr>
      </w:pPr>
      <w:r>
        <w:rPr>
          <w:rFonts w:hint="eastAsia" w:ascii="宋体" w:hAnsi="宋体" w:eastAsia="宋体" w:cs="宋体"/>
          <w:szCs w:val="21"/>
          <w:highlight w:val="none"/>
        </w:rPr>
        <w:t>1.12.3 根据《财政部 国家发展改革委关于印发&lt;节能产品政府采购实施意见&gt;的通知》（财库［2004］185号）、《关于环境标志产品政府采购实施的意见》（财库[2006]90号）《财政部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供应商所投产品如属于节能产品政府采购品目清单、环境标志产品政府采购品目清单范围的，供应商必须提供国家确定的认证机构出具的、处于有效期之内的节能产品、环境标志产品认证证书，并进行单独分项报价。属于政府强制采购产品的，已作为投标时强制性要求不再给予价格扣除。属于优先采购范围的，按照《投标人须知前附</w:t>
      </w:r>
      <w:r>
        <w:rPr>
          <w:rFonts w:hint="eastAsia" w:ascii="宋体" w:hAnsi="宋体" w:eastAsia="宋体" w:cs="宋体"/>
          <w:highlight w:val="none"/>
        </w:rPr>
        <w:t>表》中相关规定，对该项产品的价格给予一定比例的扣除，具体扣除比例详见《投标人须知前附表》。</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1.12.4</w:t>
      </w:r>
      <w:r>
        <w:rPr>
          <w:rFonts w:hint="eastAsia" w:ascii="宋体" w:hAnsi="宋体" w:eastAsia="宋体" w:cs="宋体"/>
          <w:szCs w:val="21"/>
          <w:highlight w:val="none"/>
        </w:rPr>
        <w:t>依据湖北省财政厅 湖北省公共资源交易监督管理局《关于落实稳住经济一揽子政策进一步加大政府采购支持中小企业力度的通知》（鄂财采发〔2022〕5号）的规定，货物服务采购项目给予小微企业的价格扣除优惠，由财库〔2020〕46号文件规定的 6%—10%提高至 10%—20%。大中型企业与小微企业组成联合体或者大中型企业向小微企业分包的，评审优惠幅度由 2%—3%提高至 4%—6%。政府采购工程的价格评审优惠按照财库〔2020〕46号文件中对应的 3%—5%、1%—2%的规定执行。对小微企业中的残疾人企业、监狱企业、采购产品纳入创新产品应用示范推荐目录内企业、采购产品获得节能产品或环境标志产品认证证书的企业，以价格评审优惠幅度的上限给予评审优惠。</w:t>
      </w:r>
      <w:r>
        <w:rPr>
          <w:rFonts w:hint="eastAsia" w:ascii="宋体" w:hAnsi="宋体" w:eastAsia="宋体" w:cs="宋体"/>
          <w:highlight w:val="none"/>
        </w:rPr>
        <w:t>本招标文件第1.12条关于政府采购政策优惠须经评标委员会评审后执行，未提供单独分项报价或未提供有效证明材料的不给予价格扣除</w:t>
      </w:r>
    </w:p>
    <w:p>
      <w:pPr>
        <w:snapToGrid w:val="0"/>
        <w:spacing w:line="360" w:lineRule="auto"/>
        <w:ind w:firstLine="359" w:firstLineChars="171"/>
        <w:rPr>
          <w:rFonts w:hint="eastAsia" w:ascii="宋体" w:hAnsi="宋体" w:eastAsia="宋体" w:cs="宋体"/>
          <w:highlight w:val="none"/>
        </w:rPr>
      </w:pPr>
      <w:bookmarkStart w:id="176" w:name="OLE_LINK18"/>
      <w:r>
        <w:rPr>
          <w:rFonts w:hint="eastAsia" w:ascii="宋体" w:hAnsi="宋体" w:eastAsia="宋体" w:cs="宋体"/>
          <w:highlight w:val="none"/>
        </w:rPr>
        <w:t>1.12.</w:t>
      </w:r>
      <w:r>
        <w:rPr>
          <w:rFonts w:hint="eastAsia" w:ascii="宋体" w:hAnsi="宋体" w:cs="宋体"/>
          <w:highlight w:val="none"/>
          <w:lang w:val="en-US" w:eastAsia="zh-CN"/>
        </w:rPr>
        <w:t>5</w:t>
      </w:r>
      <w:bookmarkEnd w:id="176"/>
      <w:r>
        <w:rPr>
          <w:rFonts w:hint="eastAsia" w:ascii="宋体" w:hAnsi="宋体" w:eastAsia="宋体" w:cs="宋体"/>
          <w:highlight w:val="none"/>
        </w:rPr>
        <w:t>异常低价审查:</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按照《关于推动解决政府采购异常低价问题的通知》（财库[2026]2号）规定，自2026年2月1日起，政府采购评审中出现异常低价情形，评审委员会应当启动异常低价投标审查程序。适用情形：（1）投标报价低于全部通过符合性审查供应商投标报价平均值 65 %的；（2）投标报价低于通过符合性审查的次低报价供应商投标报价 65 %的；（3）投标报价低于采购项目最高限价 65 %的；（4）评审委员会基于专业判断，认为供应商报价过低，有可能影响产品质量或者不能诚信履约的其他情形。相关法律法规对供应商报价有规定的，从其规定。</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评审委员会启动异常低价投标审查后，属于上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pPr>
        <w:snapToGrid w:val="0"/>
        <w:spacing w:line="360" w:lineRule="auto"/>
        <w:ind w:firstLine="359" w:firstLineChars="171"/>
        <w:rPr>
          <w:rFonts w:hint="eastAsia" w:ascii="宋体" w:hAnsi="宋体" w:eastAsia="宋体" w:cs="宋体"/>
          <w:highlight w:val="none"/>
        </w:rPr>
      </w:pPr>
      <w:bookmarkStart w:id="177" w:name="OLE_LINK14"/>
      <w:r>
        <w:rPr>
          <w:rFonts w:hint="eastAsia" w:ascii="宋体" w:hAnsi="宋体" w:cs="宋体"/>
          <w:highlight w:val="none"/>
          <w:lang w:val="en-US" w:eastAsia="zh-CN"/>
        </w:rPr>
        <w:t>1.12.6</w:t>
      </w:r>
      <w:bookmarkEnd w:id="177"/>
      <w:r>
        <w:rPr>
          <w:rFonts w:hint="eastAsia" w:ascii="宋体" w:hAnsi="宋体" w:eastAsia="宋体" w:cs="宋体"/>
          <w:highlight w:val="none"/>
        </w:rPr>
        <w:t>本国产品标准及相关政策</w:t>
      </w:r>
    </w:p>
    <w:p>
      <w:pPr>
        <w:snapToGrid w:val="0"/>
        <w:spacing w:line="360" w:lineRule="auto"/>
        <w:ind w:firstLine="359" w:firstLineChars="171"/>
        <w:rPr>
          <w:rFonts w:hint="eastAsia" w:ascii="宋体" w:hAnsi="宋体" w:eastAsia="宋体" w:cs="宋体"/>
          <w:highlight w:val="none"/>
        </w:rPr>
      </w:pPr>
      <w:bookmarkStart w:id="178" w:name="OLE_LINK15"/>
      <w:r>
        <w:rPr>
          <w:rFonts w:hint="eastAsia" w:ascii="宋体" w:hAnsi="宋体" w:cs="宋体"/>
          <w:highlight w:val="none"/>
          <w:lang w:val="en-US" w:eastAsia="zh-CN"/>
        </w:rPr>
        <w:t>1.12.6.</w:t>
      </w:r>
      <w:bookmarkEnd w:id="178"/>
      <w:r>
        <w:rPr>
          <w:rFonts w:hint="eastAsia" w:ascii="宋体" w:hAnsi="宋体" w:eastAsia="宋体" w:cs="宋体"/>
          <w:highlight w:val="none"/>
        </w:rPr>
        <w:t>1.本国产品应当符合以下条件：</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1）在中国境内生产。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a.为确保产品在运输或者储存期间保持某种状态而进行的操作；</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b.为产品运输或者销售进行的包装或者展示；</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c.在产品或者其包装上粘贴或者印刷品牌、标志、标识以及其他用于区别的标记；</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d.简单的上漆、磨光和分装；</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e.其他不属于属性改变的情形。</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（2）在中国境内生产的组件成本占比达到规定比例。产品在中国境内生产的组件成本占比应当达到规定比例，计算公式为：</w:t>
      </w:r>
    </w:p>
    <w:p>
      <w:pPr>
        <w:snapToGrid w:val="0"/>
        <w:spacing w:line="360" w:lineRule="auto"/>
        <w:ind w:firstLine="410" w:firstLineChars="171"/>
        <w:rPr>
          <w:rFonts w:hint="eastAsia" w:ascii="宋体" w:hAnsi="宋体" w:eastAsia="宋体" w:cs="宋体"/>
          <w:highlight w:val="none"/>
        </w:rPr>
      </w:pPr>
      <w:r>
        <w:rPr>
          <w:rFonts w:hint="eastAsia" w:ascii="宋体" w:hAnsi="宋体" w:eastAsia="宋体" w:cs="宋体"/>
          <w:b w:val="0"/>
          <w:bCs w:val="0"/>
          <w:color w:val="auto"/>
          <w:sz w:val="24"/>
          <w:szCs w:val="24"/>
          <w:highlight w:val="none"/>
          <w:lang w:val="en-US" w:eastAsia="zh-CN"/>
        </w:rPr>
        <w:drawing>
          <wp:inline distT="0" distB="0" distL="114300" distR="114300">
            <wp:extent cx="4102735" cy="647065"/>
            <wp:effectExtent l="0" t="0" r="12065" b="63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4"/>
                    <a:stretch>
                      <a:fillRect/>
                    </a:stretch>
                  </pic:blipFill>
                  <pic:spPr>
                    <a:xfrm>
                      <a:off x="0" y="0"/>
                      <a:ext cx="4102735" cy="647065"/>
                    </a:xfrm>
                    <a:prstGeom prst="rect">
                      <a:avLst/>
                    </a:prstGeom>
                    <a:noFill/>
                    <a:ln w="9525">
                      <a:noFill/>
                    </a:ln>
                  </pic:spPr>
                </pic:pic>
              </a:graphicData>
            </a:graphic>
          </wp:inline>
        </w:drawing>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3）特定产品的关键组件、关键工序符合相关要求。对特定产品，在符合第（1）项和第（2）项条件的基础上，应当符合财政部会同有关行业主管部门确定的其关键组件、关键工序在中国境内生产、完成等要求。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pPr>
        <w:snapToGrid w:val="0"/>
        <w:spacing w:line="360" w:lineRule="auto"/>
        <w:ind w:firstLine="359" w:firstLineChars="171"/>
        <w:rPr>
          <w:rFonts w:hint="eastAsia" w:ascii="宋体" w:hAnsi="宋体" w:eastAsia="宋体" w:cs="宋体"/>
          <w:highlight w:val="none"/>
        </w:rPr>
      </w:pPr>
      <w:bookmarkStart w:id="179" w:name="OLE_LINK16"/>
      <w:r>
        <w:rPr>
          <w:rFonts w:hint="eastAsia" w:ascii="宋体" w:hAnsi="宋体" w:cs="宋体"/>
          <w:highlight w:val="none"/>
          <w:lang w:val="en-US" w:eastAsia="zh-CN"/>
        </w:rPr>
        <w:t>1.12.6.</w:t>
      </w:r>
      <w:r>
        <w:rPr>
          <w:rFonts w:hint="eastAsia" w:ascii="宋体" w:hAnsi="宋体" w:eastAsia="宋体" w:cs="宋体"/>
          <w:highlight w:val="none"/>
        </w:rPr>
        <w:t>2.</w:t>
      </w:r>
      <w:bookmarkEnd w:id="179"/>
      <w:r>
        <w:rPr>
          <w:rFonts w:hint="eastAsia" w:ascii="宋体" w:hAnsi="宋体" w:eastAsia="宋体" w:cs="宋体"/>
          <w:highlight w:val="none"/>
        </w:rPr>
        <w:t>本国产品标准的适用范围</w:t>
      </w:r>
    </w:p>
    <w:p>
      <w:pPr>
        <w:snapToGrid w:val="0"/>
        <w:spacing w:line="360" w:lineRule="auto"/>
        <w:ind w:firstLine="359" w:firstLineChars="171"/>
        <w:rPr>
          <w:rFonts w:hint="eastAsia" w:ascii="宋体" w:hAnsi="宋体" w:eastAsia="宋体" w:cs="宋体"/>
          <w:highlight w:val="none"/>
        </w:rPr>
      </w:pPr>
      <w:bookmarkStart w:id="1124" w:name="_GoBack"/>
      <w:r>
        <w:rPr>
          <w:rFonts w:hint="eastAsia" w:ascii="宋体" w:hAnsi="宋体" w:eastAsia="宋体" w:cs="宋体"/>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snapToGrid w:val="0"/>
        <w:spacing w:line="360" w:lineRule="auto"/>
        <w:ind w:firstLine="359" w:firstLineChars="171"/>
        <w:rPr>
          <w:rFonts w:hint="eastAsia" w:ascii="宋体" w:hAnsi="宋体" w:eastAsia="宋体" w:cs="宋体"/>
          <w:highlight w:val="none"/>
        </w:rPr>
      </w:pPr>
      <w:r>
        <w:rPr>
          <w:rFonts w:hint="eastAsia" w:ascii="宋体" w:hAnsi="宋体" w:cs="宋体"/>
          <w:highlight w:val="none"/>
          <w:lang w:val="en-US" w:eastAsia="zh-CN"/>
        </w:rPr>
        <w:t>1.12.6.</w:t>
      </w:r>
      <w:r>
        <w:rPr>
          <w:rFonts w:hint="eastAsia" w:ascii="宋体" w:hAnsi="宋体" w:eastAsia="宋体" w:cs="宋体"/>
          <w:highlight w:val="none"/>
        </w:rPr>
        <w:t>3.对本国产品的支持政策</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政府采购活动中既有本国产品又有非本国产品参与竞争的，依法对本国产品给予价格评审优惠，对本国产品的报价给予20%的价格扣除，用扣除后的价格参与评审。</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snapToGrid w:val="0"/>
        <w:spacing w:line="360" w:lineRule="auto"/>
        <w:ind w:firstLine="359" w:firstLineChars="171"/>
        <w:rPr>
          <w:rFonts w:hint="eastAsia" w:ascii="宋体" w:hAnsi="宋体" w:eastAsia="宋体" w:cs="宋体"/>
          <w:highlight w:val="none"/>
        </w:rPr>
      </w:pPr>
      <w:r>
        <w:rPr>
          <w:rFonts w:hint="eastAsia" w:ascii="宋体" w:hAnsi="宋体" w:cs="宋体"/>
          <w:highlight w:val="none"/>
          <w:lang w:val="en-US" w:eastAsia="zh-CN"/>
        </w:rPr>
        <w:t>1.12.6.</w:t>
      </w:r>
      <w:r>
        <w:rPr>
          <w:rFonts w:hint="eastAsia" w:ascii="宋体" w:hAnsi="宋体" w:eastAsia="宋体" w:cs="宋体"/>
          <w:highlight w:val="none"/>
        </w:rPr>
        <w:t>4.政策执行要求</w:t>
      </w:r>
    </w:p>
    <w:bookmarkEnd w:id="1124"/>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（1）产品在中国境内生产的组件成本核算规则。产品在中国境内生产的组件成本，按照《中国境内生产的组件成本核算基本规则》计算：</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一、产品的一级组件是指直接组成产品的组件。产品的二级组件是指直接组成产品一级组件的组件。一级组件不可分解的，视同二级组件。二、二级组件在中国境内生产的，其全部成本计入中国境内生产的组件成本；二级组件不在中国境内生产的，其成本不计入中国境内生产的组件成本。三、产品总成本和组件成本以相关会计核算数据、采购合同、进货记录等为基础进行计算。四、需要对成本核算规则予以进一步明确的其他有关事项，由财政部会同有关部门另行规定。”</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2）有关证明文件。供应商对其提供的产品出具《关于符合本国产品标准的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采购人、采购代理机构应当随中标、成交结果同时公告中标、成交供应商提供的《声明函》或有关证明文件。</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180" w:name="_Toc432367335"/>
      <w:bookmarkStart w:id="181" w:name="_Toc27990"/>
      <w:bookmarkStart w:id="182" w:name="_Toc17590"/>
      <w:bookmarkStart w:id="183" w:name="_Toc152045542"/>
      <w:bookmarkStart w:id="184" w:name="_Toc152042318"/>
      <w:bookmarkStart w:id="185" w:name="_Toc247513966"/>
      <w:bookmarkStart w:id="186" w:name="_Toc300834963"/>
      <w:bookmarkStart w:id="187" w:name="_Toc430813251"/>
      <w:bookmarkStart w:id="188" w:name="_Toc144974510"/>
      <w:bookmarkStart w:id="189" w:name="_Toc247527567"/>
      <w:r>
        <w:rPr>
          <w:rFonts w:hint="eastAsia" w:ascii="宋体" w:hAnsi="宋体" w:eastAsia="宋体" w:cs="宋体"/>
          <w:b/>
          <w:bCs/>
          <w:kern w:val="2"/>
          <w:sz w:val="28"/>
          <w:szCs w:val="28"/>
          <w:highlight w:val="none"/>
          <w:lang w:val="en-US" w:eastAsia="zh-CN" w:bidi="ar-SA"/>
        </w:rPr>
        <w:t>招标文件</w:t>
      </w:r>
      <w:bookmarkEnd w:id="180"/>
      <w:bookmarkEnd w:id="181"/>
      <w:bookmarkEnd w:id="182"/>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90" w:name="_Toc432367336"/>
      <w:bookmarkStart w:id="191" w:name="_Toc20894"/>
      <w:bookmarkStart w:id="192" w:name="_Toc3741"/>
      <w:r>
        <w:rPr>
          <w:rFonts w:hint="eastAsia" w:ascii="宋体" w:hAnsi="宋体" w:eastAsia="宋体" w:cs="宋体"/>
          <w:b/>
          <w:kern w:val="2"/>
          <w:sz w:val="24"/>
          <w:szCs w:val="24"/>
          <w:highlight w:val="none"/>
          <w:lang w:val="en-US" w:eastAsia="zh-CN" w:bidi="ar-SA"/>
        </w:rPr>
        <w:t>2.</w:t>
      </w:r>
      <w:bookmarkEnd w:id="183"/>
      <w:bookmarkEnd w:id="184"/>
      <w:bookmarkEnd w:id="185"/>
      <w:bookmarkEnd w:id="186"/>
      <w:bookmarkEnd w:id="187"/>
      <w:bookmarkEnd w:id="188"/>
      <w:bookmarkEnd w:id="189"/>
      <w:r>
        <w:rPr>
          <w:rFonts w:hint="eastAsia" w:ascii="宋体" w:hAnsi="宋体" w:eastAsia="宋体" w:cs="宋体"/>
          <w:b/>
          <w:kern w:val="2"/>
          <w:sz w:val="24"/>
          <w:szCs w:val="24"/>
          <w:highlight w:val="none"/>
          <w:lang w:val="en-US" w:eastAsia="zh-CN" w:bidi="ar-SA"/>
        </w:rPr>
        <w:t>1</w:t>
      </w:r>
      <w:bookmarkStart w:id="193" w:name="_Toc144974511"/>
      <w:bookmarkStart w:id="194" w:name="_Toc300834964"/>
      <w:bookmarkStart w:id="195" w:name="_Toc247513967"/>
      <w:bookmarkStart w:id="196" w:name="_Toc430813252"/>
      <w:bookmarkStart w:id="197" w:name="_Toc152045543"/>
      <w:bookmarkStart w:id="198" w:name="_Toc152042319"/>
      <w:bookmarkStart w:id="199" w:name="_Toc247527568"/>
      <w:r>
        <w:rPr>
          <w:rFonts w:hint="eastAsia" w:ascii="宋体" w:hAnsi="宋体" w:eastAsia="宋体" w:cs="宋体"/>
          <w:b/>
          <w:kern w:val="2"/>
          <w:sz w:val="24"/>
          <w:szCs w:val="24"/>
          <w:highlight w:val="none"/>
          <w:lang w:val="en-US" w:eastAsia="zh-CN" w:bidi="ar-SA"/>
        </w:rPr>
        <w:t xml:space="preserve"> 招标文件的组成</w:t>
      </w:r>
      <w:bookmarkEnd w:id="190"/>
      <w:bookmarkEnd w:id="191"/>
      <w:bookmarkEnd w:id="19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w:t>
      </w:r>
      <w:bookmarkEnd w:id="193"/>
      <w:bookmarkEnd w:id="194"/>
      <w:bookmarkEnd w:id="195"/>
      <w:bookmarkEnd w:id="196"/>
      <w:bookmarkEnd w:id="197"/>
      <w:bookmarkEnd w:id="198"/>
      <w:bookmarkEnd w:id="199"/>
      <w:r>
        <w:rPr>
          <w:rFonts w:hint="eastAsia" w:ascii="宋体" w:hAnsi="宋体" w:eastAsia="宋体" w:cs="宋体"/>
          <w:highlight w:val="none"/>
        </w:rPr>
        <w:t>1.1本</w:t>
      </w:r>
      <w:r>
        <w:rPr>
          <w:rFonts w:hint="eastAsia" w:ascii="宋体" w:hAnsi="宋体" w:eastAsia="宋体" w:cs="宋体"/>
          <w:szCs w:val="21"/>
          <w:highlight w:val="none"/>
        </w:rPr>
        <w:t>招标</w:t>
      </w:r>
      <w:r>
        <w:rPr>
          <w:rFonts w:hint="eastAsia" w:ascii="宋体" w:hAnsi="宋体" w:eastAsia="宋体" w:cs="宋体"/>
          <w:highlight w:val="none"/>
        </w:rPr>
        <w:t>文件包括下列文件及根据本章第1.10款、第2.2款对招标文件所作的澄清、修改。</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第一章投标邀请</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第二章投标人须知</w:t>
      </w:r>
    </w:p>
    <w:p>
      <w:pPr>
        <w:snapToGrid w:val="0"/>
        <w:spacing w:line="360" w:lineRule="auto"/>
        <w:ind w:firstLine="1115" w:firstLineChars="531"/>
        <w:rPr>
          <w:rFonts w:ascii="宋体" w:hAnsi="宋体" w:eastAsia="宋体" w:cs="宋体"/>
          <w:highlight w:val="none"/>
        </w:rPr>
      </w:pPr>
      <w:r>
        <w:rPr>
          <w:rFonts w:hint="eastAsia" w:ascii="宋体" w:hAnsi="宋体" w:eastAsia="宋体" w:cs="宋体"/>
          <w:highlight w:val="none"/>
        </w:rPr>
        <w:t>投标人须知前附表</w:t>
      </w:r>
    </w:p>
    <w:p>
      <w:pPr>
        <w:snapToGrid w:val="0"/>
        <w:spacing w:line="360" w:lineRule="auto"/>
        <w:ind w:firstLine="1115" w:firstLineChars="531"/>
        <w:rPr>
          <w:rFonts w:ascii="宋体" w:hAnsi="宋体" w:eastAsia="宋体" w:cs="宋体"/>
          <w:highlight w:val="none"/>
        </w:rPr>
      </w:pPr>
      <w:r>
        <w:rPr>
          <w:rFonts w:hint="eastAsia" w:ascii="宋体" w:hAnsi="宋体" w:eastAsia="宋体" w:cs="宋体"/>
          <w:highlight w:val="none"/>
        </w:rPr>
        <w:t>投标人须知</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第三章项目采购需求</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第四章评标方法、步骤及标准</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第五章合同主要条款</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第六章投标文件格式</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2.1.2投标人获取招标文件后，应仔细检查招标文件的所有内容，</w:t>
      </w:r>
      <w:r>
        <w:rPr>
          <w:rFonts w:hint="eastAsia" w:ascii="宋体" w:hAnsi="宋体" w:eastAsia="宋体" w:cs="宋体"/>
          <w:szCs w:val="21"/>
          <w:highlight w:val="none"/>
        </w:rPr>
        <w:t>如发现缺页或附件不全，</w:t>
      </w:r>
      <w:r>
        <w:rPr>
          <w:rFonts w:hint="eastAsia" w:ascii="宋体" w:hAnsi="宋体" w:eastAsia="宋体" w:cs="宋体"/>
          <w:highlight w:val="none"/>
        </w:rPr>
        <w:t>应</w:t>
      </w:r>
      <w:r>
        <w:rPr>
          <w:rFonts w:hint="eastAsia" w:ascii="宋体" w:hAnsi="宋体" w:eastAsia="宋体" w:cs="宋体"/>
          <w:szCs w:val="21"/>
          <w:highlight w:val="none"/>
        </w:rPr>
        <w:t>在</w:t>
      </w:r>
      <w:r>
        <w:rPr>
          <w:rFonts w:hint="eastAsia" w:ascii="宋体" w:hAnsi="宋体" w:eastAsia="宋体" w:cs="宋体"/>
          <w:highlight w:val="none"/>
        </w:rPr>
        <w:t>获得招标文件1日内向采购代理机构提出</w:t>
      </w:r>
      <w:r>
        <w:rPr>
          <w:rFonts w:hint="eastAsia" w:ascii="宋体" w:hAnsi="宋体" w:eastAsia="宋体" w:cs="宋体"/>
          <w:szCs w:val="21"/>
          <w:highlight w:val="none"/>
        </w:rPr>
        <w:t>，以便补齐。</w:t>
      </w:r>
      <w:r>
        <w:rPr>
          <w:rFonts w:hint="eastAsia" w:ascii="宋体" w:hAnsi="宋体" w:eastAsia="宋体" w:cs="宋体"/>
          <w:highlight w:val="none"/>
        </w:rPr>
        <w:t>否则，由此引起的损失由投标人自己承担。</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2.1.3投标人或者其他利害关系人对招标文件有质疑的，应当在收到招标文件之日起7个工作日内以书面形式向采购人或采购代理机构提出质疑。采购人或采购代理机构应当在收到投标人的书面质疑后7个工作日内作出答复，并以书面形式通知质疑投标人和其他有关投标人，但答复的内容不得涉及商业秘密。本处所称“质疑”是指投标人或者其他利害关系人认为招标文件的内容违反法律、行政法规的强制性规定，违反公开、公平、公正和诚实信用原则，影响投标人投标而向采购代理机构提出的质疑。质疑与答复应采取书面形式。</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2.1.4采购代理机构对质疑的答复构成对招标文件澄清或者修改的，采购代理机构应当按照第2.2款规定办理。</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2.1.5投标人应认真审阅招标文件中所有的事项、格式、条款和要求等，若投标人的投标文件没有按招标文件要求提交全部资料，或投标文件没有对招标文件做出实质性响应，其风险由投标人自行承担。评标委员会将否决未对招标文件做出实质性响应的投标文件。</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00" w:name="_Toc432367337"/>
      <w:bookmarkStart w:id="201" w:name="_Toc31687"/>
      <w:bookmarkStart w:id="202" w:name="_Toc24461"/>
      <w:r>
        <w:rPr>
          <w:rFonts w:hint="eastAsia" w:ascii="宋体" w:hAnsi="宋体" w:eastAsia="宋体" w:cs="宋体"/>
          <w:b/>
          <w:kern w:val="2"/>
          <w:sz w:val="24"/>
          <w:szCs w:val="24"/>
          <w:highlight w:val="none"/>
          <w:lang w:val="en-US" w:eastAsia="zh-CN" w:bidi="ar-SA"/>
        </w:rPr>
        <w:t>2.2</w:t>
      </w:r>
      <w:bookmarkStart w:id="203" w:name="_Toc247527569"/>
      <w:bookmarkStart w:id="204" w:name="_Toc247513968"/>
      <w:bookmarkStart w:id="205" w:name="_Toc152042320"/>
      <w:bookmarkStart w:id="206" w:name="_Toc144974512"/>
      <w:bookmarkStart w:id="207" w:name="_Toc152045544"/>
      <w:bookmarkStart w:id="208" w:name="_Toc430813253"/>
      <w:bookmarkStart w:id="209" w:name="_Toc300834965"/>
      <w:r>
        <w:rPr>
          <w:rFonts w:hint="eastAsia" w:ascii="宋体" w:hAnsi="宋体" w:eastAsia="宋体" w:cs="宋体"/>
          <w:b/>
          <w:kern w:val="2"/>
          <w:sz w:val="24"/>
          <w:szCs w:val="24"/>
          <w:highlight w:val="none"/>
          <w:lang w:val="en-US" w:eastAsia="zh-CN" w:bidi="ar-SA"/>
        </w:rPr>
        <w:t xml:space="preserve"> 招标文件的澄清</w:t>
      </w:r>
      <w:bookmarkEnd w:id="200"/>
      <w:r>
        <w:rPr>
          <w:rFonts w:hint="eastAsia" w:ascii="宋体" w:hAnsi="宋体" w:eastAsia="宋体" w:cs="宋体"/>
          <w:b/>
          <w:kern w:val="2"/>
          <w:sz w:val="24"/>
          <w:szCs w:val="24"/>
          <w:highlight w:val="none"/>
          <w:lang w:val="en-US" w:eastAsia="zh-CN" w:bidi="ar-SA"/>
        </w:rPr>
        <w:t>或者修改</w:t>
      </w:r>
      <w:bookmarkEnd w:id="201"/>
      <w:bookmarkEnd w:id="202"/>
    </w:p>
    <w:bookmarkEnd w:id="203"/>
    <w:bookmarkEnd w:id="204"/>
    <w:bookmarkEnd w:id="205"/>
    <w:bookmarkEnd w:id="206"/>
    <w:bookmarkEnd w:id="207"/>
    <w:bookmarkEnd w:id="208"/>
    <w:bookmarkEnd w:id="209"/>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2.2.1 采购人或者采购代理机构可以对已发出的招标文件进行必要的澄清或者修改。</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2.2.2 招标文件的澄清或者修改以书面形式发给所有领取招标文件的投标人，但不包括问题的来源。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2.2.3 投标人在收到澄清或者修改通知后，应在投标人须知前附表规定的时间内以书面形式通知采购代理机构，确认已收到该澄清或者修改通知。</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2.2.4上述书面形式通知包括纸质的文件、信件，也包括电报、电传、传真、电子数据交换和电子邮件等数据电文。</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210" w:name="_Toc667"/>
      <w:bookmarkStart w:id="211" w:name="_Toc26270"/>
      <w:bookmarkStart w:id="212" w:name="_Toc432367339"/>
      <w:bookmarkStart w:id="213" w:name="_Toc247527571"/>
      <w:bookmarkStart w:id="214" w:name="_Toc152045546"/>
      <w:bookmarkStart w:id="215" w:name="_Toc247513970"/>
      <w:bookmarkStart w:id="216" w:name="_Toc152042322"/>
      <w:bookmarkStart w:id="217" w:name="_Toc300834967"/>
      <w:bookmarkStart w:id="218" w:name="_Toc430813255"/>
      <w:bookmarkStart w:id="219" w:name="_Toc144974514"/>
      <w:r>
        <w:rPr>
          <w:rFonts w:hint="eastAsia" w:ascii="宋体" w:hAnsi="宋体" w:eastAsia="宋体" w:cs="宋体"/>
          <w:b/>
          <w:bCs/>
          <w:kern w:val="2"/>
          <w:sz w:val="28"/>
          <w:szCs w:val="28"/>
          <w:highlight w:val="none"/>
          <w:lang w:val="en-US" w:eastAsia="zh-CN" w:bidi="ar-SA"/>
        </w:rPr>
        <w:t>投标文件</w:t>
      </w:r>
      <w:bookmarkEnd w:id="210"/>
      <w:bookmarkEnd w:id="211"/>
      <w:bookmarkEnd w:id="212"/>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20" w:name="_Toc13911"/>
      <w:bookmarkStart w:id="221" w:name="_Toc23365"/>
      <w:bookmarkStart w:id="222" w:name="_Toc432367340"/>
      <w:r>
        <w:rPr>
          <w:rFonts w:hint="eastAsia" w:ascii="宋体" w:hAnsi="宋体" w:eastAsia="宋体" w:cs="宋体"/>
          <w:b/>
          <w:kern w:val="2"/>
          <w:sz w:val="24"/>
          <w:szCs w:val="24"/>
          <w:highlight w:val="none"/>
          <w:lang w:val="en-US" w:eastAsia="zh-CN" w:bidi="ar-SA"/>
        </w:rPr>
        <w:t>3.</w:t>
      </w:r>
      <w:bookmarkEnd w:id="213"/>
      <w:bookmarkEnd w:id="214"/>
      <w:bookmarkEnd w:id="215"/>
      <w:bookmarkEnd w:id="216"/>
      <w:bookmarkEnd w:id="217"/>
      <w:bookmarkEnd w:id="218"/>
      <w:bookmarkEnd w:id="219"/>
      <w:r>
        <w:rPr>
          <w:rFonts w:hint="eastAsia" w:ascii="宋体" w:hAnsi="宋体" w:eastAsia="宋体" w:cs="宋体"/>
          <w:b/>
          <w:kern w:val="2"/>
          <w:sz w:val="24"/>
          <w:szCs w:val="24"/>
          <w:highlight w:val="none"/>
          <w:lang w:val="en-US" w:eastAsia="zh-CN" w:bidi="ar-SA"/>
        </w:rPr>
        <w:t>1</w:t>
      </w:r>
      <w:bookmarkStart w:id="223" w:name="_Toc144974515"/>
      <w:bookmarkStart w:id="224" w:name="_Toc247513971"/>
      <w:bookmarkStart w:id="225" w:name="_Toc152042323"/>
      <w:bookmarkStart w:id="226" w:name="_Toc247527572"/>
      <w:bookmarkStart w:id="227" w:name="_Toc430813256"/>
      <w:bookmarkStart w:id="228" w:name="_Toc300834968"/>
      <w:bookmarkStart w:id="229" w:name="_Toc152045547"/>
      <w:r>
        <w:rPr>
          <w:rFonts w:hint="eastAsia" w:ascii="宋体" w:hAnsi="宋体" w:eastAsia="宋体" w:cs="宋体"/>
          <w:b/>
          <w:kern w:val="2"/>
          <w:sz w:val="24"/>
          <w:szCs w:val="24"/>
          <w:highlight w:val="none"/>
          <w:lang w:val="en-US" w:eastAsia="zh-CN" w:bidi="ar-SA"/>
        </w:rPr>
        <w:t xml:space="preserve"> 投标文件的组成</w:t>
      </w:r>
      <w:bookmarkEnd w:id="220"/>
      <w:bookmarkEnd w:id="221"/>
      <w:bookmarkEnd w:id="22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w:t>
      </w:r>
      <w:bookmarkEnd w:id="223"/>
      <w:bookmarkEnd w:id="224"/>
      <w:bookmarkEnd w:id="225"/>
      <w:bookmarkEnd w:id="226"/>
      <w:bookmarkEnd w:id="227"/>
      <w:bookmarkEnd w:id="228"/>
      <w:bookmarkEnd w:id="229"/>
      <w:r>
        <w:rPr>
          <w:rFonts w:hint="eastAsia" w:ascii="宋体" w:hAnsi="宋体" w:eastAsia="宋体" w:cs="宋体"/>
          <w:highlight w:val="none"/>
        </w:rPr>
        <w:t>1.1 投标函及附件</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3.1.2 报价文件</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3.1.3 商务文件</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3.1.4 技术文件</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30" w:name="_Toc19053"/>
      <w:bookmarkStart w:id="231" w:name="_Toc26862"/>
      <w:bookmarkStart w:id="232" w:name="_Toc432367341"/>
      <w:r>
        <w:rPr>
          <w:rFonts w:hint="eastAsia" w:ascii="宋体" w:hAnsi="宋体" w:eastAsia="宋体" w:cs="宋体"/>
          <w:b/>
          <w:kern w:val="2"/>
          <w:sz w:val="24"/>
          <w:szCs w:val="24"/>
          <w:highlight w:val="none"/>
          <w:lang w:val="en-US" w:eastAsia="zh-CN" w:bidi="ar-SA"/>
        </w:rPr>
        <w:t>3.2</w:t>
      </w:r>
      <w:bookmarkStart w:id="233" w:name="_Toc430813257"/>
      <w:bookmarkStart w:id="234" w:name="_Toc144974516"/>
      <w:bookmarkStart w:id="235" w:name="_Toc152042324"/>
      <w:bookmarkStart w:id="236" w:name="_Toc300834969"/>
      <w:bookmarkStart w:id="237" w:name="_Toc247513972"/>
      <w:bookmarkStart w:id="238" w:name="_Toc152045548"/>
      <w:bookmarkStart w:id="239" w:name="_Toc247527573"/>
      <w:r>
        <w:rPr>
          <w:rFonts w:hint="eastAsia" w:ascii="宋体" w:hAnsi="宋体" w:eastAsia="宋体" w:cs="宋体"/>
          <w:b/>
          <w:kern w:val="2"/>
          <w:sz w:val="24"/>
          <w:szCs w:val="24"/>
          <w:highlight w:val="none"/>
          <w:lang w:val="en-US" w:eastAsia="zh-CN" w:bidi="ar-SA"/>
        </w:rPr>
        <w:t xml:space="preserve"> 投标报价</w:t>
      </w:r>
      <w:bookmarkEnd w:id="230"/>
      <w:bookmarkEnd w:id="231"/>
      <w:bookmarkEnd w:id="23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w:t>
      </w:r>
      <w:bookmarkEnd w:id="233"/>
      <w:r>
        <w:rPr>
          <w:rFonts w:hint="eastAsia" w:ascii="宋体" w:hAnsi="宋体" w:eastAsia="宋体" w:cs="宋体"/>
          <w:highlight w:val="none"/>
        </w:rPr>
        <w:t>2.1投标人的投标报价应包含完成本项目的全部费用，包括但不限于设计、采购、运输、保险、装卸、仓储、保管、安装指导、检测、调试、验收、售后服务、利润和税金等费用。投标人对报价的准确性和完整性负责，任何漏报、错报等均是投标人的风险。</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3.2.2本项目投标单价在合同执行过程中是固定不变的，投标人应充分考虑合同履行期间各类材料、配件和人工的市场风险和国家政策性调整风险系数，并计入投标报价。除合同约定的情况外，投标人不得以任何理由在合同执行期间要求予以价格调整。</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3.2.3投标人应在报价表上注明拟提供货物的单价和总价。每种货物只允许有一个报价，以可调整的价格或可选择的价格提交的投标文件将不予接受。</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3.2.4投标报价不得超过投标人须知前附表中规定的采购预算价格，否则评标委员会将否决其投标。</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40" w:name="_Toc13431"/>
      <w:bookmarkStart w:id="241" w:name="_Toc432367342"/>
      <w:bookmarkStart w:id="242" w:name="_Toc5513"/>
      <w:r>
        <w:rPr>
          <w:rFonts w:hint="eastAsia" w:ascii="宋体" w:hAnsi="宋体" w:eastAsia="宋体" w:cs="宋体"/>
          <w:b/>
          <w:kern w:val="2"/>
          <w:sz w:val="24"/>
          <w:szCs w:val="24"/>
          <w:highlight w:val="none"/>
          <w:lang w:val="en-US" w:eastAsia="zh-CN" w:bidi="ar-SA"/>
        </w:rPr>
        <w:t>3.3</w:t>
      </w:r>
      <w:bookmarkEnd w:id="234"/>
      <w:bookmarkEnd w:id="235"/>
      <w:bookmarkEnd w:id="236"/>
      <w:bookmarkEnd w:id="237"/>
      <w:bookmarkEnd w:id="238"/>
      <w:bookmarkEnd w:id="239"/>
      <w:bookmarkStart w:id="243" w:name="_Toc300834970"/>
      <w:bookmarkStart w:id="244" w:name="_Toc152045549"/>
      <w:bookmarkStart w:id="245" w:name="_Toc144974517"/>
      <w:bookmarkStart w:id="246" w:name="_Toc430813258"/>
      <w:bookmarkStart w:id="247" w:name="_Toc152042325"/>
      <w:bookmarkStart w:id="248" w:name="_Toc247527574"/>
      <w:bookmarkStart w:id="249" w:name="_Toc247513973"/>
      <w:r>
        <w:rPr>
          <w:rFonts w:hint="eastAsia" w:ascii="宋体" w:hAnsi="宋体" w:eastAsia="宋体" w:cs="宋体"/>
          <w:b/>
          <w:kern w:val="2"/>
          <w:sz w:val="24"/>
          <w:szCs w:val="24"/>
          <w:highlight w:val="none"/>
          <w:lang w:val="en-US" w:eastAsia="zh-CN" w:bidi="ar-SA"/>
        </w:rPr>
        <w:t xml:space="preserve"> 投标有效期</w:t>
      </w:r>
      <w:bookmarkEnd w:id="240"/>
      <w:bookmarkEnd w:id="241"/>
      <w:bookmarkEnd w:id="24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w:t>
      </w:r>
      <w:bookmarkEnd w:id="243"/>
      <w:bookmarkEnd w:id="244"/>
      <w:bookmarkEnd w:id="245"/>
      <w:bookmarkEnd w:id="246"/>
      <w:bookmarkEnd w:id="247"/>
      <w:bookmarkEnd w:id="248"/>
      <w:bookmarkEnd w:id="249"/>
      <w:r>
        <w:rPr>
          <w:rFonts w:hint="eastAsia" w:ascii="宋体" w:hAnsi="宋体" w:eastAsia="宋体" w:cs="宋体"/>
          <w:highlight w:val="none"/>
        </w:rPr>
        <w:t>3.1 投标有效期见投标人须知前附表。</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3.3.2 在投标有效期内，投标人撤销或修改其投标文件的，应承担法律和招标文件规定的责任。</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3.3.3需要延长投标有效期的，采购代理机构将以书面形式通知所有投标人延长投标有效期。投标人同意延长的，不得要求或被允许修改或撤销其投标文件；投标人拒绝延长的，其投标失效。</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50" w:name="_Toc481"/>
      <w:bookmarkStart w:id="251" w:name="_Toc10927"/>
      <w:bookmarkStart w:id="252" w:name="_Toc432367343"/>
      <w:r>
        <w:rPr>
          <w:rFonts w:hint="eastAsia" w:ascii="宋体" w:hAnsi="宋体" w:eastAsia="宋体" w:cs="宋体"/>
          <w:b/>
          <w:kern w:val="2"/>
          <w:sz w:val="24"/>
          <w:szCs w:val="24"/>
          <w:highlight w:val="none"/>
          <w:lang w:val="en-US" w:eastAsia="zh-CN" w:bidi="ar-SA"/>
        </w:rPr>
        <w:t>3.4</w:t>
      </w:r>
      <w:bookmarkStart w:id="253" w:name="_Toc152042326"/>
      <w:bookmarkStart w:id="254" w:name="_Toc152045550"/>
      <w:bookmarkStart w:id="255" w:name="_Toc247527575"/>
      <w:bookmarkStart w:id="256" w:name="_Toc430813259"/>
      <w:bookmarkStart w:id="257" w:name="_Toc144974518"/>
      <w:bookmarkStart w:id="258" w:name="_Toc300834971"/>
      <w:bookmarkStart w:id="259" w:name="_Toc247513974"/>
      <w:r>
        <w:rPr>
          <w:rFonts w:hint="eastAsia" w:ascii="宋体" w:hAnsi="宋体" w:eastAsia="宋体" w:cs="宋体"/>
          <w:b/>
          <w:kern w:val="2"/>
          <w:sz w:val="24"/>
          <w:szCs w:val="24"/>
          <w:highlight w:val="none"/>
          <w:lang w:val="en-US" w:eastAsia="zh-CN" w:bidi="ar-SA"/>
        </w:rPr>
        <w:t xml:space="preserve"> 投标保证金</w:t>
      </w:r>
      <w:bookmarkEnd w:id="250"/>
      <w:bookmarkEnd w:id="251"/>
      <w:bookmarkEnd w:id="25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w:t>
      </w:r>
      <w:bookmarkEnd w:id="253"/>
      <w:bookmarkEnd w:id="254"/>
      <w:bookmarkEnd w:id="255"/>
      <w:bookmarkEnd w:id="256"/>
      <w:bookmarkEnd w:id="257"/>
      <w:bookmarkEnd w:id="258"/>
      <w:bookmarkEnd w:id="259"/>
      <w:r>
        <w:rPr>
          <w:rFonts w:hint="eastAsia" w:ascii="宋体" w:hAnsi="宋体" w:eastAsia="宋体" w:cs="宋体"/>
          <w:highlight w:val="none"/>
        </w:rPr>
        <w:t>4.1本项目不收投标保证金。</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60" w:name="_Toc15297"/>
      <w:bookmarkStart w:id="261" w:name="_Toc432367344"/>
      <w:bookmarkStart w:id="262" w:name="_Toc1857"/>
      <w:r>
        <w:rPr>
          <w:rFonts w:hint="eastAsia" w:ascii="宋体" w:hAnsi="宋体" w:eastAsia="宋体" w:cs="宋体"/>
          <w:b/>
          <w:kern w:val="2"/>
          <w:sz w:val="24"/>
          <w:szCs w:val="24"/>
          <w:highlight w:val="none"/>
          <w:lang w:val="en-US" w:eastAsia="zh-CN" w:bidi="ar-SA"/>
        </w:rPr>
        <w:t>3.5</w:t>
      </w:r>
      <w:bookmarkStart w:id="263" w:name="_Toc144974521"/>
      <w:bookmarkStart w:id="264" w:name="_Toc247527578"/>
      <w:bookmarkStart w:id="265" w:name="_Toc430813260"/>
      <w:bookmarkStart w:id="266" w:name="_Toc300834974"/>
      <w:bookmarkStart w:id="267" w:name="_Toc247513977"/>
      <w:bookmarkStart w:id="268" w:name="_Toc152045553"/>
      <w:bookmarkStart w:id="269" w:name="_Toc152042329"/>
      <w:r>
        <w:rPr>
          <w:rFonts w:hint="eastAsia" w:ascii="宋体" w:hAnsi="宋体" w:eastAsia="宋体" w:cs="宋体"/>
          <w:b/>
          <w:kern w:val="2"/>
          <w:sz w:val="24"/>
          <w:szCs w:val="24"/>
          <w:highlight w:val="none"/>
          <w:lang w:val="en-US" w:eastAsia="zh-CN" w:bidi="ar-SA"/>
        </w:rPr>
        <w:t xml:space="preserve"> 备选投标方案</w:t>
      </w:r>
      <w:bookmarkEnd w:id="260"/>
      <w:bookmarkEnd w:id="261"/>
      <w:bookmarkEnd w:id="262"/>
    </w:p>
    <w:bookmarkEnd w:id="263"/>
    <w:bookmarkEnd w:id="264"/>
    <w:bookmarkEnd w:id="265"/>
    <w:bookmarkEnd w:id="266"/>
    <w:bookmarkEnd w:id="267"/>
    <w:bookmarkEnd w:id="268"/>
    <w:bookmarkEnd w:id="269"/>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3.5.1本项目是否允许递交备选投标方案详见《投标人须知前附表》的规定。</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3.5.1.1本项目不允许投标人递交备选投标方案的，</w:t>
      </w:r>
      <w:r>
        <w:rPr>
          <w:rFonts w:hint="eastAsia" w:ascii="宋体" w:hAnsi="宋体" w:eastAsia="宋体" w:cs="宋体"/>
          <w:snapToGrid w:val="0"/>
          <w:kern w:val="0"/>
          <w:szCs w:val="21"/>
          <w:highlight w:val="none"/>
          <w:lang w:val="zh-CN"/>
        </w:rPr>
        <w:t>若在投标文件中递交了备选方案，</w:t>
      </w:r>
      <w:r>
        <w:rPr>
          <w:rFonts w:hint="eastAsia" w:ascii="宋体" w:hAnsi="宋体" w:eastAsia="宋体" w:cs="宋体"/>
          <w:b/>
          <w:snapToGrid w:val="0"/>
          <w:kern w:val="0"/>
          <w:szCs w:val="21"/>
          <w:highlight w:val="none"/>
          <w:lang w:val="zh-CN"/>
        </w:rPr>
        <w:t>其投标文件将被视为无效文件。</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3.5.1.2本项目允许投标人递交备选投标方案的，只有中标人所递交的备选投标方案方可予以考虑。评标委员会认为中标人的备选投标方案优于其按照招标文件要求编制的投标方案的，采购人可以接受该备选投标方案。</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70" w:name="_Toc432367345"/>
      <w:bookmarkStart w:id="271" w:name="_Toc20798"/>
      <w:bookmarkStart w:id="272" w:name="_Toc24363"/>
      <w:r>
        <w:rPr>
          <w:rFonts w:hint="eastAsia" w:ascii="宋体" w:hAnsi="宋体" w:eastAsia="宋体" w:cs="宋体"/>
          <w:b/>
          <w:kern w:val="2"/>
          <w:sz w:val="24"/>
          <w:szCs w:val="24"/>
          <w:highlight w:val="none"/>
          <w:lang w:val="en-US" w:eastAsia="zh-CN" w:bidi="ar-SA"/>
        </w:rPr>
        <w:t>3.6</w:t>
      </w:r>
      <w:bookmarkStart w:id="273" w:name="_Toc430813261"/>
      <w:bookmarkStart w:id="274" w:name="_Toc152045554"/>
      <w:bookmarkStart w:id="275" w:name="_Toc152042330"/>
      <w:bookmarkStart w:id="276" w:name="_Toc144974522"/>
      <w:bookmarkStart w:id="277" w:name="_Toc300834975"/>
      <w:bookmarkStart w:id="278" w:name="_Toc247513978"/>
      <w:bookmarkStart w:id="279" w:name="_Toc247527579"/>
      <w:r>
        <w:rPr>
          <w:rFonts w:hint="eastAsia" w:ascii="宋体" w:hAnsi="宋体" w:eastAsia="宋体" w:cs="宋体"/>
          <w:b/>
          <w:kern w:val="2"/>
          <w:sz w:val="24"/>
          <w:szCs w:val="24"/>
          <w:highlight w:val="none"/>
          <w:lang w:val="en-US" w:eastAsia="zh-CN" w:bidi="ar-SA"/>
        </w:rPr>
        <w:t xml:space="preserve"> 投标文件的编制</w:t>
      </w:r>
      <w:bookmarkEnd w:id="270"/>
      <w:bookmarkEnd w:id="271"/>
      <w:bookmarkEnd w:id="27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w:t>
      </w:r>
      <w:bookmarkEnd w:id="273"/>
      <w:bookmarkEnd w:id="274"/>
      <w:bookmarkEnd w:id="275"/>
      <w:bookmarkEnd w:id="276"/>
      <w:bookmarkEnd w:id="277"/>
      <w:bookmarkEnd w:id="278"/>
      <w:bookmarkEnd w:id="279"/>
      <w:r>
        <w:rPr>
          <w:rFonts w:hint="eastAsia" w:ascii="宋体" w:hAnsi="宋体" w:eastAsia="宋体" w:cs="宋体"/>
          <w:highlight w:val="none"/>
        </w:rPr>
        <w:t>6.1 投标文件应按第六章“投标文件格式”进行编写，如有必要，可以增加附页，作为投标文件的组成部分。</w:t>
      </w:r>
    </w:p>
    <w:p>
      <w:pPr>
        <w:snapToGrid w:val="0"/>
        <w:spacing w:line="360" w:lineRule="auto"/>
        <w:ind w:firstLine="420" w:firstLineChars="200"/>
        <w:rPr>
          <w:rFonts w:ascii="宋体" w:hAnsi="宋体" w:eastAsia="宋体" w:cs="宋体"/>
          <w:szCs w:val="21"/>
          <w:highlight w:val="none"/>
        </w:rPr>
      </w:pPr>
      <w:r>
        <w:rPr>
          <w:rFonts w:hint="eastAsia" w:ascii="宋体" w:hAnsi="宋体" w:eastAsia="宋体" w:cs="宋体"/>
          <w:highlight w:val="none"/>
        </w:rPr>
        <w:t>3.6.2 投标文件应当对招标文件的</w:t>
      </w:r>
      <w:r>
        <w:rPr>
          <w:rFonts w:hint="eastAsia" w:ascii="宋体" w:hAnsi="宋体" w:eastAsia="宋体" w:cs="宋体"/>
          <w:szCs w:val="21"/>
          <w:highlight w:val="none"/>
        </w:rPr>
        <w:t>实质性内容作出响应。</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3.6.3 投标文件应用不褪色的材料书写或打印，并由投标人授权代表签字、盖单位章。投标人代表是法定代表人的，投标文件应附法定代表人身份证明；投标人代表是授权代理人的，投标文件应附法定代表人签署的授权委托书和授权代理人身份证明。投标文件应尽量避免涂改、行间插字或删除。如果出现上述情况，改动之处应加盖单位章或由投标人授权代表签字确认。</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3.6.4 投标文件份数见投标人须知前附表。正本和副本的封面上应清楚地标记“正本”或“副本”的字样。当副本和正本不一致时，以正本为准。</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3.6.5 投标文件的正本与副本应分别装订成册，并编制目录，具体装订要求见投标人须知前附表规定。</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280" w:name="_Toc432367346"/>
      <w:bookmarkStart w:id="281" w:name="_Toc2846"/>
      <w:bookmarkStart w:id="282" w:name="_Toc2423"/>
      <w:bookmarkStart w:id="283" w:name="_Toc152042331"/>
      <w:bookmarkStart w:id="284" w:name="_Toc247513979"/>
      <w:bookmarkStart w:id="285" w:name="_Toc247527580"/>
      <w:bookmarkStart w:id="286" w:name="_Toc144974523"/>
      <w:bookmarkStart w:id="287" w:name="_Toc430813262"/>
      <w:bookmarkStart w:id="288" w:name="_Toc300834976"/>
      <w:bookmarkStart w:id="289" w:name="_Toc152045555"/>
      <w:r>
        <w:rPr>
          <w:rFonts w:hint="eastAsia" w:ascii="宋体" w:hAnsi="宋体" w:eastAsia="宋体" w:cs="宋体"/>
          <w:b/>
          <w:bCs/>
          <w:kern w:val="2"/>
          <w:sz w:val="28"/>
          <w:szCs w:val="28"/>
          <w:highlight w:val="none"/>
          <w:lang w:val="en-US" w:eastAsia="zh-CN" w:bidi="ar-SA"/>
        </w:rPr>
        <w:t>投标</w:t>
      </w:r>
      <w:bookmarkEnd w:id="280"/>
      <w:bookmarkEnd w:id="281"/>
      <w:bookmarkEnd w:id="282"/>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90" w:name="_Toc15446"/>
      <w:bookmarkStart w:id="291" w:name="_Toc25444"/>
      <w:bookmarkStart w:id="292" w:name="_Toc432367347"/>
      <w:r>
        <w:rPr>
          <w:rFonts w:hint="eastAsia" w:ascii="宋体" w:hAnsi="宋体" w:eastAsia="宋体" w:cs="宋体"/>
          <w:b/>
          <w:kern w:val="2"/>
          <w:sz w:val="24"/>
          <w:szCs w:val="24"/>
          <w:highlight w:val="none"/>
          <w:lang w:val="en-US" w:eastAsia="zh-CN" w:bidi="ar-SA"/>
        </w:rPr>
        <w:t>4.</w:t>
      </w:r>
      <w:bookmarkEnd w:id="283"/>
      <w:bookmarkEnd w:id="284"/>
      <w:bookmarkEnd w:id="285"/>
      <w:bookmarkEnd w:id="286"/>
      <w:bookmarkEnd w:id="287"/>
      <w:bookmarkEnd w:id="288"/>
      <w:bookmarkEnd w:id="289"/>
      <w:r>
        <w:rPr>
          <w:rFonts w:hint="eastAsia" w:ascii="宋体" w:hAnsi="宋体" w:eastAsia="宋体" w:cs="宋体"/>
          <w:b/>
          <w:kern w:val="2"/>
          <w:sz w:val="24"/>
          <w:szCs w:val="24"/>
          <w:highlight w:val="none"/>
          <w:lang w:val="en-US" w:eastAsia="zh-CN" w:bidi="ar-SA"/>
        </w:rPr>
        <w:t>1</w:t>
      </w:r>
      <w:bookmarkStart w:id="293" w:name="_Toc247513980"/>
      <w:bookmarkStart w:id="294" w:name="_Toc300834977"/>
      <w:bookmarkStart w:id="295" w:name="_Toc152042332"/>
      <w:bookmarkStart w:id="296" w:name="_Toc144974524"/>
      <w:bookmarkStart w:id="297" w:name="_Toc247527581"/>
      <w:bookmarkStart w:id="298" w:name="_Toc152045556"/>
      <w:bookmarkStart w:id="299" w:name="_Toc430813263"/>
      <w:r>
        <w:rPr>
          <w:rFonts w:hint="eastAsia" w:ascii="宋体" w:hAnsi="宋体" w:eastAsia="宋体" w:cs="宋体"/>
          <w:b/>
          <w:kern w:val="2"/>
          <w:sz w:val="24"/>
          <w:szCs w:val="24"/>
          <w:highlight w:val="none"/>
          <w:lang w:val="en-US" w:eastAsia="zh-CN" w:bidi="ar-SA"/>
        </w:rPr>
        <w:t xml:space="preserve"> 投标文件的密封和标记</w:t>
      </w:r>
      <w:bookmarkEnd w:id="290"/>
      <w:bookmarkEnd w:id="291"/>
      <w:bookmarkEnd w:id="29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w:t>
      </w:r>
      <w:bookmarkEnd w:id="293"/>
      <w:bookmarkEnd w:id="294"/>
      <w:bookmarkEnd w:id="295"/>
      <w:bookmarkEnd w:id="296"/>
      <w:bookmarkEnd w:id="297"/>
      <w:bookmarkEnd w:id="298"/>
      <w:bookmarkEnd w:id="299"/>
      <w:r>
        <w:rPr>
          <w:rFonts w:hint="eastAsia" w:ascii="宋体" w:hAnsi="宋体" w:eastAsia="宋体" w:cs="宋体"/>
          <w:highlight w:val="none"/>
        </w:rPr>
        <w:t>1.1投标人应将所有投标文件（包括纸质文件和电子文件）密封完好。</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4.1.2封套上应写明的内容见投标人须知前附表。</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4.1.3为方便开标唱标，投标人应将开标一览表单独密封提交，并在密封袋上标明“开标一览表”字样。</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00" w:name="_Toc10767"/>
      <w:bookmarkStart w:id="301" w:name="_Toc432367348"/>
      <w:bookmarkStart w:id="302" w:name="_Toc9540"/>
      <w:r>
        <w:rPr>
          <w:rFonts w:hint="eastAsia" w:ascii="宋体" w:hAnsi="宋体" w:eastAsia="宋体" w:cs="宋体"/>
          <w:b/>
          <w:kern w:val="2"/>
          <w:sz w:val="24"/>
          <w:szCs w:val="24"/>
          <w:highlight w:val="none"/>
          <w:lang w:val="en-US" w:eastAsia="zh-CN" w:bidi="ar-SA"/>
        </w:rPr>
        <w:t>4.2</w:t>
      </w:r>
      <w:bookmarkStart w:id="303" w:name="_Toc247513981"/>
      <w:bookmarkStart w:id="304" w:name="_Toc152042333"/>
      <w:bookmarkStart w:id="305" w:name="_Toc300834978"/>
      <w:bookmarkStart w:id="306" w:name="_Toc430813264"/>
      <w:bookmarkStart w:id="307" w:name="_Toc247527582"/>
      <w:bookmarkStart w:id="308" w:name="_Toc152045557"/>
      <w:bookmarkStart w:id="309" w:name="_Toc144974525"/>
      <w:r>
        <w:rPr>
          <w:rFonts w:hint="eastAsia" w:ascii="宋体" w:hAnsi="宋体" w:eastAsia="宋体" w:cs="宋体"/>
          <w:b/>
          <w:kern w:val="2"/>
          <w:sz w:val="24"/>
          <w:szCs w:val="24"/>
          <w:highlight w:val="none"/>
          <w:lang w:val="en-US" w:eastAsia="zh-CN" w:bidi="ar-SA"/>
        </w:rPr>
        <w:t xml:space="preserve"> 投标文件的递交</w:t>
      </w:r>
      <w:bookmarkEnd w:id="300"/>
      <w:bookmarkEnd w:id="301"/>
      <w:bookmarkEnd w:id="30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w:t>
      </w:r>
      <w:bookmarkEnd w:id="303"/>
      <w:bookmarkEnd w:id="304"/>
      <w:bookmarkEnd w:id="305"/>
      <w:bookmarkEnd w:id="306"/>
      <w:bookmarkEnd w:id="307"/>
      <w:bookmarkEnd w:id="308"/>
      <w:bookmarkEnd w:id="309"/>
      <w:r>
        <w:rPr>
          <w:rFonts w:hint="eastAsia" w:ascii="宋体" w:hAnsi="宋体" w:eastAsia="宋体" w:cs="宋体"/>
          <w:highlight w:val="none"/>
        </w:rPr>
        <w:t>2.1 投标人应在投标人须知前附表规定的投标截止时间前递交投标文件。</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4.2.2 投标人递交投标文件的地点见投标人须知前附表。</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4.2.3投标人所递交的投标文件不予退还。</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4.2.4逾期送达指定地点的或者不按照本章第4.1.1项要求密封的投标文件，采购人和采购代理机构应当拒收。</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10" w:name="_Toc22376"/>
      <w:bookmarkStart w:id="311" w:name="_Toc432367349"/>
      <w:bookmarkStart w:id="312" w:name="_Toc1032"/>
      <w:r>
        <w:rPr>
          <w:rFonts w:hint="eastAsia" w:ascii="宋体" w:hAnsi="宋体" w:eastAsia="宋体" w:cs="宋体"/>
          <w:b/>
          <w:kern w:val="2"/>
          <w:sz w:val="24"/>
          <w:szCs w:val="24"/>
          <w:highlight w:val="none"/>
          <w:lang w:val="en-US" w:eastAsia="zh-CN" w:bidi="ar-SA"/>
        </w:rPr>
        <w:t>4.3</w:t>
      </w:r>
      <w:bookmarkStart w:id="313" w:name="_Toc247513982"/>
      <w:bookmarkStart w:id="314" w:name="_Toc152045558"/>
      <w:bookmarkStart w:id="315" w:name="_Toc152042334"/>
      <w:bookmarkStart w:id="316" w:name="_Toc430813265"/>
      <w:bookmarkStart w:id="317" w:name="_Toc300834979"/>
      <w:bookmarkStart w:id="318" w:name="_Toc247527583"/>
      <w:bookmarkStart w:id="319" w:name="_Toc144974526"/>
      <w:r>
        <w:rPr>
          <w:rFonts w:hint="eastAsia" w:ascii="宋体" w:hAnsi="宋体" w:eastAsia="宋体" w:cs="宋体"/>
          <w:b/>
          <w:kern w:val="2"/>
          <w:sz w:val="24"/>
          <w:szCs w:val="24"/>
          <w:highlight w:val="none"/>
          <w:lang w:val="en-US" w:eastAsia="zh-CN" w:bidi="ar-SA"/>
        </w:rPr>
        <w:t xml:space="preserve"> 投标文件的修改与撤回</w:t>
      </w:r>
      <w:bookmarkEnd w:id="310"/>
      <w:bookmarkEnd w:id="311"/>
      <w:bookmarkEnd w:id="31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w:t>
      </w:r>
      <w:bookmarkEnd w:id="313"/>
      <w:bookmarkEnd w:id="314"/>
      <w:bookmarkEnd w:id="315"/>
      <w:bookmarkEnd w:id="316"/>
      <w:bookmarkEnd w:id="317"/>
      <w:bookmarkEnd w:id="318"/>
      <w:bookmarkEnd w:id="319"/>
      <w:r>
        <w:rPr>
          <w:rFonts w:hint="eastAsia" w:ascii="宋体" w:hAnsi="宋体" w:eastAsia="宋体" w:cs="宋体"/>
          <w:highlight w:val="none"/>
        </w:rPr>
        <w:t>3.1 在投标截止时间前，投标人可以修改或撤回已递交的投标文件，但应以书面形式通知采购代理机构。</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4.3.2 投标人修改或撤回已递交投标文件的书面通知应按照本章第3.6.3项的要求签字、盖章。</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4.3.3修改的内容为投标文件的组成部分。修改的投标文件应按照本章第三条、第四条规定进行编制、密封、标记和递交，并标明“修改”字样。</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320" w:name="_Toc432367350"/>
      <w:bookmarkStart w:id="321" w:name="_Toc2147"/>
      <w:bookmarkStart w:id="322" w:name="_Toc22238"/>
      <w:bookmarkStart w:id="323" w:name="_Toc152045559"/>
      <w:bookmarkStart w:id="324" w:name="_Toc430813266"/>
      <w:bookmarkStart w:id="325" w:name="_Toc144974527"/>
      <w:bookmarkStart w:id="326" w:name="_Toc152042335"/>
      <w:bookmarkStart w:id="327" w:name="_Toc247527584"/>
      <w:bookmarkStart w:id="328" w:name="_Toc247513983"/>
      <w:bookmarkStart w:id="329" w:name="_Toc300834980"/>
      <w:r>
        <w:rPr>
          <w:rFonts w:hint="eastAsia" w:ascii="宋体" w:hAnsi="宋体" w:eastAsia="宋体" w:cs="宋体"/>
          <w:b/>
          <w:bCs/>
          <w:kern w:val="2"/>
          <w:sz w:val="28"/>
          <w:szCs w:val="28"/>
          <w:highlight w:val="none"/>
          <w:lang w:val="en-US" w:eastAsia="zh-CN" w:bidi="ar-SA"/>
        </w:rPr>
        <w:t>开标</w:t>
      </w:r>
      <w:bookmarkEnd w:id="320"/>
      <w:bookmarkEnd w:id="321"/>
      <w:bookmarkEnd w:id="322"/>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30" w:name="_Toc432367351"/>
      <w:bookmarkStart w:id="331" w:name="_Toc13487"/>
      <w:bookmarkStart w:id="332" w:name="_Toc15373"/>
      <w:r>
        <w:rPr>
          <w:rFonts w:hint="eastAsia" w:ascii="宋体" w:hAnsi="宋体" w:eastAsia="宋体" w:cs="宋体"/>
          <w:b/>
          <w:kern w:val="2"/>
          <w:sz w:val="24"/>
          <w:szCs w:val="24"/>
          <w:highlight w:val="none"/>
          <w:lang w:val="en-US" w:eastAsia="zh-CN" w:bidi="ar-SA"/>
        </w:rPr>
        <w:t>5.</w:t>
      </w:r>
      <w:bookmarkEnd w:id="323"/>
      <w:bookmarkEnd w:id="324"/>
      <w:bookmarkEnd w:id="325"/>
      <w:bookmarkEnd w:id="326"/>
      <w:bookmarkEnd w:id="327"/>
      <w:bookmarkEnd w:id="328"/>
      <w:bookmarkEnd w:id="329"/>
      <w:r>
        <w:rPr>
          <w:rFonts w:hint="eastAsia" w:ascii="宋体" w:hAnsi="宋体" w:eastAsia="宋体" w:cs="宋体"/>
          <w:b/>
          <w:kern w:val="2"/>
          <w:sz w:val="24"/>
          <w:szCs w:val="24"/>
          <w:highlight w:val="none"/>
          <w:lang w:val="en-US" w:eastAsia="zh-CN" w:bidi="ar-SA"/>
        </w:rPr>
        <w:t>1</w:t>
      </w:r>
      <w:bookmarkStart w:id="333" w:name="_Toc247527585"/>
      <w:bookmarkStart w:id="334" w:name="_Toc247513984"/>
      <w:bookmarkStart w:id="335" w:name="_Toc430813267"/>
      <w:bookmarkStart w:id="336" w:name="_Toc152042336"/>
      <w:bookmarkStart w:id="337" w:name="_Toc144974528"/>
      <w:bookmarkStart w:id="338" w:name="_Toc300834981"/>
      <w:bookmarkStart w:id="339" w:name="_Toc152045560"/>
      <w:r>
        <w:rPr>
          <w:rFonts w:hint="eastAsia" w:ascii="宋体" w:hAnsi="宋体" w:eastAsia="宋体" w:cs="宋体"/>
          <w:b/>
          <w:kern w:val="2"/>
          <w:sz w:val="24"/>
          <w:szCs w:val="24"/>
          <w:highlight w:val="none"/>
          <w:lang w:val="en-US" w:eastAsia="zh-CN" w:bidi="ar-SA"/>
        </w:rPr>
        <w:t xml:space="preserve"> 开标时间和地点</w:t>
      </w:r>
      <w:bookmarkEnd w:id="330"/>
      <w:bookmarkEnd w:id="331"/>
      <w:bookmarkEnd w:id="33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5.</w:t>
      </w:r>
      <w:bookmarkEnd w:id="333"/>
      <w:bookmarkEnd w:id="334"/>
      <w:bookmarkEnd w:id="335"/>
      <w:bookmarkEnd w:id="336"/>
      <w:bookmarkEnd w:id="337"/>
      <w:bookmarkEnd w:id="338"/>
      <w:bookmarkEnd w:id="339"/>
      <w:r>
        <w:rPr>
          <w:rFonts w:hint="eastAsia" w:ascii="宋体" w:hAnsi="宋体" w:eastAsia="宋体" w:cs="宋体"/>
          <w:highlight w:val="none"/>
        </w:rPr>
        <w:t>1.1开标会按投标人须知前附表规定的开标时间和地点准时举行，采购代理机构在此邀请所有投标人授权代表准时参加开标会。投标人授权代表如出席会议，应向采购代理机构提交投标人授权代表身份证明，出示本人身份证，以证明其出席。投标人授权代表如不出席会议，则视为对开标程序和内容无异议。</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40" w:name="_Toc13208"/>
      <w:bookmarkStart w:id="341" w:name="_Toc29124"/>
      <w:bookmarkStart w:id="342" w:name="_Toc432367352"/>
      <w:r>
        <w:rPr>
          <w:rFonts w:hint="eastAsia" w:ascii="宋体" w:hAnsi="宋体" w:eastAsia="宋体" w:cs="宋体"/>
          <w:b/>
          <w:kern w:val="2"/>
          <w:sz w:val="24"/>
          <w:szCs w:val="24"/>
          <w:highlight w:val="none"/>
          <w:lang w:val="en-US" w:eastAsia="zh-CN" w:bidi="ar-SA"/>
        </w:rPr>
        <w:t>5.2</w:t>
      </w:r>
      <w:bookmarkStart w:id="343" w:name="_Toc152045561"/>
      <w:bookmarkStart w:id="344" w:name="_Toc247527586"/>
      <w:bookmarkStart w:id="345" w:name="_Toc144974529"/>
      <w:bookmarkStart w:id="346" w:name="_Toc152042337"/>
      <w:bookmarkStart w:id="347" w:name="_Toc430813268"/>
      <w:bookmarkStart w:id="348" w:name="_Toc247513985"/>
      <w:bookmarkStart w:id="349" w:name="_Toc300834982"/>
      <w:r>
        <w:rPr>
          <w:rFonts w:hint="eastAsia" w:ascii="宋体" w:hAnsi="宋体" w:eastAsia="宋体" w:cs="宋体"/>
          <w:b/>
          <w:kern w:val="2"/>
          <w:sz w:val="24"/>
          <w:szCs w:val="24"/>
          <w:highlight w:val="none"/>
          <w:lang w:val="en-US" w:eastAsia="zh-CN" w:bidi="ar-SA"/>
        </w:rPr>
        <w:t xml:space="preserve"> 开标程序</w:t>
      </w:r>
      <w:bookmarkEnd w:id="340"/>
      <w:bookmarkEnd w:id="341"/>
      <w:bookmarkEnd w:id="34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5.</w:t>
      </w:r>
      <w:bookmarkEnd w:id="343"/>
      <w:bookmarkEnd w:id="344"/>
      <w:bookmarkEnd w:id="345"/>
      <w:bookmarkEnd w:id="346"/>
      <w:bookmarkEnd w:id="347"/>
      <w:bookmarkEnd w:id="348"/>
      <w:bookmarkEnd w:id="349"/>
      <w:r>
        <w:rPr>
          <w:rFonts w:hint="eastAsia" w:ascii="宋体" w:hAnsi="宋体" w:eastAsia="宋体" w:cs="宋体"/>
          <w:highlight w:val="none"/>
        </w:rPr>
        <w:t>2.1主持人按下列程序进行开标：</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（1）宣布开标会纪律</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（2）介绍参加开标会的单位和人员</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（3）介绍本项目招标的主要过程</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（4）检验投标文件密封情况</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（5）启封投标文件、核验投标人授权代表身份</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（6）唱标</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（7）宣布评标安排及其他事项</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（8）开标会结束</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50" w:name="_Toc22300"/>
      <w:bookmarkStart w:id="351" w:name="_Toc13700"/>
      <w:bookmarkStart w:id="352" w:name="_Toc432367353"/>
      <w:r>
        <w:rPr>
          <w:rFonts w:hint="eastAsia" w:ascii="宋体" w:hAnsi="宋体" w:eastAsia="宋体" w:cs="宋体"/>
          <w:b/>
          <w:kern w:val="2"/>
          <w:sz w:val="24"/>
          <w:szCs w:val="24"/>
          <w:highlight w:val="none"/>
          <w:lang w:val="en-US" w:eastAsia="zh-CN" w:bidi="ar-SA"/>
        </w:rPr>
        <w:t>5.3</w:t>
      </w:r>
      <w:bookmarkStart w:id="353" w:name="_Toc300834983"/>
      <w:bookmarkStart w:id="354" w:name="_Toc430813269"/>
      <w:r>
        <w:rPr>
          <w:rFonts w:hint="eastAsia" w:ascii="宋体" w:hAnsi="宋体" w:eastAsia="宋体" w:cs="宋体"/>
          <w:b/>
          <w:kern w:val="2"/>
          <w:sz w:val="24"/>
          <w:szCs w:val="24"/>
          <w:highlight w:val="none"/>
          <w:lang w:val="en-US" w:eastAsia="zh-CN" w:bidi="ar-SA"/>
        </w:rPr>
        <w:t xml:space="preserve"> 开标异议</w:t>
      </w:r>
      <w:bookmarkEnd w:id="350"/>
      <w:bookmarkEnd w:id="351"/>
      <w:bookmarkEnd w:id="352"/>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5.</w:t>
      </w:r>
      <w:bookmarkEnd w:id="353"/>
      <w:bookmarkEnd w:id="354"/>
      <w:r>
        <w:rPr>
          <w:rFonts w:hint="eastAsia" w:ascii="宋体" w:hAnsi="宋体" w:eastAsia="宋体" w:cs="宋体"/>
          <w:highlight w:val="none"/>
        </w:rPr>
        <w:t>3.1投标人对开标程序有异议的，投标人授权代表应当在开标现场提出，采购代理机构当场作出答复，并制作记录。</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355" w:name="_Toc4051"/>
      <w:bookmarkStart w:id="356" w:name="_Toc30332"/>
      <w:bookmarkStart w:id="357" w:name="_Toc432367354"/>
      <w:bookmarkStart w:id="358" w:name="_Toc247527587"/>
      <w:bookmarkStart w:id="359" w:name="_Toc247513986"/>
      <w:bookmarkStart w:id="360" w:name="_Toc152045562"/>
      <w:bookmarkStart w:id="361" w:name="_Toc144974530"/>
      <w:bookmarkStart w:id="362" w:name="_Toc430813270"/>
      <w:bookmarkStart w:id="363" w:name="_Toc152042338"/>
      <w:bookmarkStart w:id="364" w:name="_Toc300834984"/>
      <w:r>
        <w:rPr>
          <w:rFonts w:hint="eastAsia" w:ascii="宋体" w:hAnsi="宋体" w:eastAsia="宋体" w:cs="宋体"/>
          <w:b/>
          <w:bCs/>
          <w:kern w:val="2"/>
          <w:sz w:val="28"/>
          <w:szCs w:val="28"/>
          <w:highlight w:val="none"/>
          <w:lang w:val="en-US" w:eastAsia="zh-CN" w:bidi="ar-SA"/>
        </w:rPr>
        <w:t>评标</w:t>
      </w:r>
      <w:bookmarkEnd w:id="355"/>
      <w:bookmarkEnd w:id="356"/>
      <w:bookmarkEnd w:id="357"/>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65" w:name="_Toc432367355"/>
      <w:bookmarkStart w:id="366" w:name="_Toc22364"/>
      <w:bookmarkStart w:id="367" w:name="_Toc30423"/>
      <w:r>
        <w:rPr>
          <w:rFonts w:hint="eastAsia" w:ascii="宋体" w:hAnsi="宋体" w:eastAsia="宋体" w:cs="宋体"/>
          <w:b/>
          <w:kern w:val="2"/>
          <w:sz w:val="24"/>
          <w:szCs w:val="24"/>
          <w:highlight w:val="none"/>
          <w:lang w:val="en-US" w:eastAsia="zh-CN" w:bidi="ar-SA"/>
        </w:rPr>
        <w:t>6.</w:t>
      </w:r>
      <w:bookmarkEnd w:id="358"/>
      <w:bookmarkEnd w:id="359"/>
      <w:bookmarkEnd w:id="360"/>
      <w:bookmarkEnd w:id="361"/>
      <w:bookmarkEnd w:id="362"/>
      <w:bookmarkEnd w:id="363"/>
      <w:bookmarkEnd w:id="364"/>
      <w:r>
        <w:rPr>
          <w:rFonts w:hint="eastAsia" w:ascii="宋体" w:hAnsi="宋体" w:eastAsia="宋体" w:cs="宋体"/>
          <w:b/>
          <w:kern w:val="2"/>
          <w:sz w:val="24"/>
          <w:szCs w:val="24"/>
          <w:highlight w:val="none"/>
          <w:lang w:val="en-US" w:eastAsia="zh-CN" w:bidi="ar-SA"/>
        </w:rPr>
        <w:t>1</w:t>
      </w:r>
      <w:bookmarkStart w:id="368" w:name="_Toc247513987"/>
      <w:bookmarkStart w:id="369" w:name="_Toc152045563"/>
      <w:bookmarkStart w:id="370" w:name="_Toc152042339"/>
      <w:bookmarkStart w:id="371" w:name="_Toc247527588"/>
      <w:bookmarkStart w:id="372" w:name="_Toc430813271"/>
      <w:bookmarkStart w:id="373" w:name="_Toc144974531"/>
      <w:bookmarkStart w:id="374" w:name="_Toc300834985"/>
      <w:r>
        <w:rPr>
          <w:rFonts w:hint="eastAsia" w:ascii="宋体" w:hAnsi="宋体" w:eastAsia="宋体" w:cs="宋体"/>
          <w:b/>
          <w:kern w:val="2"/>
          <w:sz w:val="24"/>
          <w:szCs w:val="24"/>
          <w:highlight w:val="none"/>
          <w:lang w:val="en-US" w:eastAsia="zh-CN" w:bidi="ar-SA"/>
        </w:rPr>
        <w:t xml:space="preserve"> 评标委员会</w:t>
      </w:r>
      <w:bookmarkEnd w:id="365"/>
      <w:bookmarkEnd w:id="366"/>
      <w:bookmarkEnd w:id="367"/>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6.</w:t>
      </w:r>
      <w:bookmarkEnd w:id="368"/>
      <w:bookmarkEnd w:id="369"/>
      <w:bookmarkEnd w:id="370"/>
      <w:bookmarkEnd w:id="371"/>
      <w:bookmarkEnd w:id="372"/>
      <w:bookmarkEnd w:id="373"/>
      <w:bookmarkEnd w:id="374"/>
      <w:r>
        <w:rPr>
          <w:rFonts w:hint="eastAsia" w:ascii="宋体" w:hAnsi="宋体" w:eastAsia="宋体" w:cs="宋体"/>
          <w:highlight w:val="none"/>
        </w:rPr>
        <w:t>1.1 评标由采购人依法组建的评标委员会负责。评标委员会由采购人代表和评审专家组成。评标委员会成员人数以及评审专家的确定方式见投标人须知前附表。</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6.1.2采购人不得以专家身份参与本项目的评标，采购代理机构工作人员不得参加本项目的评标。</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6.1.3评标委员会成员有下列情形之一的，应当回避：</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（1）参加采购活动前3年内与投标人存在劳动关系；</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（2）参加采购活动前3年内担任投标人的董事、监事；</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（3）参加采购活动前3年内是投标人的控股股东或者实际控制人；</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（4）与投标人的法定代表人或者负责人有夫妻、直系血亲、三代以内旁系血亲或者近姻亲关系；</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（5）与投标人有其他可能影响政府采购活动公平、公正进行的关系。</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75" w:name="_Toc23933"/>
      <w:bookmarkStart w:id="376" w:name="_Toc12303"/>
      <w:bookmarkStart w:id="377" w:name="_Toc432367356"/>
      <w:r>
        <w:rPr>
          <w:rFonts w:hint="eastAsia" w:ascii="宋体" w:hAnsi="宋体" w:eastAsia="宋体" w:cs="宋体"/>
          <w:b/>
          <w:kern w:val="2"/>
          <w:sz w:val="24"/>
          <w:szCs w:val="24"/>
          <w:highlight w:val="none"/>
          <w:lang w:val="en-US" w:eastAsia="zh-CN" w:bidi="ar-SA"/>
        </w:rPr>
        <w:t>6.2</w:t>
      </w:r>
      <w:bookmarkStart w:id="378" w:name="_Toc247513988"/>
      <w:bookmarkStart w:id="379" w:name="_Toc144974532"/>
      <w:bookmarkStart w:id="380" w:name="_Toc247527589"/>
      <w:bookmarkStart w:id="381" w:name="_Toc152042340"/>
      <w:bookmarkStart w:id="382" w:name="_Toc152045564"/>
      <w:bookmarkStart w:id="383" w:name="_Toc430813272"/>
      <w:bookmarkStart w:id="384" w:name="_Toc300834986"/>
      <w:r>
        <w:rPr>
          <w:rFonts w:hint="eastAsia" w:ascii="宋体" w:hAnsi="宋体" w:eastAsia="宋体" w:cs="宋体"/>
          <w:b/>
          <w:kern w:val="2"/>
          <w:sz w:val="24"/>
          <w:szCs w:val="24"/>
          <w:highlight w:val="none"/>
          <w:lang w:val="en-US" w:eastAsia="zh-CN" w:bidi="ar-SA"/>
        </w:rPr>
        <w:t xml:space="preserve"> 评标原则</w:t>
      </w:r>
      <w:bookmarkEnd w:id="375"/>
      <w:bookmarkEnd w:id="376"/>
      <w:bookmarkEnd w:id="377"/>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6.</w:t>
      </w:r>
      <w:bookmarkEnd w:id="378"/>
      <w:bookmarkEnd w:id="379"/>
      <w:bookmarkEnd w:id="380"/>
      <w:bookmarkEnd w:id="381"/>
      <w:bookmarkEnd w:id="382"/>
      <w:bookmarkEnd w:id="383"/>
      <w:bookmarkEnd w:id="384"/>
      <w:r>
        <w:rPr>
          <w:rFonts w:hint="eastAsia" w:ascii="宋体" w:hAnsi="宋体" w:eastAsia="宋体" w:cs="宋体"/>
          <w:highlight w:val="none"/>
        </w:rPr>
        <w:t>2.1评标活动遵循公平、公正、科学和择优的原则。</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85" w:name="_Toc16368"/>
      <w:bookmarkStart w:id="386" w:name="_Toc10471"/>
      <w:bookmarkStart w:id="387" w:name="_Toc432367357"/>
      <w:r>
        <w:rPr>
          <w:rFonts w:hint="eastAsia" w:ascii="宋体" w:hAnsi="宋体" w:eastAsia="宋体" w:cs="宋体"/>
          <w:b/>
          <w:kern w:val="2"/>
          <w:sz w:val="24"/>
          <w:szCs w:val="24"/>
          <w:highlight w:val="none"/>
          <w:lang w:val="en-US" w:eastAsia="zh-CN" w:bidi="ar-SA"/>
        </w:rPr>
        <w:t>6.3</w:t>
      </w:r>
      <w:bookmarkStart w:id="388" w:name="_Toc247513989"/>
      <w:bookmarkStart w:id="389" w:name="_Toc430813273"/>
      <w:bookmarkStart w:id="390" w:name="_Toc300834987"/>
      <w:bookmarkStart w:id="391" w:name="_Toc152045565"/>
      <w:bookmarkStart w:id="392" w:name="_Toc144974533"/>
      <w:bookmarkStart w:id="393" w:name="_Toc247527590"/>
      <w:bookmarkStart w:id="394" w:name="_Toc152042341"/>
      <w:r>
        <w:rPr>
          <w:rFonts w:hint="eastAsia" w:ascii="宋体" w:hAnsi="宋体" w:eastAsia="宋体" w:cs="宋体"/>
          <w:b/>
          <w:kern w:val="2"/>
          <w:sz w:val="24"/>
          <w:szCs w:val="24"/>
          <w:highlight w:val="none"/>
          <w:lang w:val="en-US" w:eastAsia="zh-CN" w:bidi="ar-SA"/>
        </w:rPr>
        <w:t xml:space="preserve"> 评标</w:t>
      </w:r>
      <w:bookmarkEnd w:id="385"/>
      <w:bookmarkEnd w:id="386"/>
      <w:bookmarkEnd w:id="387"/>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6.</w:t>
      </w:r>
      <w:bookmarkEnd w:id="388"/>
      <w:bookmarkEnd w:id="389"/>
      <w:bookmarkEnd w:id="390"/>
      <w:bookmarkEnd w:id="391"/>
      <w:bookmarkEnd w:id="392"/>
      <w:bookmarkEnd w:id="393"/>
      <w:bookmarkEnd w:id="394"/>
      <w:r>
        <w:rPr>
          <w:rFonts w:hint="eastAsia" w:ascii="宋体" w:hAnsi="宋体" w:eastAsia="宋体" w:cs="宋体"/>
          <w:highlight w:val="none"/>
        </w:rPr>
        <w:t>3.1评标委员会按照第四章“评标方法、步骤及标准”规定的方法、评审因素、标准和程序对投标文件进行评审。“评标方法、步骤及标准”没有规定的方法、评审因素和标准，不作为评标依据。</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6.3.2评标委员会按投标人须知前附表规定的数量在评标报告中向采购人推荐中标候选人。</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395" w:name="_Toc432367358"/>
      <w:bookmarkStart w:id="396" w:name="_Toc24209"/>
      <w:bookmarkStart w:id="397" w:name="_Toc4425"/>
      <w:r>
        <w:rPr>
          <w:rFonts w:hint="eastAsia" w:ascii="宋体" w:hAnsi="宋体" w:eastAsia="宋体" w:cs="宋体"/>
          <w:b/>
          <w:bCs/>
          <w:kern w:val="2"/>
          <w:sz w:val="28"/>
          <w:szCs w:val="28"/>
          <w:highlight w:val="none"/>
          <w:lang w:val="en-US" w:eastAsia="zh-CN" w:bidi="ar-SA"/>
        </w:rPr>
        <w:t>定</w:t>
      </w:r>
      <w:bookmarkStart w:id="398" w:name="_Toc430813274"/>
      <w:bookmarkStart w:id="399" w:name="_Toc300834990"/>
      <w:bookmarkStart w:id="400" w:name="_Toc300834988"/>
      <w:bookmarkStart w:id="401" w:name="_Toc152045566"/>
      <w:bookmarkStart w:id="402" w:name="_Toc152042342"/>
      <w:bookmarkStart w:id="403" w:name="_Toc144974534"/>
      <w:bookmarkStart w:id="404" w:name="_Toc247513990"/>
      <w:bookmarkStart w:id="405" w:name="_Toc247527591"/>
      <w:r>
        <w:rPr>
          <w:rFonts w:hint="eastAsia" w:ascii="宋体" w:hAnsi="宋体" w:eastAsia="宋体" w:cs="宋体"/>
          <w:b/>
          <w:bCs/>
          <w:kern w:val="2"/>
          <w:sz w:val="28"/>
          <w:szCs w:val="28"/>
          <w:highlight w:val="none"/>
          <w:lang w:val="en-US" w:eastAsia="zh-CN" w:bidi="ar-SA"/>
        </w:rPr>
        <w:t>标</w:t>
      </w:r>
      <w:bookmarkEnd w:id="395"/>
      <w:bookmarkEnd w:id="396"/>
      <w:bookmarkEnd w:id="397"/>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06" w:name="_Toc851"/>
      <w:bookmarkStart w:id="407" w:name="_Toc24114"/>
      <w:bookmarkStart w:id="408" w:name="_Toc432367359"/>
      <w:r>
        <w:rPr>
          <w:rFonts w:hint="eastAsia" w:ascii="宋体" w:hAnsi="宋体" w:eastAsia="宋体" w:cs="宋体"/>
          <w:b/>
          <w:kern w:val="2"/>
          <w:sz w:val="24"/>
          <w:szCs w:val="24"/>
          <w:highlight w:val="none"/>
          <w:lang w:val="en-US" w:eastAsia="zh-CN" w:bidi="ar-SA"/>
        </w:rPr>
        <w:t>7.</w:t>
      </w:r>
      <w:bookmarkStart w:id="409" w:name="_Toc152045567"/>
      <w:bookmarkStart w:id="410" w:name="_Toc300834989"/>
      <w:bookmarkStart w:id="411" w:name="_Toc144974535"/>
      <w:bookmarkStart w:id="412" w:name="_Toc152042343"/>
      <w:bookmarkStart w:id="413" w:name="_Toc247513991"/>
      <w:bookmarkStart w:id="414" w:name="_Toc247527592"/>
      <w:bookmarkStart w:id="415" w:name="_Toc430813276"/>
      <w:r>
        <w:rPr>
          <w:rFonts w:hint="eastAsia" w:ascii="宋体" w:hAnsi="宋体" w:eastAsia="宋体" w:cs="宋体"/>
          <w:b/>
          <w:kern w:val="2"/>
          <w:sz w:val="24"/>
          <w:szCs w:val="24"/>
          <w:highlight w:val="none"/>
          <w:lang w:val="en-US" w:eastAsia="zh-CN" w:bidi="ar-SA"/>
        </w:rPr>
        <w:t>1 确定</w:t>
      </w:r>
      <w:bookmarkEnd w:id="409"/>
      <w:bookmarkEnd w:id="410"/>
      <w:bookmarkEnd w:id="411"/>
      <w:bookmarkEnd w:id="412"/>
      <w:bookmarkEnd w:id="413"/>
      <w:bookmarkEnd w:id="414"/>
      <w:r>
        <w:rPr>
          <w:rFonts w:hint="eastAsia" w:ascii="宋体" w:hAnsi="宋体" w:eastAsia="宋体" w:cs="宋体"/>
          <w:b/>
          <w:kern w:val="2"/>
          <w:sz w:val="24"/>
          <w:szCs w:val="24"/>
          <w:highlight w:val="none"/>
          <w:lang w:val="en-US" w:eastAsia="zh-CN" w:bidi="ar-SA"/>
        </w:rPr>
        <w:t>中标人</w:t>
      </w:r>
      <w:bookmarkEnd w:id="406"/>
      <w:bookmarkEnd w:id="407"/>
      <w:bookmarkEnd w:id="408"/>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7.</w:t>
      </w:r>
      <w:bookmarkEnd w:id="415"/>
      <w:r>
        <w:rPr>
          <w:rFonts w:hint="eastAsia" w:ascii="宋体" w:hAnsi="宋体" w:eastAsia="宋体" w:cs="宋体"/>
          <w:highlight w:val="none"/>
        </w:rPr>
        <w:t>1.1采购人应当自收到评审报告之日起5个工作日内按照《投标人须知前附表》中规定的中标原则确定中标人。</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16" w:name="_Toc432367360"/>
      <w:bookmarkStart w:id="417" w:name="_Toc29566"/>
      <w:bookmarkStart w:id="418" w:name="_Toc4306"/>
      <w:r>
        <w:rPr>
          <w:rFonts w:hint="eastAsia" w:ascii="宋体" w:hAnsi="宋体" w:eastAsia="宋体" w:cs="宋体"/>
          <w:b/>
          <w:kern w:val="2"/>
          <w:sz w:val="24"/>
          <w:szCs w:val="24"/>
          <w:highlight w:val="none"/>
          <w:lang w:val="en-US" w:eastAsia="zh-CN" w:bidi="ar-SA"/>
        </w:rPr>
        <w:t>7.</w:t>
      </w:r>
      <w:bookmarkEnd w:id="398"/>
      <w:bookmarkStart w:id="419" w:name="_Toc430813275"/>
      <w:r>
        <w:rPr>
          <w:rFonts w:hint="eastAsia" w:ascii="宋体" w:hAnsi="宋体" w:eastAsia="宋体" w:cs="宋体"/>
          <w:b/>
          <w:kern w:val="2"/>
          <w:sz w:val="24"/>
          <w:szCs w:val="24"/>
          <w:highlight w:val="none"/>
          <w:lang w:val="en-US" w:eastAsia="zh-CN" w:bidi="ar-SA"/>
        </w:rPr>
        <w:t>2 中标结果公告</w:t>
      </w:r>
      <w:bookmarkEnd w:id="416"/>
      <w:bookmarkEnd w:id="417"/>
      <w:bookmarkEnd w:id="418"/>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7.</w:t>
      </w:r>
      <w:bookmarkEnd w:id="399"/>
      <w:bookmarkEnd w:id="419"/>
      <w:r>
        <w:rPr>
          <w:rFonts w:hint="eastAsia" w:ascii="宋体" w:hAnsi="宋体" w:eastAsia="宋体" w:cs="宋体"/>
          <w:highlight w:val="none"/>
        </w:rPr>
        <w:t>2.1采购代理机构应当自中标人确定之日起2个工作日内，发出中标通知书，并在《投标人须知前附表》中规定的媒体上公告中标结果，招标文件随中标结果同时公告，中标结果公告期限为1个工作日。</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20" w:name="_Toc15349"/>
      <w:bookmarkStart w:id="421" w:name="_Toc432367361"/>
      <w:bookmarkStart w:id="422" w:name="_Toc21749"/>
      <w:r>
        <w:rPr>
          <w:rFonts w:hint="eastAsia" w:ascii="宋体" w:hAnsi="宋体" w:eastAsia="宋体" w:cs="宋体"/>
          <w:b/>
          <w:kern w:val="2"/>
          <w:sz w:val="24"/>
          <w:szCs w:val="24"/>
          <w:highlight w:val="none"/>
          <w:lang w:val="en-US" w:eastAsia="zh-CN" w:bidi="ar-SA"/>
        </w:rPr>
        <w:t>7.3</w:t>
      </w:r>
      <w:bookmarkStart w:id="423" w:name="_Toc247513992"/>
      <w:bookmarkStart w:id="424" w:name="_Toc247527593"/>
      <w:bookmarkStart w:id="425" w:name="_Toc300834991"/>
      <w:bookmarkStart w:id="426" w:name="_Toc430813277"/>
      <w:r>
        <w:rPr>
          <w:rFonts w:hint="eastAsia" w:ascii="宋体" w:hAnsi="宋体" w:eastAsia="宋体" w:cs="宋体"/>
          <w:b/>
          <w:kern w:val="2"/>
          <w:sz w:val="24"/>
          <w:szCs w:val="24"/>
          <w:highlight w:val="none"/>
          <w:lang w:val="en-US" w:eastAsia="zh-CN" w:bidi="ar-SA"/>
        </w:rPr>
        <w:t xml:space="preserve"> 中标通知</w:t>
      </w:r>
      <w:bookmarkEnd w:id="420"/>
      <w:bookmarkEnd w:id="421"/>
      <w:bookmarkEnd w:id="42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7.</w:t>
      </w:r>
      <w:bookmarkEnd w:id="423"/>
      <w:bookmarkEnd w:id="424"/>
      <w:bookmarkEnd w:id="425"/>
      <w:bookmarkEnd w:id="426"/>
      <w:r>
        <w:rPr>
          <w:rFonts w:hint="eastAsia" w:ascii="宋体" w:hAnsi="宋体" w:eastAsia="宋体" w:cs="宋体"/>
          <w:highlight w:val="none"/>
        </w:rPr>
        <w:t>3.1采购人和采购代理机构以书面形式向中标人发出中标通知书，同时将招标结果通知未中标的投标人。</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7.3.2 中标结果公告发布后，中标人即可前往采购代理机构处领取中标通知书，并于30日内按照招标文件要求和投标文件承诺与采购人签订政府采购合同。</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427" w:name="_Toc10970"/>
      <w:bookmarkStart w:id="428" w:name="_Toc19500"/>
      <w:r>
        <w:rPr>
          <w:rFonts w:hint="eastAsia" w:ascii="宋体" w:hAnsi="宋体" w:eastAsia="宋体" w:cs="宋体"/>
          <w:b/>
          <w:bCs/>
          <w:kern w:val="2"/>
          <w:sz w:val="28"/>
          <w:szCs w:val="28"/>
          <w:highlight w:val="none"/>
          <w:lang w:val="en-US" w:eastAsia="zh-CN" w:bidi="ar-SA"/>
        </w:rPr>
        <w:t>质疑和投诉</w:t>
      </w:r>
      <w:bookmarkEnd w:id="427"/>
      <w:bookmarkEnd w:id="428"/>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29" w:name="_Toc21669"/>
      <w:bookmarkStart w:id="430" w:name="_Toc2996"/>
      <w:r>
        <w:rPr>
          <w:rFonts w:hint="eastAsia" w:ascii="宋体" w:hAnsi="宋体" w:eastAsia="宋体" w:cs="宋体"/>
          <w:b/>
          <w:kern w:val="2"/>
          <w:sz w:val="24"/>
          <w:szCs w:val="24"/>
          <w:highlight w:val="none"/>
          <w:lang w:val="en-US" w:eastAsia="zh-CN" w:bidi="ar-SA"/>
        </w:rPr>
        <w:t>8.1质疑</w:t>
      </w:r>
      <w:bookmarkEnd w:id="429"/>
      <w:bookmarkEnd w:id="430"/>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8.1.1</w:t>
      </w:r>
      <w:r>
        <w:rPr>
          <w:rFonts w:hint="eastAsia" w:ascii="宋体" w:hAnsi="宋体" w:eastAsia="宋体" w:cs="宋体"/>
          <w:szCs w:val="21"/>
          <w:highlight w:val="none"/>
        </w:rPr>
        <w:t>投标人认为招标文件、招标过程和中标结果使自己的权益受到损害的，可以在知道或者应知其权益受到损害之日起7个工作日内，以书面形式向采购人或采购代理机构</w:t>
      </w:r>
      <w:r>
        <w:rPr>
          <w:rFonts w:hint="eastAsia" w:ascii="宋体" w:hAnsi="宋体" w:eastAsia="宋体" w:cs="宋体"/>
          <w:color w:val="333333"/>
          <w:szCs w:val="21"/>
          <w:highlight w:val="none"/>
        </w:rPr>
        <w:t>一次性提出针对同一采购程序环节</w:t>
      </w:r>
      <w:r>
        <w:rPr>
          <w:rFonts w:hint="eastAsia" w:ascii="宋体" w:hAnsi="宋体" w:eastAsia="宋体" w:cs="宋体"/>
          <w:szCs w:val="21"/>
          <w:highlight w:val="none"/>
        </w:rPr>
        <w:t>的质疑。</w:t>
      </w:r>
      <w:r>
        <w:rPr>
          <w:rFonts w:hint="eastAsia" w:ascii="宋体" w:hAnsi="宋体" w:eastAsia="宋体" w:cs="宋体"/>
          <w:color w:val="333333"/>
          <w:szCs w:val="21"/>
          <w:highlight w:val="none"/>
        </w:rPr>
        <w:t>提出质疑的投标人应当是参与本项目采购活动的供应商</w:t>
      </w:r>
      <w:r>
        <w:rPr>
          <w:rFonts w:hint="eastAsia" w:ascii="宋体" w:hAnsi="宋体" w:eastAsia="宋体" w:cs="宋体"/>
          <w:highlight w:val="none"/>
        </w:rPr>
        <w:t>。</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我公司受理项目质疑部门为运营管理部，联系人：刘刚，联系电话：027-87816246。</w:t>
      </w:r>
    </w:p>
    <w:p>
      <w:pPr>
        <w:tabs>
          <w:tab w:val="left" w:pos="426"/>
        </w:tabs>
        <w:autoSpaceDE w:val="0"/>
        <w:autoSpaceDN w:val="0"/>
        <w:adjustRightInd w:val="0"/>
        <w:snapToGrid w:val="0"/>
        <w:spacing w:line="360" w:lineRule="auto"/>
        <w:ind w:firstLine="420" w:firstLineChars="200"/>
        <w:jc w:val="left"/>
        <w:rPr>
          <w:rFonts w:ascii="宋体" w:hAnsi="宋体" w:eastAsia="宋体" w:cs="宋体"/>
          <w:snapToGrid w:val="0"/>
          <w:kern w:val="0"/>
          <w:szCs w:val="21"/>
          <w:highlight w:val="none"/>
          <w:lang w:val="zh-CN"/>
        </w:rPr>
      </w:pPr>
      <w:r>
        <w:rPr>
          <w:rFonts w:hint="eastAsia" w:ascii="宋体" w:hAnsi="宋体" w:eastAsia="宋体" w:cs="宋体"/>
          <w:highlight w:val="none"/>
        </w:rPr>
        <w:t>8.1.2</w:t>
      </w:r>
      <w:r>
        <w:rPr>
          <w:rFonts w:hint="eastAsia" w:ascii="宋体" w:hAnsi="宋体" w:eastAsia="宋体" w:cs="宋体"/>
          <w:snapToGrid w:val="0"/>
          <w:kern w:val="0"/>
          <w:szCs w:val="21"/>
          <w:highlight w:val="none"/>
          <w:lang w:val="zh-CN"/>
        </w:rPr>
        <w:t>投标人提出质疑应当提交质疑函和必要的证明材料。质疑函应当包括下列内容：</w:t>
      </w:r>
    </w:p>
    <w:p>
      <w:pPr>
        <w:tabs>
          <w:tab w:val="left" w:pos="426"/>
        </w:tabs>
        <w:autoSpaceDE w:val="0"/>
        <w:autoSpaceDN w:val="0"/>
        <w:adjustRightInd w:val="0"/>
        <w:snapToGrid w:val="0"/>
        <w:spacing w:line="360" w:lineRule="auto"/>
        <w:ind w:firstLine="420" w:firstLineChars="200"/>
        <w:jc w:val="left"/>
        <w:rPr>
          <w:rFonts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（1）投标人的姓名或者名称、地址、邮编、联系人及联系电话；</w:t>
      </w:r>
    </w:p>
    <w:p>
      <w:pPr>
        <w:tabs>
          <w:tab w:val="left" w:pos="426"/>
        </w:tabs>
        <w:autoSpaceDE w:val="0"/>
        <w:autoSpaceDN w:val="0"/>
        <w:adjustRightInd w:val="0"/>
        <w:snapToGrid w:val="0"/>
        <w:spacing w:line="360" w:lineRule="auto"/>
        <w:ind w:firstLine="420" w:firstLineChars="200"/>
        <w:jc w:val="left"/>
        <w:rPr>
          <w:rFonts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（2）质疑项目的名称、编号；</w:t>
      </w:r>
    </w:p>
    <w:p>
      <w:pPr>
        <w:tabs>
          <w:tab w:val="left" w:pos="426"/>
        </w:tabs>
        <w:autoSpaceDE w:val="0"/>
        <w:autoSpaceDN w:val="0"/>
        <w:adjustRightInd w:val="0"/>
        <w:snapToGrid w:val="0"/>
        <w:spacing w:line="360" w:lineRule="auto"/>
        <w:ind w:firstLine="420" w:firstLineChars="200"/>
        <w:jc w:val="left"/>
        <w:rPr>
          <w:rFonts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（3）具体、明确的质疑事项和与质疑事项相关的请求；</w:t>
      </w:r>
    </w:p>
    <w:p>
      <w:pPr>
        <w:tabs>
          <w:tab w:val="left" w:pos="426"/>
        </w:tabs>
        <w:autoSpaceDE w:val="0"/>
        <w:autoSpaceDN w:val="0"/>
        <w:adjustRightInd w:val="0"/>
        <w:snapToGrid w:val="0"/>
        <w:spacing w:line="360" w:lineRule="auto"/>
        <w:ind w:firstLine="420" w:firstLineChars="200"/>
        <w:jc w:val="left"/>
        <w:rPr>
          <w:rFonts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（4）事实依据；</w:t>
      </w:r>
    </w:p>
    <w:p>
      <w:pPr>
        <w:tabs>
          <w:tab w:val="left" w:pos="426"/>
        </w:tabs>
        <w:autoSpaceDE w:val="0"/>
        <w:autoSpaceDN w:val="0"/>
        <w:adjustRightInd w:val="0"/>
        <w:snapToGrid w:val="0"/>
        <w:spacing w:line="360" w:lineRule="auto"/>
        <w:ind w:firstLine="420" w:firstLineChars="200"/>
        <w:jc w:val="left"/>
        <w:rPr>
          <w:rFonts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（5）必要的法律依据；</w:t>
      </w:r>
    </w:p>
    <w:p>
      <w:pPr>
        <w:snapToGrid w:val="0"/>
        <w:spacing w:line="360" w:lineRule="auto"/>
        <w:ind w:firstLine="420" w:firstLineChars="200"/>
        <w:rPr>
          <w:rFonts w:ascii="宋体" w:hAnsi="宋体" w:eastAsia="宋体" w:cs="宋体"/>
          <w:szCs w:val="21"/>
          <w:highlight w:val="none"/>
        </w:rPr>
      </w:pPr>
      <w:r>
        <w:rPr>
          <w:rFonts w:hint="eastAsia" w:ascii="宋体" w:hAnsi="宋体" w:eastAsia="宋体" w:cs="宋体"/>
          <w:snapToGrid w:val="0"/>
          <w:kern w:val="0"/>
          <w:szCs w:val="21"/>
          <w:highlight w:val="none"/>
          <w:lang w:val="zh-CN"/>
        </w:rPr>
        <w:t>（6）提出质疑的日期。</w:t>
      </w:r>
    </w:p>
    <w:p>
      <w:pPr>
        <w:snapToGrid w:val="0"/>
        <w:spacing w:line="360" w:lineRule="auto"/>
        <w:ind w:firstLine="420" w:firstLineChars="200"/>
        <w:rPr>
          <w:rFonts w:ascii="宋体" w:hAnsi="宋体" w:eastAsia="宋体" w:cs="宋体"/>
          <w:szCs w:val="21"/>
          <w:highlight w:val="none"/>
        </w:rPr>
      </w:pPr>
      <w:r>
        <w:rPr>
          <w:rFonts w:hint="eastAsia" w:ascii="宋体" w:hAnsi="宋体" w:eastAsia="宋体" w:cs="宋体"/>
          <w:snapToGrid w:val="0"/>
          <w:kern w:val="0"/>
          <w:szCs w:val="21"/>
          <w:highlight w:val="none"/>
          <w:lang w:val="zh-CN"/>
        </w:rPr>
        <w:t>投标人</w:t>
      </w:r>
      <w:r>
        <w:rPr>
          <w:rFonts w:hint="eastAsia" w:ascii="宋体" w:hAnsi="宋体" w:eastAsia="宋体" w:cs="宋体"/>
          <w:szCs w:val="21"/>
          <w:highlight w:val="none"/>
        </w:rPr>
        <w:t>为自然人的，应当由本人签字；供应商为法人或者其他组织的，应当由法定代表人、主要负责人，或者其授权代表签字或者盖章，并加盖公章。</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质疑书不符合上述要求的，采购人或代理机构应书面告知具体事项，质疑人应当按要求进行修改或补充，并在质疑有效期限内提交。</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31" w:name="_Toc9529"/>
      <w:bookmarkStart w:id="432" w:name="_Toc28178"/>
      <w:r>
        <w:rPr>
          <w:rFonts w:hint="eastAsia" w:ascii="宋体" w:hAnsi="宋体" w:eastAsia="宋体" w:cs="宋体"/>
          <w:b/>
          <w:kern w:val="2"/>
          <w:sz w:val="24"/>
          <w:szCs w:val="24"/>
          <w:highlight w:val="none"/>
          <w:lang w:val="en-US" w:eastAsia="zh-CN" w:bidi="ar-SA"/>
        </w:rPr>
        <w:t>8.2质疑回复</w:t>
      </w:r>
      <w:bookmarkEnd w:id="431"/>
      <w:bookmarkEnd w:id="432"/>
    </w:p>
    <w:p>
      <w:pPr>
        <w:snapToGrid w:val="0"/>
        <w:spacing w:line="360" w:lineRule="auto"/>
        <w:ind w:firstLine="420" w:firstLineChars="200"/>
        <w:rPr>
          <w:rFonts w:ascii="宋体" w:hAnsi="宋体" w:eastAsia="宋体" w:cs="宋体"/>
          <w:szCs w:val="21"/>
          <w:highlight w:val="none"/>
        </w:rPr>
      </w:pPr>
      <w:r>
        <w:rPr>
          <w:rFonts w:hint="eastAsia" w:ascii="宋体" w:hAnsi="宋体" w:eastAsia="宋体" w:cs="宋体"/>
          <w:highlight w:val="none"/>
        </w:rPr>
        <w:t>8.2.1</w:t>
      </w:r>
      <w:r>
        <w:rPr>
          <w:rFonts w:hint="eastAsia" w:ascii="宋体" w:hAnsi="宋体" w:eastAsia="宋体" w:cs="宋体"/>
          <w:szCs w:val="21"/>
          <w:highlight w:val="none"/>
        </w:rPr>
        <w:t>采购人或采购代理机构应当在收到投标人的书面质疑后7个工作日内作出答复，并以书面形式通知质疑投标人和其他有关投标人，但答复的内容不得涉及商业秘密。</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8.2.2质疑答复应当包括下列内容：</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（1）质疑供应商的姓名或者名称；</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（2）收到质疑函的日期、质疑项目名称及编号；</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（3）质疑事项、质疑答复的具体内容、事实依据和法律依据；</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（4）告知质疑供应商依法投诉的权利；</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（5）质疑答复人名称；</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（6）答复质疑的日期。</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33" w:name="_Toc20916"/>
      <w:bookmarkStart w:id="434" w:name="_Toc5726"/>
      <w:r>
        <w:rPr>
          <w:rFonts w:hint="eastAsia" w:ascii="宋体" w:hAnsi="宋体" w:eastAsia="宋体" w:cs="宋体"/>
          <w:b/>
          <w:kern w:val="2"/>
          <w:sz w:val="24"/>
          <w:szCs w:val="24"/>
          <w:highlight w:val="none"/>
          <w:lang w:val="en-US" w:eastAsia="zh-CN" w:bidi="ar-SA"/>
        </w:rPr>
        <w:t>8.3投诉</w:t>
      </w:r>
      <w:bookmarkEnd w:id="433"/>
      <w:bookmarkEnd w:id="434"/>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8.3.1质疑投标人对采购人、采购代理机构的答复不满意或者采购人、采购代理机构未在规定的时间内作出答复的，可以在答复期满后15个工作日内向同级政府采购监督管理部门投诉。投标人投诉应当有明确的请求和必要的证明材料，且投诉的事项不得超出已质疑事项的范围。</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8.3.2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435" w:name="_Toc32191"/>
      <w:bookmarkStart w:id="436" w:name="_Toc29698"/>
      <w:bookmarkStart w:id="437" w:name="_Toc432367362"/>
      <w:bookmarkStart w:id="438" w:name="_Toc430813278"/>
      <w:r>
        <w:rPr>
          <w:rFonts w:hint="eastAsia" w:ascii="宋体" w:hAnsi="宋体" w:eastAsia="宋体" w:cs="宋体"/>
          <w:b/>
          <w:bCs/>
          <w:kern w:val="2"/>
          <w:sz w:val="28"/>
          <w:szCs w:val="28"/>
          <w:highlight w:val="none"/>
          <w:lang w:val="en-US" w:eastAsia="zh-CN" w:bidi="ar-SA"/>
        </w:rPr>
        <w:t>合同授予</w:t>
      </w:r>
      <w:bookmarkEnd w:id="435"/>
      <w:bookmarkEnd w:id="436"/>
      <w:bookmarkEnd w:id="437"/>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39" w:name="_Toc432367363"/>
      <w:bookmarkStart w:id="440" w:name="_Toc182"/>
      <w:bookmarkStart w:id="441" w:name="_Toc18769"/>
      <w:r>
        <w:rPr>
          <w:rFonts w:hint="eastAsia" w:ascii="宋体" w:hAnsi="宋体" w:eastAsia="宋体" w:cs="宋体"/>
          <w:b/>
          <w:kern w:val="2"/>
          <w:sz w:val="24"/>
          <w:szCs w:val="24"/>
          <w:highlight w:val="none"/>
          <w:lang w:val="en-US" w:eastAsia="zh-CN" w:bidi="ar-SA"/>
        </w:rPr>
        <w:t>9.</w:t>
      </w:r>
      <w:bookmarkEnd w:id="400"/>
      <w:bookmarkEnd w:id="401"/>
      <w:bookmarkEnd w:id="402"/>
      <w:bookmarkEnd w:id="403"/>
      <w:bookmarkEnd w:id="404"/>
      <w:bookmarkEnd w:id="405"/>
      <w:bookmarkEnd w:id="438"/>
      <w:r>
        <w:rPr>
          <w:rFonts w:hint="eastAsia" w:ascii="宋体" w:hAnsi="宋体" w:eastAsia="宋体" w:cs="宋体"/>
          <w:b/>
          <w:kern w:val="2"/>
          <w:sz w:val="24"/>
          <w:szCs w:val="24"/>
          <w:highlight w:val="none"/>
          <w:lang w:val="en-US" w:eastAsia="zh-CN" w:bidi="ar-SA"/>
        </w:rPr>
        <w:t>1</w:t>
      </w:r>
      <w:bookmarkStart w:id="442" w:name="_Toc430813279"/>
      <w:bookmarkStart w:id="443" w:name="_Toc144974538"/>
      <w:bookmarkStart w:id="444" w:name="_Toc300834993"/>
      <w:bookmarkStart w:id="445" w:name="_Toc247513994"/>
      <w:bookmarkStart w:id="446" w:name="_Toc152045570"/>
      <w:bookmarkStart w:id="447" w:name="_Toc247527595"/>
      <w:bookmarkStart w:id="448" w:name="_Toc152042346"/>
      <w:r>
        <w:rPr>
          <w:rFonts w:hint="eastAsia" w:ascii="宋体" w:hAnsi="宋体" w:eastAsia="宋体" w:cs="宋体"/>
          <w:b/>
          <w:kern w:val="2"/>
          <w:sz w:val="24"/>
          <w:szCs w:val="24"/>
          <w:highlight w:val="none"/>
          <w:lang w:val="en-US" w:eastAsia="zh-CN" w:bidi="ar-SA"/>
        </w:rPr>
        <w:t>履约保证金</w:t>
      </w:r>
      <w:bookmarkEnd w:id="439"/>
      <w:bookmarkEnd w:id="440"/>
      <w:bookmarkEnd w:id="441"/>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9.</w:t>
      </w:r>
      <w:bookmarkEnd w:id="442"/>
      <w:r>
        <w:rPr>
          <w:rFonts w:hint="eastAsia" w:ascii="宋体" w:hAnsi="宋体" w:eastAsia="宋体" w:cs="宋体"/>
          <w:highlight w:val="none"/>
        </w:rPr>
        <w:t>1.1在签订合同前，中标人应按投标人须知前附表规定的金额、担保形式和采购人认可的履约保证金格式向采购人提交履约保证金。</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9.1.2中标人不能按本章第9.1.1项要求提交履约保证金的，视为放弃中标，给采购人造成的损失的，中标人还应当予以赔偿。</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49" w:name="_Toc432367364"/>
      <w:bookmarkStart w:id="450" w:name="_Toc14947"/>
      <w:bookmarkStart w:id="451" w:name="_Toc32438"/>
      <w:r>
        <w:rPr>
          <w:rFonts w:hint="eastAsia" w:ascii="宋体" w:hAnsi="宋体" w:eastAsia="宋体" w:cs="宋体"/>
          <w:b/>
          <w:kern w:val="2"/>
          <w:sz w:val="24"/>
          <w:szCs w:val="24"/>
          <w:highlight w:val="none"/>
          <w:lang w:val="en-US" w:eastAsia="zh-CN" w:bidi="ar-SA"/>
        </w:rPr>
        <w:t>9.2</w:t>
      </w:r>
      <w:bookmarkStart w:id="452" w:name="_Toc430813280"/>
      <w:r>
        <w:rPr>
          <w:rFonts w:hint="eastAsia" w:ascii="宋体" w:hAnsi="宋体" w:eastAsia="宋体" w:cs="宋体"/>
          <w:b/>
          <w:kern w:val="2"/>
          <w:sz w:val="24"/>
          <w:szCs w:val="24"/>
          <w:highlight w:val="none"/>
          <w:lang w:val="en-US" w:eastAsia="zh-CN" w:bidi="ar-SA"/>
        </w:rPr>
        <w:t xml:space="preserve"> 签订合同</w:t>
      </w:r>
      <w:bookmarkEnd w:id="449"/>
      <w:bookmarkEnd w:id="450"/>
      <w:bookmarkEnd w:id="451"/>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9.</w:t>
      </w:r>
      <w:bookmarkEnd w:id="443"/>
      <w:bookmarkEnd w:id="444"/>
      <w:bookmarkEnd w:id="445"/>
      <w:bookmarkEnd w:id="446"/>
      <w:bookmarkEnd w:id="447"/>
      <w:bookmarkEnd w:id="448"/>
      <w:bookmarkEnd w:id="452"/>
      <w:r>
        <w:rPr>
          <w:rFonts w:hint="eastAsia" w:ascii="宋体" w:hAnsi="宋体" w:eastAsia="宋体" w:cs="宋体"/>
          <w:highlight w:val="none"/>
        </w:rPr>
        <w:t>2.1 采购人和中标人应当自中标通知书发出之日起30天内，根据招标文件和中标人的投标文件订立书面合同。所签订的合同不得对招标文件和中标人投标文件作实质性修改。中标人无正当理由拒签合同的，采购人将取消其中标资格；给采购人造成的损失的，中标人还应当予以赔偿。</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9.2.2采购人和中标人不得向对方提出任何不合理的要求，作为签订合同的条件，双方不得私下订立背离合同实质性内容的协议。</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9.3.3 政府采购合同履行中，采购人需追加与合同标的相同的服务的，在不改变合同其他条款的前提下，可以与投标人协商签订补充合同，但所有补充合同的采购金额不得超过原合同采购金额的百分之十。</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453" w:name="_Toc23419"/>
      <w:bookmarkStart w:id="454" w:name="_Toc432367365"/>
      <w:bookmarkStart w:id="455" w:name="_Toc8481"/>
      <w:r>
        <w:rPr>
          <w:rFonts w:hint="eastAsia" w:ascii="宋体" w:hAnsi="宋体" w:eastAsia="宋体" w:cs="宋体"/>
          <w:b/>
          <w:bCs/>
          <w:kern w:val="2"/>
          <w:sz w:val="28"/>
          <w:szCs w:val="28"/>
          <w:highlight w:val="none"/>
          <w:lang w:val="en-US" w:eastAsia="zh-CN" w:bidi="ar-SA"/>
        </w:rPr>
        <w:t>招</w:t>
      </w:r>
      <w:bookmarkStart w:id="456" w:name="_Toc430813281"/>
      <w:bookmarkStart w:id="457" w:name="_Toc247513995"/>
      <w:bookmarkStart w:id="458" w:name="_Toc152042347"/>
      <w:bookmarkStart w:id="459" w:name="_Toc152045571"/>
      <w:bookmarkStart w:id="460" w:name="_Toc247527596"/>
      <w:bookmarkStart w:id="461" w:name="_Toc144974539"/>
      <w:bookmarkStart w:id="462" w:name="_Toc300834994"/>
      <w:r>
        <w:rPr>
          <w:rFonts w:hint="eastAsia" w:ascii="宋体" w:hAnsi="宋体" w:eastAsia="宋体" w:cs="宋体"/>
          <w:b/>
          <w:bCs/>
          <w:kern w:val="2"/>
          <w:sz w:val="28"/>
          <w:szCs w:val="28"/>
          <w:highlight w:val="none"/>
          <w:lang w:val="en-US" w:eastAsia="zh-CN" w:bidi="ar-SA"/>
        </w:rPr>
        <w:t>标代理服务费</w:t>
      </w:r>
      <w:bookmarkEnd w:id="453"/>
      <w:bookmarkEnd w:id="454"/>
      <w:bookmarkEnd w:id="455"/>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63" w:name="_Toc432367366"/>
      <w:bookmarkStart w:id="464" w:name="_Toc16017"/>
      <w:bookmarkStart w:id="465" w:name="_Toc22584"/>
      <w:r>
        <w:rPr>
          <w:rFonts w:hint="eastAsia" w:ascii="宋体" w:hAnsi="宋体" w:eastAsia="宋体" w:cs="宋体"/>
          <w:b/>
          <w:kern w:val="2"/>
          <w:sz w:val="24"/>
          <w:szCs w:val="24"/>
          <w:highlight w:val="none"/>
          <w:lang w:val="en-US" w:eastAsia="zh-CN" w:bidi="ar-SA"/>
        </w:rPr>
        <w:t>10.</w:t>
      </w:r>
      <w:bookmarkEnd w:id="456"/>
      <w:r>
        <w:rPr>
          <w:rFonts w:hint="eastAsia" w:ascii="宋体" w:hAnsi="宋体" w:eastAsia="宋体" w:cs="宋体"/>
          <w:b/>
          <w:kern w:val="2"/>
          <w:sz w:val="24"/>
          <w:szCs w:val="24"/>
          <w:highlight w:val="none"/>
          <w:lang w:val="en-US" w:eastAsia="zh-CN" w:bidi="ar-SA"/>
        </w:rPr>
        <w:t>1</w:t>
      </w:r>
      <w:bookmarkStart w:id="466" w:name="_Toc430813282"/>
      <w:r>
        <w:rPr>
          <w:rFonts w:hint="eastAsia" w:ascii="宋体" w:hAnsi="宋体" w:eastAsia="宋体" w:cs="宋体"/>
          <w:b/>
          <w:kern w:val="2"/>
          <w:sz w:val="24"/>
          <w:szCs w:val="24"/>
          <w:highlight w:val="none"/>
          <w:lang w:val="en-US" w:eastAsia="zh-CN" w:bidi="ar-SA"/>
        </w:rPr>
        <w:t>收取方式和标准</w:t>
      </w:r>
      <w:bookmarkEnd w:id="463"/>
      <w:bookmarkEnd w:id="464"/>
      <w:bookmarkEnd w:id="465"/>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10.</w:t>
      </w:r>
      <w:bookmarkEnd w:id="466"/>
      <w:r>
        <w:rPr>
          <w:rFonts w:hint="eastAsia" w:ascii="宋体" w:hAnsi="宋体" w:eastAsia="宋体" w:cs="宋体"/>
          <w:highlight w:val="none"/>
        </w:rPr>
        <w:t>1.1采购代理机构按投标人须知前附表规定的方式和标准收取招标代理服务费。</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 xml:space="preserve">10.1.2 </w:t>
      </w:r>
      <w:r>
        <w:rPr>
          <w:rFonts w:hint="eastAsia" w:ascii="宋体" w:hAnsi="宋体" w:eastAsia="宋体" w:cs="宋体"/>
          <w:szCs w:val="21"/>
          <w:highlight w:val="none"/>
        </w:rPr>
        <w:t>原国家计委计价格[2002]1980号规定标准收费：</w:t>
      </w:r>
    </w:p>
    <w:tbl>
      <w:tblPr>
        <w:tblStyle w:val="88"/>
        <w:tblW w:w="8100" w:type="dxa"/>
        <w:jc w:val="center"/>
        <w:tblLayout w:type="fixed"/>
        <w:tblCellMar>
          <w:top w:w="0" w:type="dxa"/>
          <w:left w:w="0" w:type="dxa"/>
          <w:bottom w:w="0" w:type="dxa"/>
          <w:right w:w="0" w:type="dxa"/>
        </w:tblCellMar>
      </w:tblPr>
      <w:tblGrid>
        <w:gridCol w:w="2116"/>
        <w:gridCol w:w="2024"/>
        <w:gridCol w:w="1800"/>
        <w:gridCol w:w="2160"/>
      </w:tblGrid>
      <w:tr>
        <w:tblPrEx>
          <w:tblCellMar>
            <w:top w:w="0" w:type="dxa"/>
            <w:left w:w="0" w:type="dxa"/>
            <w:bottom w:w="0" w:type="dxa"/>
            <w:right w:w="0" w:type="dxa"/>
          </w:tblCellMar>
        </w:tblPrEx>
        <w:trPr>
          <w:trHeight w:val="340" w:hRule="atLeast"/>
          <w:tblHeader/>
          <w:jc w:val="center"/>
        </w:trPr>
        <w:tc>
          <w:tcPr>
            <w:tcW w:w="2116" w:type="dxa"/>
            <w:tcBorders>
              <w:top w:val="single" w:color="auto" w:sz="4" w:space="0"/>
              <w:left w:val="single" w:color="auto" w:sz="8" w:space="0"/>
              <w:bottom w:val="single" w:color="auto" w:sz="8" w:space="0"/>
              <w:right w:val="single" w:color="auto" w:sz="8" w:space="0"/>
            </w:tcBorders>
            <w:vAlign w:val="center"/>
          </w:tcPr>
          <w:p>
            <w:pPr>
              <w:jc w:val="center"/>
              <w:rPr>
                <w:rFonts w:ascii="宋体" w:hAnsi="宋体" w:eastAsia="宋体" w:cs="宋体"/>
                <w:b/>
                <w:color w:val="000000"/>
                <w:szCs w:val="21"/>
                <w:highlight w:val="none"/>
              </w:rPr>
            </w:pPr>
            <w:r>
              <w:rPr>
                <w:rFonts w:hint="eastAsia" w:ascii="宋体" w:hAnsi="宋体" w:eastAsia="宋体" w:cs="宋体"/>
                <w:b/>
                <w:color w:val="000000"/>
                <w:szCs w:val="21"/>
                <w:highlight w:val="none"/>
              </w:rPr>
              <w:t>中标金额（万元）</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b/>
                <w:color w:val="000000"/>
                <w:szCs w:val="21"/>
                <w:highlight w:val="none"/>
              </w:rPr>
            </w:pPr>
            <w:r>
              <w:rPr>
                <w:rFonts w:hint="eastAsia" w:ascii="宋体" w:hAnsi="宋体" w:eastAsia="宋体" w:cs="宋体"/>
                <w:b/>
                <w:color w:val="000000"/>
                <w:kern w:val="0"/>
                <w:szCs w:val="21"/>
                <w:highlight w:val="none"/>
              </w:rPr>
              <w:t>货物招标</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b/>
                <w:color w:val="000000"/>
                <w:szCs w:val="21"/>
                <w:highlight w:val="none"/>
              </w:rPr>
            </w:pPr>
            <w:r>
              <w:rPr>
                <w:rFonts w:hint="eastAsia" w:ascii="宋体" w:hAnsi="宋体" w:eastAsia="宋体" w:cs="宋体"/>
                <w:b/>
                <w:color w:val="000000"/>
                <w:kern w:val="0"/>
                <w:szCs w:val="21"/>
                <w:highlight w:val="none"/>
              </w:rPr>
              <w:t>服务招标</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b/>
                <w:color w:val="000000"/>
                <w:szCs w:val="21"/>
                <w:highlight w:val="none"/>
              </w:rPr>
            </w:pPr>
            <w:r>
              <w:rPr>
                <w:rFonts w:hint="eastAsia" w:ascii="宋体" w:hAnsi="宋体" w:eastAsia="宋体" w:cs="宋体"/>
                <w:b/>
                <w:color w:val="000000"/>
                <w:kern w:val="0"/>
                <w:szCs w:val="21"/>
                <w:highlight w:val="none"/>
              </w:rPr>
              <w:t>工程招标</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100以下</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1.5%</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1.5%</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1.0%</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lOO-500</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1.1%</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0.8%</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0.7%</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500-1000</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0.8%</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0.45%</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0.55%</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l000—5000</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0.5%</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0.25%</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0.35%</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5000-lOOOO</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0.25%</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0.1%</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0.2%</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lOOOO-100000</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0.05%</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0.05%</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0.05%</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100000以上</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0.01%</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0.01%</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0.01%</w:t>
            </w:r>
          </w:p>
        </w:tc>
      </w:tr>
    </w:tbl>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注：招标代理服务收费按差额定率累进法计算。例如：某工程招标代理业务中标金额为6000万元，计算招标代理服务收费额如下：</w:t>
      </w:r>
    </w:p>
    <w:p>
      <w:pPr>
        <w:snapToGrid w:val="0"/>
        <w:spacing w:line="360" w:lineRule="auto"/>
        <w:rPr>
          <w:rFonts w:ascii="宋体" w:hAnsi="宋体" w:eastAsia="宋体" w:cs="宋体"/>
          <w:highlight w:val="none"/>
        </w:rPr>
      </w:pPr>
      <w:r>
        <w:rPr>
          <w:rFonts w:hint="eastAsia" w:ascii="宋体" w:hAnsi="宋体" w:eastAsia="宋体" w:cs="宋体"/>
          <w:highlight w:val="none"/>
        </w:rPr>
        <w:t xml:space="preserve">    100万元×1.0%=1万元</w:t>
      </w:r>
    </w:p>
    <w:p>
      <w:pPr>
        <w:snapToGrid w:val="0"/>
        <w:spacing w:line="360" w:lineRule="auto"/>
        <w:rPr>
          <w:rFonts w:ascii="宋体" w:hAnsi="宋体" w:eastAsia="宋体" w:cs="宋体"/>
          <w:highlight w:val="none"/>
        </w:rPr>
      </w:pPr>
      <w:r>
        <w:rPr>
          <w:rFonts w:hint="eastAsia" w:ascii="宋体" w:hAnsi="宋体" w:eastAsia="宋体" w:cs="宋体"/>
          <w:highlight w:val="none"/>
        </w:rPr>
        <w:t xml:space="preserve">    (500-100)万元×0.7%=2.8万元</w:t>
      </w:r>
    </w:p>
    <w:p>
      <w:pPr>
        <w:snapToGrid w:val="0"/>
        <w:spacing w:line="360" w:lineRule="auto"/>
        <w:rPr>
          <w:rFonts w:ascii="宋体" w:hAnsi="宋体" w:eastAsia="宋体" w:cs="宋体"/>
          <w:highlight w:val="none"/>
        </w:rPr>
      </w:pPr>
      <w:r>
        <w:rPr>
          <w:rFonts w:hint="eastAsia" w:ascii="宋体" w:hAnsi="宋体" w:eastAsia="宋体" w:cs="宋体"/>
          <w:highlight w:val="none"/>
        </w:rPr>
        <w:t xml:space="preserve">    (1000-500)万元×0.55%=2.75万元</w:t>
      </w:r>
    </w:p>
    <w:p>
      <w:pPr>
        <w:snapToGrid w:val="0"/>
        <w:spacing w:line="360" w:lineRule="auto"/>
        <w:rPr>
          <w:rFonts w:ascii="宋体" w:hAnsi="宋体" w:eastAsia="宋体" w:cs="宋体"/>
          <w:highlight w:val="none"/>
        </w:rPr>
      </w:pPr>
      <w:r>
        <w:rPr>
          <w:rFonts w:hint="eastAsia" w:ascii="宋体" w:hAnsi="宋体" w:eastAsia="宋体" w:cs="宋体"/>
          <w:highlight w:val="none"/>
        </w:rPr>
        <w:t xml:space="preserve">    (5000-l000)万元×0.35%=14万元</w:t>
      </w:r>
    </w:p>
    <w:p>
      <w:pPr>
        <w:snapToGrid w:val="0"/>
        <w:spacing w:line="360" w:lineRule="auto"/>
        <w:rPr>
          <w:rFonts w:ascii="宋体" w:hAnsi="宋体" w:eastAsia="宋体" w:cs="宋体"/>
          <w:highlight w:val="none"/>
        </w:rPr>
      </w:pPr>
      <w:r>
        <w:rPr>
          <w:rFonts w:hint="eastAsia" w:ascii="宋体" w:hAnsi="宋体" w:eastAsia="宋体" w:cs="宋体"/>
          <w:highlight w:val="none"/>
        </w:rPr>
        <w:t xml:space="preserve">    (6000-5000)万元×0.2%=2万元</w:t>
      </w:r>
    </w:p>
    <w:p>
      <w:pPr>
        <w:snapToGrid w:val="0"/>
        <w:spacing w:line="360" w:lineRule="auto"/>
        <w:rPr>
          <w:rFonts w:ascii="宋体" w:hAnsi="宋体" w:eastAsia="宋体" w:cs="宋体"/>
          <w:highlight w:val="none"/>
        </w:rPr>
      </w:pPr>
      <w:r>
        <w:rPr>
          <w:rFonts w:hint="eastAsia" w:ascii="宋体" w:hAnsi="宋体" w:eastAsia="宋体" w:cs="宋体"/>
          <w:highlight w:val="none"/>
        </w:rPr>
        <w:t>合计收费=l+2.8+2.75+14+2=22.55(万元)</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67" w:name="_Toc25965"/>
      <w:bookmarkStart w:id="468" w:name="_Toc28686"/>
      <w:bookmarkStart w:id="469" w:name="_Toc432367367"/>
      <w:r>
        <w:rPr>
          <w:rFonts w:hint="eastAsia" w:ascii="宋体" w:hAnsi="宋体" w:eastAsia="宋体" w:cs="宋体"/>
          <w:b/>
          <w:kern w:val="2"/>
          <w:sz w:val="24"/>
          <w:szCs w:val="24"/>
          <w:highlight w:val="none"/>
          <w:lang w:val="en-US" w:eastAsia="zh-CN" w:bidi="ar-SA"/>
        </w:rPr>
        <w:t>10.2</w:t>
      </w:r>
      <w:bookmarkStart w:id="470" w:name="_Toc430813283"/>
      <w:r>
        <w:rPr>
          <w:rFonts w:hint="eastAsia" w:ascii="宋体" w:hAnsi="宋体" w:eastAsia="宋体" w:cs="宋体"/>
          <w:b/>
          <w:kern w:val="2"/>
          <w:sz w:val="24"/>
          <w:szCs w:val="24"/>
          <w:highlight w:val="none"/>
          <w:lang w:val="en-US" w:eastAsia="zh-CN" w:bidi="ar-SA"/>
        </w:rPr>
        <w:t>收取时间</w:t>
      </w:r>
      <w:bookmarkEnd w:id="467"/>
      <w:bookmarkEnd w:id="468"/>
      <w:bookmarkEnd w:id="469"/>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10.</w:t>
      </w:r>
      <w:bookmarkEnd w:id="470"/>
      <w:r>
        <w:rPr>
          <w:rFonts w:hint="eastAsia" w:ascii="宋体" w:hAnsi="宋体" w:eastAsia="宋体" w:cs="宋体"/>
          <w:highlight w:val="none"/>
        </w:rPr>
        <w:t>2.1采购代理机构按投标人须知前附表规定的时限收讫招标代理服务费。</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471" w:name="_Toc432367368"/>
      <w:bookmarkStart w:id="472" w:name="_Toc2323"/>
      <w:bookmarkStart w:id="473" w:name="_Toc13957"/>
      <w:bookmarkStart w:id="474" w:name="_Toc430813284"/>
      <w:r>
        <w:rPr>
          <w:rFonts w:hint="eastAsia" w:ascii="宋体" w:hAnsi="宋体" w:eastAsia="宋体" w:cs="宋体"/>
          <w:b/>
          <w:bCs/>
          <w:kern w:val="2"/>
          <w:sz w:val="28"/>
          <w:szCs w:val="28"/>
          <w:highlight w:val="none"/>
          <w:lang w:val="en-US" w:eastAsia="zh-CN" w:bidi="ar-SA"/>
        </w:rPr>
        <w:t>无效投标和废标</w:t>
      </w:r>
      <w:bookmarkEnd w:id="471"/>
      <w:bookmarkEnd w:id="472"/>
      <w:bookmarkEnd w:id="473"/>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75" w:name="_Toc432367369"/>
      <w:bookmarkStart w:id="476" w:name="_Toc20682"/>
      <w:bookmarkStart w:id="477" w:name="_Toc21570"/>
      <w:r>
        <w:rPr>
          <w:rFonts w:hint="eastAsia" w:ascii="宋体" w:hAnsi="宋体" w:eastAsia="宋体" w:cs="宋体"/>
          <w:b/>
          <w:kern w:val="2"/>
          <w:sz w:val="24"/>
          <w:szCs w:val="24"/>
          <w:highlight w:val="none"/>
          <w:lang w:val="en-US" w:eastAsia="zh-CN" w:bidi="ar-SA"/>
        </w:rPr>
        <w:t>1</w:t>
      </w:r>
      <w:bookmarkEnd w:id="474"/>
      <w:r>
        <w:rPr>
          <w:rFonts w:hint="eastAsia" w:ascii="宋体" w:hAnsi="宋体" w:eastAsia="宋体" w:cs="宋体"/>
          <w:b/>
          <w:kern w:val="2"/>
          <w:sz w:val="24"/>
          <w:szCs w:val="24"/>
          <w:highlight w:val="none"/>
          <w:lang w:val="en-US" w:eastAsia="zh-CN" w:bidi="ar-SA"/>
        </w:rPr>
        <w:t>1.</w:t>
      </w:r>
      <w:bookmarkStart w:id="478" w:name="_Toc430813285"/>
      <w:r>
        <w:rPr>
          <w:rFonts w:hint="eastAsia" w:ascii="宋体" w:hAnsi="宋体" w:eastAsia="宋体" w:cs="宋体"/>
          <w:b/>
          <w:kern w:val="2"/>
          <w:sz w:val="24"/>
          <w:szCs w:val="24"/>
          <w:highlight w:val="none"/>
          <w:lang w:val="en-US" w:eastAsia="zh-CN" w:bidi="ar-SA"/>
        </w:rPr>
        <w:t>1 无效</w:t>
      </w:r>
      <w:bookmarkEnd w:id="475"/>
      <w:r>
        <w:rPr>
          <w:rFonts w:hint="eastAsia" w:ascii="宋体" w:hAnsi="宋体" w:eastAsia="宋体" w:cs="宋体"/>
          <w:b/>
          <w:kern w:val="2"/>
          <w:sz w:val="24"/>
          <w:szCs w:val="24"/>
          <w:highlight w:val="none"/>
          <w:lang w:val="en-US" w:eastAsia="zh-CN" w:bidi="ar-SA"/>
        </w:rPr>
        <w:t>投标</w:t>
      </w:r>
      <w:bookmarkEnd w:id="476"/>
      <w:bookmarkEnd w:id="477"/>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478"/>
      <w:r>
        <w:rPr>
          <w:rFonts w:hint="eastAsia" w:ascii="宋体" w:hAnsi="宋体" w:eastAsia="宋体" w:cs="宋体"/>
          <w:highlight w:val="none"/>
        </w:rPr>
        <w:t>1.1.1投标文件属下列情况之一的，应当在资格性、符合性检查时按照无效投标处理：详见第四章“评标方法、步骤及标准”。</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79" w:name="_Toc18563"/>
      <w:bookmarkStart w:id="480" w:name="_Toc32174"/>
      <w:bookmarkStart w:id="481" w:name="_Toc432367370"/>
      <w:r>
        <w:rPr>
          <w:rFonts w:hint="eastAsia" w:ascii="宋体" w:hAnsi="宋体" w:eastAsia="宋体" w:cs="宋体"/>
          <w:b/>
          <w:kern w:val="2"/>
          <w:sz w:val="24"/>
          <w:szCs w:val="24"/>
          <w:highlight w:val="none"/>
          <w:lang w:val="en-US" w:eastAsia="zh-CN" w:bidi="ar-SA"/>
        </w:rPr>
        <w:t>11.</w:t>
      </w:r>
      <w:bookmarkStart w:id="482" w:name="_Toc430813286"/>
      <w:r>
        <w:rPr>
          <w:rFonts w:hint="eastAsia" w:ascii="宋体" w:hAnsi="宋体" w:eastAsia="宋体" w:cs="宋体"/>
          <w:b/>
          <w:kern w:val="2"/>
          <w:sz w:val="24"/>
          <w:szCs w:val="24"/>
          <w:highlight w:val="none"/>
          <w:lang w:val="en-US" w:eastAsia="zh-CN" w:bidi="ar-SA"/>
        </w:rPr>
        <w:t>2 废标</w:t>
      </w:r>
      <w:bookmarkEnd w:id="479"/>
      <w:bookmarkEnd w:id="480"/>
      <w:bookmarkEnd w:id="481"/>
    </w:p>
    <w:p>
      <w:pPr>
        <w:snapToGrid w:val="0"/>
        <w:spacing w:line="360" w:lineRule="auto"/>
        <w:ind w:firstLine="422" w:firstLineChars="200"/>
        <w:rPr>
          <w:rFonts w:ascii="宋体" w:hAnsi="宋体" w:eastAsia="宋体" w:cs="宋体"/>
          <w:b/>
          <w:highlight w:val="none"/>
        </w:rPr>
      </w:pPr>
      <w:r>
        <w:rPr>
          <w:rFonts w:hint="eastAsia" w:ascii="宋体" w:hAnsi="宋体" w:eastAsia="宋体" w:cs="宋体"/>
          <w:b/>
          <w:highlight w:val="none"/>
        </w:rPr>
        <w:t>1</w:t>
      </w:r>
      <w:bookmarkEnd w:id="482"/>
      <w:r>
        <w:rPr>
          <w:rFonts w:hint="eastAsia" w:ascii="宋体" w:hAnsi="宋体" w:eastAsia="宋体" w:cs="宋体"/>
          <w:b/>
          <w:highlight w:val="none"/>
        </w:rPr>
        <w:t>1.2.1出现下列情形之一的，应予废标：</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（1）符合专业条件的投标人或者对招标文件作实质响应的投标人不足三家的；</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（2）出现影响采购公正的违法、违规行为的；</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（3）投标人的报价均超过了采购预算，采购人不能支付的；</w:t>
      </w:r>
    </w:p>
    <w:p>
      <w:pPr>
        <w:snapToGrid w:val="0"/>
        <w:spacing w:line="360" w:lineRule="auto"/>
        <w:ind w:firstLine="420" w:firstLineChars="200"/>
        <w:rPr>
          <w:rFonts w:ascii="宋体" w:hAnsi="宋体" w:eastAsia="宋体" w:cs="宋体"/>
          <w:b/>
          <w:highlight w:val="none"/>
          <w:u w:val="single"/>
        </w:rPr>
      </w:pPr>
      <w:r>
        <w:rPr>
          <w:rFonts w:hint="eastAsia" w:ascii="宋体" w:hAnsi="宋体" w:eastAsia="宋体" w:cs="宋体"/>
          <w:highlight w:val="none"/>
        </w:rPr>
        <w:t>（4）因重大变故，采购任务取消的。</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483" w:name="_Toc432367371"/>
      <w:bookmarkStart w:id="484" w:name="_Toc30169"/>
      <w:bookmarkStart w:id="485" w:name="_Toc16836"/>
      <w:bookmarkStart w:id="486" w:name="_Toc430813287"/>
      <w:r>
        <w:rPr>
          <w:rFonts w:hint="eastAsia" w:ascii="宋体" w:hAnsi="宋体" w:eastAsia="宋体" w:cs="宋体"/>
          <w:b/>
          <w:bCs/>
          <w:kern w:val="2"/>
          <w:sz w:val="28"/>
          <w:szCs w:val="28"/>
          <w:highlight w:val="none"/>
          <w:lang w:val="en-US" w:eastAsia="zh-CN" w:bidi="ar-SA"/>
        </w:rPr>
        <w:t>纪律</w:t>
      </w:r>
      <w:bookmarkEnd w:id="457"/>
      <w:bookmarkEnd w:id="458"/>
      <w:bookmarkEnd w:id="459"/>
      <w:bookmarkEnd w:id="460"/>
      <w:bookmarkEnd w:id="461"/>
      <w:bookmarkStart w:id="487" w:name="_Toc144974542"/>
      <w:bookmarkStart w:id="488" w:name="_Toc152042350"/>
      <w:bookmarkStart w:id="489" w:name="_Toc247527599"/>
      <w:bookmarkStart w:id="490" w:name="_Toc247513998"/>
      <w:bookmarkStart w:id="491" w:name="_Toc152045574"/>
      <w:r>
        <w:rPr>
          <w:rFonts w:hint="eastAsia" w:ascii="宋体" w:hAnsi="宋体" w:eastAsia="宋体" w:cs="宋体"/>
          <w:b/>
          <w:bCs/>
          <w:kern w:val="2"/>
          <w:sz w:val="28"/>
          <w:szCs w:val="28"/>
          <w:highlight w:val="none"/>
          <w:lang w:val="en-US" w:eastAsia="zh-CN" w:bidi="ar-SA"/>
        </w:rPr>
        <w:t>和监督</w:t>
      </w:r>
      <w:bookmarkEnd w:id="483"/>
      <w:bookmarkEnd w:id="484"/>
      <w:bookmarkEnd w:id="485"/>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92" w:name="_Toc3496"/>
      <w:bookmarkStart w:id="493" w:name="_Toc31497"/>
      <w:bookmarkStart w:id="494" w:name="_Toc432367372"/>
      <w:r>
        <w:rPr>
          <w:rFonts w:hint="eastAsia" w:ascii="宋体" w:hAnsi="宋体" w:eastAsia="宋体" w:cs="宋体"/>
          <w:b/>
          <w:kern w:val="2"/>
          <w:sz w:val="24"/>
          <w:szCs w:val="24"/>
          <w:highlight w:val="none"/>
          <w:lang w:val="en-US" w:eastAsia="zh-CN" w:bidi="ar-SA"/>
        </w:rPr>
        <w:t>1</w:t>
      </w:r>
      <w:bookmarkEnd w:id="462"/>
      <w:bookmarkEnd w:id="486"/>
      <w:bookmarkEnd w:id="487"/>
      <w:bookmarkEnd w:id="488"/>
      <w:bookmarkEnd w:id="489"/>
      <w:bookmarkEnd w:id="490"/>
      <w:bookmarkEnd w:id="491"/>
      <w:r>
        <w:rPr>
          <w:rFonts w:hint="eastAsia" w:ascii="宋体" w:hAnsi="宋体" w:eastAsia="宋体" w:cs="宋体"/>
          <w:b/>
          <w:kern w:val="2"/>
          <w:sz w:val="24"/>
          <w:szCs w:val="24"/>
          <w:highlight w:val="none"/>
          <w:lang w:val="en-US" w:eastAsia="zh-CN" w:bidi="ar-SA"/>
        </w:rPr>
        <w:t>2.</w:t>
      </w:r>
      <w:bookmarkStart w:id="495" w:name="_Toc430813288"/>
      <w:bookmarkStart w:id="496" w:name="_Toc247527600"/>
      <w:bookmarkStart w:id="497" w:name="_Toc144974543"/>
      <w:bookmarkStart w:id="498" w:name="_Toc152045575"/>
      <w:bookmarkStart w:id="499" w:name="_Toc247513999"/>
      <w:bookmarkStart w:id="500" w:name="_Toc300834995"/>
      <w:bookmarkStart w:id="501" w:name="_Toc152042351"/>
      <w:r>
        <w:rPr>
          <w:rFonts w:hint="eastAsia" w:ascii="宋体" w:hAnsi="宋体" w:eastAsia="宋体" w:cs="宋体"/>
          <w:b/>
          <w:kern w:val="2"/>
          <w:sz w:val="24"/>
          <w:szCs w:val="24"/>
          <w:highlight w:val="none"/>
          <w:lang w:val="en-US" w:eastAsia="zh-CN" w:bidi="ar-SA"/>
        </w:rPr>
        <w:t>1 对采购人和采购代理机构的纪律要求</w:t>
      </w:r>
      <w:bookmarkEnd w:id="492"/>
      <w:bookmarkEnd w:id="493"/>
      <w:bookmarkEnd w:id="494"/>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495"/>
      <w:bookmarkEnd w:id="496"/>
      <w:bookmarkEnd w:id="497"/>
      <w:bookmarkEnd w:id="498"/>
      <w:bookmarkEnd w:id="499"/>
      <w:bookmarkEnd w:id="500"/>
      <w:bookmarkEnd w:id="501"/>
      <w:r>
        <w:rPr>
          <w:rFonts w:hint="eastAsia" w:ascii="宋体" w:hAnsi="宋体" w:eastAsia="宋体" w:cs="宋体"/>
          <w:highlight w:val="none"/>
        </w:rPr>
        <w:t>2.1.1 采购人和采购代理机构不得相互串通损害国家利益、社会公共利益和其他当事人的合法权益；不得以任何手段排斥其他投标人参与竞争。</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12.1.2采购人和采购代理机构不得向投标人索要或者接受其给予的赠品、回扣或者与采购无关的其他商品、服务。</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12.1.3采购人和采购代理机构工作人员不得接受投标人组织的宴请、旅游、娱乐，不得收受礼品、现金、有价证券等，不得向投标人报销应当由个人承担的费用。</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12.1.4 采购人可以根据采购项目的特殊要求，规定投标人的特定条件，但不得以不合理的条件对投标人实行差别待遇或者歧视待遇。</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12.1.5 采购人和采购代理机构不得向他人透露已获取招标文件的潜在投标人的名称、数量以及可能影响公平竞争的有关招标投标的其他情况。</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12.1.6 采购人和采购代理机构不得向评标委员会的评审专家作倾向性、误导性的解释或者说明。</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12.1.7 采购人或者采购代理机构不得通过对样品进行检测、对投标人进行考察等方式改变评审结果。</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12.1.8在确定中标人前，采购人或者采购代理机构不得与投标人就投标价格、投标方案等实质性内容进行谈判。</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12.1.9 采购人和采购代理机构不得向中标人提出任何不合理的要求，作为签订合同的条件，不得与中标人私下订立背离合同实质性内容的协议。</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502" w:name="_Toc9172"/>
      <w:bookmarkStart w:id="503" w:name="_Toc5621"/>
      <w:bookmarkStart w:id="504" w:name="_Toc432367373"/>
      <w:r>
        <w:rPr>
          <w:rFonts w:hint="eastAsia" w:ascii="宋体" w:hAnsi="宋体" w:eastAsia="宋体" w:cs="宋体"/>
          <w:b/>
          <w:kern w:val="2"/>
          <w:sz w:val="24"/>
          <w:szCs w:val="24"/>
          <w:highlight w:val="none"/>
          <w:lang w:val="en-US" w:eastAsia="zh-CN" w:bidi="ar-SA"/>
        </w:rPr>
        <w:t>12.</w:t>
      </w:r>
      <w:bookmarkStart w:id="505" w:name="_Toc300834996"/>
      <w:bookmarkStart w:id="506" w:name="_Toc152045576"/>
      <w:bookmarkStart w:id="507" w:name="_Toc247527601"/>
      <w:bookmarkStart w:id="508" w:name="_Toc247514000"/>
      <w:bookmarkStart w:id="509" w:name="_Toc430813289"/>
      <w:bookmarkStart w:id="510" w:name="_Toc144974544"/>
      <w:bookmarkStart w:id="511" w:name="_Toc152042352"/>
      <w:r>
        <w:rPr>
          <w:rFonts w:hint="eastAsia" w:ascii="宋体" w:hAnsi="宋体" w:eastAsia="宋体" w:cs="宋体"/>
          <w:b/>
          <w:kern w:val="2"/>
          <w:sz w:val="24"/>
          <w:szCs w:val="24"/>
          <w:highlight w:val="none"/>
          <w:lang w:val="en-US" w:eastAsia="zh-CN" w:bidi="ar-SA"/>
        </w:rPr>
        <w:t>2 对投标人的纪律要求</w:t>
      </w:r>
      <w:bookmarkEnd w:id="502"/>
      <w:bookmarkEnd w:id="503"/>
      <w:bookmarkEnd w:id="504"/>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505"/>
      <w:bookmarkEnd w:id="506"/>
      <w:bookmarkEnd w:id="507"/>
      <w:bookmarkEnd w:id="508"/>
      <w:bookmarkEnd w:id="509"/>
      <w:bookmarkEnd w:id="510"/>
      <w:bookmarkEnd w:id="511"/>
      <w:r>
        <w:rPr>
          <w:rFonts w:hint="eastAsia" w:ascii="宋体" w:hAnsi="宋体" w:eastAsia="宋体" w:cs="宋体"/>
          <w:highlight w:val="none"/>
        </w:rPr>
        <w:t>2.2.1投标人不得以向采购人、采购代理机构、评标委员会的组成人员行贿或者提供虚假材料以及采取其他不正当手段谋取中标。</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12.2.2 投标人之间不得相互串通投标报价，不得妨碍其他投标人的公平竞争，不得损害政府采购活动各当事人的合法权益。</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12.2.3 投标人不得非法干预、影响评标办法的确定，以及评标过程和结果。</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512" w:name="_Toc432367374"/>
      <w:bookmarkStart w:id="513" w:name="_Toc15378"/>
      <w:bookmarkStart w:id="514" w:name="_Toc16469"/>
      <w:r>
        <w:rPr>
          <w:rFonts w:hint="eastAsia" w:ascii="宋体" w:hAnsi="宋体" w:eastAsia="宋体" w:cs="宋体"/>
          <w:b/>
          <w:kern w:val="2"/>
          <w:sz w:val="24"/>
          <w:szCs w:val="24"/>
          <w:highlight w:val="none"/>
          <w:lang w:val="en-US" w:eastAsia="zh-CN" w:bidi="ar-SA"/>
        </w:rPr>
        <w:t>12.</w:t>
      </w:r>
      <w:bookmarkStart w:id="515" w:name="_Toc144974545"/>
      <w:bookmarkStart w:id="516" w:name="_Toc247514001"/>
      <w:bookmarkStart w:id="517" w:name="_Toc247527602"/>
      <w:bookmarkStart w:id="518" w:name="_Toc300834997"/>
      <w:bookmarkStart w:id="519" w:name="_Toc152042353"/>
      <w:bookmarkStart w:id="520" w:name="_Toc152045577"/>
      <w:bookmarkStart w:id="521" w:name="_Toc430813290"/>
      <w:r>
        <w:rPr>
          <w:rFonts w:hint="eastAsia" w:ascii="宋体" w:hAnsi="宋体" w:eastAsia="宋体" w:cs="宋体"/>
          <w:b/>
          <w:kern w:val="2"/>
          <w:sz w:val="24"/>
          <w:szCs w:val="24"/>
          <w:highlight w:val="none"/>
          <w:lang w:val="en-US" w:eastAsia="zh-CN" w:bidi="ar-SA"/>
        </w:rPr>
        <w:t>3 对评标委员会成员的纪律要求</w:t>
      </w:r>
      <w:bookmarkEnd w:id="512"/>
      <w:bookmarkEnd w:id="513"/>
      <w:bookmarkEnd w:id="514"/>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515"/>
      <w:bookmarkEnd w:id="516"/>
      <w:bookmarkEnd w:id="517"/>
      <w:bookmarkEnd w:id="518"/>
      <w:bookmarkEnd w:id="519"/>
      <w:bookmarkEnd w:id="520"/>
      <w:bookmarkEnd w:id="521"/>
      <w:r>
        <w:rPr>
          <w:rFonts w:hint="eastAsia" w:ascii="宋体" w:hAnsi="宋体" w:eastAsia="宋体" w:cs="宋体"/>
          <w:highlight w:val="none"/>
        </w:rPr>
        <w:t>2.3.1 评标委员会成员与投标人有利害关系的，必须回避。</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12.3.2 评标委员会成员应当遵守评审工作纪律，不得泄露评审文件、评审情况和评审中获悉的商业秘密。在评审过程中发现投标人有行贿、提供虚假材料或者串通等违法行为的，应当及时向财政部门报告。政府采购评审专家在评审过程中受到非法干预的，应当及时向财政、监察等部门举报。</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12.3.3 评标委员会成员应当按照客观、公正、审慎的原则，根据招标文件规定的评审程序、评审方法和评审标准进行独立评审。招标文件内容违反国家有关强制性规定的，评标委员会应当停止评审并向采购人或者采购代理机构说明情况。招标文件中没有规定的评标标准不得作为评审的依据。评标委员会成员应当在评审报告上签字，对自己的评审意见承担法律责任。对评审报告有异议的，应当在评审报告上签署不同意见，并说明理由，否则视为同意评审报告。</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522" w:name="_Toc18540"/>
      <w:bookmarkStart w:id="523" w:name="_Toc432367376"/>
      <w:bookmarkStart w:id="524" w:name="_Toc8652"/>
      <w:bookmarkStart w:id="525" w:name="_Toc300835000"/>
      <w:bookmarkStart w:id="526" w:name="_Toc152045580"/>
      <w:bookmarkStart w:id="527" w:name="_Toc430813293"/>
      <w:bookmarkStart w:id="528" w:name="_Toc144974547"/>
      <w:bookmarkStart w:id="529" w:name="_Toc247514004"/>
      <w:bookmarkStart w:id="530" w:name="_Toc247527605"/>
      <w:bookmarkStart w:id="531" w:name="_Toc152042357"/>
      <w:r>
        <w:rPr>
          <w:rFonts w:hint="eastAsia" w:ascii="宋体" w:hAnsi="宋体" w:eastAsia="宋体" w:cs="宋体"/>
          <w:b/>
          <w:bCs/>
          <w:kern w:val="2"/>
          <w:sz w:val="28"/>
          <w:szCs w:val="28"/>
          <w:highlight w:val="none"/>
          <w:lang w:val="en-US" w:eastAsia="zh-CN" w:bidi="ar-SA"/>
        </w:rPr>
        <w:t>需要补充的其他内容</w:t>
      </w:r>
      <w:bookmarkEnd w:id="522"/>
      <w:bookmarkEnd w:id="523"/>
      <w:bookmarkEnd w:id="524"/>
    </w:p>
    <w:p>
      <w:pPr>
        <w:snapToGrid w:val="0"/>
        <w:spacing w:line="360" w:lineRule="auto"/>
        <w:ind w:firstLine="420" w:firstLineChars="200"/>
        <w:rPr>
          <w:rFonts w:ascii="宋体" w:hAnsi="宋体" w:eastAsia="宋体" w:cs="宋体"/>
          <w:szCs w:val="21"/>
          <w:highlight w:val="none"/>
          <w:u w:val="single"/>
        </w:rPr>
      </w:pPr>
      <w:r>
        <w:rPr>
          <w:rFonts w:hint="eastAsia" w:ascii="宋体" w:hAnsi="宋体" w:eastAsia="宋体" w:cs="宋体"/>
          <w:highlight w:val="none"/>
        </w:rPr>
        <w:t>13.1 需要</w:t>
      </w:r>
      <w:bookmarkEnd w:id="525"/>
      <w:bookmarkEnd w:id="526"/>
      <w:bookmarkEnd w:id="527"/>
      <w:bookmarkEnd w:id="528"/>
      <w:bookmarkEnd w:id="529"/>
      <w:bookmarkEnd w:id="530"/>
      <w:bookmarkEnd w:id="531"/>
      <w:r>
        <w:rPr>
          <w:rFonts w:hint="eastAsia" w:ascii="宋体" w:hAnsi="宋体" w:eastAsia="宋体" w:cs="宋体"/>
          <w:highlight w:val="none"/>
        </w:rPr>
        <w:t>补充的其他内容：见投标人须知前附表。</w:t>
      </w:r>
    </w:p>
    <w:p>
      <w:pPr>
        <w:snapToGrid w:val="0"/>
        <w:spacing w:line="360" w:lineRule="auto"/>
        <w:rPr>
          <w:rFonts w:ascii="宋体" w:hAnsi="宋体" w:cs="宋体"/>
          <w:highlight w:val="none"/>
        </w:rPr>
      </w:pPr>
    </w:p>
    <w:p>
      <w:pPr>
        <w:spacing w:line="300" w:lineRule="auto"/>
        <w:rPr>
          <w:rFonts w:ascii="宋体" w:hAnsi="宋体" w:cs="宋体"/>
          <w:sz w:val="24"/>
          <w:highlight w:val="none"/>
        </w:rPr>
        <w:sectPr>
          <w:footerReference r:id="rId9" w:type="default"/>
          <w:type w:val="nextColumn"/>
          <w:pgSz w:w="11907" w:h="16840"/>
          <w:pgMar w:top="1247" w:right="1588" w:bottom="1247" w:left="1588" w:header="851" w:footer="850" w:gutter="0"/>
          <w:pgNumType w:start="1"/>
          <w:cols w:space="720" w:num="1"/>
          <w:docGrid w:linePitch="312" w:charSpace="0"/>
        </w:sectPr>
      </w:pPr>
    </w:p>
    <w:p>
      <w:pPr>
        <w:pStyle w:val="4"/>
        <w:numPr>
          <w:ilvl w:val="0"/>
          <w:numId w:val="3"/>
        </w:numPr>
        <w:spacing w:before="120" w:after="120" w:line="300" w:lineRule="auto"/>
        <w:rPr>
          <w:rFonts w:hAnsi="宋体" w:cs="宋体"/>
          <w:sz w:val="32"/>
          <w:szCs w:val="32"/>
          <w:highlight w:val="none"/>
        </w:rPr>
      </w:pPr>
      <w:bookmarkStart w:id="532" w:name="_Toc7247"/>
      <w:r>
        <w:rPr>
          <w:rFonts w:hint="eastAsia" w:hAnsi="宋体" w:cs="宋体"/>
          <w:sz w:val="32"/>
          <w:szCs w:val="32"/>
          <w:highlight w:val="none"/>
        </w:rPr>
        <w:t>项目采购需求</w:t>
      </w:r>
      <w:bookmarkEnd w:id="532"/>
    </w:p>
    <w:p>
      <w:pPr>
        <w:ind w:left="-210" w:firstLine="210" w:firstLineChars="100"/>
        <w:rPr>
          <w:rFonts w:ascii="宋体" w:hAnsi="宋体" w:eastAsia="宋体" w:cs="宋体"/>
          <w:szCs w:val="21"/>
          <w:highlight w:val="none"/>
        </w:rPr>
      </w:pPr>
      <w:bookmarkStart w:id="533" w:name="_Toc15914640"/>
    </w:p>
    <w:p>
      <w:pPr>
        <w:widowControl/>
        <w:adjustRightInd w:val="0"/>
        <w:snapToGrid w:val="0"/>
        <w:spacing w:line="360" w:lineRule="auto"/>
        <w:ind w:firstLine="422" w:firstLineChars="200"/>
        <w:jc w:val="left"/>
        <w:rPr>
          <w:rFonts w:hint="eastAsia" w:ascii="宋体" w:hAnsi="宋体" w:eastAsia="宋体" w:cs="Times New Roman"/>
          <w:b/>
          <w:kern w:val="0"/>
          <w:szCs w:val="21"/>
          <w:highlight w:val="none"/>
          <w:lang w:val="zh-CN"/>
        </w:rPr>
      </w:pPr>
      <w:r>
        <w:rPr>
          <w:rFonts w:hint="eastAsia" w:ascii="宋体" w:hAnsi="宋体" w:eastAsia="宋体" w:cs="Times New Roman"/>
          <w:b/>
          <w:kern w:val="0"/>
          <w:szCs w:val="21"/>
          <w:highlight w:val="none"/>
          <w:lang w:val="zh-CN"/>
        </w:rPr>
        <w:t>注：</w:t>
      </w:r>
      <w:bookmarkStart w:id="534" w:name="_Toc535832547"/>
      <w:bookmarkStart w:id="535" w:name="_Toc162164501"/>
      <w:bookmarkStart w:id="536" w:name="_Toc26590"/>
      <w:r>
        <w:rPr>
          <w:rFonts w:hint="eastAsia" w:ascii="宋体" w:hAnsi="宋体" w:eastAsia="宋体" w:cs="Times New Roman"/>
          <w:b/>
          <w:kern w:val="0"/>
          <w:szCs w:val="21"/>
          <w:highlight w:val="none"/>
          <w:lang w:val="zh-CN"/>
        </w:rPr>
        <w:t>本章中标★为实质性要求，投标人须在其</w:t>
      </w:r>
      <w:r>
        <w:rPr>
          <w:rFonts w:hint="eastAsia" w:ascii="宋体" w:hAnsi="宋体" w:eastAsia="宋体" w:cs="Times New Roman"/>
          <w:b/>
          <w:kern w:val="0"/>
          <w:szCs w:val="21"/>
          <w:highlight w:val="none"/>
        </w:rPr>
        <w:t>投标</w:t>
      </w:r>
      <w:r>
        <w:rPr>
          <w:rFonts w:hint="eastAsia" w:ascii="宋体" w:hAnsi="宋体" w:eastAsia="宋体" w:cs="Times New Roman"/>
          <w:b/>
          <w:kern w:val="0"/>
          <w:szCs w:val="21"/>
          <w:highlight w:val="none"/>
          <w:lang w:val="zh-CN"/>
        </w:rPr>
        <w:t>文件中提供相应承诺（另有要求的从其要求），对相关要求进行响应。响应不满足的，作无效投标处理。</w:t>
      </w:r>
      <w:bookmarkEnd w:id="534"/>
      <w:bookmarkEnd w:id="535"/>
      <w:bookmarkEnd w:id="536"/>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hint="eastAsia" w:ascii="宋体" w:hAnsi="宋体" w:eastAsia="宋体" w:cs="Times New Roman"/>
          <w:b/>
          <w:color w:val="auto"/>
          <w:szCs w:val="21"/>
          <w:highlight w:val="none"/>
        </w:rPr>
      </w:pPr>
      <w:bookmarkStart w:id="537" w:name="_Toc28853"/>
      <w:bookmarkStart w:id="538" w:name="_Toc19971"/>
      <w:r>
        <w:rPr>
          <w:rFonts w:hint="eastAsia" w:ascii="宋体" w:hAnsi="宋体" w:eastAsia="宋体" w:cs="Times New Roman"/>
          <w:b/>
          <w:color w:val="auto"/>
          <w:szCs w:val="21"/>
          <w:highlight w:val="none"/>
          <w:lang w:val="en-US" w:eastAsia="zh-CN"/>
        </w:rPr>
        <w:t>一、</w:t>
      </w:r>
      <w:r>
        <w:rPr>
          <w:rFonts w:hint="eastAsia" w:ascii="宋体" w:hAnsi="宋体" w:eastAsia="宋体" w:cs="Times New Roman"/>
          <w:b/>
          <w:color w:val="auto"/>
          <w:szCs w:val="21"/>
          <w:highlight w:val="none"/>
        </w:rPr>
        <w:t>项目概况</w:t>
      </w:r>
      <w:bookmarkEnd w:id="537"/>
      <w:bookmarkEnd w:id="538"/>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高校融媒体中心作为高校数字校园建设的重要组成部分，其不同于传统校园电视台需配置十分复杂的采编播管存系统，而是围绕架构合理、安全可靠、操作简单、集成度高、成本低、易维护、开放性强等特点进行设计，顺应当代全媒体时代内容生产和信息传播的特点和需求。中南民族大学遴选投标人提供融媒体中心建设服务；主要服务内容包含：</w:t>
      </w:r>
      <w:r>
        <w:rPr>
          <w:rFonts w:hint="eastAsia" w:ascii="宋体" w:hAnsi="宋体" w:eastAsia="宋体" w:cs="宋体"/>
          <w:b/>
          <w:bCs/>
          <w:color w:val="auto"/>
          <w:kern w:val="2"/>
          <w:sz w:val="21"/>
          <w:szCs w:val="21"/>
          <w:highlight w:val="none"/>
          <w:lang w:val="en-US" w:eastAsia="zh-CN" w:bidi="ar-SA"/>
        </w:rPr>
        <w:t>全景演播实训系统、融媒体采编基础支撑系统、学生融创空间及综合发布系统、融媒体中心暖通系统、融媒体中心形象识别系统、融媒体管理平台系统、舆情监测与传播分析系统、融媒体中心人员委培及品牌推广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hint="default" w:ascii="宋体" w:hAnsi="宋体" w:eastAsia="宋体" w:cs="Times New Roman"/>
          <w:b/>
          <w:color w:val="auto"/>
          <w:szCs w:val="21"/>
          <w:highlight w:val="none"/>
          <w:lang w:val="en-US" w:eastAsia="zh-CN"/>
        </w:rPr>
      </w:pPr>
      <w:bookmarkStart w:id="539" w:name="_Toc7012"/>
      <w:r>
        <w:rPr>
          <w:rFonts w:hint="eastAsia" w:ascii="宋体" w:hAnsi="宋体" w:eastAsia="宋体" w:cs="Times New Roman"/>
          <w:b/>
          <w:color w:val="auto"/>
          <w:szCs w:val="21"/>
          <w:highlight w:val="none"/>
          <w:lang w:val="en-US" w:eastAsia="zh-CN"/>
        </w:rPr>
        <w:t>二、建设目标</w:t>
      </w:r>
      <w:bookmarkEnd w:id="539"/>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建设高校全景演播厅、广播台、综合发布平台、舆情监测室等实习实践平台，培养新时代下高校培养新闻人的专业技能素质与文化素质。</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1.建立校内新闻采编发一体化协作平台，实现AI智能投稿平台、AI-AIGC写稿助手系统、网站发布（宣传部、二级单位）、新媒体发布以及移动端新闻处理功能。</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建立AI智能资源管理，充分利用人工智能技术，打造校园统一的文图、视音频资料存储、检索、调用、管理平台。将学校网站群管理平台中的历史稿件资源、宣传部线下的历史图片和视频资源，按照统一规则迁移至融媒体资源管理平台，实现这些资源的安全存储、便捷查询与管理。</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3.建立全景演播实训系统，提供校园演播室实训、直播、录播、活动录制、节目录制等相关的设备，满足校园课程录播、晚会、演播室等不同应用场景的需求。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4.建立综合发布及学生融创空间，提供集会议、教学、实训、调度指挥、综合发布等功能的融创空间，提供综合发布大厅大屏和会议扩声系统相关设备。</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5.建立融媒体基础硬件支撑平台，为融媒体中心基础硬件，提供设备存储、设备借还管理、网络、安全等资源。</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6.建立舆情监测与传播分析系统，实时掌握突发舆情信息、分析研判舆情动向；统计分析分发稿件信息传播情况。</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7.建立融媒体中心文化驾驶舱可视化大屏系统，实时掌握融媒体中心各项平台系统数据和分析，支持融媒体文化内容、各项平台系统数据在线展示和切换。</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8.为融媒体中心人员提供内容策划、人员委培、媒体实操等培训服务，为融媒体中心文化产品提供主流媒体推广服务。</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对融媒体中心空间、形象展示进行改造；提供融媒体中心办公家具，满足工作人员办公需求；提供融媒体中心形象展示物料，对外展示融媒体中心形象。提供融媒体中心空调等，为工作人员提供舒适的环境温度和安全的办公环境。</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ascii="Times New Roman" w:hAnsi="Times New Roman" w:eastAsia="宋体" w:cs="Times New Roman"/>
          <w:color w:val="auto"/>
          <w:kern w:val="0"/>
          <w:szCs w:val="24"/>
          <w:highlight w:val="none"/>
        </w:rPr>
      </w:pPr>
      <w:bookmarkStart w:id="540" w:name="_Toc31035"/>
      <w:bookmarkStart w:id="541" w:name="_Toc29136"/>
      <w:r>
        <w:rPr>
          <w:rFonts w:hint="eastAsia" w:ascii="Times New Roman" w:hAnsi="Times New Roman" w:eastAsia="宋体" w:cs="Times New Roman"/>
          <w:b/>
          <w:bCs/>
          <w:color w:val="auto"/>
          <w:szCs w:val="24"/>
          <w:highlight w:val="none"/>
          <w:lang w:val="en-US" w:eastAsia="zh-CN"/>
        </w:rPr>
        <w:t>三</w:t>
      </w:r>
      <w:r>
        <w:rPr>
          <w:rFonts w:ascii="Times New Roman" w:hAnsi="Times New Roman" w:eastAsia="宋体" w:cs="Times New Roman"/>
          <w:b/>
          <w:bCs/>
          <w:color w:val="auto"/>
          <w:szCs w:val="24"/>
          <w:highlight w:val="none"/>
        </w:rPr>
        <w:t>、需</w:t>
      </w:r>
      <w:r>
        <w:rPr>
          <w:rFonts w:ascii="Times New Roman" w:hAnsi="Times New Roman" w:eastAsia="宋体" w:cs="Times New Roman"/>
          <w:b/>
          <w:color w:val="auto"/>
          <w:szCs w:val="21"/>
          <w:highlight w:val="none"/>
        </w:rPr>
        <w:t>执行</w:t>
      </w:r>
      <w:r>
        <w:rPr>
          <w:rFonts w:ascii="Times New Roman" w:hAnsi="Times New Roman" w:eastAsia="宋体" w:cs="Times New Roman"/>
          <w:b/>
          <w:bCs/>
          <w:color w:val="auto"/>
          <w:szCs w:val="24"/>
          <w:highlight w:val="none"/>
        </w:rPr>
        <w:t>的国家相关标准、行业标准、地方标准或者其他标准、规范</w:t>
      </w:r>
      <w:bookmarkEnd w:id="540"/>
      <w:bookmarkEnd w:id="541"/>
      <w:r>
        <w:rPr>
          <w:rFonts w:ascii="Times New Roman" w:hAnsi="Times New Roman" w:eastAsia="宋体" w:cs="Times New Roman"/>
          <w:color w:val="auto"/>
          <w:kern w:val="0"/>
          <w:szCs w:val="24"/>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bookmarkStart w:id="542" w:name="_Toc31726"/>
      <w:r>
        <w:rPr>
          <w:rFonts w:hint="eastAsia" w:ascii="宋体" w:hAnsi="Courier New" w:eastAsia="宋体" w:cs="Times New Roman"/>
          <w:b w:val="0"/>
          <w:bCs w:val="0"/>
          <w:color w:val="auto"/>
          <w:kern w:val="2"/>
          <w:sz w:val="21"/>
          <w:szCs w:val="20"/>
          <w:highlight w:val="none"/>
          <w:lang w:val="en-US" w:eastAsia="zh-CN" w:bidi="ar-SA"/>
        </w:rPr>
        <w:t>《建筑装饰装修工程质量验收规范》GB50210-2018</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《建筑工程施工质量验收统一标准》GB50300-2013</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《建筑地面工程施工质量验收规范》GB50209-2010</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《建筑电气工程施工质量验收规范》GB50303-2015</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《建筑节能与可再生能源利用通用规范》GB 55015-2021</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《声环境质量标准》GB3096-2008</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《民用建筑室内环境污染控制规范》GB50325-2020</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《室内装饰装修材料人造板及其制品中甲醛释放限量》GB18580-2025</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《木器涂料中有害物质限量》GB18581-2020</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《室内装饰装修材料内墙涂料中甲醛释放限量》GB18582-2020</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《室内装饰装修材料胶粘剂中有害物质限量》GB18583-2008</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《家具中有害物质限量》GB 18584-2024</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《室内装饰装修材料壁纸中有害物质限量》GB 18585-2001</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《室内装饰装修材料聚氯乙烯卷材地板中有害物质限量》GB18586-2001</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《铝合金门窗》GB/T 8478-2026</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《建筑装饰用铝单板》GB/T 23443-2024</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《干挂饰面石材及其金属挂件》JC830.1～830.2-2005</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《石材用建筑密封胶》GB/T23161-2009</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《涂饰、裱糊与软包》GB50210-2018</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《广告设计制作规范》GB/T 35000-2018</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《建筑装饰装修 LED 照明技术规程》JGJ/T 420-2017</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《建筑电气照明装置施工与验收规范》GB 50617-2010</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《防伪油墨 第2部分：磁性防伪油墨》GB/T 17001.2-2025</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ascii="微软雅黑" w:hAnsi="微软雅黑" w:eastAsia="微软雅黑" w:cs="微软雅黑"/>
          <w:b/>
          <w:bCs/>
          <w:color w:val="000000"/>
          <w:kern w:val="44"/>
          <w:sz w:val="27"/>
          <w:szCs w:val="44"/>
          <w:shd w:val="clear" w:color="auto" w:fill="FFFFFF"/>
          <w:lang w:val="en-US" w:eastAsia="zh-CN" w:bidi="ar-SA"/>
        </w:rPr>
      </w:pPr>
      <w:bookmarkStart w:id="543" w:name="_Toc1399"/>
      <w:bookmarkStart w:id="544" w:name="OLE_LINK9"/>
      <w:r>
        <w:rPr>
          <w:rFonts w:hint="eastAsia" w:ascii="Times New Roman" w:hAnsi="Times New Roman" w:eastAsia="宋体" w:cs="Times New Roman"/>
          <w:b/>
          <w:bCs/>
          <w:color w:val="auto"/>
          <w:szCs w:val="24"/>
          <w:highlight w:val="none"/>
          <w:lang w:val="en-US" w:eastAsia="zh-CN"/>
        </w:rPr>
        <w:t>四、融媒体中心建设项目服务要求</w:t>
      </w:r>
      <w:bookmarkEnd w:id="543"/>
    </w:p>
    <w:bookmarkEnd w:id="544"/>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（1）服务内容</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为中南民族大学融媒体中心建设项目，拟利用行政办公楼二楼部分办公室及小露台区域进行集中设计改造，建设总面积约为626平方米。项目旨在整合校内媒体资源，构建集新闻生产、品牌传播、思政教育于一体的全媒体平台，打造新时代高校宣传思想文化工作的主阵地。</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（2）设计目标</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本项目以“整合资源、重构流程、技术赋能”为核心建设思路，具体目标如下：</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资源整合优化：对校内现有的广播站、校报、记者团等媒体资源进行系统整合，打破部门壁垒，实现资源共享与协同作业。</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采编发流程重构：以学生团队为重要力量，重塑“策、采、编、审、发、评、管”七位一体的内容生产流程，建立符合融媒体传播规律的工作机制。</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技术平台建设：重视新媒体技术应用，搭建集内容汇聚、生产、审核、分发于一体的技术支撑平台，实现多平台分发、全媒体覆盖。</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移动优先策略：遵循移动优先原则，利用移动传播技术，形成渠道丰富、覆盖广泛、传播有效的移动传播矩阵。</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（3）功能需求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本项目需为以下团队组织提供工作与交流场地：</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校广播站</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校报工作站</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大学生记者团</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其他相关学生媒体组织</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通过合理的空间规划，满足各团队的日常办公、内容生产、技术培训、交流研讨等需求，实现“融媒体+育人”的有机结合。</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（4）空间规划与设计要点</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4.1 整体布局</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设计应包含以下功能区域走廊及公共通道、思政育人空间（小露台）、校报展示工作间、4K全景演播厅、融创及综合发布空间、多功能交流空间、综合工作站、广播台直播室、导播室、广播台音视频剪辑室、舆情监测室、器材室、洗手间等</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4.2 重点区域设计要求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设计方案应充分考虑整体项目运行节能和使用效率，对项目各区域的电源接入和网络接入点位数量、设备利旧和新增设备等提出合理设计，对项目整体运行设计合理的智能控制。</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1）走廊及公共通道</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作为校园文化宣传的主阵地，应充分利用墙面空间展示学校融媒体建设成果、优秀作品、团队风采等。设计应具有互动性和展示性，可采用电子屏幕、展板、灯光装置等多种形式，营造沉浸式的文化体验氛围。</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2）4K全景演播厅</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作为融媒体中心的核心功能区域，需充分考虑声学处理和灯光布置。建议层高不低于3.5米，墙面采用专业吸音材料，地面铺设防静电地板。配置虚拟演播绿箱及实景舞美背景，满足高质量视频节目制作需求。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3）融创及综合发布空间</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作为融媒体中心的指挥中枢和中控平台，应满足策划指挥、内容生产、融合发布等业务需求。需配置大屏显示系统、指挥调度工位，实现中心全景运营情况的实时呈现与任务调控指挥。</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4）思政育人空间</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围绕思政教育与党建文化主题进行设计，可作为红色文化展示、党建活动、主题教育的重要场所，体现“融媒体+思政”的育人理念。</w:t>
      </w:r>
    </w:p>
    <w:p>
      <w:pPr>
        <w:keepNext w:val="0"/>
        <w:keepLines w:val="0"/>
        <w:pageBreakBefore w:val="0"/>
        <w:widowControl w:val="0"/>
        <w:numPr>
          <w:ilvl w:val="0"/>
          <w:numId w:val="5"/>
        </w:numPr>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校报工作展示空间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校报是承载学校历史的重要媒体。要充分利用空间展示中南民族大学报报道的重要内容，对校报工作空间进行设计。</w:t>
      </w:r>
    </w:p>
    <w:p>
      <w:pPr>
        <w:keepNext w:val="0"/>
        <w:keepLines w:val="0"/>
        <w:pageBreakBefore w:val="0"/>
        <w:widowControl w:val="0"/>
        <w:numPr>
          <w:ilvl w:val="0"/>
          <w:numId w:val="5"/>
        </w:numPr>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广播台空间升级</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对现有广播台空间进行合理设计，对现有广播台空间改造升级。</w:t>
      </w:r>
    </w:p>
    <w:p>
      <w:pPr>
        <w:keepNext w:val="0"/>
        <w:keepLines w:val="0"/>
        <w:pageBreakBefore w:val="0"/>
        <w:widowControl w:val="0"/>
        <w:numPr>
          <w:ilvl w:val="0"/>
          <w:numId w:val="5"/>
        </w:numPr>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交流共享空间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在现有的场地中，布局一定的空间可进行校内外师生交流研讨。</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4.3 设计基调与风格要求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年轻化审美：整体设计风格应契合年轻学生的审美偏好，色彩明快、造型现代、富有活力，采用活泼上进的视觉语言。</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空间最大化利用：在现有空间基础上进行合理规划，优化动线设计，兼顾功能性与舒适性，避免空间浪费。</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环境艺术设计：在满足功能需求的前提下，注重环境艺术效果的呈现，通过材质、灯光、色彩的有机搭配，营造高品质的工作与交流环境。</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资源投入合理化：确保设计方案经济实用，避免过度装修和形式主义，做到每一分投入都服务于实际使用需求。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4.4其他设计要求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声学处理：演播厅、直播室、录音室等有声学指标要求的技术用房，应符合《广播电视录（播）音室、演播室声学设计规范》（GY/T 5086—2012）的相关规定。</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电气系统：演播区和设备间需设置专用回路，避免电压波动影响设备运行；预留充足插座和网络接口，满足设备扩展需求。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环保要求：装修材料应符合国家环保标准，优先选择具有环保认证的产品，确保室内空气质量达标。</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网络基础设施：采用六类或超六类网线进行综合布线，无线网络覆盖需考虑设备密集区域的信号强度，确保数据传输速度和稳定性。</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w:t>
      </w:r>
      <w:r>
        <w:rPr>
          <w:rFonts w:hint="eastAsia" w:ascii="宋体" w:hAnsi="Courier New" w:eastAsia="宋体" w:cs="Times New Roman"/>
          <w:b/>
          <w:bCs/>
          <w:kern w:val="2"/>
          <w:sz w:val="21"/>
          <w:szCs w:val="20"/>
          <w:lang w:val="en-US" w:eastAsia="zh-CN" w:bidi="ar-SA"/>
        </w:rPr>
        <w:t>（5）投标人应根据以上设计及功能要求，对整体空间进行总体设计，总体设计方案经采购人同意后方可实施。（提供承诺函，未提供视为无效响应）</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bookmarkStart w:id="545" w:name="OLE_LINK34"/>
      <w:r>
        <w:rPr>
          <w:rFonts w:hint="eastAsia" w:ascii="宋体" w:hAnsi="宋体" w:eastAsia="宋体" w:cs="宋体"/>
          <w:color w:val="auto"/>
          <w:kern w:val="2"/>
          <w:sz w:val="21"/>
          <w:szCs w:val="21"/>
          <w:highlight w:val="none"/>
          <w:lang w:val="en-US" w:eastAsia="zh-CN" w:bidi="ar-SA"/>
        </w:rPr>
        <w:t>（6）融媒体中心人员委培及品牌推广服务</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1.为融媒体中心日常工作提供图文、视频、新媒体产品等内容的策划服务；为融媒体中心内容产品提供主流媒体品牌推广服务，推广媒体为中央级媒体。</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2.为融媒体中心师生提供人员委培服务，委派至中央级或国家级媒体单位跟班学习。</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3.为融媒体中心人员提供实训服务，包括发布会执行、直播实操、媒体采编发实训等。</w:t>
      </w:r>
    </w:p>
    <w:bookmarkEnd w:id="545"/>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ascii="Times New Roman" w:hAnsi="Times New Roman" w:eastAsia="宋体" w:cs="Times New Roman"/>
          <w:b/>
          <w:bCs/>
          <w:color w:val="auto"/>
          <w:szCs w:val="24"/>
          <w:highlight w:val="none"/>
        </w:rPr>
      </w:pPr>
      <w:bookmarkStart w:id="546" w:name="_Toc18542"/>
      <w:r>
        <w:rPr>
          <w:rFonts w:hint="eastAsia" w:ascii="Times New Roman" w:hAnsi="Times New Roman" w:eastAsia="宋体" w:cs="Times New Roman"/>
          <w:b/>
          <w:bCs/>
          <w:color w:val="auto"/>
          <w:szCs w:val="24"/>
          <w:highlight w:val="none"/>
          <w:lang w:val="en-US" w:eastAsia="zh-CN"/>
        </w:rPr>
        <w:t>五</w:t>
      </w:r>
      <w:r>
        <w:rPr>
          <w:rFonts w:ascii="Times New Roman" w:hAnsi="Times New Roman" w:eastAsia="宋体" w:cs="Times New Roman"/>
          <w:b/>
          <w:bCs/>
          <w:color w:val="auto"/>
          <w:szCs w:val="24"/>
          <w:highlight w:val="none"/>
        </w:rPr>
        <w:t>、需满足的数量、质量、安全、技术规格、物理特性等要求</w:t>
      </w:r>
      <w:bookmarkEnd w:id="542"/>
      <w:bookmarkEnd w:id="546"/>
    </w:p>
    <w:tbl>
      <w:tblPr>
        <w:tblStyle w:val="88"/>
        <w:tblW w:w="8941" w:type="dxa"/>
        <w:tblInd w:w="0" w:type="dxa"/>
        <w:tblLayout w:type="fixed"/>
        <w:tblCellMar>
          <w:top w:w="0" w:type="dxa"/>
          <w:left w:w="108" w:type="dxa"/>
          <w:bottom w:w="0" w:type="dxa"/>
          <w:right w:w="108" w:type="dxa"/>
        </w:tblCellMar>
      </w:tblPr>
      <w:tblGrid>
        <w:gridCol w:w="916"/>
        <w:gridCol w:w="1354"/>
        <w:gridCol w:w="6671"/>
      </w:tblGrid>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序号</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hint="default" w:ascii="宋体" w:hAnsi="宋体" w:eastAsia="宋体" w:cs="宋体"/>
                <w:b/>
                <w:bCs/>
                <w:color w:val="000000"/>
                <w:szCs w:val="21"/>
                <w:lang w:val="en-US" w:eastAsia="zh-CN"/>
              </w:rPr>
            </w:pPr>
            <w:r>
              <w:rPr>
                <w:rFonts w:hint="eastAsia" w:ascii="宋体" w:hAnsi="宋体" w:eastAsia="宋体" w:cs="宋体"/>
                <w:b/>
                <w:bCs/>
                <w:color w:val="000000"/>
                <w:kern w:val="0"/>
                <w:szCs w:val="21"/>
                <w:lang w:val="en-US" w:eastAsia="zh-CN" w:bidi="ar"/>
              </w:rPr>
              <w:t>项目名称</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val="en-US" w:eastAsia="zh-CN" w:bidi="ar"/>
              </w:rPr>
              <w:t>实施中涉及的硬件指标参数要求</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一</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hint="default" w:ascii="宋体" w:hAnsi="宋体" w:eastAsia="宋体" w:cs="宋体"/>
                <w:b/>
                <w:bCs/>
                <w:color w:val="000000"/>
                <w:kern w:val="0"/>
                <w:szCs w:val="21"/>
                <w:lang w:val="en-US" w:eastAsia="zh-CN" w:bidi="ar"/>
              </w:rPr>
            </w:pPr>
            <w:bookmarkStart w:id="547" w:name="OLE_LINK2"/>
            <w:r>
              <w:rPr>
                <w:rFonts w:hint="eastAsia" w:ascii="宋体" w:hAnsi="宋体" w:eastAsia="宋体" w:cs="宋体"/>
                <w:b/>
                <w:bCs/>
                <w:color w:val="000000"/>
                <w:kern w:val="0"/>
                <w:szCs w:val="21"/>
                <w:lang w:bidi="ar"/>
              </w:rPr>
              <w:t>全景演播实训系统</w:t>
            </w:r>
            <w:bookmarkEnd w:id="547"/>
            <w:r>
              <w:rPr>
                <w:rFonts w:hint="eastAsia" w:ascii="宋体" w:hAnsi="宋体" w:eastAsia="宋体" w:cs="宋体"/>
                <w:b/>
                <w:bCs/>
                <w:color w:val="000000"/>
                <w:kern w:val="0"/>
                <w:szCs w:val="21"/>
                <w:lang w:val="en-US" w:eastAsia="zh-CN" w:bidi="ar"/>
              </w:rPr>
              <w:t>建设</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高清小间距LED显示屏</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b/>
                <w:bCs w:val="0"/>
                <w:szCs w:val="21"/>
                <w:highlight w:val="none"/>
                <w:lang w:eastAsia="zh-CN"/>
              </w:rPr>
            </w:pPr>
            <w:bookmarkStart w:id="548" w:name="OLE_LINK51"/>
            <w:r>
              <w:rPr>
                <w:rFonts w:hint="eastAsia" w:ascii="宋体" w:hAnsi="宋体" w:eastAsia="宋体" w:cs="Times New Roman"/>
                <w:b/>
                <w:bCs w:val="0"/>
                <w:kern w:val="0"/>
                <w:szCs w:val="21"/>
                <w:highlight w:val="none"/>
                <w:lang w:val="zh-CN"/>
              </w:rPr>
              <w:t>★</w:t>
            </w:r>
            <w:bookmarkEnd w:id="548"/>
            <w:r>
              <w:rPr>
                <w:rFonts w:hint="eastAsia" w:ascii="宋体" w:hAnsi="宋体" w:eastAsia="宋体" w:cs="Times New Roman"/>
                <w:b/>
                <w:bCs w:val="0"/>
                <w:kern w:val="0"/>
                <w:szCs w:val="21"/>
                <w:highlight w:val="none"/>
              </w:rPr>
              <w:t>1.</w:t>
            </w:r>
            <w:r>
              <w:rPr>
                <w:rFonts w:ascii="宋体" w:hAnsi="宋体" w:eastAsia="宋体" w:cs="Times New Roman"/>
                <w:b/>
                <w:bCs w:val="0"/>
                <w:szCs w:val="21"/>
                <w:highlight w:val="none"/>
              </w:rPr>
              <w:t>室内全彩LED</w:t>
            </w:r>
            <w:r>
              <w:rPr>
                <w:rFonts w:hint="eastAsia" w:ascii="宋体" w:hAnsi="宋体" w:eastAsia="宋体" w:cs="宋体"/>
                <w:b/>
                <w:bCs/>
                <w:color w:val="000000"/>
                <w:kern w:val="0"/>
                <w:szCs w:val="21"/>
                <w:highlight w:val="none"/>
                <w:lang w:bidi="ar"/>
              </w:rPr>
              <w:t>柔性</w:t>
            </w:r>
            <w:r>
              <w:rPr>
                <w:rFonts w:ascii="宋体" w:hAnsi="宋体" w:eastAsia="宋体" w:cs="Times New Roman"/>
                <w:b/>
                <w:bCs w:val="0"/>
                <w:szCs w:val="21"/>
                <w:highlight w:val="none"/>
              </w:rPr>
              <w:t>软模组（小间距SMD），用于室内异形/弧面/柱面等造型拼装；</w:t>
            </w:r>
            <w:bookmarkStart w:id="549" w:name="OLE_LINK50"/>
            <w:r>
              <w:rPr>
                <w:rFonts w:hint="eastAsia" w:ascii="宋体" w:hAnsi="宋体" w:eastAsia="宋体" w:cs="Times New Roman"/>
                <w:b/>
                <w:bCs w:val="0"/>
                <w:szCs w:val="21"/>
                <w:highlight w:val="none"/>
                <w:lang w:eastAsia="zh-CN"/>
              </w:rPr>
              <w:t>（</w:t>
            </w:r>
            <w:r>
              <w:rPr>
                <w:rFonts w:hint="eastAsia" w:ascii="宋体" w:hAnsi="宋体" w:eastAsia="宋体" w:cs="Times New Roman"/>
                <w:b/>
                <w:bCs w:val="0"/>
                <w:szCs w:val="21"/>
                <w:highlight w:val="none"/>
                <w:lang w:val="en-US" w:eastAsia="zh-CN"/>
              </w:rPr>
              <w:t>提供承诺函并加盖公章</w:t>
            </w:r>
            <w:r>
              <w:rPr>
                <w:rFonts w:hint="eastAsia" w:ascii="宋体" w:hAnsi="宋体" w:eastAsia="宋体" w:cs="Times New Roman"/>
                <w:b/>
                <w:bCs w:val="0"/>
                <w:szCs w:val="21"/>
                <w:highlight w:val="none"/>
                <w:lang w:eastAsia="zh-CN"/>
              </w:rPr>
              <w:t>）</w:t>
            </w:r>
            <w:bookmarkEnd w:id="549"/>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b w:val="0"/>
                <w:bCs/>
                <w:szCs w:val="21"/>
                <w:highlight w:val="none"/>
                <w:lang w:eastAsia="zh-CN"/>
              </w:rPr>
            </w:pPr>
            <w:r>
              <w:rPr>
                <w:rFonts w:hint="eastAsia" w:ascii="宋体" w:hAnsi="宋体" w:eastAsia="宋体" w:cs="Times New Roman"/>
                <w:b w:val="0"/>
                <w:bCs/>
                <w:szCs w:val="21"/>
                <w:highlight w:val="none"/>
                <w:lang w:val="en-US" w:eastAsia="zh-CN"/>
              </w:rPr>
              <w:t>2.</w:t>
            </w:r>
            <w:r>
              <w:rPr>
                <w:rFonts w:hint="eastAsia" w:ascii="宋体" w:hAnsi="宋体" w:eastAsia="宋体" w:cs="Times New Roman"/>
                <w:b w:val="0"/>
                <w:bCs/>
                <w:szCs w:val="21"/>
                <w:highlight w:val="none"/>
              </w:rPr>
              <w:t>用于演播厅坐播台背景显示，根据坐播台设计情况要能实现正常拍摄坐播流程时所需功能</w:t>
            </w:r>
            <w:r>
              <w:rPr>
                <w:rFonts w:hint="eastAsia" w:ascii="宋体" w:hAnsi="宋体" w:eastAsia="宋体" w:cs="Times New Roman"/>
                <w:b w:val="0"/>
                <w:bCs/>
                <w:szCs w:val="21"/>
                <w:highlight w:val="none"/>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b/>
                <w:bCs w:val="0"/>
                <w:kern w:val="0"/>
                <w:szCs w:val="21"/>
                <w:highlight w:val="none"/>
                <w:lang w:val="zh-CN"/>
              </w:rPr>
            </w:pPr>
            <w:bookmarkStart w:id="550" w:name="OLE_LINK53"/>
            <w:r>
              <w:rPr>
                <w:rFonts w:hint="eastAsia" w:ascii="宋体" w:hAnsi="宋体" w:eastAsia="宋体" w:cs="Times New Roman"/>
                <w:b/>
                <w:bCs w:val="0"/>
                <w:kern w:val="0"/>
                <w:szCs w:val="21"/>
                <w:highlight w:val="none"/>
                <w:lang w:val="zh-CN"/>
              </w:rPr>
              <w:t>★</w:t>
            </w:r>
            <w:bookmarkEnd w:id="550"/>
            <w:r>
              <w:rPr>
                <w:rFonts w:hint="eastAsia" w:ascii="宋体" w:hAnsi="宋体" w:eastAsia="宋体" w:cs="Times New Roman"/>
                <w:b/>
                <w:bCs w:val="0"/>
                <w:kern w:val="0"/>
                <w:szCs w:val="21"/>
                <w:highlight w:val="none"/>
                <w:lang w:val="en-US" w:eastAsia="zh-CN"/>
              </w:rPr>
              <w:t>3.</w:t>
            </w:r>
            <w:r>
              <w:rPr>
                <w:rFonts w:hint="eastAsia" w:ascii="宋体" w:hAnsi="宋体" w:eastAsia="宋体" w:cs="Times New Roman"/>
                <w:b/>
                <w:bCs w:val="0"/>
                <w:kern w:val="0"/>
                <w:szCs w:val="21"/>
                <w:highlight w:val="none"/>
                <w:lang w:val="zh-CN"/>
              </w:rPr>
              <w:t>显示面积不少于20.6平方米</w:t>
            </w:r>
            <w:bookmarkStart w:id="551" w:name="OLE_LINK52"/>
            <w:r>
              <w:rPr>
                <w:rFonts w:hint="eastAsia" w:ascii="宋体" w:hAnsi="宋体" w:eastAsia="宋体" w:cs="Times New Roman"/>
                <w:b/>
                <w:bCs w:val="0"/>
                <w:kern w:val="0"/>
                <w:szCs w:val="21"/>
                <w:highlight w:val="none"/>
                <w:lang w:val="zh-CN"/>
              </w:rPr>
              <w:t>；</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提供承诺函并加盖公章</w:t>
            </w:r>
            <w:r>
              <w:rPr>
                <w:rFonts w:hint="eastAsia" w:ascii="宋体" w:hAnsi="宋体" w:eastAsia="宋体" w:cs="Times New Roman"/>
                <w:b/>
                <w:bCs w:val="0"/>
                <w:kern w:val="0"/>
                <w:szCs w:val="21"/>
                <w:highlight w:val="none"/>
                <w:lang w:val="zh-CN" w:eastAsia="zh-CN"/>
              </w:rPr>
              <w:t>）</w:t>
            </w:r>
            <w:bookmarkEnd w:id="551"/>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b/>
                <w:bCs w:val="0"/>
                <w:kern w:val="0"/>
                <w:szCs w:val="21"/>
                <w:highlight w:val="none"/>
                <w:lang w:val="zh-CN"/>
              </w:rPr>
            </w:pPr>
            <w:r>
              <w:rPr>
                <w:rFonts w:hint="eastAsia" w:ascii="宋体" w:hAnsi="宋体" w:eastAsia="宋体" w:cs="Times New Roman"/>
                <w:b/>
                <w:bCs w:val="0"/>
                <w:kern w:val="0"/>
                <w:szCs w:val="21"/>
                <w:highlight w:val="none"/>
                <w:lang w:val="zh-CN"/>
              </w:rPr>
              <w:t>★</w:t>
            </w:r>
            <w:r>
              <w:rPr>
                <w:rFonts w:hint="eastAsia" w:ascii="宋体" w:hAnsi="宋体" w:eastAsia="宋体" w:cs="Times New Roman"/>
                <w:b/>
                <w:bCs w:val="0"/>
                <w:kern w:val="0"/>
                <w:szCs w:val="21"/>
                <w:highlight w:val="none"/>
                <w:lang w:val="en-US" w:eastAsia="zh-CN"/>
              </w:rPr>
              <w:t>4.</w:t>
            </w:r>
            <w:r>
              <w:rPr>
                <w:rFonts w:hint="eastAsia" w:ascii="宋体" w:hAnsi="宋体" w:eastAsia="宋体" w:cs="Times New Roman"/>
                <w:b/>
                <w:bCs w:val="0"/>
                <w:kern w:val="0"/>
                <w:szCs w:val="21"/>
                <w:highlight w:val="none"/>
                <w:lang w:val="zh-CN"/>
              </w:rPr>
              <w:t>室内全彩柔性LED显示屏模组，须满足异形/弧面造型拼装需求；</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提供承诺函并加盖公章</w:t>
            </w:r>
            <w:r>
              <w:rPr>
                <w:rFonts w:hint="eastAsia" w:ascii="宋体" w:hAnsi="宋体" w:eastAsia="宋体" w:cs="Times New Roman"/>
                <w:b/>
                <w:bCs w:val="0"/>
                <w:kern w:val="0"/>
                <w:szCs w:val="21"/>
                <w:highlight w:val="none"/>
                <w:lang w:val="zh-CN"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b/>
                <w:bCs w:val="0"/>
                <w:kern w:val="0"/>
                <w:szCs w:val="21"/>
                <w:highlight w:val="none"/>
                <w:lang w:val="zh-CN" w:eastAsia="zh-CN"/>
              </w:rPr>
            </w:pPr>
            <w:bookmarkStart w:id="552" w:name="OLE_LINK23"/>
            <w:r>
              <w:rPr>
                <w:rFonts w:hint="eastAsia" w:ascii="宋体" w:hAnsi="宋体" w:eastAsia="宋体" w:cs="Times New Roman"/>
                <w:b/>
                <w:bCs w:val="0"/>
                <w:kern w:val="0"/>
                <w:szCs w:val="21"/>
                <w:highlight w:val="none"/>
                <w:lang w:val="zh-CN"/>
              </w:rPr>
              <w:t>★</w:t>
            </w:r>
            <w:bookmarkEnd w:id="552"/>
            <w:r>
              <w:rPr>
                <w:rFonts w:hint="eastAsia" w:ascii="宋体" w:hAnsi="宋体" w:eastAsia="宋体" w:cs="Times New Roman"/>
                <w:b/>
                <w:bCs w:val="0"/>
                <w:kern w:val="0"/>
                <w:szCs w:val="21"/>
                <w:highlight w:val="none"/>
                <w:lang w:val="en-US" w:eastAsia="zh-CN"/>
              </w:rPr>
              <w:t>5.</w:t>
            </w:r>
            <w:r>
              <w:rPr>
                <w:rFonts w:hint="eastAsia" w:ascii="宋体" w:hAnsi="宋体" w:eastAsia="宋体" w:cs="Times New Roman"/>
                <w:b/>
                <w:bCs w:val="0"/>
                <w:kern w:val="0"/>
                <w:szCs w:val="21"/>
                <w:highlight w:val="none"/>
                <w:lang w:val="zh-CN"/>
              </w:rPr>
              <w:t>像素间距≤1.25mm</w:t>
            </w:r>
            <w:bookmarkStart w:id="553" w:name="OLE_LINK20"/>
            <w:bookmarkStart w:id="554" w:name="OLE_LINK11"/>
            <w:r>
              <w:rPr>
                <w:rFonts w:hint="eastAsia" w:ascii="宋体" w:hAnsi="宋体" w:eastAsia="宋体" w:cs="Times New Roman"/>
                <w:b/>
                <w:bCs w:val="0"/>
                <w:kern w:val="0"/>
                <w:szCs w:val="21"/>
                <w:highlight w:val="none"/>
                <w:lang w:val="zh-CN"/>
              </w:rPr>
              <w:t>；</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投标人应提供制造商提供的含技术指标的产品宣传彩页或者制造商官网的相应技术指标的网页（带网址信息，可复查）截图或技术白皮书或第三方检测报告作为证明资料，并加盖投标人公章。）</w:t>
            </w:r>
            <w:bookmarkEnd w:id="553"/>
            <w:bookmarkEnd w:id="554"/>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rPr>
            </w:pPr>
            <w:r>
              <w:rPr>
                <w:rFonts w:hint="eastAsia" w:ascii="宋体" w:hAnsi="宋体" w:eastAsia="宋体" w:cs="Times New Roman"/>
                <w:szCs w:val="21"/>
                <w:lang w:val="en-US" w:eastAsia="zh-CN"/>
              </w:rPr>
              <w:t>6</w:t>
            </w:r>
            <w:r>
              <w:rPr>
                <w:rFonts w:hint="eastAsia" w:ascii="宋体" w:hAnsi="宋体" w:eastAsia="宋体" w:cs="Times New Roman"/>
                <w:szCs w:val="21"/>
              </w:rPr>
              <w:t>.</w:t>
            </w:r>
            <w:r>
              <w:rPr>
                <w:rFonts w:ascii="宋体" w:hAnsi="宋体" w:eastAsia="宋体" w:cs="Times New Roman"/>
                <w:szCs w:val="21"/>
              </w:rPr>
              <w:t>像素结构1R1G1B，像素密度≥640,000 dot/㎡，灯珠封装为SMD三合一表贴工艺；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rPr>
            </w:pPr>
            <w:r>
              <w:rPr>
                <w:rFonts w:hint="eastAsia" w:ascii="宋体" w:hAnsi="宋体" w:eastAsia="宋体" w:cs="Times New Roman"/>
                <w:szCs w:val="21"/>
                <w:lang w:val="en-US" w:eastAsia="zh-CN"/>
              </w:rPr>
              <w:t>7</w:t>
            </w:r>
            <w:r>
              <w:rPr>
                <w:rFonts w:hint="eastAsia" w:ascii="宋体" w:hAnsi="宋体" w:eastAsia="宋体" w:cs="Times New Roman"/>
                <w:szCs w:val="21"/>
              </w:rPr>
              <w:t>.</w:t>
            </w:r>
            <w:r>
              <w:rPr>
                <w:rFonts w:ascii="宋体" w:hAnsi="宋体" w:eastAsia="宋体" w:cs="Times New Roman"/>
                <w:szCs w:val="21"/>
              </w:rPr>
              <w:t>模组须采用柔性PCB与软面罩套件结构，支持外弧及内弧弯曲安装（弯曲角度≥157°），并支持磁吸前维护拆装方式；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8</w:t>
            </w:r>
            <w:r>
              <w:rPr>
                <w:rFonts w:hint="eastAsia" w:ascii="宋体" w:hAnsi="宋体" w:eastAsia="宋体" w:cs="Times New Roman"/>
                <w:szCs w:val="21"/>
              </w:rPr>
              <w:t>.</w:t>
            </w:r>
            <w:r>
              <w:rPr>
                <w:rFonts w:ascii="宋体" w:hAnsi="宋体" w:eastAsia="宋体" w:cs="Times New Roman"/>
                <w:szCs w:val="21"/>
              </w:rPr>
              <w:t>防护等级≥IP30</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rPr>
            </w:pPr>
            <w:r>
              <w:rPr>
                <w:rFonts w:hint="eastAsia" w:ascii="宋体" w:hAnsi="宋体" w:eastAsia="宋体" w:cs="Times New Roman"/>
                <w:szCs w:val="21"/>
                <w:lang w:val="en-US" w:eastAsia="zh-CN"/>
              </w:rPr>
              <w:t>9</w:t>
            </w:r>
            <w:r>
              <w:rPr>
                <w:rFonts w:hint="eastAsia" w:ascii="宋体" w:hAnsi="宋体" w:eastAsia="宋体" w:cs="Times New Roman"/>
                <w:szCs w:val="21"/>
              </w:rPr>
              <w:t>.</w:t>
            </w:r>
            <w:r>
              <w:rPr>
                <w:rFonts w:ascii="宋体" w:hAnsi="宋体" w:eastAsia="宋体" w:cs="Times New Roman"/>
                <w:szCs w:val="21"/>
              </w:rPr>
              <w:t>模组平整度≤0.3mm；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rPr>
            </w:pPr>
            <w:r>
              <w:rPr>
                <w:rFonts w:hint="eastAsia" w:ascii="宋体" w:hAnsi="宋体" w:eastAsia="宋体" w:cs="Times New Roman"/>
                <w:szCs w:val="21"/>
                <w:lang w:val="en-US" w:eastAsia="zh-CN"/>
              </w:rPr>
              <w:t>10</w:t>
            </w:r>
            <w:r>
              <w:rPr>
                <w:rFonts w:hint="eastAsia" w:ascii="宋体" w:hAnsi="宋体" w:eastAsia="宋体" w:cs="Times New Roman"/>
                <w:szCs w:val="21"/>
              </w:rPr>
              <w:t>.</w:t>
            </w:r>
            <w:r>
              <w:rPr>
                <w:rFonts w:ascii="宋体" w:hAnsi="宋体" w:eastAsia="宋体" w:cs="Times New Roman"/>
                <w:szCs w:val="21"/>
              </w:rPr>
              <w:t>光学性能要求：白平衡亮度≥600 cd/㎡，色温3000–10000K可调，水平/垂直视角均≥160°，亮度均匀性≥97%，色度均匀性±0.003 CxCy以内，对比度≥3000:1；</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rPr>
            </w:pPr>
            <w:r>
              <w:rPr>
                <w:rFonts w:hint="eastAsia" w:ascii="宋体" w:hAnsi="宋体" w:eastAsia="宋体" w:cs="Times New Roman"/>
                <w:szCs w:val="21"/>
                <w:lang w:val="en-US" w:eastAsia="zh-CN"/>
              </w:rPr>
              <w:t>11</w:t>
            </w:r>
            <w:r>
              <w:rPr>
                <w:rFonts w:hint="eastAsia" w:ascii="宋体" w:hAnsi="宋体" w:eastAsia="宋体" w:cs="Times New Roman"/>
                <w:szCs w:val="21"/>
              </w:rPr>
              <w:t>.</w:t>
            </w:r>
            <w:r>
              <w:rPr>
                <w:rFonts w:ascii="宋体" w:hAnsi="宋体" w:eastAsia="宋体" w:cs="Times New Roman"/>
                <w:szCs w:val="21"/>
              </w:rPr>
              <w:t>驱动与画质：恒流驱动，刷新率≥3840Hz，灰度级≥16bit；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rPr>
            </w:pPr>
            <w:r>
              <w:rPr>
                <w:rFonts w:hint="eastAsia" w:ascii="宋体" w:hAnsi="宋体" w:eastAsia="宋体" w:cs="Times New Roman"/>
                <w:szCs w:val="21"/>
                <w:lang w:val="en-US" w:eastAsia="zh-CN"/>
              </w:rPr>
              <w:t>12</w:t>
            </w:r>
            <w:r>
              <w:rPr>
                <w:rFonts w:hint="eastAsia" w:ascii="宋体" w:hAnsi="宋体" w:eastAsia="宋体" w:cs="Times New Roman"/>
                <w:szCs w:val="21"/>
              </w:rPr>
              <w:t>.</w:t>
            </w:r>
            <w:r>
              <w:rPr>
                <w:rFonts w:ascii="宋体" w:hAnsi="宋体" w:eastAsia="宋体" w:cs="Times New Roman"/>
                <w:szCs w:val="21"/>
              </w:rPr>
              <w:t>整屏峰值功耗≤450W/㎡、平均功耗≤150W/㎡；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Times New Roman"/>
                <w:szCs w:val="21"/>
              </w:rPr>
            </w:pPr>
            <w:r>
              <w:rPr>
                <w:rFonts w:hint="eastAsia" w:ascii="宋体" w:hAnsi="宋体" w:eastAsia="宋体" w:cs="Times New Roman"/>
                <w:szCs w:val="21"/>
                <w:lang w:val="en-US" w:eastAsia="zh-CN"/>
              </w:rPr>
              <w:t>13</w:t>
            </w:r>
            <w:r>
              <w:rPr>
                <w:rFonts w:hint="eastAsia" w:ascii="宋体" w:hAnsi="宋体" w:eastAsia="宋体" w:cs="Times New Roman"/>
                <w:szCs w:val="21"/>
              </w:rPr>
              <w:t>.</w:t>
            </w:r>
            <w:r>
              <w:rPr>
                <w:rFonts w:ascii="宋体" w:hAnsi="宋体" w:eastAsia="宋体" w:cs="Times New Roman"/>
                <w:szCs w:val="21"/>
              </w:rPr>
              <w:t>整屏供货须为同系列软模组＋配套接收卡＋电源＋磁吸框架成套供货，拼装后无可见黑线、亮度及色度一致性达标，验收以全屏白场/灰阶/刷新实测及带载稳定性为准。</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显示屏控制系统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hint="eastAsia" w:ascii="宋体" w:hAnsi="宋体" w:eastAsia="宋体" w:cs="Times New Roman"/>
                <w:szCs w:val="21"/>
              </w:rPr>
              <w:t>支持多路HDMI高清信号输入</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rPr>
            </w:pPr>
            <w:r>
              <w:rPr>
                <w:rFonts w:hint="eastAsia" w:ascii="宋体" w:hAnsi="宋体" w:eastAsia="宋体" w:cs="Times New Roman"/>
                <w:szCs w:val="21"/>
                <w:lang w:val="en-US" w:eastAsia="zh-CN"/>
              </w:rPr>
              <w:t>2.</w:t>
            </w:r>
            <w:r>
              <w:rPr>
                <w:rFonts w:hint="eastAsia" w:ascii="宋体" w:hAnsi="宋体" w:eastAsia="宋体" w:cs="Times New Roman"/>
                <w:szCs w:val="21"/>
              </w:rPr>
              <w:t>支持亮度自定义调节；</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3.</w:t>
            </w:r>
            <w:r>
              <w:rPr>
                <w:rFonts w:hint="eastAsia" w:ascii="宋体" w:hAnsi="宋体" w:eastAsia="宋体" w:cs="Times New Roman"/>
                <w:szCs w:val="21"/>
              </w:rPr>
              <w:t>支持图像瞬间切换与画中画显示功能</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4.</w:t>
            </w:r>
            <w:r>
              <w:rPr>
                <w:rFonts w:hint="eastAsia" w:ascii="宋体" w:hAnsi="宋体" w:eastAsia="宋体" w:cs="Times New Roman"/>
                <w:szCs w:val="21"/>
              </w:rPr>
              <w:t>支持点对点像素映射显示</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5.</w:t>
            </w:r>
            <w:r>
              <w:rPr>
                <w:rFonts w:hint="eastAsia" w:ascii="宋体" w:hAnsi="宋体" w:eastAsia="宋体" w:cs="Times New Roman"/>
                <w:szCs w:val="21"/>
              </w:rPr>
              <w:t>数量</w:t>
            </w:r>
            <w:r>
              <w:rPr>
                <w:rFonts w:hint="eastAsia" w:ascii="宋体" w:hAnsi="宋体" w:eastAsia="宋体" w:cs="宋体"/>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显示屏钢结构</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rPr>
            </w:pPr>
            <w:r>
              <w:rPr>
                <w:rFonts w:hint="eastAsia" w:ascii="宋体" w:hAnsi="宋体" w:eastAsia="宋体" w:cs="Times New Roman"/>
                <w:szCs w:val="21"/>
                <w:lang w:val="en-US" w:eastAsia="zh-CN"/>
              </w:rPr>
              <w:t>1.</w:t>
            </w:r>
            <w:r>
              <w:rPr>
                <w:rFonts w:hint="eastAsia" w:ascii="宋体" w:hAnsi="宋体" w:eastAsia="宋体" w:cs="Times New Roman"/>
                <w:szCs w:val="21"/>
              </w:rPr>
              <w:t>按照显示屏尺寸及要求定制，尺寸应不小于30平米；</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室内LED显示屏专用钢结构框架系统</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主体承重结构经精密激光切割</w:t>
            </w:r>
            <w:r>
              <w:rPr>
                <w:rFonts w:hint="eastAsia" w:ascii="宋体" w:hAnsi="宋体" w:eastAsia="宋体" w:cs="Times New Roman"/>
                <w:szCs w:val="21"/>
              </w:rPr>
              <w:t>成形，</w:t>
            </w:r>
            <w:r>
              <w:rPr>
                <w:rFonts w:ascii="宋体" w:hAnsi="宋体" w:eastAsia="宋体" w:cs="Times New Roman"/>
                <w:szCs w:val="21"/>
              </w:rPr>
              <w:t>整体框架设计需满足≥1.5倍屏体自重的安全冗余系数；</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表面处理采用</w:t>
            </w:r>
            <w:r>
              <w:rPr>
                <w:rFonts w:hint="eastAsia" w:ascii="宋体" w:hAnsi="宋体" w:eastAsia="宋体" w:cs="Times New Roman"/>
                <w:szCs w:val="21"/>
              </w:rPr>
              <w:t>防锈工艺，</w:t>
            </w:r>
            <w:r>
              <w:rPr>
                <w:rFonts w:ascii="宋体" w:hAnsi="宋体" w:eastAsia="宋体" w:cs="Times New Roman"/>
                <w:szCs w:val="21"/>
              </w:rPr>
              <w:t>色泽均匀、耐腐蚀、防静电；</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结构需预留标准化安装孔位及调节机构，支持前维护方式，保证屏体拼装后平整度≤0.3mm/m²、缝隙≤0.5mm；框架需确保内部设备通风散热良好、走线整齐规范</w:t>
            </w:r>
            <w:r>
              <w:rPr>
                <w:rFonts w:hint="eastAsia" w:ascii="宋体" w:hAnsi="宋体" w:eastAsia="宋体" w:cs="Times New Roman"/>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智能配电箱</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1.</w:t>
            </w:r>
            <w:r>
              <w:rPr>
                <w:rFonts w:hint="eastAsia" w:ascii="宋体" w:hAnsi="宋体" w:eastAsia="宋体" w:cs="Times New Roman"/>
                <w:szCs w:val="21"/>
              </w:rPr>
              <w:t>按照显示屏尺寸及要求定制，</w:t>
            </w:r>
            <w:r>
              <w:rPr>
                <w:rFonts w:ascii="宋体" w:hAnsi="宋体" w:eastAsia="宋体" w:cs="Times New Roman"/>
                <w:szCs w:val="21"/>
              </w:rPr>
              <w:t>输入电源AC 380V/三相五线制，输出为LED显示单元供电回路，辅助设备独立支路；</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配电柜内集成智能监控单元（MCU），支持通过中控系统或上位机软件实现远程分步上电/断电控制（时序上电）</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具备单路/分组上电延时设定功能，防止瞬间冲击电流过大；</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系统需具备智能电能监测功能，可实时采集并显示总电量、电压、电流、功率因数、有功功率、频率及各支路开关状态，并支持故障报警（过压、欠压、过流、漏电、温度异常等）；</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柜内配置复合防雷模块（SPD），并具备防雷失效指示与遥信报警触点；保护机制须完整覆盖过压、欠压、过流、短路、断路及漏电保护，所有输出回路均配置高分断微型断路器（MCB），确保单点故障不影响整屏运行；</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6.</w:t>
            </w:r>
            <w:r>
              <w:rPr>
                <w:rFonts w:ascii="宋体" w:hAnsi="宋体" w:eastAsia="宋体" w:cs="Times New Roman"/>
                <w:szCs w:val="21"/>
              </w:rPr>
              <w:t>柜体采用标准GGD/非标定制型材，防护等级≥IP20，具备良好的散热与电磁屏蔽性能，门带安全锁具</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7.</w:t>
            </w:r>
            <w:r>
              <w:rPr>
                <w:rFonts w:hint="eastAsia" w:ascii="宋体" w:hAnsi="宋体" w:eastAsia="宋体" w:cs="Times New Roman"/>
                <w:szCs w:val="21"/>
              </w:rPr>
              <w:t>数量</w:t>
            </w:r>
            <w:r>
              <w:rPr>
                <w:rFonts w:hint="eastAsia" w:ascii="宋体" w:hAnsi="宋体" w:eastAsia="宋体" w:cs="宋体"/>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图文播出组件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hint="eastAsia" w:ascii="宋体" w:hAnsi="宋体" w:eastAsia="宋体" w:cs="Times New Roman"/>
                <w:szCs w:val="21"/>
              </w:rPr>
              <w:t>可处理丰富的多层次环境，视频画面中，同时显示文本字幕、图片、动画、左飞字幕、上滚字幕、挂角气象、三维气象、实时股票数据滚动播出、综合信息播出、台标/角标等若干项目</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hint="eastAsia" w:ascii="宋体" w:hAnsi="宋体" w:eastAsia="宋体" w:cs="Times New Roman"/>
                <w:szCs w:val="21"/>
              </w:rPr>
              <w:t>屏幕要素可以在无限量地层叠层中显示，可以对屏幕输出实现最大限度地灵活处理和创建控制，屏幕要素还可与实时动态效果相结合</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3.</w:t>
            </w:r>
            <w:r>
              <w:rPr>
                <w:rFonts w:hint="eastAsia" w:ascii="宋体" w:hAnsi="宋体" w:eastAsia="宋体" w:cs="Times New Roman"/>
                <w:szCs w:val="21"/>
              </w:rPr>
              <w:t>支持嵌入式数字视频输出：2路数字视频出，正键和反键主输出同步于外参考信号，抖动小于 0.2 UI（135pS）输出支持嵌入式音频，外部参考信号，模拟黑电平信号嵌入式音频的输入和输出</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4.</w:t>
            </w:r>
            <w:r>
              <w:rPr>
                <w:rFonts w:hint="eastAsia" w:ascii="宋体" w:hAnsi="宋体" w:eastAsia="宋体" w:cs="Times New Roman"/>
                <w:szCs w:val="21"/>
              </w:rPr>
              <w:t>数量</w:t>
            </w:r>
            <w:r>
              <w:rPr>
                <w:rFonts w:hint="eastAsia" w:ascii="宋体" w:hAnsi="宋体" w:eastAsia="宋体" w:cs="宋体"/>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hint="eastAsia" w:ascii="宋体" w:hAnsi="宋体" w:eastAsia="宋体" w:cs="Times New Roman"/>
                <w:szCs w:val="21"/>
              </w:rPr>
              <w:t>广播级高清摄像机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广播级便携式摄像机，须采用三片式CMOS影像传感器架构（单片尺寸≥1/2英寸背照式）</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2.</w:t>
            </w:r>
            <w:r>
              <w:rPr>
                <w:rFonts w:ascii="Times New Roman" w:hAnsi="Times New Roman" w:eastAsia="宋体" w:cs="Times New Roman"/>
                <w:szCs w:val="24"/>
              </w:rPr>
              <w:t>总有效像素≥1220万；</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3.</w:t>
            </w:r>
            <w:r>
              <w:rPr>
                <w:rFonts w:ascii="Times New Roman" w:hAnsi="Times New Roman" w:eastAsia="宋体" w:cs="Times New Roman"/>
                <w:szCs w:val="24"/>
              </w:rPr>
              <w:t>灵敏度不低于F13（1080/50p典型值）</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4.</w:t>
            </w:r>
            <w:r>
              <w:rPr>
                <w:rFonts w:ascii="Times New Roman" w:hAnsi="Times New Roman" w:eastAsia="宋体" w:cs="Times New Roman"/>
                <w:szCs w:val="24"/>
              </w:rPr>
              <w:t>水平分辨率在4K模式下≥2000电视线、高清模式下≥1000电视线；</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5.</w:t>
            </w:r>
            <w:r>
              <w:rPr>
                <w:rFonts w:ascii="Times New Roman" w:hAnsi="Times New Roman" w:eastAsia="宋体" w:cs="Times New Roman"/>
                <w:szCs w:val="24"/>
              </w:rPr>
              <w:t>须内置线性可变电子无级ND滤镜（衰减范围覆盖1/4至1/128）</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6.</w:t>
            </w:r>
            <w:r>
              <w:rPr>
                <w:rFonts w:ascii="Times New Roman" w:hAnsi="Times New Roman" w:eastAsia="宋体" w:cs="Times New Roman"/>
                <w:szCs w:val="24"/>
              </w:rPr>
              <w:t>光学变焦倍率≥17倍，镜头广角端起始焦距≤5.6mm，光圈范围F1.9–F16；</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7.</w:t>
            </w:r>
            <w:r>
              <w:rPr>
                <w:rFonts w:ascii="Times New Roman" w:hAnsi="Times New Roman" w:eastAsia="宋体" w:cs="Times New Roman"/>
                <w:szCs w:val="24"/>
              </w:rPr>
              <w:t>须支持4K 60p最高帧率录制，且同时支持4K与高清同步录制功能；</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8.</w:t>
            </w:r>
            <w:r>
              <w:rPr>
                <w:rFonts w:ascii="Times New Roman" w:hAnsi="Times New Roman" w:eastAsia="宋体" w:cs="Times New Roman"/>
                <w:szCs w:val="24"/>
              </w:rPr>
              <w:t>增益控制范围-3dB至+18dB（1dB步进）</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9.</w:t>
            </w:r>
            <w:r>
              <w:rPr>
                <w:rFonts w:ascii="Times New Roman" w:hAnsi="Times New Roman" w:eastAsia="宋体" w:cs="Times New Roman"/>
                <w:szCs w:val="24"/>
              </w:rPr>
              <w:t>色温范围2000K–15000K；</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10.</w:t>
            </w:r>
            <w:r>
              <w:rPr>
                <w:rFonts w:ascii="Times New Roman" w:hAnsi="Times New Roman" w:eastAsia="宋体" w:cs="Times New Roman"/>
                <w:szCs w:val="24"/>
              </w:rPr>
              <w:t>须支持光学防抖（OIS）；视频输出须同时具备12G-SDI接口及HDMI接口，且支持HLG BT.2020及S-Log3曲线；</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11.</w:t>
            </w:r>
            <w:r>
              <w:rPr>
                <w:rFonts w:ascii="Times New Roman" w:hAnsi="Times New Roman" w:eastAsia="宋体" w:cs="Times New Roman"/>
                <w:szCs w:val="24"/>
              </w:rPr>
              <w:t>须支持4K 10bit 4:2:2录制格式；</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12.</w:t>
            </w:r>
            <w:r>
              <w:rPr>
                <w:rFonts w:ascii="Times New Roman" w:hAnsi="Times New Roman" w:eastAsia="宋体" w:cs="Times New Roman"/>
                <w:szCs w:val="24"/>
              </w:rPr>
              <w:t>具备人脸识别自动对焦及人体追踪自动构图功能；</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13.</w:t>
            </w:r>
            <w:r>
              <w:rPr>
                <w:rFonts w:ascii="Times New Roman" w:hAnsi="Times New Roman" w:eastAsia="宋体" w:cs="Times New Roman"/>
                <w:szCs w:val="24"/>
              </w:rPr>
              <w:t>须具备预记录功能（触发前缓存时长≥28秒）；</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14.</w:t>
            </w:r>
            <w:r>
              <w:rPr>
                <w:rFonts w:ascii="Times New Roman" w:hAnsi="Times New Roman" w:eastAsia="宋体" w:cs="Times New Roman"/>
                <w:szCs w:val="24"/>
              </w:rPr>
              <w:t>须支持QoS高质量流媒体传输及双LTE链路聚合连接</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Times New Roman" w:hAnsi="Times New Roman" w:eastAsia="宋体" w:cs="Times New Roman"/>
                <w:szCs w:val="24"/>
                <w:lang w:val="en-US" w:eastAsia="zh-CN"/>
              </w:rPr>
              <w:t>15.</w:t>
            </w:r>
            <w:r>
              <w:rPr>
                <w:rFonts w:hint="eastAsia" w:ascii="Times New Roman" w:hAnsi="Times New Roman" w:eastAsia="宋体" w:cs="Times New Roman"/>
                <w:szCs w:val="24"/>
              </w:rPr>
              <w:t>数量</w:t>
            </w:r>
            <w:r>
              <w:rPr>
                <w:rFonts w:hint="eastAsia" w:ascii="宋体" w:hAnsi="宋体" w:eastAsia="宋体" w:cs="宋体"/>
                <w:szCs w:val="21"/>
                <w:lang w:val="en-US" w:eastAsia="zh-CN"/>
              </w:rPr>
              <w:t>不少于</w:t>
            </w:r>
            <w:r>
              <w:rPr>
                <w:rFonts w:hint="eastAsia" w:ascii="Times New Roman" w:hAnsi="Times New Roman" w:eastAsia="宋体" w:cs="Times New Roman"/>
                <w:szCs w:val="24"/>
              </w:rPr>
              <w:t>2套。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hint="eastAsia" w:ascii="宋体" w:hAnsi="宋体" w:eastAsia="宋体" w:cs="Times New Roman"/>
                <w:szCs w:val="21"/>
              </w:rPr>
              <w:t>摄像机电池</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与本系统配备摄像机匹配的锂离子电池，额定电压14.4V；</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须支持在摄像机寻像器中实时显示数字电量信息；</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容量≥95Wh/6.6Ah；</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须内置14.4V D型口输出/充电输入接口及5V/2A USB输出接口；</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5.</w:t>
            </w:r>
            <w:r>
              <w:rPr>
                <w:rFonts w:ascii="宋体" w:hAnsi="宋体" w:eastAsia="宋体" w:cs="宋体"/>
                <w:szCs w:val="21"/>
              </w:rPr>
              <w:t>具备4段LED电量指示灯及多重安全保护电路</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4块。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hint="eastAsia" w:ascii="宋体" w:hAnsi="宋体" w:eastAsia="宋体" w:cs="Times New Roman"/>
                <w:szCs w:val="21"/>
              </w:rPr>
              <w:t>摄像机电池充电器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与本系统配备摄像机电池匹配</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2.不少于</w:t>
            </w:r>
            <w:r>
              <w:rPr>
                <w:rFonts w:hint="eastAsia" w:ascii="宋体" w:hAnsi="宋体" w:eastAsia="宋体" w:cs="宋体"/>
                <w:szCs w:val="21"/>
              </w:rPr>
              <w:t>2通道智能识别有线充电；</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每路配有4段LED充电指示灯，指示实时充电容量百分比；</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4.具有</w:t>
            </w:r>
            <w:r>
              <w:rPr>
                <w:rFonts w:hint="eastAsia" w:ascii="宋体" w:hAnsi="宋体" w:eastAsia="宋体" w:cs="宋体"/>
                <w:szCs w:val="21"/>
              </w:rPr>
              <w:t>LED充电指示灯；</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1路圆型DC孔适配输出</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6.</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ascii="宋体" w:hAnsi="宋体" w:eastAsia="宋体" w:cs="Times New Roman"/>
                <w:szCs w:val="21"/>
              </w:rPr>
              <w:t>三脚架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专业级摄像三脚架云台套装（75mm球碗接口）：云台采用</w:t>
            </w:r>
            <w:r>
              <w:rPr>
                <w:rFonts w:hint="eastAsia" w:ascii="宋体" w:hAnsi="宋体" w:eastAsia="宋体" w:cs="宋体"/>
                <w:szCs w:val="21"/>
                <w:highlight w:val="none"/>
              </w:rPr>
              <w:t>75mm</w:t>
            </w:r>
            <w:r>
              <w:rPr>
                <w:rFonts w:hint="eastAsia" w:ascii="宋体" w:hAnsi="宋体" w:eastAsia="宋体" w:cs="宋体"/>
                <w:szCs w:val="21"/>
              </w:rPr>
              <w:t>球碗设计，与脚架快速锁紧结合</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支持大范围俯仰/水平调节；</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标准承重能力≥5kg</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内置动态平衡系统</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阻尼支持连续无级可调</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滑动快装板支持快速侧卡装卸，提升机位架设效率；</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脚架为双级铝合金管结构，展开工作高度范围75cm（最低）～175cm（最高）</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锁定机构稳固，抗晃动性能满足演播室及外景拍摄需求；</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配置单手柄中置操控；</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套装含便携软包，便于运输与存储；</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11.</w:t>
            </w:r>
            <w:r>
              <w:rPr>
                <w:rFonts w:hint="eastAsia" w:ascii="宋体" w:hAnsi="宋体" w:eastAsia="宋体" w:cs="宋体"/>
                <w:szCs w:val="21"/>
              </w:rPr>
              <w:t>配套可装拆移动脚轮，脚轮材质为铝材质，结实耐用，带静音橡胶垫，每个滑轮带独立脚踏制动，可在平滑地面实现快速移位并在定位后可靠锁止，兼顾现场灵活调度与拍摄稳定</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12.</w:t>
            </w:r>
            <w:r>
              <w:rPr>
                <w:rFonts w:hint="eastAsia" w:ascii="宋体" w:hAnsi="宋体" w:eastAsia="宋体" w:cs="宋体"/>
                <w:szCs w:val="21"/>
              </w:rPr>
              <w:t>工作直径</w:t>
            </w:r>
            <w:r>
              <w:rPr>
                <w:rFonts w:hint="eastAsia" w:ascii="宋体" w:hAnsi="宋体" w:eastAsia="宋体" w:cs="宋体"/>
                <w:szCs w:val="21"/>
                <w:lang w:val="en-US" w:eastAsia="zh-CN"/>
              </w:rPr>
              <w:t>不小于</w:t>
            </w:r>
            <w:r>
              <w:rPr>
                <w:rFonts w:hint="eastAsia" w:ascii="宋体" w:hAnsi="宋体" w:eastAsia="宋体" w:cs="宋体"/>
                <w:szCs w:val="21"/>
              </w:rPr>
              <w:t>100cm，最大承重40公斤</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13.</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ascii="宋体" w:hAnsi="宋体" w:eastAsia="宋体" w:cs="Times New Roman"/>
                <w:szCs w:val="21"/>
              </w:rPr>
              <w:t>广播级超高速储存卡</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highlight w:val="none"/>
              </w:rPr>
            </w:pPr>
            <w:r>
              <w:rPr>
                <w:rFonts w:hint="eastAsia" w:ascii="宋体" w:hAnsi="宋体" w:eastAsia="宋体" w:cs="宋体"/>
                <w:szCs w:val="21"/>
                <w:lang w:val="en-US" w:eastAsia="zh-CN"/>
              </w:rPr>
              <w:t>1.</w:t>
            </w:r>
            <w:r>
              <w:rPr>
                <w:rFonts w:hint="eastAsia" w:ascii="宋体" w:hAnsi="宋体" w:eastAsia="宋体" w:cs="宋体"/>
                <w:szCs w:val="21"/>
              </w:rPr>
              <w:t>与本系统广播级高清摄像机匹配储存卡，</w:t>
            </w:r>
            <w:r>
              <w:rPr>
                <w:rFonts w:ascii="Times New Roman" w:hAnsi="Times New Roman" w:eastAsia="宋体" w:cs="Times New Roman"/>
                <w:szCs w:val="24"/>
              </w:rPr>
              <w:t>标称容量≥240GB</w:t>
            </w:r>
            <w:r>
              <w:rPr>
                <w:rFonts w:hint="eastAsia" w:ascii="宋体" w:hAnsi="宋体" w:eastAsia="宋体" w:cs="宋体"/>
                <w:szCs w:val="21"/>
                <w:highlight w:val="none"/>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Times New Roman" w:hAnsi="Times New Roman" w:eastAsia="宋体" w:cs="Times New Roman"/>
                <w:szCs w:val="24"/>
                <w:lang w:val="en-US" w:eastAsia="zh-CN"/>
              </w:rPr>
              <w:t>2.</w:t>
            </w:r>
            <w:r>
              <w:rPr>
                <w:rFonts w:ascii="Times New Roman" w:hAnsi="Times New Roman" w:eastAsia="宋体" w:cs="Times New Roman"/>
                <w:szCs w:val="24"/>
              </w:rPr>
              <w:t>接口协议须支持PCIe Gen4及以上</w:t>
            </w:r>
            <w:r>
              <w:rPr>
                <w:rFonts w:hint="eastAsia" w:ascii="宋体" w:hAnsi="宋体" w:eastAsia="宋体" w:cs="宋体"/>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最高顺序读取速度不低于1800MB/s</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最高顺序写入速度不低于1700MB/s；</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5.</w:t>
            </w:r>
            <w:r>
              <w:rPr>
                <w:rFonts w:ascii="Times New Roman" w:hAnsi="Times New Roman" w:eastAsia="宋体" w:cs="Times New Roman"/>
                <w:szCs w:val="24"/>
              </w:rPr>
              <w:t>满足高码流4K视频连续稳定写入无丢帧需求</w:t>
            </w:r>
            <w:r>
              <w:rPr>
                <w:rFonts w:hint="eastAsia" w:ascii="宋体" w:hAnsi="宋体" w:eastAsia="宋体" w:cs="宋体"/>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6.</w:t>
            </w:r>
            <w:r>
              <w:rPr>
                <w:rFonts w:hint="eastAsia" w:ascii="宋体" w:hAnsi="宋体" w:eastAsia="宋体" w:cs="宋体"/>
                <w:szCs w:val="21"/>
              </w:rPr>
              <w:t>工作温度范围覆盖-12℃至72℃</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2张。</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ascii="宋体" w:hAnsi="宋体" w:eastAsia="宋体" w:cs="Times New Roman"/>
                <w:szCs w:val="21"/>
              </w:rPr>
              <w:t>广播级超高速读卡器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与本系统存储卡匹配专用读卡器，上行主机接口为 USB Type‑C</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传输通道能力至少满足 USB 40Gbps（USB4，40 Gb/s 通道级），用于充分发挥卡端标称读取带宽上限；</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3.</w:t>
            </w:r>
            <w:r>
              <w:rPr>
                <w:rFonts w:ascii="Times New Roman" w:hAnsi="Times New Roman" w:eastAsia="宋体" w:cs="Times New Roman"/>
                <w:szCs w:val="24"/>
              </w:rPr>
              <w:t>机身须采用金属导热散热壳体结构，保障连续大文件传输时的温度稳定性与传输一致性</w:t>
            </w:r>
            <w:r>
              <w:rPr>
                <w:rFonts w:hint="eastAsia" w:ascii="宋体" w:hAnsi="宋体" w:eastAsia="宋体" w:cs="宋体"/>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宋体" w:hAnsi="宋体" w:eastAsia="宋体" w:cs="宋体"/>
                <w:szCs w:val="21"/>
                <w:lang w:val="en-US" w:eastAsia="zh-CN"/>
              </w:rPr>
              <w:t>4.</w:t>
            </w:r>
            <w:r>
              <w:rPr>
                <w:rFonts w:ascii="Times New Roman" w:hAnsi="Times New Roman" w:eastAsia="宋体" w:cs="Times New Roman"/>
                <w:szCs w:val="24"/>
              </w:rPr>
              <w:t>端子配置USB-C上行口×1并配嵌入式防脱出卡位；</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5.</w:t>
            </w:r>
            <w:r>
              <w:rPr>
                <w:rFonts w:ascii="Times New Roman" w:hAnsi="Times New Roman" w:eastAsia="宋体" w:cs="Times New Roman"/>
                <w:szCs w:val="24"/>
              </w:rPr>
              <w:t>供电方式为USB总线供电；</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6.</w:t>
            </w:r>
            <w:r>
              <w:rPr>
                <w:rFonts w:ascii="Times New Roman" w:hAnsi="Times New Roman" w:eastAsia="宋体" w:cs="Times New Roman"/>
                <w:szCs w:val="24"/>
              </w:rPr>
              <w:t>随设备配套高性能USB-C to USB-C连接线；</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Times New Roman" w:hAnsi="Times New Roman" w:eastAsia="宋体" w:cs="Times New Roman"/>
                <w:szCs w:val="24"/>
                <w:lang w:val="en-US" w:eastAsia="zh-CN"/>
              </w:rPr>
              <w:t>7.</w:t>
            </w:r>
            <w:r>
              <w:rPr>
                <w:rFonts w:ascii="Times New Roman" w:hAnsi="Times New Roman" w:eastAsia="宋体" w:cs="Times New Roman"/>
                <w:szCs w:val="24"/>
              </w:rPr>
              <w:t>工作温度范围0℃～40℃</w:t>
            </w:r>
            <w:r>
              <w:rPr>
                <w:rFonts w:hint="eastAsia" w:ascii="宋体" w:hAnsi="宋体" w:eastAsia="宋体" w:cs="宋体"/>
                <w:szCs w:val="21"/>
              </w:rPr>
              <w:t>（室内/现场非冷凝环境使用）</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ascii="宋体" w:hAnsi="宋体" w:eastAsia="宋体" w:cs="Times New Roman"/>
                <w:szCs w:val="21"/>
              </w:rPr>
              <w:t>手柄控制器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与本系统摄像机匹配的有线变焦/录制遥控手柄；</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通过摄像机侧REMOTE遥控接口直接取电与控制，无需独立供电；</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本体须集成连续可变速率变焦摇杆及REC开始/停止按键，并具备协议切换功能以适配不同品牌摄像机遥控协议，同时支持变焦方向反转以适应正装/倒挂安装姿态；</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摇杆须支持双面操作（手指推拨及拇指按压均可），变焦响应平滑可调；</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连接线缆为螺旋柔性线，长度≥0.7m；</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6.</w:t>
            </w:r>
            <w:r>
              <w:rPr>
                <w:rFonts w:ascii="宋体" w:hAnsi="宋体" w:eastAsia="宋体" w:cs="宋体"/>
                <w:szCs w:val="21"/>
              </w:rPr>
              <w:t>夹具为管夹结构，可夹持圆管外径10–45mm；控制器本体重量≤0.15kg</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配套摄像机携带包</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与本系统摄像机匹配便携携带包（软质防护结构），用于肩扛式摄像机及常用附件（话筒、电池、小型电源等）现场转运；</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包体主材为高密度</w:t>
            </w:r>
            <w:r>
              <w:rPr>
                <w:rFonts w:hint="eastAsia" w:ascii="宋体" w:hAnsi="宋体" w:eastAsia="宋体" w:cs="宋体"/>
                <w:szCs w:val="21"/>
                <w:lang w:val="en-US" w:eastAsia="zh-CN"/>
              </w:rPr>
              <w:t>材料，等级至少为</w:t>
            </w:r>
            <w:r>
              <w:rPr>
                <w:rFonts w:ascii="宋体" w:hAnsi="宋体" w:eastAsia="宋体" w:cs="宋体"/>
                <w:szCs w:val="21"/>
              </w:rPr>
              <w:t>1680D级防水耐磨尼龙面料，关键受力部位做加强缝线与扣件加固，内腔全周加厚缓震衬垫；</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主仓内设可调整/可拆卸活动隔板以适配不同机身+短镜/附件组合；外部设独立拉链配件口袋若干；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顶部/侧面配置人体工学 手提把，并配可调节肩背带（重心贴近躯干的人体工学背负取向）；</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闭合拉链为防泼水拉链体系（拉链齿/轨位做防渗处理），底部设耐磨防滑脚垫；</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6.</w:t>
            </w:r>
            <w:r>
              <w:rPr>
                <w:rFonts w:ascii="宋体" w:hAnsi="宋体" w:eastAsia="宋体" w:cs="宋体"/>
                <w:szCs w:val="21"/>
              </w:rPr>
              <w:t>内部净空尺寸 42×20×22 cm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ascii="宋体" w:hAnsi="宋体" w:eastAsia="宋体" w:cs="宋体"/>
                <w:szCs w:val="21"/>
              </w:rPr>
              <w:t>外部最大轮廓尺寸 52×23×24 cm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ascii="宋体" w:hAnsi="宋体" w:eastAsia="宋体" w:cs="宋体"/>
                <w:szCs w:val="21"/>
              </w:rPr>
              <w:t>包体</w:t>
            </w:r>
            <w:r>
              <w:rPr>
                <w:rFonts w:hint="eastAsia" w:ascii="宋体" w:hAnsi="宋体" w:eastAsia="宋体" w:cs="宋体"/>
                <w:szCs w:val="21"/>
                <w:lang w:val="en-US" w:eastAsia="zh-CN"/>
              </w:rPr>
              <w:t>不大于2.0</w:t>
            </w:r>
            <w:r>
              <w:rPr>
                <w:rFonts w:ascii="宋体" w:hAnsi="宋体" w:eastAsia="宋体" w:cs="宋体"/>
                <w:szCs w:val="21"/>
              </w:rPr>
              <w:t>kg（不含附件）；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9.</w:t>
            </w:r>
            <w:r>
              <w:rPr>
                <w:rFonts w:ascii="宋体" w:hAnsi="宋体" w:eastAsia="宋体" w:cs="宋体"/>
                <w:szCs w:val="21"/>
              </w:rPr>
              <w:t>随包应至少附带可拆肩带与分隔挡板等标准配件</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高清演播室系统一体机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演播室核心功能导播设备：具备至少</w:t>
            </w:r>
            <w:r>
              <w:rPr>
                <w:rFonts w:hint="eastAsia" w:ascii="宋体" w:hAnsi="宋体" w:eastAsia="宋体" w:cs="宋体"/>
                <w:szCs w:val="21"/>
                <w:highlight w:val="none"/>
              </w:rPr>
              <w:t>8个</w:t>
            </w:r>
            <w:r>
              <w:rPr>
                <w:rFonts w:hint="eastAsia" w:ascii="宋体" w:hAnsi="宋体" w:eastAsia="宋体" w:cs="宋体"/>
                <w:szCs w:val="21"/>
              </w:rPr>
              <w:t>4K\SDI通道（入出可配）；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支持至少</w:t>
            </w:r>
            <w:r>
              <w:rPr>
                <w:rFonts w:hint="eastAsia" w:ascii="宋体" w:hAnsi="宋体" w:eastAsia="宋体" w:cs="宋体"/>
                <w:szCs w:val="21"/>
                <w:highlight w:val="none"/>
              </w:rPr>
              <w:t>1路Ref信号输入</w:t>
            </w:r>
            <w:r>
              <w:rPr>
                <w:rFonts w:hint="eastAsia" w:ascii="宋体" w:hAnsi="宋体" w:eastAsia="宋体" w:cs="宋体"/>
                <w:szCs w:val="21"/>
                <w:highlight w:val="none"/>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支持</w:t>
            </w:r>
            <w:r>
              <w:rPr>
                <w:rFonts w:hint="eastAsia" w:ascii="宋体" w:hAnsi="宋体" w:eastAsia="宋体" w:cs="宋体"/>
                <w:szCs w:val="21"/>
                <w:highlight w:val="none"/>
              </w:rPr>
              <w:t>4K HDR采用10bit线性</w:t>
            </w:r>
            <w:r>
              <w:rPr>
                <w:rFonts w:hint="eastAsia" w:ascii="宋体" w:hAnsi="宋体" w:eastAsia="宋体" w:cs="宋体"/>
                <w:szCs w:val="21"/>
              </w:rPr>
              <w:t>工作流模式；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声卡具备至少</w:t>
            </w:r>
            <w:r>
              <w:rPr>
                <w:rFonts w:hint="eastAsia" w:ascii="宋体" w:hAnsi="宋体" w:eastAsia="宋体" w:cs="宋体"/>
                <w:szCs w:val="21"/>
                <w:highlight w:val="none"/>
              </w:rPr>
              <w:t>2路TRS模拟线</w:t>
            </w:r>
            <w:r>
              <w:rPr>
                <w:rFonts w:hint="eastAsia" w:ascii="宋体" w:hAnsi="宋体" w:eastAsia="宋体" w:cs="宋体"/>
                <w:szCs w:val="21"/>
              </w:rPr>
              <w:t>路输入</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highlight w:val="none"/>
              </w:rPr>
              <w:t>2路TRS</w:t>
            </w:r>
            <w:r>
              <w:rPr>
                <w:rFonts w:hint="eastAsia" w:ascii="宋体" w:hAnsi="宋体" w:eastAsia="宋体" w:cs="宋体"/>
                <w:szCs w:val="21"/>
              </w:rPr>
              <w:t>模拟线路输出，支持至少</w:t>
            </w:r>
            <w:r>
              <w:rPr>
                <w:rFonts w:hint="eastAsia" w:ascii="宋体" w:hAnsi="宋体" w:eastAsia="宋体" w:cs="宋体"/>
                <w:szCs w:val="21"/>
                <w:highlight w:val="none"/>
              </w:rPr>
              <w:t>1路</w:t>
            </w:r>
            <w:r>
              <w:rPr>
                <w:rFonts w:hint="eastAsia" w:ascii="宋体" w:hAnsi="宋体" w:eastAsia="宋体" w:cs="宋体"/>
                <w:szCs w:val="21"/>
              </w:rPr>
              <w:t>48V幻象供电；</w:t>
            </w:r>
            <w:r>
              <w:rPr>
                <w:rFonts w:hint="eastAsia" w:ascii="宋体" w:hAnsi="宋体" w:eastAsia="宋体" w:cs="宋体"/>
                <w:szCs w:val="21"/>
                <w:highlight w:val="none"/>
              </w:rPr>
              <w:t>1个3.5mm</w:t>
            </w:r>
            <w:r>
              <w:rPr>
                <w:rFonts w:hint="eastAsia" w:ascii="宋体" w:hAnsi="宋体" w:eastAsia="宋体" w:cs="宋体"/>
                <w:szCs w:val="21"/>
              </w:rPr>
              <w:t>监听音频信号输出</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支持SDI内嵌音频输入、输出；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全功能超级演播室软件支持至少</w:t>
            </w:r>
            <w:r>
              <w:rPr>
                <w:rFonts w:hint="eastAsia" w:ascii="宋体" w:hAnsi="宋体" w:eastAsia="宋体" w:cs="宋体"/>
                <w:szCs w:val="21"/>
                <w:highlight w:val="none"/>
              </w:rPr>
              <w:t>8路</w:t>
            </w:r>
            <w:r>
              <w:rPr>
                <w:rFonts w:hint="eastAsia" w:ascii="宋体" w:hAnsi="宋体" w:eastAsia="宋体" w:cs="宋体"/>
                <w:szCs w:val="21"/>
              </w:rPr>
              <w:t>4K信号源或8路高清信号源输入</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8.</w:t>
            </w:r>
            <w:r>
              <w:rPr>
                <w:rFonts w:hint="eastAsia" w:ascii="宋体" w:hAnsi="宋体" w:eastAsia="宋体" w:cs="宋体"/>
                <w:szCs w:val="21"/>
              </w:rPr>
              <w:t>支持至少</w:t>
            </w:r>
            <w:r>
              <w:rPr>
                <w:rFonts w:hint="eastAsia" w:ascii="宋体" w:hAnsi="宋体" w:eastAsia="宋体" w:cs="宋体"/>
                <w:szCs w:val="21"/>
                <w:highlight w:val="none"/>
              </w:rPr>
              <w:t>2路</w:t>
            </w:r>
            <w:r>
              <w:rPr>
                <w:rFonts w:hint="eastAsia" w:ascii="宋体" w:hAnsi="宋体" w:eastAsia="宋体" w:cs="宋体"/>
                <w:szCs w:val="21"/>
              </w:rPr>
              <w:t>本地素材输入</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9.</w:t>
            </w:r>
            <w:r>
              <w:rPr>
                <w:rFonts w:hint="eastAsia" w:ascii="宋体" w:hAnsi="宋体" w:eastAsia="宋体" w:cs="宋体"/>
                <w:szCs w:val="21"/>
              </w:rPr>
              <w:t>至少</w:t>
            </w:r>
            <w:r>
              <w:rPr>
                <w:rFonts w:hint="eastAsia" w:ascii="宋体" w:hAnsi="宋体" w:eastAsia="宋体" w:cs="宋体"/>
                <w:szCs w:val="21"/>
                <w:highlight w:val="none"/>
              </w:rPr>
              <w:t>8路</w:t>
            </w:r>
            <w:r>
              <w:rPr>
                <w:rFonts w:hint="eastAsia" w:ascii="宋体" w:hAnsi="宋体" w:eastAsia="宋体" w:cs="宋体"/>
                <w:szCs w:val="21"/>
              </w:rPr>
              <w:t>网络流媒体信号输入，至少</w:t>
            </w:r>
            <w:r>
              <w:rPr>
                <w:rFonts w:hint="eastAsia" w:ascii="宋体" w:hAnsi="宋体" w:eastAsia="宋体" w:cs="宋体"/>
                <w:szCs w:val="21"/>
                <w:highlight w:val="none"/>
              </w:rPr>
              <w:t>1路</w:t>
            </w:r>
            <w:r>
              <w:rPr>
                <w:rFonts w:hint="eastAsia" w:ascii="宋体" w:hAnsi="宋体" w:eastAsia="宋体" w:cs="宋体"/>
                <w:szCs w:val="21"/>
              </w:rPr>
              <w:t>远程桌面输入，至少</w:t>
            </w:r>
            <w:r>
              <w:rPr>
                <w:rFonts w:hint="eastAsia" w:ascii="宋体" w:hAnsi="宋体" w:eastAsia="宋体" w:cs="宋体"/>
                <w:szCs w:val="21"/>
                <w:highlight w:val="none"/>
              </w:rPr>
              <w:t>1路</w:t>
            </w:r>
            <w:r>
              <w:rPr>
                <w:rFonts w:hint="eastAsia" w:ascii="宋体" w:hAnsi="宋体" w:eastAsia="宋体" w:cs="宋体"/>
                <w:szCs w:val="21"/>
              </w:rPr>
              <w:t>USB视频源输入，至少</w:t>
            </w:r>
            <w:r>
              <w:rPr>
                <w:rFonts w:hint="eastAsia" w:ascii="宋体" w:hAnsi="宋体" w:eastAsia="宋体" w:cs="宋体"/>
                <w:szCs w:val="21"/>
                <w:highlight w:val="none"/>
              </w:rPr>
              <w:t>1路PPT</w:t>
            </w:r>
            <w:r>
              <w:rPr>
                <w:rFonts w:hint="eastAsia" w:ascii="宋体" w:hAnsi="宋体" w:eastAsia="宋体" w:cs="宋体"/>
                <w:szCs w:val="21"/>
              </w:rPr>
              <w:t>素材播放通道，至少</w:t>
            </w:r>
            <w:r>
              <w:rPr>
                <w:rFonts w:hint="eastAsia" w:ascii="宋体" w:hAnsi="宋体" w:eastAsia="宋体" w:cs="宋体"/>
                <w:szCs w:val="21"/>
                <w:highlight w:val="none"/>
              </w:rPr>
              <w:t>2路NDI</w:t>
            </w:r>
            <w:r>
              <w:rPr>
                <w:rFonts w:hint="eastAsia" w:ascii="宋体" w:hAnsi="宋体" w:eastAsia="宋体" w:cs="宋体"/>
                <w:szCs w:val="21"/>
              </w:rPr>
              <w:t>信号源输入，至少</w:t>
            </w:r>
            <w:r>
              <w:rPr>
                <w:rFonts w:hint="eastAsia" w:ascii="宋体" w:hAnsi="宋体" w:eastAsia="宋体" w:cs="宋体"/>
                <w:szCs w:val="21"/>
                <w:highlight w:val="none"/>
              </w:rPr>
              <w:t>2通道抠</w:t>
            </w:r>
            <w:r>
              <w:rPr>
                <w:rFonts w:hint="eastAsia" w:ascii="宋体" w:hAnsi="宋体" w:eastAsia="宋体" w:cs="宋体"/>
                <w:szCs w:val="21"/>
              </w:rPr>
              <w:t>像功能，支持至少</w:t>
            </w:r>
            <w:r>
              <w:rPr>
                <w:rFonts w:hint="eastAsia" w:ascii="宋体" w:hAnsi="宋体" w:eastAsia="宋体" w:cs="宋体"/>
                <w:szCs w:val="21"/>
                <w:highlight w:val="none"/>
              </w:rPr>
              <w:t>1路</w:t>
            </w:r>
            <w:r>
              <w:rPr>
                <w:rFonts w:hint="eastAsia" w:ascii="宋体" w:hAnsi="宋体" w:eastAsia="宋体" w:cs="宋体"/>
                <w:szCs w:val="21"/>
              </w:rPr>
              <w:t>4K节目录制，同时支持多路流媒体直播输出、多画面监看、信号切换、音频调节、字幕、特技、真三维虚拟布景、云交互、延时播、慢动作、体育赛事直播等功能；支持语音智能控制、跨平台H5多屏控制等多种控制方式</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硬件配置：CPU： 单颗至强</w:t>
            </w:r>
            <w:r>
              <w:rPr>
                <w:rFonts w:hint="eastAsia" w:ascii="宋体" w:hAnsi="宋体" w:eastAsia="宋体" w:cs="宋体"/>
                <w:szCs w:val="21"/>
                <w:highlight w:val="none"/>
              </w:rPr>
              <w:t>8核</w:t>
            </w:r>
            <w:r>
              <w:rPr>
                <w:rFonts w:hint="eastAsia" w:ascii="宋体" w:hAnsi="宋体" w:eastAsia="宋体" w:cs="宋体"/>
                <w:szCs w:val="21"/>
              </w:rPr>
              <w:t>心</w:t>
            </w:r>
            <w:r>
              <w:rPr>
                <w:rFonts w:hint="eastAsia" w:ascii="宋体" w:hAnsi="宋体" w:eastAsia="宋体" w:cs="宋体"/>
                <w:szCs w:val="21"/>
                <w:highlight w:val="none"/>
              </w:rPr>
              <w:t>16</w:t>
            </w:r>
            <w:r>
              <w:rPr>
                <w:rFonts w:hint="eastAsia" w:ascii="宋体" w:hAnsi="宋体" w:eastAsia="宋体" w:cs="宋体"/>
                <w:szCs w:val="21"/>
              </w:rPr>
              <w:t>线程或以上，基础频率不低于3.1GHz，最高频率不低于4.5GHz；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11.</w:t>
            </w:r>
            <w:r>
              <w:rPr>
                <w:rFonts w:hint="eastAsia" w:ascii="宋体" w:hAnsi="宋体" w:eastAsia="宋体" w:cs="宋体"/>
                <w:szCs w:val="21"/>
              </w:rPr>
              <w:t>显卡：显存不低于24GB DDR6</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12.</w:t>
            </w:r>
            <w:r>
              <w:rPr>
                <w:rFonts w:hint="eastAsia" w:ascii="宋体" w:hAnsi="宋体" w:eastAsia="宋体" w:cs="宋体"/>
                <w:szCs w:val="21"/>
              </w:rPr>
              <w:t>内存：不低于32GB DDR5；</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13.</w:t>
            </w:r>
            <w:r>
              <w:rPr>
                <w:rFonts w:hint="eastAsia" w:ascii="宋体" w:hAnsi="宋体" w:eastAsia="宋体" w:cs="宋体"/>
                <w:szCs w:val="21"/>
              </w:rPr>
              <w:t>系统硬盘：不低于512G M.2接口SSD；</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14.</w:t>
            </w:r>
            <w:r>
              <w:rPr>
                <w:rFonts w:hint="eastAsia" w:ascii="宋体" w:hAnsi="宋体" w:eastAsia="宋体" w:cs="宋体"/>
                <w:szCs w:val="21"/>
              </w:rPr>
              <w:t>固态硬盘素材硬盘：不低于2TB M.2接口SSD固态硬盘；</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15.</w:t>
            </w:r>
            <w:r>
              <w:rPr>
                <w:rFonts w:hint="eastAsia" w:ascii="宋体" w:hAnsi="宋体" w:eastAsia="宋体" w:cs="宋体"/>
                <w:szCs w:val="21"/>
              </w:rPr>
              <w:t>机箱结构：便携型机箱设计，机箱自带不小于17寸液晶屏幕 ；</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16.</w:t>
            </w:r>
            <w:r>
              <w:rPr>
                <w:rFonts w:hint="eastAsia" w:ascii="宋体" w:hAnsi="宋体" w:eastAsia="宋体" w:cs="宋体"/>
                <w:szCs w:val="21"/>
              </w:rPr>
              <w:t>接口卡： 视频输入输出接口：12G-SDI x 8；（入出可配）；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17.</w:t>
            </w:r>
            <w:r>
              <w:rPr>
                <w:rFonts w:hint="eastAsia" w:ascii="宋体" w:hAnsi="宋体" w:eastAsia="宋体" w:cs="宋体"/>
                <w:szCs w:val="21"/>
              </w:rPr>
              <w:t>锁相接口：BB/Tri-level；</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18.</w:t>
            </w:r>
            <w:r>
              <w:rPr>
                <w:rFonts w:hint="eastAsia" w:ascii="宋体" w:hAnsi="宋体" w:eastAsia="宋体" w:cs="宋体"/>
                <w:szCs w:val="21"/>
              </w:rPr>
              <w:t>音频接口：</w:t>
            </w:r>
            <w:r>
              <w:rPr>
                <w:rFonts w:hint="eastAsia" w:ascii="宋体" w:hAnsi="宋体" w:eastAsia="宋体" w:cs="宋体"/>
                <w:szCs w:val="21"/>
                <w:highlight w:val="none"/>
              </w:rPr>
              <w:t>具备至少2路</w:t>
            </w:r>
            <w:r>
              <w:rPr>
                <w:rFonts w:hint="eastAsia" w:ascii="宋体" w:hAnsi="宋体" w:eastAsia="宋体" w:cs="宋体"/>
                <w:szCs w:val="21"/>
              </w:rPr>
              <w:t>TRS模拟线路输入，</w:t>
            </w:r>
            <w:r>
              <w:rPr>
                <w:rFonts w:hint="eastAsia" w:ascii="宋体" w:hAnsi="宋体" w:eastAsia="宋体" w:cs="宋体"/>
                <w:szCs w:val="21"/>
                <w:highlight w:val="none"/>
              </w:rPr>
              <w:t>2路TRS</w:t>
            </w:r>
            <w:r>
              <w:rPr>
                <w:rFonts w:hint="eastAsia" w:ascii="宋体" w:hAnsi="宋体" w:eastAsia="宋体" w:cs="宋体"/>
                <w:szCs w:val="21"/>
              </w:rPr>
              <w:t>模拟线路输出，支持至少</w:t>
            </w:r>
            <w:r>
              <w:rPr>
                <w:rFonts w:hint="eastAsia" w:ascii="宋体" w:hAnsi="宋体" w:eastAsia="宋体" w:cs="宋体"/>
                <w:szCs w:val="21"/>
                <w:highlight w:val="none"/>
              </w:rPr>
              <w:t>1路</w:t>
            </w:r>
            <w:r>
              <w:rPr>
                <w:rFonts w:hint="eastAsia" w:ascii="宋体" w:hAnsi="宋体" w:eastAsia="宋体" w:cs="宋体"/>
                <w:szCs w:val="21"/>
              </w:rPr>
              <w:t>48V幻象供电；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19.</w:t>
            </w:r>
            <w:r>
              <w:rPr>
                <w:rFonts w:hint="eastAsia" w:ascii="宋体" w:hAnsi="宋体" w:eastAsia="宋体" w:cs="宋体"/>
                <w:szCs w:val="21"/>
              </w:rPr>
              <w:t>通讯接口：具有双路千兆以太网接口、USB×6以上</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20.</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全功能超级演播室软件V1.0</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w:t>
            </w:r>
            <w:r>
              <w:rPr>
                <w:rFonts w:hint="eastAsia" w:ascii="宋体" w:hAnsi="宋体" w:eastAsia="宋体" w:cs="宋体"/>
                <w:szCs w:val="21"/>
                <w:lang w:eastAsia="zh-CN"/>
              </w:rPr>
              <w:t>.</w:t>
            </w:r>
            <w:r>
              <w:rPr>
                <w:rFonts w:hint="eastAsia" w:ascii="宋体" w:hAnsi="宋体" w:eastAsia="宋体" w:cs="宋体"/>
                <w:szCs w:val="21"/>
              </w:rPr>
              <w:t>支持独立的图文字幕制作软件，可实现精美图文字幕的制作及字幕模板的快速修改</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b/>
                <w:bCs/>
                <w:szCs w:val="24"/>
              </w:rPr>
            </w:pPr>
            <w:bookmarkStart w:id="555" w:name="OLE_LINK38"/>
            <w:r>
              <w:rPr>
                <w:rFonts w:hint="eastAsia" w:ascii="宋体" w:hAnsi="宋体" w:eastAsia="宋体" w:cs="宋体"/>
                <w:b/>
                <w:bCs/>
                <w:snapToGrid w:val="0"/>
                <w:kern w:val="0"/>
                <w:sz w:val="24"/>
                <w:szCs w:val="24"/>
                <w:lang w:val="zh-CN"/>
              </w:rPr>
              <w:t>▲</w:t>
            </w:r>
            <w:bookmarkEnd w:id="555"/>
            <w:r>
              <w:rPr>
                <w:rFonts w:hint="eastAsia" w:ascii="宋体" w:hAnsi="宋体" w:eastAsia="宋体" w:cs="宋体"/>
                <w:b/>
                <w:bCs/>
                <w:szCs w:val="21"/>
              </w:rPr>
              <w:t>2</w:t>
            </w:r>
            <w:r>
              <w:rPr>
                <w:rFonts w:hint="eastAsia" w:ascii="宋体" w:hAnsi="宋体" w:eastAsia="宋体" w:cs="宋体"/>
                <w:szCs w:val="21"/>
                <w:lang w:eastAsia="zh-CN"/>
              </w:rPr>
              <w:t>.</w:t>
            </w:r>
            <w:r>
              <w:rPr>
                <w:rFonts w:hint="eastAsia" w:ascii="宋体" w:hAnsi="宋体" w:eastAsia="宋体" w:cs="宋体"/>
                <w:b/>
                <w:bCs/>
                <w:szCs w:val="21"/>
              </w:rPr>
              <w:t>专业的体育赛事直播功能：1)提供足球、篮球、羽毛球、乒乓球等多种赛事模板；2)可速修改体育赛事比分计分模板；3)可快速播出人名条、比赛比分标题条、出场名单介绍等图文模板；4)支持导入execl文件中的队员数据（包含足球，篮球，乒乓球，羽毛球等赛事类型）</w:t>
            </w:r>
            <w:r>
              <w:rPr>
                <w:rFonts w:hint="eastAsia" w:ascii="宋体" w:hAnsi="宋体" w:eastAsia="宋体" w:cs="宋体"/>
                <w:b/>
                <w:bCs/>
                <w:szCs w:val="21"/>
                <w:lang w:eastAsia="zh-CN"/>
              </w:rPr>
              <w:t>；</w:t>
            </w:r>
            <w:bookmarkStart w:id="556" w:name="OLE_LINK27"/>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eastAsia="zh-CN"/>
              </w:rPr>
              <w:t>，</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bookmarkEnd w:id="556"/>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3</w:t>
            </w:r>
            <w:r>
              <w:rPr>
                <w:rFonts w:hint="eastAsia" w:ascii="宋体" w:hAnsi="宋体" w:eastAsia="宋体" w:cs="宋体"/>
                <w:szCs w:val="21"/>
                <w:lang w:eastAsia="zh-CN"/>
              </w:rPr>
              <w:t>.</w:t>
            </w:r>
            <w:r>
              <w:rPr>
                <w:rFonts w:hint="eastAsia" w:ascii="宋体" w:hAnsi="宋体" w:eastAsia="宋体" w:cs="宋体"/>
                <w:szCs w:val="21"/>
              </w:rPr>
              <w:t>系统支持手机的远程控制。用手机扫描软件中的远程控制二维码，即可进入H5远程控制界面，界面包括控制台、播单、大播单、Tally、赛事等多个模块。控制台模块可实现信号导切、虚拟机位导切、赛事计时计分、PPT翻页、提词器翻页、摇臂、录制、推流、慢动作、字幕控制等，同时按键状态、亮灯颜色与软件主界面一致。播单模块既可以控制视频列表的逐条播出，也可控制列表中场景、图文模板的播放、停止，远程播单与虚拟软件中对应条目状态一致。可控制播单逐条播放、触发播放，远程播单与虚拟软件中对应条目状态一致</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4</w:t>
            </w:r>
            <w:r>
              <w:rPr>
                <w:rFonts w:hint="eastAsia" w:ascii="宋体" w:hAnsi="宋体" w:eastAsia="宋体" w:cs="宋体"/>
                <w:szCs w:val="21"/>
                <w:lang w:eastAsia="zh-CN"/>
              </w:rPr>
              <w:t>.</w:t>
            </w:r>
            <w:r>
              <w:rPr>
                <w:rFonts w:hint="eastAsia" w:ascii="宋体" w:hAnsi="宋体" w:eastAsia="宋体" w:cs="宋体"/>
                <w:szCs w:val="21"/>
              </w:rPr>
              <w:t>手机端远程控制界面的信号模块可手动输入或拷贝流信号地址、推流地址，可设置分辨率、码率、推流通道等，“确定”后这些参数与软件同步更新</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5</w:t>
            </w:r>
            <w:r>
              <w:rPr>
                <w:rFonts w:hint="eastAsia" w:ascii="宋体" w:hAnsi="宋体" w:eastAsia="宋体" w:cs="宋体"/>
                <w:szCs w:val="21"/>
                <w:lang w:eastAsia="zh-CN"/>
              </w:rPr>
              <w:t>.</w:t>
            </w:r>
            <w:r>
              <w:rPr>
                <w:rFonts w:hint="eastAsia" w:ascii="宋体" w:hAnsi="宋体" w:eastAsia="宋体" w:cs="宋体"/>
                <w:szCs w:val="21"/>
              </w:rPr>
              <w:t>支持广电及专业素材格式，包含：视频包括AVI，DV，DVCPRO，DVCProHD，H.264，MOV，MPEG，MP4，WMV；音频包括MP3，WAV，WMA；图片包括BMP，PNG，JPEG</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6</w:t>
            </w:r>
            <w:r>
              <w:rPr>
                <w:rFonts w:hint="eastAsia" w:ascii="宋体" w:hAnsi="宋体" w:eastAsia="宋体" w:cs="宋体"/>
                <w:szCs w:val="21"/>
                <w:lang w:eastAsia="zh-CN"/>
              </w:rPr>
              <w:t>.</w:t>
            </w:r>
            <w:r>
              <w:rPr>
                <w:rFonts w:hint="eastAsia" w:ascii="宋体" w:hAnsi="宋体" w:eastAsia="宋体" w:cs="宋体"/>
                <w:szCs w:val="21"/>
              </w:rPr>
              <w:t>支持内嵌真三维虚拟布景功能；实现多机位虚拟背景，实时对高清信号或4K信号进行色键处理，可实现8个虚拟机位之间的摇臂切换效果。可以实现虚拟摄像机镜头水平、俯仰、变焦，以及摄像机机位的空间位置的移动。可实时调节虚拟抠像效果、实时切换抠蓝抠绿、可实现局部遮挡功能；可在多窗口场景中实时切换不同场景，及主持人位置；可灵活调整主持人的位置及大小；可灵活调整虚拟物件的位置及光影效果</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7</w:t>
            </w:r>
            <w:r>
              <w:rPr>
                <w:rFonts w:hint="eastAsia" w:ascii="宋体" w:hAnsi="宋体" w:eastAsia="宋体" w:cs="宋体"/>
                <w:szCs w:val="21"/>
                <w:lang w:eastAsia="zh-CN"/>
              </w:rPr>
              <w:t>.</w:t>
            </w:r>
            <w:r>
              <w:rPr>
                <w:rFonts w:hint="eastAsia" w:ascii="宋体" w:hAnsi="宋体" w:eastAsia="宋体" w:cs="宋体"/>
                <w:b/>
                <w:bCs/>
                <w:szCs w:val="21"/>
              </w:rPr>
              <w:t>系统集成在线资源库，包括场景、图文字幕模板、视频文件、图片文件等，按应用领域、节目类型做初步分类显示，如新闻类、教育类、军事类、访谈类等，可下载各种文件加以使用</w:t>
            </w:r>
            <w:bookmarkStart w:id="557" w:name="OLE_LINK31"/>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bookmarkEnd w:id="557"/>
            <w:r>
              <w:rPr>
                <w:rFonts w:hint="eastAsia" w:ascii="宋体" w:hAnsi="宋体" w:eastAsia="宋体" w:cs="宋体"/>
                <w:b/>
                <w:bCs/>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8</w:t>
            </w:r>
            <w:r>
              <w:rPr>
                <w:rFonts w:hint="eastAsia" w:ascii="宋体" w:hAnsi="宋体" w:eastAsia="宋体" w:cs="宋体"/>
                <w:szCs w:val="21"/>
                <w:lang w:eastAsia="zh-CN"/>
              </w:rPr>
              <w:t>.</w:t>
            </w:r>
            <w:r>
              <w:rPr>
                <w:rFonts w:hint="eastAsia" w:ascii="宋体" w:hAnsi="宋体" w:eastAsia="宋体" w:cs="宋体"/>
                <w:b/>
                <w:bCs/>
                <w:szCs w:val="21"/>
              </w:rPr>
              <w:t>系统支持在线资源的查询功能。查询在线资源库中资源时，可先选择应用类别，如新闻类、军事类，再通过标签进行查询，每个标签都是一个筛选条件，颜色、类别等均可作为标签使用；可使用单一标签或组合标签进行查询，标签与标签之间是“与”的关系</w:t>
            </w:r>
            <w:bookmarkStart w:id="558" w:name="OLE_LINK33"/>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bookmarkEnd w:id="558"/>
            <w:r>
              <w:rPr>
                <w:rFonts w:hint="eastAsia" w:ascii="宋体" w:hAnsi="宋体" w:eastAsia="宋体" w:cs="宋体"/>
                <w:b/>
                <w:bCs/>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9</w:t>
            </w:r>
            <w:r>
              <w:rPr>
                <w:rFonts w:hint="eastAsia" w:ascii="宋体" w:hAnsi="宋体" w:eastAsia="宋体" w:cs="宋体"/>
                <w:szCs w:val="21"/>
                <w:lang w:eastAsia="zh-CN"/>
              </w:rPr>
              <w:t>.</w:t>
            </w:r>
            <w:r>
              <w:rPr>
                <w:rFonts w:hint="eastAsia" w:ascii="宋体" w:hAnsi="宋体" w:eastAsia="宋体" w:cs="宋体"/>
                <w:szCs w:val="21"/>
              </w:rPr>
              <w:t>软件具有提词器功能，可将文稿内容逐条显示于合成画面前；通过鼠标可实时调整提词窗口位置、字体大小、字体颜色、窗口透明度等参数</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10</w:t>
            </w:r>
            <w:r>
              <w:rPr>
                <w:rFonts w:hint="eastAsia" w:ascii="宋体" w:hAnsi="宋体" w:eastAsia="宋体" w:cs="宋体"/>
                <w:szCs w:val="21"/>
                <w:lang w:eastAsia="zh-CN"/>
              </w:rPr>
              <w:t>.</w:t>
            </w:r>
            <w:r>
              <w:rPr>
                <w:rFonts w:hint="eastAsia" w:ascii="宋体" w:hAnsi="宋体" w:eastAsia="宋体" w:cs="宋体"/>
                <w:b/>
                <w:bCs/>
                <w:szCs w:val="21"/>
              </w:rPr>
              <w:t>系统支持本地绘画功能。借助其他设备，通过操作鼠标即可在合成输出画面进行实时绘画、标注、批注等。软件中提供画笔的颜色可选,提供不少于12种画笔颜色选择。画笔功能绘画的内容，可通过本地录制功能录制到最终合成画面。提供绘画撤销、恢复及一键擦除功能，实现对标注内容的编辑</w:t>
            </w:r>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11</w:t>
            </w:r>
            <w:r>
              <w:rPr>
                <w:rFonts w:hint="eastAsia" w:ascii="宋体" w:hAnsi="宋体" w:eastAsia="宋体" w:cs="宋体"/>
                <w:szCs w:val="21"/>
                <w:lang w:eastAsia="zh-CN"/>
              </w:rPr>
              <w:t>.</w:t>
            </w:r>
            <w:r>
              <w:rPr>
                <w:rFonts w:hint="eastAsia" w:ascii="宋体" w:hAnsi="宋体" w:eastAsia="宋体" w:cs="宋体"/>
                <w:szCs w:val="21"/>
              </w:rPr>
              <w:t>系统提供多画面监看。无需借助外部设备，自动将所有输入、输出信号多画面分割监看。可分割画面包括PGM、PVW、4K&amp;高清信号、本地视频、流信号、PPT、NDI等。系统提供自动、一视窗、二视窗、四视窗、八视窗、十视窗、十四视窗、十六视窗、二十视窗等9种模式选择。</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12</w:t>
            </w:r>
            <w:r>
              <w:rPr>
                <w:rFonts w:hint="eastAsia" w:ascii="宋体" w:hAnsi="宋体" w:eastAsia="宋体" w:cs="宋体"/>
                <w:szCs w:val="21"/>
                <w:lang w:eastAsia="zh-CN"/>
              </w:rPr>
              <w:t>.</w:t>
            </w:r>
            <w:r>
              <w:rPr>
                <w:rFonts w:hint="eastAsia" w:ascii="宋体" w:hAnsi="宋体" w:eastAsia="宋体" w:cs="宋体"/>
                <w:szCs w:val="21"/>
              </w:rPr>
              <w:t>软件具有美肤处理功能，对抠像后的前景人物进行美肤、美白、磨皮处理</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13</w:t>
            </w:r>
            <w:r>
              <w:rPr>
                <w:rFonts w:hint="eastAsia" w:ascii="宋体" w:hAnsi="宋体" w:eastAsia="宋体" w:cs="宋体"/>
                <w:szCs w:val="21"/>
                <w:lang w:eastAsia="zh-CN"/>
              </w:rPr>
              <w:t>.</w:t>
            </w:r>
            <w:r>
              <w:rPr>
                <w:rFonts w:hint="eastAsia" w:ascii="宋体" w:hAnsi="宋体" w:eastAsia="宋体" w:cs="宋体"/>
                <w:szCs w:val="21"/>
              </w:rPr>
              <w:t>具有彩色示波器功能，可以波形图、直方图矢量图形式显示视频画面的幅度和相位</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14</w:t>
            </w:r>
            <w:r>
              <w:rPr>
                <w:rFonts w:hint="eastAsia" w:ascii="宋体" w:hAnsi="宋体" w:eastAsia="宋体" w:cs="宋体"/>
                <w:szCs w:val="21"/>
                <w:lang w:eastAsia="zh-CN"/>
              </w:rPr>
              <w:t>.</w:t>
            </w:r>
            <w:r>
              <w:rPr>
                <w:rFonts w:hint="eastAsia" w:ascii="宋体" w:hAnsi="宋体" w:eastAsia="宋体" w:cs="宋体"/>
                <w:szCs w:val="21"/>
              </w:rPr>
              <w:t>系统支持竖屏9:16输入输出，输出支持9:16网络流媒体输出，支持对接抖音、快手等网络竖屏直播平台，支持9:16竖屏文件录制</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15</w:t>
            </w:r>
            <w:r>
              <w:rPr>
                <w:rFonts w:hint="eastAsia" w:ascii="宋体" w:hAnsi="宋体" w:eastAsia="宋体" w:cs="宋体"/>
                <w:szCs w:val="21"/>
                <w:lang w:eastAsia="zh-CN"/>
              </w:rPr>
              <w:t>.</w:t>
            </w:r>
            <w:r>
              <w:rPr>
                <w:rFonts w:hint="eastAsia" w:ascii="宋体" w:hAnsi="宋体" w:eastAsia="宋体" w:cs="宋体"/>
                <w:b/>
                <w:bCs/>
                <w:szCs w:val="21"/>
              </w:rPr>
              <w:t>云台控制协议：支持标准VISCA协议及VISCA OVER IP网络控制协议；支持同时广播级云台控制，可实现控制广播级摄像机的推拉摇移，支持存储不少于8个预制机位</w:t>
            </w:r>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16</w:t>
            </w:r>
            <w:r>
              <w:rPr>
                <w:rFonts w:hint="eastAsia" w:ascii="宋体" w:hAnsi="宋体" w:eastAsia="宋体" w:cs="宋体"/>
                <w:szCs w:val="21"/>
                <w:lang w:eastAsia="zh-CN"/>
              </w:rPr>
              <w:t>.</w:t>
            </w:r>
            <w:r>
              <w:rPr>
                <w:rFonts w:hint="eastAsia" w:ascii="宋体" w:hAnsi="宋体" w:eastAsia="宋体" w:cs="宋体"/>
                <w:szCs w:val="21"/>
              </w:rPr>
              <w:t>系统提供云平台接口，联网后，切换至云交互页签，可显示登录账号密码，登录后可创建直播活动，无需浏览器，在软件界面内就能完成对直播活动的操作。云平台支持包括答题、抽奖、投票、评论在内的互动类型，互动内容可以通过图文模板、跑马等形式展现</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17</w:t>
            </w:r>
            <w:r>
              <w:rPr>
                <w:rFonts w:hint="eastAsia" w:ascii="宋体" w:hAnsi="宋体" w:eastAsia="宋体" w:cs="宋体"/>
                <w:szCs w:val="21"/>
                <w:lang w:eastAsia="zh-CN"/>
              </w:rPr>
              <w:t>.</w:t>
            </w:r>
            <w:r>
              <w:rPr>
                <w:rFonts w:hint="eastAsia" w:ascii="宋体" w:hAnsi="宋体" w:eastAsia="宋体" w:cs="宋体"/>
                <w:b/>
                <w:bCs/>
                <w:szCs w:val="21"/>
              </w:rPr>
              <w:t>软件支持实时检测评论内容并对其进行审核，审核通过后才能在节目中使用，评论内容可以显示在显卡扩展输出的画面中</w:t>
            </w:r>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18</w:t>
            </w:r>
            <w:r>
              <w:rPr>
                <w:rFonts w:hint="eastAsia" w:ascii="宋体" w:hAnsi="宋体" w:eastAsia="宋体" w:cs="宋体"/>
                <w:szCs w:val="21"/>
                <w:lang w:eastAsia="zh-CN"/>
              </w:rPr>
              <w:t>.</w:t>
            </w:r>
            <w:r>
              <w:rPr>
                <w:rFonts w:hint="eastAsia" w:ascii="宋体" w:hAnsi="宋体" w:eastAsia="宋体" w:cs="宋体"/>
                <w:szCs w:val="21"/>
              </w:rPr>
              <w:t>支持接入手机信号，通过微信登录，无需下载APP。登录后自动获取嘉宾推流地址、通话地址和Tally地址，无需手动输入。通过手机可接入远程嘉宾信号，并与演播室主持人互动，并且支持多人同时互动；远程嘉宾无需专用设备即可完成语音连麦互动</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19</w:t>
            </w:r>
            <w:r>
              <w:rPr>
                <w:rFonts w:hint="eastAsia" w:ascii="宋体" w:hAnsi="宋体" w:eastAsia="宋体" w:cs="宋体"/>
                <w:szCs w:val="21"/>
                <w:lang w:eastAsia="zh-CN"/>
              </w:rPr>
              <w:t>.</w:t>
            </w:r>
            <w:r>
              <w:rPr>
                <w:rFonts w:hint="eastAsia" w:ascii="宋体" w:hAnsi="宋体" w:eastAsia="宋体" w:cs="宋体"/>
                <w:szCs w:val="21"/>
              </w:rPr>
              <w:t>支持延时播出功能，可实现输入基带信号和网络流媒体推流信号同时延时播出，延时播出时长最大支持60秒，延时播出中支持一键切换应急备播通道，备播通道支持图片、视频或任意一路输入信号</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20</w:t>
            </w:r>
            <w:r>
              <w:rPr>
                <w:rFonts w:hint="eastAsia" w:ascii="宋体" w:hAnsi="宋体" w:eastAsia="宋体" w:cs="宋体"/>
                <w:szCs w:val="21"/>
                <w:lang w:eastAsia="zh-CN"/>
              </w:rPr>
              <w:t>.</w:t>
            </w:r>
            <w:r>
              <w:rPr>
                <w:rFonts w:hint="eastAsia" w:ascii="宋体" w:hAnsi="宋体" w:eastAsia="宋体" w:cs="宋体"/>
                <w:szCs w:val="21"/>
              </w:rPr>
              <w:t>支持NDI流媒体协议，支持16路NDI信号实时输入，支持局域网内一键自动搜索NDI信号源，无需输入ip地址，支持将客户端的桌面、ppt、图片、视频播放器等不同的窗口内容实时传送到导播系统，并绑定到虚拟场景、双视窗或画中画中，实现局域网高质量低延时信号传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21</w:t>
            </w:r>
            <w:r>
              <w:rPr>
                <w:rFonts w:hint="eastAsia" w:ascii="宋体" w:hAnsi="宋体" w:eastAsia="宋体" w:cs="宋体"/>
                <w:szCs w:val="21"/>
                <w:lang w:eastAsia="zh-CN"/>
              </w:rPr>
              <w:t>.</w:t>
            </w:r>
            <w:r>
              <w:rPr>
                <w:rFonts w:hint="eastAsia" w:ascii="宋体" w:hAnsi="宋体" w:eastAsia="宋体" w:cs="宋体"/>
                <w:szCs w:val="21"/>
              </w:rPr>
              <w:t>支持实时慢动作回放功能，实现对输入信号一键截取慢动作回放镜头，慢动作截取时长支持1至60秒可调，回放速度支持0%至100%可调，慢动作回放素材支持列表和图标显示方式</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22</w:t>
            </w:r>
            <w:r>
              <w:rPr>
                <w:rFonts w:hint="eastAsia" w:ascii="宋体" w:hAnsi="宋体" w:eastAsia="宋体" w:cs="宋体"/>
                <w:szCs w:val="21"/>
                <w:lang w:eastAsia="zh-CN"/>
              </w:rPr>
              <w:t>.</w:t>
            </w:r>
            <w:r>
              <w:rPr>
                <w:rFonts w:hint="eastAsia" w:ascii="宋体" w:hAnsi="宋体" w:eastAsia="宋体" w:cs="宋体"/>
                <w:szCs w:val="21"/>
              </w:rPr>
              <w:t>内置广播级非线性编辑系统，可直接进行后期剪辑编辑</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23</w:t>
            </w:r>
            <w:r>
              <w:rPr>
                <w:rFonts w:hint="eastAsia" w:ascii="宋体" w:hAnsi="宋体" w:eastAsia="宋体" w:cs="宋体"/>
                <w:szCs w:val="21"/>
                <w:lang w:eastAsia="zh-CN"/>
              </w:rPr>
              <w:t>.</w:t>
            </w:r>
            <w:r>
              <w:rPr>
                <w:rFonts w:hint="eastAsia" w:ascii="宋体" w:hAnsi="宋体" w:eastAsia="宋体" w:cs="宋体"/>
                <w:szCs w:val="21"/>
              </w:rPr>
              <w:t>支持多通道录制，不少于10路；可以选择文件格式和编码格式；录制文件封装格式支持AVI、MP4、MXF、MOV、MKV、FLV、TS等；编码格式需要支持MPGE2I、H.264、H.265等；支持分段录制、带通道文件录制、Clean信号录制功能</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24</w:t>
            </w:r>
            <w:r>
              <w:rPr>
                <w:rFonts w:hint="eastAsia" w:ascii="宋体" w:hAnsi="宋体" w:eastAsia="宋体" w:cs="宋体"/>
                <w:szCs w:val="21"/>
                <w:lang w:eastAsia="zh-CN"/>
              </w:rPr>
              <w:t>.</w:t>
            </w:r>
            <w:r>
              <w:rPr>
                <w:rFonts w:hint="eastAsia" w:ascii="宋体" w:hAnsi="宋体" w:eastAsia="宋体" w:cs="宋体"/>
                <w:szCs w:val="21"/>
              </w:rPr>
              <w:t>联网使用时，在录制PGM信号的同时可将PGM信号中的声音自动转成SRT字幕文件，该文件放置在录制文件夹中加以保存</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25</w:t>
            </w:r>
            <w:r>
              <w:rPr>
                <w:rFonts w:hint="eastAsia" w:ascii="宋体" w:hAnsi="宋体" w:eastAsia="宋体" w:cs="宋体"/>
                <w:szCs w:val="21"/>
                <w:lang w:eastAsia="zh-CN"/>
              </w:rPr>
              <w:t>.</w:t>
            </w:r>
            <w:r>
              <w:rPr>
                <w:rFonts w:hint="eastAsia" w:ascii="宋体" w:hAnsi="宋体" w:eastAsia="宋体" w:cs="宋体"/>
                <w:szCs w:val="21"/>
              </w:rPr>
              <w:t>支持录制保护功能，录制过程中断电重启，之前录制的节目不受影响，确保录制节目安全</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26</w:t>
            </w:r>
            <w:r>
              <w:rPr>
                <w:rFonts w:hint="eastAsia" w:ascii="宋体" w:hAnsi="宋体" w:eastAsia="宋体" w:cs="宋体"/>
                <w:szCs w:val="21"/>
                <w:lang w:eastAsia="zh-CN"/>
              </w:rPr>
              <w:t>.</w:t>
            </w:r>
            <w:r>
              <w:rPr>
                <w:rFonts w:hint="eastAsia" w:ascii="宋体" w:hAnsi="宋体" w:eastAsia="宋体" w:cs="宋体"/>
                <w:szCs w:val="21"/>
              </w:rPr>
              <w:t>支持录制后生成带切换点信息的故事板工程交互文件，交互文件自动保存，后续可直接导入非编便于后期二次编辑。将不同的输入信号分别排列在故事板不同的轨道上，并显示各输入信号的切点，而PGM视音频作为BG轨道排列在故事板最下方，用于为后期编辑提供参考</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27</w:t>
            </w:r>
            <w:r>
              <w:rPr>
                <w:rFonts w:hint="eastAsia" w:ascii="宋体" w:hAnsi="宋体" w:eastAsia="宋体" w:cs="宋体"/>
                <w:szCs w:val="21"/>
                <w:lang w:eastAsia="zh-CN"/>
              </w:rPr>
              <w:t>.</w:t>
            </w:r>
            <w:r>
              <w:rPr>
                <w:rFonts w:hint="eastAsia" w:ascii="宋体" w:hAnsi="宋体" w:eastAsia="宋体" w:cs="宋体"/>
                <w:b/>
                <w:bCs/>
                <w:szCs w:val="21"/>
              </w:rPr>
              <w:t>系统支持短视频截取及多平台发布，无需浏览器，在软件中的“授权”界面即可添加各个平台的授权账号，添加账号数量不限。在软件中“综合”界面可以显示已发布视频在抖音、快手、哔哩哔哩等多个主流媒体平台上的多种数据，如发布量、播放量、点赞数、转发量、评论数等，并采用饼状图、曲线、数据等方式呈现</w:t>
            </w:r>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28</w:t>
            </w:r>
            <w:r>
              <w:rPr>
                <w:rFonts w:hint="eastAsia" w:ascii="宋体" w:hAnsi="宋体" w:eastAsia="宋体" w:cs="宋体"/>
                <w:szCs w:val="21"/>
                <w:lang w:eastAsia="zh-CN"/>
              </w:rPr>
              <w:t>.</w:t>
            </w:r>
            <w:r>
              <w:rPr>
                <w:rFonts w:hint="eastAsia" w:ascii="宋体" w:hAnsi="宋体" w:eastAsia="宋体" w:cs="宋体"/>
                <w:szCs w:val="21"/>
              </w:rPr>
              <w:t>支持“拆条发布”。直播时可选择“拆条发布”，拆条时长可选择5秒、10秒、15秒，根据选择的时长可往前截取相应时长的内容自动生成视频文件，并自动加载到发布列表中。发布列表中的视频可同时发布到不同自媒体平台，例如抖音、快手、BILIBILI等</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29</w:t>
            </w:r>
            <w:r>
              <w:rPr>
                <w:rFonts w:hint="eastAsia" w:ascii="宋体" w:hAnsi="宋体" w:eastAsia="宋体" w:cs="宋体"/>
                <w:szCs w:val="21"/>
                <w:lang w:eastAsia="zh-CN"/>
              </w:rPr>
              <w:t>.</w:t>
            </w:r>
            <w:r>
              <w:rPr>
                <w:rFonts w:hint="eastAsia" w:ascii="宋体" w:hAnsi="宋体" w:eastAsia="宋体" w:cs="宋体"/>
                <w:b/>
                <w:bCs/>
                <w:szCs w:val="21"/>
              </w:rPr>
              <w:t>对列表中每条视频可以打点处理，列表中素材可实现顺序播放、循环播放、断点播放等模式，并可改变每条素材的播放速度，30%-200%任意调整。发布列表中可显示发布平台、发布状态、任务状态等内容，发布状态包括正在发布、已发布，任务状态包括正常、异常</w:t>
            </w:r>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30</w:t>
            </w:r>
            <w:r>
              <w:rPr>
                <w:rFonts w:hint="eastAsia" w:ascii="宋体" w:hAnsi="宋体" w:eastAsia="宋体" w:cs="宋体"/>
                <w:szCs w:val="21"/>
                <w:lang w:eastAsia="zh-CN"/>
              </w:rPr>
              <w:t>.</w:t>
            </w:r>
            <w:r>
              <w:rPr>
                <w:rFonts w:hint="eastAsia" w:ascii="宋体" w:hAnsi="宋体" w:eastAsia="宋体" w:cs="宋体"/>
                <w:szCs w:val="21"/>
              </w:rPr>
              <w:t>系统提供软件在线升级。主机联网后点击“版本更新”，软件自动搜索最新版本，如有最新版本则将软件名称、新版本号等信息显示在软件界面中。点击“开始下载”将最新版本下载到本地并自动完成安装，下载过程和安装过程均有进度条提示，在日志窗口中显示下载完成、验证通过、安装成功等信息提示。如果没有新版本，则在日志窗口中提示已经是最新版本</w:t>
            </w:r>
            <w:r>
              <w:rPr>
                <w:rFonts w:hint="eastAsia" w:ascii="宋体" w:hAnsi="宋体" w:eastAsia="宋体" w:cs="宋体"/>
                <w:szCs w:val="21"/>
                <w:lang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31</w:t>
            </w:r>
            <w:r>
              <w:rPr>
                <w:rFonts w:hint="eastAsia" w:ascii="宋体" w:hAnsi="宋体" w:eastAsia="宋体" w:cs="宋体"/>
                <w:szCs w:val="21"/>
                <w:lang w:eastAsia="zh-CN"/>
              </w:rPr>
              <w:t>.</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全功能控制面板</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1.具备一键抓取静帧，可实时抓取主输出上视频的静帧；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2.按钮能够显示白、红、黄、蓝、绿五种基本颜色，提供至少</w:t>
            </w:r>
            <w:r>
              <w:rPr>
                <w:rFonts w:hint="eastAsia" w:ascii="宋体" w:hAnsi="宋体" w:eastAsia="宋体" w:cs="宋体"/>
                <w:szCs w:val="21"/>
                <w:highlight w:val="none"/>
              </w:rPr>
              <w:t>58个功</w:t>
            </w:r>
            <w:r>
              <w:rPr>
                <w:rFonts w:hint="eastAsia" w:ascii="宋体" w:hAnsi="宋体" w:eastAsia="宋体" w:cs="宋体"/>
                <w:szCs w:val="21"/>
              </w:rPr>
              <w:t>能按键</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3.含有至少</w:t>
            </w:r>
            <w:r>
              <w:rPr>
                <w:rFonts w:hint="eastAsia" w:ascii="宋体" w:hAnsi="宋体" w:eastAsia="宋体" w:cs="宋体"/>
                <w:szCs w:val="21"/>
                <w:highlight w:val="none"/>
              </w:rPr>
              <w:t xml:space="preserve">2×12 </w:t>
            </w:r>
            <w:r>
              <w:rPr>
                <w:rFonts w:hint="eastAsia" w:ascii="宋体" w:hAnsi="宋体" w:eastAsia="宋体" w:cs="宋体"/>
                <w:szCs w:val="21"/>
              </w:rPr>
              <w:t>路切换按键：通过按键可直接切换节目母线，预置母线，虚拟场景源信号；</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4.具备不少于 10 个自定义相位按键用来实现摄像机推拉摇移的效果；</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5.推动半圆形 T-Bar 可手动切换场景；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6.具备实现主输出与预输出之间切换的按键；</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7.具备交叉叠化键，用来实现主输出与预输出之间交叉叠化的切换效果；</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8.含有至少10个音频旋钮，可调节信号源及最终信号的音频；</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9.具备一键流媒体功能，用来触发视频的网络直播；</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10.具备一键录制功能，用来录制视频</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11.</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桌面级硬盘阵列系统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企业级网络存储服务器（NAS/SAN一体或专用录像存储型）：系统层面提供细粒度权限管控与安全共享机制</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支持基于账户与文件对象设置访问规则，并可通过群组方式进行批量权限下发；</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完整支持不少于 13 种 ACL 权限规则，且在 Windows / macOS 本地权限语义及 SMB 等文件共享协议下均能正确生效，保证多平台协作的一致性；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内置操作审计日志，可实时记录账户关键行为（登录、访问、修改/删除、权限变更等），用于追溯与合规核查，降低机密数据外泄风险；</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备份子系统采用企业级增量备份机制，通过异动区块追踪（块级增量）仅同步发生变化的数据区块，显著减少备份窗口与带宽占用，提高存储效率与RPO可控性</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硬件平台配置：处理器为 ≥Intel同级四核 x86架构（基准2.0GHz，睿频可至≥2.7GHz）；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外部接口配置 ≥2×USB 3.2 Gen1、≥1×2.5GbE RJ45、≥1×1GbE RJ45；</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8.</w:t>
            </w:r>
            <w:r>
              <w:rPr>
                <w:rFonts w:hint="eastAsia" w:ascii="宋体" w:hAnsi="宋体" w:eastAsia="宋体" w:cs="宋体"/>
                <w:szCs w:val="21"/>
              </w:rPr>
              <w:t>机内提供 ≥2个2.5英寸SSD硬盘槽位，可用于缓存/系统/录像高速存储</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支持对本机硬盘进行初始化/格式化，单盘标识容量 ≥1TB；</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10.</w:t>
            </w:r>
            <w:r>
              <w:rPr>
                <w:rFonts w:hint="eastAsia" w:ascii="宋体" w:hAnsi="宋体" w:eastAsia="宋体" w:cs="宋体"/>
                <w:szCs w:val="21"/>
              </w:rPr>
              <w:t>配套提供2块监控级3.5英寸企业硬盘（单块容量≥8TB）</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11.</w:t>
            </w:r>
            <w:r>
              <w:rPr>
                <w:rFonts w:hint="eastAsia" w:ascii="宋体" w:hAnsi="宋体" w:eastAsia="宋体" w:cs="宋体"/>
                <w:szCs w:val="21"/>
              </w:rPr>
              <w:t>满足7×24小时写入与多路视频并发录像/多版本备份的吞吐与可靠性要求</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12.</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绿箱安装制作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高清虚拟抠像绿箱系统（定制安装型）：整体刚性强、无晃动；基层为高强度拼装基层板，表面平整度误差≤2mm/㎡，接缝处做无缝拼接与补土打磨处理，确保抠像背景无阴影断层；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绿箱工作面采用广电级高清抠像绿漆（Pantone 354C或等效色值），涂层均匀无反光、无色差，色彩饱和度与亮度满足虚拟演播室抠像要求；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配套蓝绿双色抠像地垫，铺设后平整无卷边；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系统按现场实际尺寸定制加工与安装，完工后绿箱与地垫衔接自然、无漏光缝隙；</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ascii="宋体" w:hAnsi="宋体" w:eastAsia="宋体" w:cs="宋体"/>
                <w:szCs w:val="21"/>
              </w:rPr>
              <w:t>整体符合GY/T 155-2000《演播室高清晰度电视数字视频信号接口》等相关标准要求</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6.</w:t>
            </w:r>
            <w:r>
              <w:rPr>
                <w:rFonts w:ascii="宋体" w:hAnsi="宋体" w:eastAsia="宋体" w:cs="宋体"/>
                <w:szCs w:val="21"/>
              </w:rPr>
              <w:t>验收以实拍抠像效果（边缘无毛刺、无溢色、人物与背景融合自然）为准</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高清信号分配器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1.</w:t>
            </w:r>
            <w:r>
              <w:rPr>
                <w:rFonts w:hint="eastAsia" w:ascii="宋体" w:hAnsi="宋体" w:eastAsia="宋体" w:cs="Times New Roman"/>
                <w:szCs w:val="21"/>
              </w:rPr>
              <w:t>功能参数满足以上系统正常运行使用的信号分配的</w:t>
            </w:r>
            <w:r>
              <w:rPr>
                <w:rFonts w:ascii="宋体" w:hAnsi="宋体" w:eastAsia="宋体" w:cs="Times New Roman"/>
                <w:szCs w:val="21"/>
              </w:rPr>
              <w:t>Mini Converter</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rPr>
              <w:t>SDI Distribution信号分配器</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2.</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4套。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hint="default" w:ascii="宋体" w:hAnsi="宋体" w:eastAsia="宋体" w:cs="宋体"/>
                <w:b/>
                <w:bCs/>
                <w:color w:val="000000"/>
                <w:kern w:val="0"/>
                <w:szCs w:val="21"/>
                <w:lang w:val="en-US" w:eastAsia="zh-CN" w:bidi="ar"/>
              </w:rPr>
            </w:pPr>
            <w:r>
              <w:rPr>
                <w:rFonts w:hint="eastAsia" w:ascii="宋体" w:hAnsi="宋体" w:eastAsia="宋体" w:cs="Times New Roman"/>
                <w:szCs w:val="21"/>
                <w:lang w:val="en-US" w:eastAsia="zh-CN"/>
              </w:rPr>
              <w:t>20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szCs w:val="21"/>
              </w:rPr>
            </w:pPr>
            <w:r>
              <w:rPr>
                <w:rFonts w:ascii="宋体" w:hAnsi="宋体" w:eastAsia="宋体" w:cs="Times New Roman"/>
                <w:szCs w:val="21"/>
              </w:rPr>
              <w:t>调音台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用于演播室音频混音的模拟调音台（输入通道≥16路，</w:t>
            </w:r>
            <w:r>
              <w:rPr>
                <w:rFonts w:ascii="宋体" w:hAnsi="宋体" w:eastAsia="宋体" w:cs="Times New Roman"/>
                <w:szCs w:val="21"/>
              </w:rPr>
              <w:t>不得为纯数字DSP混音台/不得为蓝牙娱乐混音器：其中话筒输入≥10路、线路输入≥16路，单声道输入通道≥8路（Combo口/XLR+TRS共用），另设≥4路立体声线路输入通道；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总线结构：编组母线≥4组 + 立体声主输出母线</w:t>
            </w:r>
            <w:r>
              <w:rPr>
                <w:rFonts w:ascii="Times New Roman" w:hAnsi="Times New Roman" w:eastAsia="宋体" w:cs="Times New Roman"/>
                <w:szCs w:val="24"/>
              </w:rPr>
              <w:t>≥</w:t>
            </w:r>
            <w:r>
              <w:rPr>
                <w:rFonts w:ascii="宋体" w:hAnsi="宋体" w:eastAsia="宋体" w:cs="Times New Roman"/>
                <w:szCs w:val="21"/>
              </w:rPr>
              <w:t>1组，AUX辅助发送≥4路（其中≥1路可作内置效果返回复用）；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麦克风前置放大器采用A类离散式增益级设计（倒相达林顿式高转换速率话放电路），标称等效输入噪声优于-125 dBu量级；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单声道通道功能应包含：PAD衰减开关（-26 dB级）、高通滤波器（≈80 Hz，12 dB/oct）、3段参量EQ（高/低频为搁架式、中频为峰谷式可调频段），并具备单旋钮动态压缩控制（阈值+比率联动调节）；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整机应提供可全局切换+48V幻象电源（所有话筒通道统一供电），输出侧具备XLR平衡主输出及编组输出/监听输出/AUX发送等完整接口组；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内置数字多效果引擎，预置效果程序≥24组（含混响/延迟/调制类等），带参数调节与脚踏开关接口（FX bypass）；集成USB Audio双向数字音频接口，规格不低于24-bit / 最高采样率≥192 kHz，实现≥2进/2出计算机音频收发（兼容Windows/macOS，免驱或提供驱动支持）；</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7.</w:t>
            </w:r>
            <w:r>
              <w:rPr>
                <w:rFonts w:ascii="宋体" w:hAnsi="宋体" w:eastAsia="宋体" w:cs="Times New Roman"/>
                <w:szCs w:val="21"/>
              </w:rPr>
              <w:t>机箱为金属机壳，内置宽电压全球通用电源（AC 100–240V）</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随设备附机架安装附件套件；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9.</w:t>
            </w:r>
            <w:r>
              <w:rPr>
                <w:rFonts w:ascii="宋体" w:hAnsi="宋体" w:eastAsia="宋体" w:cs="Times New Roman"/>
                <w:szCs w:val="21"/>
              </w:rPr>
              <w:t>功耗≤30 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10.</w:t>
            </w:r>
            <w:r>
              <w:rPr>
                <w:rFonts w:ascii="宋体" w:hAnsi="宋体" w:eastAsia="宋体" w:cs="Times New Roman"/>
                <w:szCs w:val="21"/>
              </w:rPr>
              <w:t>工作温度0–40℃</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szCs w:val="21"/>
                <w:lang w:val="en-US" w:eastAsia="zh-CN"/>
              </w:rPr>
            </w:pPr>
            <w:r>
              <w:rPr>
                <w:rFonts w:hint="eastAsia" w:ascii="宋体" w:hAnsi="宋体" w:eastAsia="宋体" w:cs="Times New Roman"/>
                <w:szCs w:val="21"/>
                <w:lang w:val="en-US" w:eastAsia="zh-CN"/>
              </w:rPr>
              <w:t>11.</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hint="default" w:ascii="宋体" w:hAnsi="宋体" w:eastAsia="宋体" w:cs="宋体"/>
                <w:b/>
                <w:bCs/>
                <w:color w:val="000000"/>
                <w:kern w:val="0"/>
                <w:szCs w:val="21"/>
                <w:lang w:val="en-US" w:eastAsia="zh-CN" w:bidi="ar"/>
              </w:rPr>
            </w:pPr>
            <w:r>
              <w:rPr>
                <w:rFonts w:hint="eastAsia" w:ascii="宋体" w:hAnsi="宋体" w:eastAsia="宋体" w:cs="Times New Roman"/>
                <w:szCs w:val="21"/>
                <w:lang w:val="en-US" w:eastAsia="zh-CN"/>
              </w:rPr>
              <w:t>21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szCs w:val="21"/>
              </w:rPr>
            </w:pPr>
            <w:r>
              <w:rPr>
                <w:rFonts w:ascii="宋体" w:hAnsi="宋体" w:eastAsia="宋体" w:cs="Times New Roman"/>
                <w:szCs w:val="21"/>
              </w:rPr>
              <w:t>广播级无线领夹话筒</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广播级无线领夹式话筒系统</w:t>
            </w:r>
            <w:r>
              <w:rPr>
                <w:rFonts w:ascii="宋体" w:hAnsi="宋体" w:eastAsia="宋体" w:cs="Times New Roman"/>
                <w:szCs w:val="21"/>
              </w:rPr>
              <w:t>：集成双无线通道与快速频率扫描（QuickScan）功能，</w:t>
            </w:r>
            <w:r>
              <w:rPr>
                <w:rFonts w:ascii="Times New Roman" w:hAnsi="Times New Roman" w:eastAsia="宋体" w:cs="Times New Roman"/>
                <w:szCs w:val="24"/>
              </w:rPr>
              <w:t>具备≥100个可切换频率信道</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Times New Roman" w:hAnsi="Times New Roman" w:eastAsia="宋体" w:cs="Times New Roman"/>
                <w:szCs w:val="24"/>
                <w:lang w:val="en-US" w:eastAsia="zh-CN"/>
              </w:rPr>
              <w:t>2.</w:t>
            </w:r>
            <w:r>
              <w:rPr>
                <w:rFonts w:ascii="Times New Roman" w:hAnsi="Times New Roman" w:eastAsia="宋体" w:cs="Times New Roman"/>
                <w:szCs w:val="24"/>
              </w:rPr>
              <w:t>支持自动扫频选频以规避干扰</w:t>
            </w:r>
            <w:r>
              <w:rPr>
                <w:rFonts w:hint="eastAsia" w:ascii="Times New Roman" w:hAnsi="Times New Roman" w:eastAsia="宋体" w:cs="Times New Roman"/>
                <w:szCs w:val="24"/>
              </w:rPr>
              <w:t>，</w:t>
            </w:r>
            <w:r>
              <w:rPr>
                <w:rFonts w:ascii="宋体" w:hAnsi="宋体" w:eastAsia="宋体" w:cs="Times New Roman"/>
                <w:szCs w:val="21"/>
              </w:rPr>
              <w:t>可自动检测并锁定可用洁净频点，简化多套系统部署流程；</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3.</w:t>
            </w:r>
            <w:r>
              <w:rPr>
                <w:rFonts w:ascii="宋体" w:hAnsi="宋体" w:eastAsia="宋体" w:cs="Times New Roman"/>
                <w:szCs w:val="21"/>
              </w:rPr>
              <w:t>发射端采用腰包式便携设计</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配备高灵敏度全向领夹式电容话筒（心形/全向可选），拾音清晰自然，频响范围覆盖人声核心频段；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接收机为双通道独立处理架构，每通道均支持XLR平衡输出与6.35mm非平衡输出，可直接接入调音台或音频处理器；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系统具备即插即用特性，开机自动同步频率，无需复杂配置；</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7.</w:t>
            </w:r>
            <w:r>
              <w:rPr>
                <w:rFonts w:ascii="宋体" w:hAnsi="宋体" w:eastAsia="宋体" w:cs="Times New Roman"/>
                <w:szCs w:val="21"/>
              </w:rPr>
              <w:t>信噪比≥100dB（A加权），总谐波失真≤0.5%@1kHz，动态范围≥110dB，确保语音还原清晰、无杂音；</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发射机采用两节AA电池供电，续航时间≥8小时（典型使用条件下），</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9.</w:t>
            </w:r>
            <w:r>
              <w:rPr>
                <w:rFonts w:ascii="宋体" w:hAnsi="宋体" w:eastAsia="宋体" w:cs="Times New Roman"/>
                <w:szCs w:val="21"/>
              </w:rPr>
              <w:t>接收机支持DC 12-18V宽电压输入，适配机柜集中供电；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10.</w:t>
            </w:r>
            <w:r>
              <w:rPr>
                <w:rFonts w:ascii="宋体" w:hAnsi="宋体" w:eastAsia="宋体" w:cs="Times New Roman"/>
                <w:szCs w:val="21"/>
              </w:rPr>
              <w:t>整机结构坚固耐用，发射机</w:t>
            </w:r>
            <w:r>
              <w:rPr>
                <w:rFonts w:hint="eastAsia" w:ascii="宋体" w:hAnsi="宋体" w:eastAsia="宋体" w:cs="Times New Roman"/>
                <w:szCs w:val="21"/>
              </w:rPr>
              <w:t>需要</w:t>
            </w:r>
            <w:r>
              <w:rPr>
                <w:rFonts w:ascii="宋体" w:hAnsi="宋体" w:eastAsia="宋体" w:cs="Times New Roman"/>
                <w:szCs w:val="21"/>
              </w:rPr>
              <w:t>重量轻、佩戴舒适，接收机满足专业场所对稳定性与易用性的双重要求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11.</w:t>
            </w:r>
            <w:r>
              <w:rPr>
                <w:rFonts w:hint="eastAsia" w:ascii="宋体" w:hAnsi="宋体" w:eastAsia="宋体" w:cs="Times New Roman"/>
                <w:szCs w:val="21"/>
              </w:rPr>
              <w:t>接收机一拖二发射机为1套</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Times New Roman"/>
                <w:szCs w:val="21"/>
                <w:lang w:val="en-US" w:eastAsia="zh-CN"/>
              </w:rPr>
              <w:t>12.</w:t>
            </w:r>
            <w:r>
              <w:rPr>
                <w:rFonts w:hint="eastAsia" w:ascii="宋体" w:hAnsi="宋体" w:eastAsia="宋体" w:cs="Times New Roman"/>
                <w:szCs w:val="21"/>
              </w:rPr>
              <w:t>数</w:t>
            </w:r>
            <w:r>
              <w:rPr>
                <w:rFonts w:hint="eastAsia" w:ascii="宋体" w:hAnsi="宋体" w:eastAsia="宋体" w:cs="Times New Roman"/>
                <w:color w:val="auto"/>
                <w:szCs w:val="21"/>
              </w:rPr>
              <w:t>量为</w:t>
            </w:r>
            <w:r>
              <w:rPr>
                <w:rFonts w:hint="eastAsia" w:ascii="宋体" w:hAnsi="宋体" w:eastAsia="宋体" w:cs="Times New Roman"/>
                <w:color w:val="auto"/>
                <w:szCs w:val="21"/>
                <w:lang w:eastAsia="zh-CN"/>
              </w:rPr>
              <w:t>不少于</w:t>
            </w:r>
            <w:r>
              <w:rPr>
                <w:rFonts w:hint="eastAsia" w:ascii="宋体" w:hAnsi="宋体" w:eastAsia="宋体" w:cs="Times New Roman"/>
                <w:color w:val="auto"/>
                <w:szCs w:val="21"/>
                <w:lang w:val="en-US" w:eastAsia="zh-CN"/>
              </w:rPr>
              <w:t>2</w:t>
            </w:r>
            <w:r>
              <w:rPr>
                <w:rFonts w:hint="eastAsia" w:ascii="宋体" w:hAnsi="宋体" w:eastAsia="宋体" w:cs="Times New Roman"/>
                <w:color w:val="auto"/>
                <w:szCs w:val="21"/>
              </w:rPr>
              <w:t>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监听音箱</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1.用于演播室音频监听的近场有源监听音箱：​低频单元≥5英寸锥形，高频单元≥1英寸球形（半球形）架构；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2.由独立双功放驱动（低频≥45W、高频≥25W，合计额定输出≥70W）；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3.频率响应54Hz–30kHz（-10dB）；核心平直响应区间74Hz–24kHz（-3dB）；分频点设于2kHz；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4.支持+4dBu/-10dBV灵敏度切换（默认-10dBV），输入阻抗≥10kΩ（平衡）；</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5.输入接口配置XLR平衡与TRS 6.35mm（平衡/非平衡兼容）双输入口；</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6.背板设ROOM CONTROL（房间声学补偿，-2/-4dB @&lt;500Hz）与HIGH TRIM（高频微调，±2dB @&gt;2kHz）控制器，适配不同声学环境；</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7.定位为专业录音棚、播出音频区及视音频制作室的高保真近场监听使用；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8.单只重量≥5kg；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rPr>
              <w:t>9.数量不少于2</w:t>
            </w:r>
            <w:r>
              <w:rPr>
                <w:rFonts w:ascii="宋体" w:hAnsi="宋体" w:eastAsia="宋体" w:cs="宋体"/>
                <w:szCs w:val="21"/>
              </w:rPr>
              <w:t>支</w:t>
            </w:r>
            <w:r>
              <w:rPr>
                <w:rFonts w:hint="eastAsia" w:ascii="宋体" w:hAnsi="宋体" w:eastAsia="宋体" w:cs="宋体"/>
                <w:szCs w:val="21"/>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监听耳机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用于录音/播出音频区监听的封闭式专业监听耳机</w:t>
            </w:r>
            <w:r>
              <w:rPr>
                <w:rFonts w:ascii="宋体" w:hAnsi="宋体" w:eastAsia="宋体" w:cs="Times New Roman"/>
                <w:szCs w:val="21"/>
              </w:rPr>
              <w:t>：封闭式/半开放式设计</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频响范围10Hz–25kHz</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3.</w:t>
            </w:r>
            <w:r>
              <w:rPr>
                <w:rFonts w:ascii="宋体" w:hAnsi="宋体" w:eastAsia="宋体" w:cs="Times New Roman"/>
                <w:szCs w:val="21"/>
              </w:rPr>
              <w:t>额定阻抗≤80Ω</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4.</w:t>
            </w:r>
            <w:r>
              <w:rPr>
                <w:rFonts w:ascii="宋体" w:hAnsi="宋体" w:eastAsia="宋体" w:cs="Times New Roman"/>
                <w:szCs w:val="21"/>
              </w:rPr>
              <w:t>灵敏度≥94dB/mW</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最大输入功率≥500mW；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须采用单侧出线设计，线缆长度≥2.5m且接口为3.5mm立体声插头（配6.35mm转接适配器）；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7.</w:t>
            </w:r>
            <w:r>
              <w:rPr>
                <w:rFonts w:ascii="宋体" w:hAnsi="宋体" w:eastAsia="宋体" w:cs="Times New Roman"/>
                <w:szCs w:val="21"/>
              </w:rPr>
              <w:t>耳罩须为包耳式设计并采用透气缓压材质，适合长时间佩戴监听使用；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头梁须为自适应调节结构；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9.</w:t>
            </w:r>
            <w:r>
              <w:rPr>
                <w:rFonts w:ascii="宋体" w:hAnsi="宋体" w:eastAsia="宋体" w:cs="Times New Roman"/>
                <w:szCs w:val="21"/>
              </w:rPr>
              <w:t>整机重量≤280g</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10.</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3个。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提词器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Times New Roman" w:hAnsi="Times New Roman" w:eastAsia="宋体" w:cs="Times New Roman"/>
                <w:szCs w:val="24"/>
              </w:rPr>
              <w:t>1.</w:t>
            </w:r>
            <w:r>
              <w:rPr>
                <w:rFonts w:ascii="Times New Roman" w:hAnsi="Times New Roman" w:eastAsia="宋体" w:cs="Times New Roman"/>
                <w:szCs w:val="24"/>
              </w:rPr>
              <w:t>用于演播室摄像机实时读稿的广播级提词器系统（32英寸级）</w:t>
            </w:r>
            <w:r>
              <w:rPr>
                <w:rFonts w:ascii="宋体" w:hAnsi="宋体" w:eastAsia="宋体" w:cs="Times New Roman"/>
                <w:szCs w:val="21"/>
              </w:rPr>
              <w:t>：结构采用全手拧免工具调节设计</w:t>
            </w:r>
            <w:r>
              <w:rPr>
                <w:rFonts w:hint="eastAsia"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支持多档位安装方式，可实现镜像屏俯仰角度调节、摄像机前后距离微调及摄像机高度升降，快速适配不同机身与镜头组合；</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光学系统配置≥2mm专业镀膜无色分光镜</w:t>
            </w:r>
            <w:r>
              <w:rPr>
                <w:rFonts w:hint="eastAsia"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采用多介质膜消色差超薄增透工艺，具备防眩光高亮显示技术，光学透过率≥85%，分光比2:8（透:反），光损失＜3%，透反率比</w:t>
            </w:r>
            <w:r>
              <w:rPr>
                <w:rFonts w:hint="eastAsia" w:ascii="宋体" w:hAnsi="宋体" w:eastAsia="宋体" w:cs="Times New Roman"/>
                <w:szCs w:val="21"/>
              </w:rPr>
              <w:t>至少满足</w:t>
            </w:r>
            <w:r>
              <w:rPr>
                <w:rFonts w:ascii="宋体" w:hAnsi="宋体" w:eastAsia="宋体" w:cs="Times New Roman"/>
                <w:szCs w:val="21"/>
              </w:rPr>
              <w:t>1:0.35，确保主播视线与文稿高度重合且无重影；</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5.</w:t>
            </w:r>
            <w:r>
              <w:rPr>
                <w:rFonts w:ascii="宋体" w:hAnsi="宋体" w:eastAsia="宋体" w:cs="Times New Roman"/>
                <w:szCs w:val="21"/>
              </w:rPr>
              <w:t>显示单元</w:t>
            </w:r>
            <w:r>
              <w:rPr>
                <w:rFonts w:hint="eastAsia" w:ascii="宋体" w:hAnsi="宋体" w:eastAsia="宋体" w:cs="Times New Roman"/>
                <w:szCs w:val="21"/>
              </w:rPr>
              <w:t>使用</w:t>
            </w:r>
            <w:r>
              <w:rPr>
                <w:rFonts w:ascii="宋体" w:hAnsi="宋体" w:eastAsia="宋体" w:cs="Times New Roman"/>
                <w:szCs w:val="21"/>
              </w:rPr>
              <w:t>≥32英寸LED专业屏</w:t>
            </w:r>
            <w:r>
              <w:rPr>
                <w:rFonts w:hint="eastAsia" w:ascii="宋体" w:hAnsi="宋体" w:eastAsia="宋体" w:cs="Times New Roman"/>
                <w:szCs w:val="21"/>
              </w:rPr>
              <w:t>；</w:t>
            </w:r>
            <w:r>
              <w:rPr>
                <w:rFonts w:ascii="宋体" w:hAnsi="宋体" w:eastAsia="宋体" w:cs="Times New Roman"/>
                <w:szCs w:val="21"/>
              </w:rPr>
              <w:t xml:space="preserve">分辨率≥1920×1080，亮度≥250cd/m²，水平视角≥140°/垂直视角≥130°，接口含VGA+HDMI双输入，可直接连接PC播控； </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6.</w:t>
            </w:r>
            <w:r>
              <w:rPr>
                <w:rFonts w:ascii="宋体" w:hAnsi="宋体" w:eastAsia="宋体" w:cs="Times New Roman"/>
                <w:szCs w:val="21"/>
              </w:rPr>
              <w:t>提词软件兼容Windows XP/7/10系统，支持镜像显示、多人分色播出（不同主持人可独立设置字体/背景色）、滚动速度无级调节、字号/字体/字色/背景色自定义搭配；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7.</w:t>
            </w:r>
            <w:r>
              <w:rPr>
                <w:rFonts w:ascii="宋体" w:hAnsi="宋体" w:eastAsia="宋体" w:cs="Times New Roman"/>
                <w:szCs w:val="21"/>
              </w:rPr>
              <w:t>具备智能排版引擎，支持TXT/RTF/Word等文本及图片/PPT/视频等多媒体素材直接导入播出；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8.</w:t>
            </w:r>
            <w:r>
              <w:rPr>
                <w:rFonts w:ascii="宋体" w:hAnsi="宋体" w:eastAsia="宋体" w:cs="Times New Roman"/>
                <w:szCs w:val="21"/>
              </w:rPr>
              <w:t>软件内置多语种词库，支持英、日、韩、德、俄、法、阿拉伯文及藏、蒙、傣、维、朝鲜等少数民族语言实时混排；</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9.</w:t>
            </w:r>
            <w:r>
              <w:rPr>
                <w:rFonts w:ascii="宋体" w:hAnsi="宋体" w:eastAsia="宋体" w:cs="Times New Roman"/>
                <w:szCs w:val="21"/>
              </w:rPr>
              <w:t>控制方式灵活，支持手机/平板无线同屏控制（脱离电脑主机独立使用）、语音控制（文稿随语速自动同步进退）、键盘/鼠标/遥控器/有线无线脚踏等多种操控手段，支持单/双人协同控制及一键翻页；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10.</w:t>
            </w:r>
            <w:r>
              <w:rPr>
                <w:rFonts w:ascii="宋体" w:hAnsi="宋体" w:eastAsia="宋体" w:cs="Times New Roman"/>
                <w:szCs w:val="21"/>
              </w:rPr>
              <w:t>可对文稿、图片、PPT等素材执行一键上下左右镜像翻转；</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11.</w:t>
            </w:r>
            <w:r>
              <w:rPr>
                <w:rFonts w:ascii="宋体" w:hAnsi="宋体" w:eastAsia="宋体" w:cs="Times New Roman"/>
                <w:szCs w:val="21"/>
              </w:rPr>
              <w:t>配套专业铝合金三脚架，手动升降范围90cm（收纳）～185cm（展开）</w:t>
            </w:r>
            <w:r>
              <w:rPr>
                <w:rFonts w:hint="eastAsia"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12.</w:t>
            </w:r>
            <w:r>
              <w:rPr>
                <w:rFonts w:ascii="宋体" w:hAnsi="宋体" w:eastAsia="宋体" w:cs="Times New Roman"/>
                <w:szCs w:val="21"/>
              </w:rPr>
              <w:t>云台支持水平360°旋转，承重范围7～30kg，带重力自锁机构，确保拍摄稳定</w:t>
            </w:r>
            <w:r>
              <w:rPr>
                <w:rFonts w:hint="eastAsia"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rPr>
              <w:t>13.数量不少于1套。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提词器电脑</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ascii="宋体" w:hAnsi="宋体" w:eastAsia="宋体" w:cs="Times New Roman"/>
                <w:szCs w:val="21"/>
              </w:rPr>
              <w:t>台式播控/工作主机（塔式）：处理器≥Intel Core i7-13700同级或更优（16核24线程，基础频率≥2.1GHz，最大睿频≥5.2GHz，30MB Intel Smart Cache），平台芯片组配套</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系统内存≥16GB（DDR4-3200MHz或DDR5级）</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≥2个内存插槽并留扩展余量；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4.</w:t>
            </w:r>
            <w:r>
              <w:rPr>
                <w:rFonts w:ascii="宋体" w:hAnsi="宋体" w:eastAsia="宋体" w:cs="Times New Roman"/>
                <w:szCs w:val="21"/>
              </w:rPr>
              <w:t>存储配置≥1TB 7200rpm SATA机械硬盘 + ≥1TB SSD固态硬盘（SSD为主系统盘，HDD为辅存/素材盘）</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支持后续扩容；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独立显卡，显存≥2GB，具备标准显示输出接口（HDMI/DisplayPort），满足系统图形输出与多屏基础扩展需求；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7.</w:t>
            </w:r>
            <w:r>
              <w:rPr>
                <w:rFonts w:ascii="宋体" w:hAnsi="宋体" w:eastAsia="宋体" w:cs="Times New Roman"/>
                <w:szCs w:val="21"/>
              </w:rPr>
              <w:t>主机接口应包含USB×≥8（含USB 3.2/3.0高速口若干）、RJ45千兆网口×≥1、音频输入/输出，机箱为塔式（可入19寸机柜或直接台式放置）；</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随机配套24英寸显示器×1台，分辨率≥1920×1080，接口含HDMI（或DP）并配对应信号线；</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9.</w:t>
            </w:r>
            <w:r>
              <w:rPr>
                <w:rFonts w:ascii="宋体" w:hAnsi="宋体" w:eastAsia="宋体" w:cs="Times New Roman"/>
                <w:szCs w:val="21"/>
              </w:rPr>
              <w:t>随箱附电源线、键鼠套装及驱动环境</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10.</w:t>
            </w:r>
            <w:r>
              <w:rPr>
                <w:rFonts w:hint="eastAsia" w:ascii="宋体" w:hAnsi="宋体" w:eastAsia="宋体" w:cs="Times New Roman"/>
                <w:szCs w:val="21"/>
              </w:rPr>
              <w:t>数量</w:t>
            </w:r>
            <w:r>
              <w:rPr>
                <w:rFonts w:hint="eastAsia" w:ascii="宋体" w:hAnsi="宋体" w:eastAsia="宋体" w:cs="Times New Roman"/>
                <w:szCs w:val="21"/>
                <w:lang w:val="en-US" w:eastAsia="zh-CN"/>
              </w:rPr>
              <w:t>与题词器一致</w:t>
            </w:r>
            <w:r>
              <w:rPr>
                <w:rFonts w:hint="eastAsia" w:ascii="宋体" w:hAnsi="宋体" w:eastAsia="宋体" w:cs="Times New Roman"/>
                <w:szCs w:val="21"/>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1U GPS/BD2双模母钟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w:t>
            </w:r>
            <w:r>
              <w:rPr>
                <w:rFonts w:hint="eastAsia" w:ascii="宋体" w:hAnsi="宋体" w:eastAsia="宋体" w:cs="Times New Roman"/>
                <w:szCs w:val="21"/>
                <w:lang w:val="en-US" w:eastAsia="zh-CN"/>
              </w:rPr>
              <w:t>.</w:t>
            </w:r>
            <w:r>
              <w:rPr>
                <w:rFonts w:hint="eastAsia" w:ascii="宋体" w:hAnsi="宋体" w:eastAsia="宋体" w:cs="Times New Roman"/>
                <w:szCs w:val="21"/>
              </w:rPr>
              <w:t>配置内置式的GPS/BD2双模卫星信号接收模块；</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2</w:t>
            </w:r>
            <w:r>
              <w:rPr>
                <w:rFonts w:hint="eastAsia" w:ascii="宋体" w:hAnsi="宋体" w:eastAsia="宋体" w:cs="Times New Roman"/>
                <w:szCs w:val="21"/>
                <w:lang w:val="en-US" w:eastAsia="zh-CN"/>
              </w:rPr>
              <w:t>.</w:t>
            </w:r>
            <w:r>
              <w:rPr>
                <w:rFonts w:hint="eastAsia" w:ascii="宋体" w:hAnsi="宋体" w:eastAsia="宋体" w:cs="Times New Roman"/>
                <w:szCs w:val="21"/>
              </w:rPr>
              <w:t>内置充电电池及充电电路,在电池满充的情况下如果掉电可保证内部时钟守时半年；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3</w:t>
            </w:r>
            <w:r>
              <w:rPr>
                <w:rFonts w:hint="eastAsia" w:ascii="宋体" w:hAnsi="宋体" w:eastAsia="宋体" w:cs="Times New Roman"/>
                <w:szCs w:val="21"/>
                <w:lang w:val="en-US" w:eastAsia="zh-CN"/>
              </w:rPr>
              <w:t>.</w:t>
            </w:r>
            <w:r>
              <w:rPr>
                <w:rFonts w:hint="eastAsia" w:ascii="宋体" w:hAnsi="宋体" w:eastAsia="宋体" w:cs="Times New Roman"/>
                <w:szCs w:val="21"/>
              </w:rPr>
              <w:t>提供至少</w:t>
            </w:r>
            <w:r>
              <w:rPr>
                <w:rFonts w:hint="eastAsia" w:ascii="宋体" w:hAnsi="宋体" w:eastAsia="宋体" w:cs="Times New Roman"/>
                <w:szCs w:val="21"/>
                <w:highlight w:val="none"/>
              </w:rPr>
              <w:t>1路</w:t>
            </w:r>
            <w:r>
              <w:rPr>
                <w:rFonts w:hint="eastAsia" w:ascii="宋体" w:hAnsi="宋体" w:eastAsia="宋体" w:cs="Times New Roman"/>
                <w:szCs w:val="21"/>
              </w:rPr>
              <w:t>1PPS脉冲信号输出；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4</w:t>
            </w:r>
            <w:r>
              <w:rPr>
                <w:rFonts w:hint="eastAsia" w:ascii="宋体" w:hAnsi="宋体" w:eastAsia="宋体" w:cs="Times New Roman"/>
                <w:szCs w:val="21"/>
                <w:lang w:val="en-US" w:eastAsia="zh-CN"/>
              </w:rPr>
              <w:t>.</w:t>
            </w:r>
            <w:r>
              <w:rPr>
                <w:rFonts w:hint="eastAsia" w:ascii="宋体" w:hAnsi="宋体" w:eastAsia="宋体" w:cs="Times New Roman"/>
                <w:szCs w:val="21"/>
              </w:rPr>
              <w:t>提供至少</w:t>
            </w:r>
            <w:r>
              <w:rPr>
                <w:rFonts w:hint="eastAsia" w:ascii="宋体" w:hAnsi="宋体" w:eastAsia="宋体" w:cs="Times New Roman"/>
                <w:szCs w:val="21"/>
                <w:highlight w:val="none"/>
              </w:rPr>
              <w:t>1路</w:t>
            </w:r>
            <w:r>
              <w:rPr>
                <w:rFonts w:hint="eastAsia" w:ascii="宋体" w:hAnsi="宋体" w:eastAsia="宋体" w:cs="Times New Roman"/>
                <w:szCs w:val="21"/>
              </w:rPr>
              <w:t>LTC标准时码输出；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5</w:t>
            </w:r>
            <w:r>
              <w:rPr>
                <w:rFonts w:hint="eastAsia" w:ascii="宋体" w:hAnsi="宋体" w:eastAsia="宋体" w:cs="Times New Roman"/>
                <w:szCs w:val="21"/>
                <w:lang w:val="en-US" w:eastAsia="zh-CN"/>
              </w:rPr>
              <w:t>.</w:t>
            </w:r>
            <w:r>
              <w:rPr>
                <w:rFonts w:hint="eastAsia" w:ascii="宋体" w:hAnsi="宋体" w:eastAsia="宋体" w:cs="Times New Roman"/>
                <w:szCs w:val="21"/>
              </w:rPr>
              <w:t>提供至少</w:t>
            </w:r>
            <w:r>
              <w:rPr>
                <w:rFonts w:hint="eastAsia" w:ascii="宋体" w:hAnsi="宋体" w:eastAsia="宋体" w:cs="Times New Roman"/>
                <w:szCs w:val="21"/>
                <w:highlight w:val="none"/>
              </w:rPr>
              <w:t>1路</w:t>
            </w:r>
            <w:r>
              <w:rPr>
                <w:rFonts w:hint="eastAsia" w:ascii="宋体" w:hAnsi="宋体" w:eastAsia="宋体" w:cs="Times New Roman"/>
                <w:szCs w:val="21"/>
              </w:rPr>
              <w:t>RS232的当地标准时间码信号输出；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6</w:t>
            </w:r>
            <w:r>
              <w:rPr>
                <w:rFonts w:hint="eastAsia" w:ascii="宋体" w:hAnsi="宋体" w:eastAsia="宋体" w:cs="Times New Roman"/>
                <w:szCs w:val="21"/>
                <w:lang w:val="en-US" w:eastAsia="zh-CN"/>
              </w:rPr>
              <w:t>.</w:t>
            </w:r>
            <w:r>
              <w:rPr>
                <w:rFonts w:hint="eastAsia" w:ascii="宋体" w:hAnsi="宋体" w:eastAsia="宋体" w:cs="Times New Roman"/>
                <w:szCs w:val="21"/>
              </w:rPr>
              <w:t>提供至少</w:t>
            </w:r>
            <w:r>
              <w:rPr>
                <w:rFonts w:hint="eastAsia" w:ascii="宋体" w:hAnsi="宋体" w:eastAsia="宋体" w:cs="Times New Roman"/>
                <w:szCs w:val="21"/>
                <w:highlight w:val="none"/>
              </w:rPr>
              <w:t>2路</w:t>
            </w:r>
            <w:r>
              <w:rPr>
                <w:rFonts w:hint="eastAsia" w:ascii="宋体" w:hAnsi="宋体" w:eastAsia="宋体" w:cs="Times New Roman"/>
                <w:szCs w:val="21"/>
              </w:rPr>
              <w:t>RS485的当地标准时间码信号输出；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rPr>
              <w:t>7</w:t>
            </w:r>
            <w:r>
              <w:rPr>
                <w:rFonts w:hint="eastAsia" w:ascii="宋体" w:hAnsi="宋体" w:eastAsia="宋体" w:cs="Times New Roman"/>
                <w:szCs w:val="21"/>
                <w:lang w:val="en-US" w:eastAsia="zh-CN"/>
              </w:rPr>
              <w:t>.</w:t>
            </w:r>
            <w:r>
              <w:rPr>
                <w:rFonts w:hint="eastAsia" w:ascii="宋体" w:hAnsi="宋体" w:eastAsia="宋体" w:cs="Times New Roman"/>
                <w:szCs w:val="21"/>
              </w:rPr>
              <w:t>支持Windows9x/NT/2000/2003/2008/Win7/Win8/Win10 ；</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8</w:t>
            </w:r>
            <w:r>
              <w:rPr>
                <w:rFonts w:hint="eastAsia" w:ascii="宋体" w:hAnsi="宋体" w:eastAsia="宋体" w:cs="Times New Roman"/>
                <w:szCs w:val="21"/>
                <w:lang w:val="en-US" w:eastAsia="zh-CN"/>
              </w:rPr>
              <w:t>.</w:t>
            </w:r>
            <w:r>
              <w:rPr>
                <w:rFonts w:hint="eastAsia" w:ascii="宋体" w:hAnsi="宋体" w:eastAsia="宋体" w:cs="Times New Roman"/>
                <w:szCs w:val="21"/>
              </w:rPr>
              <w:t>GPS/BD2双模天线接口：BNC；</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9</w:t>
            </w:r>
            <w:r>
              <w:rPr>
                <w:rFonts w:hint="eastAsia" w:ascii="宋体" w:hAnsi="宋体" w:eastAsia="宋体" w:cs="Times New Roman"/>
                <w:szCs w:val="21"/>
                <w:lang w:val="en-US" w:eastAsia="zh-CN"/>
              </w:rPr>
              <w:t>.</w:t>
            </w:r>
            <w:r>
              <w:rPr>
                <w:rFonts w:hint="eastAsia" w:ascii="宋体" w:hAnsi="宋体" w:eastAsia="宋体" w:cs="Times New Roman"/>
                <w:szCs w:val="21"/>
              </w:rPr>
              <w:t>并行至少</w:t>
            </w:r>
            <w:r>
              <w:rPr>
                <w:rFonts w:hint="eastAsia" w:ascii="宋体" w:hAnsi="宋体" w:eastAsia="宋体" w:cs="Times New Roman"/>
                <w:szCs w:val="21"/>
                <w:highlight w:val="none"/>
              </w:rPr>
              <w:t>12</w:t>
            </w:r>
            <w:r>
              <w:rPr>
                <w:rFonts w:hint="eastAsia" w:ascii="宋体" w:hAnsi="宋体" w:eastAsia="宋体" w:cs="Times New Roman"/>
                <w:szCs w:val="21"/>
              </w:rPr>
              <w:t>通道，射频输入频率1559M~1577M, （BD2  B1波段，GPS  L1波段）；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10</w:t>
            </w:r>
            <w:r>
              <w:rPr>
                <w:rFonts w:hint="eastAsia" w:ascii="宋体" w:hAnsi="宋体" w:eastAsia="宋体" w:cs="Times New Roman"/>
                <w:szCs w:val="21"/>
                <w:lang w:val="en-US" w:eastAsia="zh-CN"/>
              </w:rPr>
              <w:t>.</w:t>
            </w:r>
            <w:r>
              <w:rPr>
                <w:rFonts w:hint="eastAsia" w:ascii="宋体" w:hAnsi="宋体" w:eastAsia="宋体" w:cs="Times New Roman"/>
                <w:szCs w:val="21"/>
              </w:rPr>
              <w:t>典型捕获时间2.0秒；典型热启动15秒，典型初始化启动45秒；典型冷启动 120秒；</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rPr>
              <w:t>11</w:t>
            </w:r>
            <w:r>
              <w:rPr>
                <w:rFonts w:hint="eastAsia" w:ascii="宋体" w:hAnsi="宋体" w:eastAsia="宋体" w:cs="Times New Roman"/>
                <w:szCs w:val="21"/>
                <w:lang w:val="en-US" w:eastAsia="zh-CN"/>
              </w:rPr>
              <w:t>.</w:t>
            </w:r>
            <w:r>
              <w:rPr>
                <w:rFonts w:hint="eastAsia" w:ascii="宋体" w:hAnsi="宋体" w:eastAsia="宋体" w:cs="Times New Roman"/>
                <w:szCs w:val="21"/>
              </w:rPr>
              <w:t>1PPS 输出精度至少：20nS</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12</w:t>
            </w:r>
            <w:r>
              <w:rPr>
                <w:rFonts w:hint="eastAsia" w:ascii="宋体" w:hAnsi="宋体" w:eastAsia="宋体" w:cs="Times New Roman"/>
                <w:szCs w:val="21"/>
                <w:lang w:val="en-US" w:eastAsia="zh-CN"/>
              </w:rPr>
              <w:t>.</w:t>
            </w:r>
            <w:r>
              <w:rPr>
                <w:rFonts w:hint="eastAsia" w:ascii="宋体" w:hAnsi="宋体" w:eastAsia="宋体" w:cs="Times New Roman"/>
                <w:szCs w:val="21"/>
              </w:rPr>
              <w:t>无GPS/BD2授时时，可保证时钟精度为±5ppm(在 25℃±1℃下)，即年误差小于 2.5 分钟 ；</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13</w:t>
            </w:r>
            <w:r>
              <w:rPr>
                <w:rFonts w:hint="eastAsia" w:ascii="宋体" w:hAnsi="宋体" w:eastAsia="宋体" w:cs="Times New Roman"/>
                <w:szCs w:val="21"/>
                <w:lang w:val="en-US" w:eastAsia="zh-CN"/>
              </w:rPr>
              <w:t>.</w:t>
            </w:r>
            <w:r>
              <w:rPr>
                <w:rFonts w:hint="eastAsia" w:ascii="宋体" w:hAnsi="宋体" w:eastAsia="宋体" w:cs="Times New Roman"/>
                <w:szCs w:val="21"/>
              </w:rPr>
              <w:t>授时信号传输距离： ≤1000m（RS485总线结构）或≤100m（LTC/EBU总线结构）；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14</w:t>
            </w:r>
            <w:r>
              <w:rPr>
                <w:rFonts w:hint="eastAsia" w:ascii="宋体" w:hAnsi="宋体" w:eastAsia="宋体" w:cs="Times New Roman"/>
                <w:szCs w:val="21"/>
                <w:lang w:val="en-US" w:eastAsia="zh-CN"/>
              </w:rPr>
              <w:t>.</w:t>
            </w:r>
            <w:r>
              <w:rPr>
                <w:rFonts w:hint="eastAsia" w:ascii="宋体" w:hAnsi="宋体" w:eastAsia="宋体" w:cs="Times New Roman"/>
                <w:szCs w:val="21"/>
              </w:rPr>
              <w:t>GPS/BD2跟踪能力： 同时跟踪</w:t>
            </w:r>
            <w:r>
              <w:rPr>
                <w:rFonts w:ascii="Times New Roman" w:hAnsi="Times New Roman" w:eastAsia="宋体" w:cs="Times New Roman"/>
                <w:szCs w:val="24"/>
              </w:rPr>
              <w:t>≥</w:t>
            </w:r>
            <w:r>
              <w:rPr>
                <w:rFonts w:hint="eastAsia" w:ascii="宋体" w:hAnsi="宋体" w:eastAsia="宋体" w:cs="Times New Roman"/>
                <w:szCs w:val="21"/>
              </w:rPr>
              <w:t>12颗卫星；</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15</w:t>
            </w:r>
            <w:r>
              <w:rPr>
                <w:rFonts w:hint="eastAsia" w:ascii="宋体" w:hAnsi="宋体" w:eastAsia="宋体" w:cs="Times New Roman"/>
                <w:szCs w:val="21"/>
                <w:lang w:val="en-US" w:eastAsia="zh-CN"/>
              </w:rPr>
              <w:t>.</w:t>
            </w:r>
            <w:r>
              <w:rPr>
                <w:rFonts w:hint="eastAsia" w:ascii="宋体" w:hAnsi="宋体" w:eastAsia="宋体" w:cs="Times New Roman"/>
                <w:szCs w:val="21"/>
              </w:rPr>
              <w:t>计算机校时方式：RS23216、标准19英寸 1U单元。</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16.</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GPS接收天线</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ascii="宋体" w:hAnsi="宋体" w:eastAsia="宋体" w:cs="Times New Roman"/>
                <w:szCs w:val="21"/>
              </w:rPr>
              <w:t>GPS/北斗有源授时蘑菇头天线：工作频点覆盖GPS</w:t>
            </w:r>
            <w:r>
              <w:rPr>
                <w:rFonts w:hint="eastAsia" w:ascii="宋体" w:hAnsi="宋体" w:eastAsia="宋体" w:cs="Times New Roman"/>
                <w:szCs w:val="21"/>
                <w:lang w:val="en-US" w:eastAsia="zh-CN"/>
              </w:rPr>
              <w:t xml:space="preserve"> </w:t>
            </w:r>
            <w:r>
              <w:rPr>
                <w:rFonts w:ascii="宋体" w:hAnsi="宋体" w:eastAsia="宋体" w:cs="Times New Roman"/>
                <w:szCs w:val="21"/>
              </w:rPr>
              <w:t>L1 1575.42MHz与北斗B1 1561.098MHz（双模接收），右旋圆极化（RHCP）</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输出阻抗 50 Ω，驻波比 ≤1.5；</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3.</w:t>
            </w:r>
            <w:r>
              <w:rPr>
                <w:rFonts w:ascii="宋体" w:hAnsi="宋体" w:eastAsia="宋体" w:cs="Times New Roman"/>
                <w:szCs w:val="21"/>
              </w:rPr>
              <w:t>内置低噪声放大器（LNA）型有源天线，整机增益≥37 dB</w:t>
            </w:r>
            <w:r>
              <w:rPr>
                <w:rFonts w:ascii="Times New Roman" w:hAnsi="Times New Roman" w:eastAsia="宋体" w:cs="Times New Roman"/>
                <w:szCs w:val="21"/>
              </w:rPr>
              <w:t>​</w:t>
            </w:r>
            <w:r>
              <w:rPr>
                <w:rFonts w:ascii="宋体" w:hAnsi="宋体" w:eastAsia="宋体" w:cs="Times New Roman"/>
                <w:szCs w:val="21"/>
              </w:rPr>
              <w:t xml:space="preserve"> 级，噪声系数 ≤1.5 dB；天线体为密封防水蘑菇头结构</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4.</w:t>
            </w:r>
            <w:r>
              <w:rPr>
                <w:rFonts w:ascii="宋体" w:hAnsi="宋体" w:eastAsia="宋体" w:cs="Times New Roman"/>
                <w:szCs w:val="21"/>
              </w:rPr>
              <w:t>防护等级 IP65/IP67级</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工作温度 -40℃～+85℃；</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6.</w:t>
            </w:r>
            <w:r>
              <w:rPr>
                <w:rFonts w:ascii="宋体" w:hAnsi="宋体" w:eastAsia="宋体" w:cs="Times New Roman"/>
                <w:szCs w:val="21"/>
              </w:rPr>
              <w:t>出厂配套低损耗同轴馈线（50-5级/同档，长度 50 m）</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7.</w:t>
            </w:r>
            <w:r>
              <w:rPr>
                <w:rFonts w:ascii="宋体" w:hAnsi="宋体" w:eastAsia="宋体" w:cs="Times New Roman"/>
                <w:szCs w:val="21"/>
              </w:rPr>
              <w:t>馈线两端接头应配置为 N型（公头</w:t>
            </w:r>
            <w:r>
              <w:rPr>
                <w:rFonts w:ascii="Times New Roman" w:hAnsi="Times New Roman" w:eastAsia="宋体" w:cs="Times New Roman"/>
                <w:szCs w:val="21"/>
              </w:rPr>
              <w:t>↔</w:t>
            </w:r>
            <w:r>
              <w:rPr>
                <w:rFonts w:ascii="宋体" w:hAnsi="宋体" w:eastAsia="宋体" w:cs="Times New Roman"/>
                <w:szCs w:val="21"/>
              </w:rPr>
              <w:t>母头或按母钟/设备端匹配），并配套馈线固定安装支架（抱箍/底座/螺杆紧固件成套）。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倒计时控制器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ascii="宋体" w:hAnsi="宋体" w:eastAsia="宋体" w:cs="Times New Roman"/>
                <w:szCs w:val="21"/>
              </w:rPr>
              <w:t>标准19英寸1U机架式时码分配器，须接收外部RS485标准时码信号输入，经处理后输出≥4路RS485时码信号（含开播、标准、倒计时三种时码）</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具备多台级联扩展能力（级联数≥32台）；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面板集成液晶显示屏，实时显示运行状态与时间信息；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须支持通过配套软件在24小时内设置≥40段预置播出时间表，配置数据具备掉电存储功能；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须设手动应急切换机制，在外部时码异常时仍能维持基础授时；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内置充电电池，外部断电后守时续航≥6个月；</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7.</w:t>
            </w:r>
            <w:r>
              <w:rPr>
                <w:rFonts w:ascii="宋体" w:hAnsi="宋体" w:eastAsia="宋体" w:cs="Times New Roman"/>
                <w:szCs w:val="21"/>
              </w:rPr>
              <w:t>工作电源AC 220V/50Hz</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8.</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3/3/3 三联子钟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三联时间码显示屏（含时、分、秒三组三位数显示），每组数字高度≥3英寸；</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须提供RS485时码信号输入及环出接口各1路，支持时码信号中继转发；</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工作电源AC 220V/50Hz；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RS485信号在总线结构下有效传输距离≥1000m；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整体外形尺寸790×395×75mm</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±10mm</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6.</w:t>
            </w:r>
            <w:r>
              <w:rPr>
                <w:rFonts w:ascii="宋体" w:hAnsi="宋体" w:eastAsia="宋体" w:cs="Times New Roman"/>
                <w:szCs w:val="21"/>
              </w:rPr>
              <w:t>具备大字符高可视度现场时间显示能力，适用于演播室及播出机房</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7.</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SDI转HDMI转换盒</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便携式SDI转HDMI格式转换器，须支持3G-SDI/HD-SDI/SD-SDI多速率信号自适应接入</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配置SDI输入及SDI环出接口各1路，同时提供≥1路HDMI数字视频输出；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须支持SDI嵌入式音频解嵌并通过3.5mm模拟音频接口独立输出，同时具备SDI音频嵌入至HDMI输出的功能，确保音视频同步传输；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面板设有电源及信号状态指示灯；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整机便携式设计，适用于现场制作及多格式信号监看场景</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HDMI分配器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HDMI 1×4分配器，配置HDMI输入1路及HDMI输出4路，实现一路源信号同步分配至四路显示终端；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须符合HDMI 1.4及以上标准，支持4K×2K@30Hz及1080p@60Hz等格式并向下兼容；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内置信号缓冲及驱动放大电路，保障长线缆传输稳定性；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设备带电源及信号状态LED指示灯；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配套DC电源适配器</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6.</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2个。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无线导播通话系统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头戴一体式无线导播通话系统（一拖五，六路全双工通话），须采用免许可频段及数字加密技术，支持自动配对；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须具备双麦克风ENC环境降噪（降噪深度≥20dB），全向通话距离≥350m（视距无遮挡）；</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电池容量≥700mAh，支持可更换电池设计，单次续航≥10小时；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音频性能：信噪比≥71dB，总谐波失真≤1%，麦克风最大输入声压级≥115dBSPL，耳机输出声压级≥94dBSPL；</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整机净重≤170g（含电池），头戴一体式结构，适合长时间佩戴与现场调度通话使用</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6.</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耳返</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专业级UHF无线耳返监听系统（一拖五/供5名演职人员同时使用，含入耳式监听耳机成套供货）：系统工作频率范围520–600MHz，适用于舞台演出/活动现场作为个人返听监听使用；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发射主机射频输出功率≥5 dBm（典型）</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3.</w:t>
            </w:r>
            <w:r>
              <w:rPr>
                <w:rFonts w:ascii="宋体" w:hAnsi="宋体" w:eastAsia="宋体" w:cs="Times New Roman"/>
                <w:szCs w:val="21"/>
              </w:rPr>
              <w:t>工作电流≤100mA（典型）</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空旷无干扰场地有效覆盖距离≥50m；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每只腰包接收机接收灵敏度优于8 dBμV，立体声分离度＞45dB，音频频响20Hz–15kHz（-6dB截点），信噪比＞60dB，接收机工作电流≤115mA（典型）；</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系统成套组成至少含：UHF发射主机×1、腰包接收机×5、入耳式监听耳机×5（配多规格耳塞套），接收机供电采用常规干电池/充电电池方案（以中标供货实配为准），接口与机身设计应满足演出场景佩戴牢固、操作直观、不易误触的要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7.</w:t>
            </w:r>
            <w:r>
              <w:rPr>
                <w:rFonts w:ascii="宋体" w:hAnsi="宋体" w:eastAsia="宋体" w:cs="Times New Roman"/>
                <w:szCs w:val="21"/>
              </w:rPr>
              <w:t>验收以实场通电搜频、静噪/分离度主观听感与基本距离拉距核验为准</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8.</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导播控制台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定制化导播控制台（金属结构型）：主体框架采用高强度冷轧钢板或铝合金型材精密加工而成，具备抗震、承重与电磁屏蔽性能；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台面设计符合人体工学，高度与倾斜角度适宜长时间操作，支持多席位（如导播、字幕、音频）并排布局；</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核心特征为全封闭式内部走线管理系统，台体内预设纵向线缆槽、横向过线孔及绑线支架，强弱电分离敷设，确保信号线缆与电源线缆无交叉干扰；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控制台集成标准19英寸机架单元（用于安装音视频设备、电源时序器等）及非标设备托盘，背部配置可拆卸盖板便于检修；表面经脱脂、酸洗、磷化及静电喷塑处理，耐磨防腐，外观颜色与现场装修风格协调；</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台体底部配备可调承重脚轮与固定支脚，既方便机房内短距离移动就位，又能确保工作状态下稳固不位移，满足演播室、指挥中心等高强度作业环境的稳定运行要求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7.</w:t>
            </w:r>
            <w:r>
              <w:rPr>
                <w:rFonts w:hint="eastAsia" w:ascii="宋体" w:hAnsi="宋体" w:eastAsia="宋体" w:cs="Times New Roman"/>
                <w:szCs w:val="21"/>
              </w:rPr>
              <w:t>数量</w:t>
            </w:r>
            <w:r>
              <w:rPr>
                <w:rFonts w:hint="eastAsia" w:ascii="宋体" w:hAnsi="宋体" w:eastAsia="宋体" w:cs="Times New Roman"/>
                <w:szCs w:val="21"/>
                <w:lang w:val="en-US" w:eastAsia="zh-CN"/>
              </w:rPr>
              <w:t>不少于1</w:t>
            </w:r>
            <w:r>
              <w:rPr>
                <w:rFonts w:hint="eastAsia" w:ascii="宋体" w:hAnsi="宋体" w:eastAsia="宋体" w:cs="Times New Roman"/>
                <w:szCs w:val="21"/>
              </w:rPr>
              <w:t>组。</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抠像监视器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ascii="宋体" w:hAnsi="宋体" w:eastAsia="宋体" w:cs="Times New Roman"/>
                <w:szCs w:val="21"/>
              </w:rPr>
              <w:t>全高清广播级监视器：</w:t>
            </w:r>
            <w:r>
              <w:rPr>
                <w:rFonts w:hint="eastAsia" w:ascii="宋体" w:hAnsi="宋体" w:eastAsia="宋体" w:cs="Times New Roman"/>
                <w:szCs w:val="21"/>
              </w:rPr>
              <w:t>面板尺寸</w:t>
            </w:r>
            <w:r>
              <w:rPr>
                <w:rFonts w:ascii="宋体" w:hAnsi="宋体" w:eastAsia="宋体" w:cs="Times New Roman"/>
                <w:szCs w:val="21"/>
              </w:rPr>
              <w:t>23.8英寸</w:t>
            </w:r>
            <w:r>
              <w:rPr>
                <w:rFonts w:hint="eastAsia" w:ascii="宋体" w:hAnsi="宋体" w:eastAsia="宋体" w:cs="Times New Roman"/>
                <w:szCs w:val="21"/>
              </w:rPr>
              <w:t>，</w:t>
            </w:r>
            <w:r>
              <w:rPr>
                <w:rFonts w:ascii="宋体" w:hAnsi="宋体" w:eastAsia="宋体" w:cs="Times New Roman"/>
                <w:szCs w:val="21"/>
              </w:rPr>
              <w:t>面板色域覆盖100% DCI</w:t>
            </w:r>
            <w:r>
              <w:rPr>
                <w:rFonts w:ascii="Cambria Math" w:hAnsi="Cambria Math" w:eastAsia="宋体" w:cs="Cambria Math"/>
                <w:szCs w:val="21"/>
              </w:rPr>
              <w:t>‑</w:t>
            </w:r>
            <w:r>
              <w:rPr>
                <w:rFonts w:ascii="宋体" w:hAnsi="宋体" w:eastAsia="宋体" w:cs="Times New Roman"/>
                <w:szCs w:val="21"/>
              </w:rPr>
              <w:t>P3</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具备VICO 1.97级（教育A级）护眼认证，可有效缓解长时间监看的视觉疲劳；</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接口配置12G</w:t>
            </w:r>
            <w:r>
              <w:rPr>
                <w:rFonts w:ascii="Cambria Math" w:hAnsi="Cambria Math" w:eastAsia="宋体" w:cs="Cambria Math"/>
                <w:szCs w:val="21"/>
              </w:rPr>
              <w:t>‑</w:t>
            </w:r>
            <w:r>
              <w:rPr>
                <w:rFonts w:ascii="宋体" w:hAnsi="宋体" w:eastAsia="宋体" w:cs="Times New Roman"/>
                <w:szCs w:val="21"/>
              </w:rPr>
              <w:t>SDI（支持12G/6G/3G/HD/SD</w:t>
            </w:r>
            <w:r>
              <w:rPr>
                <w:rFonts w:ascii="Cambria Math" w:hAnsi="Cambria Math" w:eastAsia="宋体" w:cs="Cambria Math"/>
                <w:szCs w:val="21"/>
              </w:rPr>
              <w:t>‑</w:t>
            </w:r>
            <w:r>
              <w:rPr>
                <w:rFonts w:ascii="宋体" w:hAnsi="宋体" w:eastAsia="宋体" w:cs="Times New Roman"/>
                <w:szCs w:val="21"/>
              </w:rPr>
              <w:t>SDI自动适应，含4×3G</w:t>
            </w:r>
            <w:r>
              <w:rPr>
                <w:rFonts w:ascii="Cambria Math" w:hAnsi="Cambria Math" w:eastAsia="宋体" w:cs="Cambria Math"/>
                <w:szCs w:val="21"/>
              </w:rPr>
              <w:t>‑</w:t>
            </w:r>
            <w:r>
              <w:rPr>
                <w:rFonts w:ascii="宋体" w:hAnsi="宋体" w:eastAsia="宋体" w:cs="Times New Roman"/>
                <w:szCs w:val="21"/>
              </w:rPr>
              <w:t>SDI聚合模式）与HDMI 2.0（支持4K接入），满足全高清及4K基带信号与多媒体信号混合接入需求；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支持12G</w:t>
            </w:r>
            <w:r>
              <w:rPr>
                <w:rFonts w:ascii="Cambria Math" w:hAnsi="Cambria Math" w:eastAsia="宋体" w:cs="Cambria Math"/>
                <w:szCs w:val="21"/>
              </w:rPr>
              <w:t>‑</w:t>
            </w:r>
            <w:r>
              <w:rPr>
                <w:rFonts w:ascii="宋体" w:hAnsi="宋体" w:eastAsia="宋体" w:cs="Times New Roman"/>
                <w:szCs w:val="21"/>
              </w:rPr>
              <w:t>SDI/HDMI混合四画面监看及双画面PBP/PIP画中画监看，实现多信号源同屏比对与调度；</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显示区域≥527.04×296.46mm</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分辨率≥1920×1080，显示比例≥16:9，亮度≥400 nits，静态对比度≥1000:1；色彩处理深度≥10bit（8bit+FRC），内部信号处理精度≥18</w:t>
            </w:r>
            <w:r>
              <w:rPr>
                <w:rFonts w:ascii="Cambria Math" w:hAnsi="Cambria Math" w:eastAsia="宋体" w:cs="Cambria Math"/>
                <w:szCs w:val="21"/>
              </w:rPr>
              <w:t>‑</w:t>
            </w:r>
            <w:r>
              <w:rPr>
                <w:rFonts w:ascii="宋体" w:hAnsi="宋体" w:eastAsia="宋体" w:cs="Times New Roman"/>
                <w:szCs w:val="21"/>
              </w:rPr>
              <w:t>bit，确保灰阶过渡平滑、无断层；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7.</w:t>
            </w:r>
            <w:r>
              <w:rPr>
                <w:rFonts w:ascii="宋体" w:hAnsi="宋体" w:eastAsia="宋体" w:cs="Times New Roman"/>
                <w:szCs w:val="21"/>
              </w:rPr>
              <w:t>可视角度≥178°(H)/178°(V)，保证多角度观看无色偏与亮度衰减，适用于演播室、播出总控、后期调色及现场制作的高质量监看需求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8.</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反监大屏</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55英寸4K HDR商用显示器，分辨率≥3840×2160；</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须同时支持HDR10、HLG及Dolby Vision三种HDR格式；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对比度≥4000:1，亮度≥620cd/㎡，峰值亮度≥850cd/㎡；</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须支持7×24小时连续运行；</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响应速度≤8ms</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VA面板，可视角度≥178°，防眩光屏幕，直下式LED背光并支持局部调光；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7.</w:t>
            </w:r>
            <w:r>
              <w:rPr>
                <w:rFonts w:ascii="宋体" w:hAnsi="宋体" w:eastAsia="宋体" w:cs="Times New Roman"/>
                <w:szCs w:val="21"/>
              </w:rPr>
              <w:t>内置安卓系统（≥9.0版本）</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内置数字标牌功能，支持作为WIFI热点；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9.</w:t>
            </w:r>
            <w:r>
              <w:rPr>
                <w:rFonts w:ascii="宋体" w:hAnsi="宋体" w:eastAsia="宋体" w:cs="Times New Roman"/>
                <w:szCs w:val="21"/>
              </w:rPr>
              <w:t>接口HDMI≥4路，须支持RS232C远程控制及第三方中控系统协议对接；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10.</w:t>
            </w:r>
            <w:r>
              <w:rPr>
                <w:rFonts w:ascii="宋体" w:hAnsi="宋体" w:eastAsia="宋体" w:cs="Times New Roman"/>
                <w:szCs w:val="21"/>
              </w:rPr>
              <w:t>信号格式最高支持4K@60P并向下兼容</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11.</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反监大屏地面支架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落地式移动电视支架，主体采用高强度冷轧钢板，表面防锈涂装处理；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适用32″~80″显示设备，最大承重≥90kg，安全系数≥4倍静载验证；</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VESA安装孔位覆盖主流显示器规格；</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4.</w:t>
            </w:r>
            <w:r>
              <w:rPr>
                <w:rFonts w:ascii="宋体" w:hAnsi="宋体" w:eastAsia="宋体" w:cs="Times New Roman"/>
                <w:szCs w:val="21"/>
              </w:rPr>
              <w:t>底部配静音万向轮带锁止装置</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5.</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电源时序器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ascii="宋体" w:hAnsi="宋体" w:eastAsia="宋体" w:cs="Times New Roman"/>
                <w:szCs w:val="21"/>
              </w:rPr>
              <w:t>8路智能时序电源管理器（1U机架式）</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面板采用铝黑色设计，配备≥2英寸彩色液晶显示窗</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内置时钟芯片，支持定时开关机功能；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电力输入为单相三线制（L/N/G），AC 200–240V 50/60Hz；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输出配置≥8路万用插座继电器受控 + ≥1路直通万用插座，单路最大承受功率≥2000W，总负载功率≥6000W（无功功率）；</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输出插座采用阻燃ABS材料，磷铜电极，最大承载电流≥13A，符合国标万用插孔规范；</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7.</w:t>
            </w:r>
            <w:r>
              <w:rPr>
                <w:rFonts w:ascii="宋体" w:hAnsi="宋体" w:eastAsia="宋体" w:cs="Times New Roman"/>
                <w:szCs w:val="21"/>
              </w:rPr>
              <w:t>具备顺序开启、逆序关闭功能</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支持PASS键一键全开、面板单路独立开关、自由通道关闭及过流保护；</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9.</w:t>
            </w:r>
            <w:r>
              <w:rPr>
                <w:rFonts w:ascii="宋体" w:hAnsi="宋体" w:eastAsia="宋体" w:cs="Times New Roman"/>
                <w:szCs w:val="21"/>
              </w:rPr>
              <w:t>提供RS-232 COM接口，支持中控系统指令控制及级联叠机功能（ID 0–255可调），实现多台设备统一管理；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 xml:space="preserve">10. </w:t>
            </w:r>
            <w:r>
              <w:rPr>
                <w:rFonts w:ascii="宋体" w:hAnsi="宋体" w:eastAsia="宋体" w:cs="Times New Roman"/>
                <w:szCs w:val="21"/>
              </w:rPr>
              <w:t>内部采用</w:t>
            </w:r>
            <w:r>
              <w:rPr>
                <w:rFonts w:hint="eastAsia" w:ascii="宋体" w:hAnsi="宋体" w:eastAsia="宋体" w:cs="Times New Roman"/>
                <w:szCs w:val="21"/>
              </w:rPr>
              <w:t>至少满足</w:t>
            </w:r>
            <w:r>
              <w:rPr>
                <w:rFonts w:ascii="宋体" w:hAnsi="宋体" w:eastAsia="宋体" w:cs="Times New Roman"/>
                <w:szCs w:val="21"/>
              </w:rPr>
              <w:t>30A/277VAC</w:t>
            </w:r>
            <w:r>
              <w:rPr>
                <w:rFonts w:hint="eastAsia" w:ascii="宋体" w:hAnsi="宋体" w:eastAsia="宋体" w:cs="Times New Roman"/>
                <w:szCs w:val="21"/>
              </w:rPr>
              <w:t>级别的</w:t>
            </w:r>
            <w:r>
              <w:rPr>
                <w:rFonts w:ascii="宋体" w:hAnsi="宋体" w:eastAsia="宋体" w:cs="Times New Roman"/>
                <w:szCs w:val="21"/>
              </w:rPr>
              <w:t>大电流继电器，电路板</w:t>
            </w:r>
            <w:r>
              <w:rPr>
                <w:rFonts w:hint="eastAsia" w:ascii="宋体" w:hAnsi="宋体" w:eastAsia="宋体" w:cs="Times New Roman"/>
                <w:szCs w:val="21"/>
              </w:rPr>
              <w:t>至少</w:t>
            </w:r>
            <w:r>
              <w:rPr>
                <w:rFonts w:ascii="宋体" w:hAnsi="宋体" w:eastAsia="宋体" w:cs="Times New Roman"/>
                <w:szCs w:val="21"/>
              </w:rPr>
              <w:t>为双面纤维板，主电源</w:t>
            </w:r>
            <w:r>
              <w:rPr>
                <w:rFonts w:hint="eastAsia" w:ascii="宋体" w:hAnsi="宋体" w:eastAsia="宋体" w:cs="Times New Roman"/>
                <w:szCs w:val="21"/>
              </w:rPr>
              <w:t>需要</w:t>
            </w:r>
            <w:r>
              <w:rPr>
                <w:rFonts w:ascii="宋体" w:hAnsi="宋体" w:eastAsia="宋体" w:cs="Times New Roman"/>
                <w:szCs w:val="21"/>
              </w:rPr>
              <w:t>走线二次加厚加粗处理，适应AC 200–260V宽电压输入；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11.</w:t>
            </w:r>
            <w:r>
              <w:rPr>
                <w:rFonts w:ascii="宋体" w:hAnsi="宋体" w:eastAsia="宋体" w:cs="Times New Roman"/>
                <w:szCs w:val="21"/>
              </w:rPr>
              <w:t>主电缆线规格</w:t>
            </w:r>
            <w:r>
              <w:rPr>
                <w:rFonts w:hint="eastAsia" w:ascii="宋体" w:hAnsi="宋体" w:eastAsia="宋体" w:cs="Times New Roman"/>
                <w:szCs w:val="21"/>
              </w:rPr>
              <w:t>至少为</w:t>
            </w:r>
            <w:r>
              <w:rPr>
                <w:rFonts w:ascii="宋体" w:hAnsi="宋体" w:eastAsia="宋体" w:cs="Times New Roman"/>
                <w:szCs w:val="21"/>
              </w:rPr>
              <w:t>3×4mm²，长度≥1.2米，配标准电源插头；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12.</w:t>
            </w:r>
            <w:r>
              <w:rPr>
                <w:rFonts w:ascii="宋体" w:hAnsi="宋体" w:eastAsia="宋体" w:cs="Times New Roman"/>
                <w:szCs w:val="21"/>
              </w:rPr>
              <w:t>面板集成液晶电压表，实时显示输入电压；</w:t>
            </w:r>
            <w:r>
              <w:rPr>
                <w:rFonts w:hint="eastAsia" w:ascii="宋体" w:hAnsi="宋体" w:eastAsia="宋体" w:cs="Times New Roman"/>
                <w:szCs w:val="21"/>
              </w:rPr>
              <w:t>至少配置</w:t>
            </w:r>
            <w:r>
              <w:rPr>
                <w:rFonts w:ascii="宋体" w:hAnsi="宋体" w:eastAsia="宋体" w:cs="Times New Roman"/>
                <w:szCs w:val="21"/>
              </w:rPr>
              <w:t>断路器</w:t>
            </w:r>
            <w:r>
              <w:rPr>
                <w:rFonts w:hint="eastAsia" w:ascii="宋体" w:hAnsi="宋体" w:eastAsia="宋体" w:cs="Times New Roman"/>
                <w:szCs w:val="21"/>
              </w:rPr>
              <w:t>为</w:t>
            </w:r>
            <w:r>
              <w:rPr>
                <w:rFonts w:ascii="宋体" w:hAnsi="宋体" w:eastAsia="宋体" w:cs="Times New Roman"/>
                <w:szCs w:val="21"/>
              </w:rPr>
              <w:t>32A短路过流保护，火线独立控制，确保用电安全；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13.</w:t>
            </w:r>
            <w:r>
              <w:rPr>
                <w:rFonts w:ascii="宋体" w:hAnsi="宋体" w:eastAsia="宋体" w:cs="Times New Roman"/>
                <w:szCs w:val="21"/>
              </w:rPr>
              <w:t>开启类型为按键式轻触开关，操作直观可靠</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14.</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2台。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40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机柜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ascii="宋体" w:hAnsi="宋体" w:eastAsia="宋体" w:cs="Times New Roman"/>
                <w:szCs w:val="21"/>
              </w:rPr>
              <w:t>42U定制机柜，</w:t>
            </w:r>
            <w:r>
              <w:rPr>
                <w:rFonts w:hint="eastAsia" w:ascii="宋体" w:hAnsi="宋体" w:eastAsia="宋体" w:cs="Times New Roman"/>
                <w:szCs w:val="21"/>
              </w:rPr>
              <w:t>含</w:t>
            </w:r>
            <w:r>
              <w:rPr>
                <w:rFonts w:ascii="宋体" w:hAnsi="宋体" w:eastAsia="宋体" w:cs="Times New Roman"/>
                <w:szCs w:val="21"/>
              </w:rPr>
              <w:t>托架≥8对、托板≥1块，绑线棍≥8根，22U竖向绑线排≥1</w:t>
            </w:r>
            <w:r>
              <w:rPr>
                <w:rFonts w:hint="eastAsia" w:ascii="宋体" w:hAnsi="宋体" w:eastAsia="宋体" w:cs="Times New Roman"/>
                <w:szCs w:val="21"/>
              </w:rPr>
              <w:t>批</w:t>
            </w:r>
            <w:r>
              <w:rPr>
                <w:rFonts w:ascii="宋体" w:hAnsi="宋体" w:eastAsia="宋体" w:cs="Times New Roman"/>
                <w:szCs w:val="21"/>
              </w:rPr>
              <w:t>，8位国标PDU电源≥2</w:t>
            </w:r>
            <w:r>
              <w:rPr>
                <w:rFonts w:hint="eastAsia" w:ascii="宋体" w:hAnsi="宋体" w:eastAsia="宋体" w:cs="Times New Roman"/>
                <w:szCs w:val="21"/>
              </w:rPr>
              <w:t>个。数量</w:t>
            </w:r>
            <w:r>
              <w:rPr>
                <w:rFonts w:hint="eastAsia" w:ascii="宋体" w:hAnsi="宋体" w:eastAsia="宋体" w:cs="Times New Roman"/>
                <w:szCs w:val="21"/>
                <w:lang w:val="en-US" w:eastAsia="zh-CN"/>
              </w:rPr>
              <w:t>自行设计</w:t>
            </w:r>
            <w:r>
              <w:rPr>
                <w:rFonts w:hint="eastAsia" w:ascii="宋体" w:hAnsi="宋体" w:eastAsia="宋体" w:cs="Times New Roman"/>
                <w:szCs w:val="21"/>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41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播音话筒</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专业级有线电容话筒（超心形指向），频率响应20Hz–20kHz</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2.</w:t>
            </w:r>
            <w:r>
              <w:rPr>
                <w:rFonts w:ascii="Times New Roman" w:hAnsi="Times New Roman" w:eastAsia="宋体" w:cs="Times New Roman"/>
                <w:szCs w:val="24"/>
              </w:rPr>
              <w:t>灵敏度-34dB级（@1kHz）</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szCs w:val="24"/>
              </w:rPr>
            </w:pPr>
            <w:r>
              <w:rPr>
                <w:rFonts w:hint="eastAsia" w:ascii="Times New Roman" w:hAnsi="Times New Roman" w:eastAsia="宋体" w:cs="Times New Roman"/>
                <w:szCs w:val="24"/>
                <w:lang w:val="en-US" w:eastAsia="zh-CN"/>
              </w:rPr>
              <w:fldChar w:fldCharType="begin"/>
            </w:r>
            <w:r>
              <w:rPr>
                <w:rFonts w:hint="eastAsia" w:ascii="Times New Roman" w:hAnsi="Times New Roman" w:eastAsia="宋体" w:cs="Times New Roman"/>
                <w:szCs w:val="24"/>
                <w:lang w:val="en-US" w:eastAsia="zh-CN"/>
              </w:rPr>
              <w:instrText xml:space="preserve"> HYPERLINK "mailto:3.最大声压级耐受≥128dB（@THD≤0.5%），" </w:instrText>
            </w:r>
            <w:r>
              <w:rPr>
                <w:rFonts w:hint="eastAsia" w:ascii="Times New Roman" w:hAnsi="Times New Roman" w:eastAsia="宋体" w:cs="Times New Roman"/>
                <w:szCs w:val="24"/>
                <w:lang w:val="en-US" w:eastAsia="zh-CN"/>
              </w:rPr>
              <w:fldChar w:fldCharType="separate"/>
            </w:r>
            <w:r>
              <w:rPr>
                <w:rFonts w:hint="eastAsia" w:ascii="Times New Roman" w:hAnsi="Times New Roman" w:eastAsia="宋体" w:cs="Times New Roman"/>
                <w:szCs w:val="24"/>
                <w:lang w:val="en-US" w:eastAsia="zh-CN"/>
              </w:rPr>
              <w:t>3.</w:t>
            </w:r>
            <w:r>
              <w:rPr>
                <w:rFonts w:ascii="Times New Roman" w:hAnsi="Times New Roman" w:eastAsia="宋体" w:cs="Times New Roman"/>
                <w:szCs w:val="24"/>
              </w:rPr>
              <w:t>最大声压级耐受≥128dB（@THD≤0.5%）</w:t>
            </w:r>
            <w:r>
              <w:rPr>
                <w:rFonts w:hint="eastAsia" w:ascii="Times New Roman" w:hAnsi="Times New Roman" w:eastAsia="宋体" w:cs="Times New Roman"/>
                <w:szCs w:val="24"/>
                <w:lang w:eastAsia="zh-CN"/>
              </w:rPr>
              <w:t>；</w:t>
            </w:r>
            <w:r>
              <w:rPr>
                <w:rFonts w:hint="eastAsia" w:ascii="Times New Roman" w:hAnsi="Times New Roman" w:eastAsia="宋体" w:cs="Times New Roman"/>
                <w:szCs w:val="24"/>
                <w:lang w:val="en-US" w:eastAsia="zh-CN"/>
              </w:rPr>
              <w:fldChar w:fldCharType="end"/>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szCs w:val="24"/>
              </w:rPr>
            </w:pPr>
            <w:r>
              <w:rPr>
                <w:rFonts w:hint="eastAsia" w:ascii="Times New Roman" w:hAnsi="Times New Roman" w:eastAsia="宋体" w:cs="Times New Roman"/>
                <w:szCs w:val="24"/>
                <w:lang w:val="en-US" w:eastAsia="zh-CN"/>
              </w:rPr>
              <w:t>4.</w:t>
            </w:r>
            <w:r>
              <w:rPr>
                <w:rFonts w:ascii="Times New Roman" w:hAnsi="Times New Roman" w:eastAsia="宋体" w:cs="Times New Roman"/>
                <w:szCs w:val="24"/>
              </w:rPr>
              <w:t>输出阻抗≤150Ω；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5.</w:t>
            </w:r>
            <w:r>
              <w:rPr>
                <w:rFonts w:ascii="Times New Roman" w:hAnsi="Times New Roman" w:eastAsia="宋体" w:cs="Times New Roman"/>
                <w:szCs w:val="24"/>
              </w:rPr>
              <w:t>供电方式为12–48V DC幻象电源</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szCs w:val="24"/>
              </w:rPr>
            </w:pPr>
            <w:r>
              <w:rPr>
                <w:rFonts w:hint="eastAsia" w:ascii="Times New Roman" w:hAnsi="Times New Roman" w:eastAsia="宋体" w:cs="Times New Roman"/>
                <w:szCs w:val="24"/>
                <w:lang w:val="en-US" w:eastAsia="zh-CN"/>
              </w:rPr>
              <w:t>6.</w:t>
            </w:r>
            <w:r>
              <w:rPr>
                <w:rFonts w:ascii="Times New Roman" w:hAnsi="Times New Roman" w:eastAsia="宋体" w:cs="Times New Roman"/>
                <w:szCs w:val="24"/>
              </w:rPr>
              <w:t>等效噪声级≤22dBA；</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7.</w:t>
            </w:r>
            <w:r>
              <w:rPr>
                <w:rFonts w:ascii="Times New Roman" w:hAnsi="Times New Roman" w:eastAsia="宋体" w:cs="Times New Roman"/>
                <w:szCs w:val="24"/>
              </w:rPr>
              <w:t>适用于会议、论坛及演播室等专业拾音场景</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Times New Roman" w:hAnsi="Times New Roman" w:eastAsia="宋体" w:cs="Times New Roman"/>
                <w:szCs w:val="24"/>
                <w:lang w:val="en-US" w:eastAsia="zh-CN"/>
              </w:rPr>
              <w:t>8.</w:t>
            </w:r>
            <w:r>
              <w:rPr>
                <w:rFonts w:hint="eastAsia" w:ascii="Times New Roman" w:hAnsi="Times New Roman" w:eastAsia="宋体" w:cs="Times New Roman"/>
                <w:szCs w:val="24"/>
              </w:rPr>
              <w:t>数量</w:t>
            </w:r>
            <w:r>
              <w:rPr>
                <w:rFonts w:hint="eastAsia" w:ascii="Times New Roman" w:hAnsi="Times New Roman" w:eastAsia="宋体" w:cs="Times New Roman"/>
                <w:szCs w:val="24"/>
                <w:lang w:val="en-US" w:eastAsia="zh-CN"/>
              </w:rPr>
              <w:t>不少于</w:t>
            </w:r>
            <w:r>
              <w:rPr>
                <w:rFonts w:hint="eastAsia" w:ascii="Times New Roman" w:hAnsi="Times New Roman" w:eastAsia="宋体" w:cs="Times New Roman"/>
                <w:szCs w:val="24"/>
              </w:rPr>
              <w:t>2支。</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42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背景副屏幕</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1.尺寸</w:t>
            </w:r>
            <w:r>
              <w:rPr>
                <w:rFonts w:ascii="宋体" w:hAnsi="宋体" w:eastAsia="宋体" w:cs="Times New Roman"/>
                <w:szCs w:val="21"/>
              </w:rPr>
              <w:t>≥43英寸</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32:9超宽屏显示器</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分辨率≥3840×1080（WFHD），面板为IPS类广视角硬屏；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4.</w:t>
            </w:r>
            <w:r>
              <w:rPr>
                <w:rFonts w:ascii="宋体" w:hAnsi="宋体" w:eastAsia="宋体" w:cs="Times New Roman"/>
                <w:szCs w:val="21"/>
              </w:rPr>
              <w:t>亮度≥350cd/㎡，支持VESA DisplayHDR 400</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色深≥10bit，色域覆盖≥96% DCI-P3/100% sRGB</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支持色域模式切换及六轴调色校色能力；刷新率≥120Hz；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7.</w:t>
            </w:r>
            <w:r>
              <w:rPr>
                <w:rFonts w:ascii="宋体" w:hAnsi="宋体" w:eastAsia="宋体" w:cs="Times New Roman"/>
                <w:szCs w:val="21"/>
              </w:rPr>
              <w:t>须内置PIP/PBP双画面功能，支持双信号源分屏显示；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接口须含HDMI≥2路、DisplayPort≥1路、全功能USB-C（支持PD供电≥65W及视频传输），并配备USB集线器及KVM功能；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9.</w:t>
            </w:r>
            <w:r>
              <w:rPr>
                <w:rFonts w:ascii="宋体" w:hAnsi="宋体" w:eastAsia="宋体" w:cs="Times New Roman"/>
                <w:szCs w:val="21"/>
              </w:rPr>
              <w:t>支架支持升降（行程≥120mm）及俯仰调节，支持VESA 100×100mm壁挂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10.</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43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桌面监视屏幕</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4K超高清专业设计显示器，分辨率≥3840×2160</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刷新率≥120Hz</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须支持VESA DisplayHDR 500，色域覆盖≥99% DCI-P3</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静态对比度≥2000:1；</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面板为IPS类广视角硬屏，色深≥10bit，色准ΔE≤2（典型值）</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支持硬件校准与六轴独立调色；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7.</w:t>
            </w:r>
            <w:r>
              <w:rPr>
                <w:rFonts w:ascii="宋体" w:hAnsi="宋体" w:eastAsia="宋体" w:cs="Times New Roman"/>
                <w:szCs w:val="21"/>
              </w:rPr>
              <w:t>接口须含HDMI 2.1≥2路、DisplayPort 1.4≥1路、USB-C全功能接口（支持PD≥65W反向供电及视频传输），并配备USB 3.0集线器；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支架支持升降、俯仰、左右旋转及竖屏pivot调节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9.</w:t>
            </w:r>
            <w:r>
              <w:rPr>
                <w:rFonts w:ascii="宋体" w:hAnsi="宋体" w:eastAsia="宋体" w:cs="Times New Roman"/>
                <w:szCs w:val="21"/>
              </w:rPr>
              <w:t>支持VESA 100×100mm壁挂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10.</w:t>
            </w:r>
            <w:r>
              <w:rPr>
                <w:rFonts w:hint="eastAsia" w:ascii="宋体" w:hAnsi="宋体" w:eastAsia="宋体" w:cs="Times New Roman"/>
                <w:szCs w:val="21"/>
              </w:rPr>
              <w:t>数量</w:t>
            </w:r>
            <w:r>
              <w:rPr>
                <w:rFonts w:hint="eastAsia" w:ascii="宋体" w:hAnsi="宋体" w:eastAsia="宋体" w:cs="Times New Roman"/>
                <w:szCs w:val="21"/>
                <w:lang w:val="en-US" w:eastAsia="zh-CN"/>
              </w:rPr>
              <w:t>自行设计，但不得少于2台</w:t>
            </w:r>
            <w:r>
              <w:rPr>
                <w:rFonts w:hint="eastAsia" w:ascii="宋体" w:hAnsi="宋体" w:eastAsia="宋体" w:cs="Times New Roman"/>
                <w:szCs w:val="21"/>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44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hint="eastAsia" w:ascii="宋体" w:hAnsi="宋体" w:eastAsia="宋体" w:cs="Times New Roman"/>
                <w:szCs w:val="21"/>
              </w:rPr>
              <w:t>手持控制器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1.控制设备</w:t>
            </w:r>
            <w:r>
              <w:rPr>
                <w:rFonts w:hint="eastAsia" w:ascii="宋体" w:hAnsi="宋体" w:eastAsia="宋体" w:cs="宋体"/>
                <w:szCs w:val="21"/>
              </w:rPr>
              <w:t>，用于演播室系统移动端操控；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屏幕尺寸≥11.5英寸</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面板类型为IPS全贴合屏，分辨率≥2200×1440，刷新率≥120Hz（支持多档智能可变刷新）</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具备低蓝光护眼能力；</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运行内存≥8GB</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内置存储≥128GB</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处理器为八核移动平台（最高主频≥2.4GHz）；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前后摄像头配置前置≥800万像素/后置≥1300万像素并支持自动对焦</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后置支持4K视频录制；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网络连接须同时支持Wi-Fi 6（2.4GHz+5GHz双频）及蓝牙5.0以上；接口为USB Type-C</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11.</w:t>
            </w:r>
            <w:r>
              <w:rPr>
                <w:rFonts w:hint="eastAsia" w:ascii="宋体" w:hAnsi="宋体" w:eastAsia="宋体" w:cs="宋体"/>
                <w:szCs w:val="21"/>
              </w:rPr>
              <w:t>电池容量≥7700mAh并支持快充；</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12.</w:t>
            </w:r>
            <w:r>
              <w:rPr>
                <w:rFonts w:hint="eastAsia" w:ascii="宋体" w:hAnsi="宋体" w:eastAsia="宋体" w:cs="宋体"/>
                <w:szCs w:val="21"/>
              </w:rPr>
              <w:t>配套屏幕保护壳及保护膜</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13.</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highlight w:val="none"/>
                <w:lang w:val="en-US" w:eastAsia="zh-CN" w:bidi="ar"/>
              </w:rPr>
            </w:pPr>
            <w:r>
              <w:rPr>
                <w:rFonts w:hint="eastAsia" w:ascii="宋体" w:hAnsi="宋体" w:eastAsia="宋体" w:cs="宋体"/>
                <w:b/>
                <w:bCs/>
                <w:color w:val="000000"/>
                <w:kern w:val="0"/>
                <w:szCs w:val="21"/>
                <w:highlight w:val="none"/>
                <w:lang w:val="en-US" w:eastAsia="zh-CN" w:bidi="ar"/>
              </w:rPr>
              <w:t>46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highlight w:val="none"/>
              </w:rPr>
            </w:pPr>
            <w:r>
              <w:rPr>
                <w:rFonts w:ascii="宋体" w:hAnsi="宋体" w:eastAsia="宋体" w:cs="Times New Roman"/>
                <w:szCs w:val="21"/>
                <w:highlight w:val="none"/>
              </w:rPr>
              <w:t>无影棚灯光大功率影视平板补光灯</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1.</w:t>
            </w:r>
            <w:r>
              <w:rPr>
                <w:rFonts w:ascii="宋体" w:hAnsi="宋体" w:eastAsia="宋体" w:cs="Times New Roman"/>
                <w:szCs w:val="21"/>
                <w:highlight w:val="none"/>
              </w:rPr>
              <w:t>大功率影视平板柔光灯：额定功率 ≥120W</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2.</w:t>
            </w:r>
            <w:r>
              <w:rPr>
                <w:rFonts w:ascii="宋体" w:hAnsi="宋体" w:eastAsia="宋体" w:cs="Times New Roman"/>
                <w:szCs w:val="21"/>
                <w:highlight w:val="none"/>
              </w:rPr>
              <w:t>光源采用 1200颗高亮度贴片LED</w:t>
            </w:r>
            <w:r>
              <w:rPr>
                <w:rFonts w:ascii="Times New Roman" w:hAnsi="Times New Roman" w:eastAsia="宋体" w:cs="Times New Roman"/>
                <w:szCs w:val="21"/>
                <w:highlight w:val="none"/>
              </w:rPr>
              <w:t>​</w:t>
            </w:r>
            <w:r>
              <w:rPr>
                <w:rFonts w:ascii="宋体" w:hAnsi="宋体" w:eastAsia="宋体" w:cs="Times New Roman"/>
                <w:szCs w:val="21"/>
                <w:highlight w:val="none"/>
              </w:rPr>
              <w:t>组成的双色温混光阵列</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3.</w:t>
            </w:r>
            <w:r>
              <w:rPr>
                <w:rFonts w:ascii="宋体" w:hAnsi="宋体" w:eastAsia="宋体" w:cs="Times New Roman"/>
                <w:szCs w:val="21"/>
                <w:highlight w:val="none"/>
              </w:rPr>
              <w:t>显色性能，CRI 95–98、TLCI ≥95，符合国际广播级色彩一致性标准，确保摄像机录制画面无色偏、色彩还原真实；</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4.</w:t>
            </w:r>
            <w:r>
              <w:rPr>
                <w:rFonts w:ascii="宋体" w:hAnsi="宋体" w:eastAsia="宋体" w:cs="Times New Roman"/>
                <w:szCs w:val="21"/>
                <w:highlight w:val="none"/>
              </w:rPr>
              <w:t>色温连续无级可调范围 3200K±150K（暖白）～5600K±300K（冷白），适配演播室、外景及混合光源环境；</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5.</w:t>
            </w:r>
            <w:r>
              <w:rPr>
                <w:rFonts w:ascii="宋体" w:hAnsi="宋体" w:eastAsia="宋体" w:cs="Times New Roman"/>
                <w:szCs w:val="21"/>
                <w:highlight w:val="none"/>
              </w:rPr>
              <w:t xml:space="preserve">照射角度 </w:t>
            </w:r>
            <w:r>
              <w:rPr>
                <w:rFonts w:hint="eastAsia" w:ascii="宋体" w:hAnsi="宋体" w:eastAsia="宋体" w:cs="Times New Roman"/>
                <w:szCs w:val="21"/>
                <w:highlight w:val="none"/>
                <w:lang w:val="en-US" w:eastAsia="zh-CN"/>
              </w:rPr>
              <w:t>不小于</w:t>
            </w:r>
            <w:r>
              <w:rPr>
                <w:rFonts w:ascii="宋体" w:hAnsi="宋体" w:eastAsia="宋体" w:cs="Times New Roman"/>
                <w:szCs w:val="21"/>
                <w:highlight w:val="none"/>
              </w:rPr>
              <w:t>120°，可通过选配格栅、柔光箱、蜂窝控光附件进一步收窄或柔化光质；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6.</w:t>
            </w:r>
            <w:r>
              <w:rPr>
                <w:rFonts w:ascii="宋体" w:hAnsi="宋体" w:eastAsia="宋体" w:cs="Times New Roman"/>
                <w:szCs w:val="21"/>
                <w:highlight w:val="none"/>
              </w:rPr>
              <w:t>光学系统配高雾度扩散聚碳酸酯板与可调节遮光板，光线柔和均匀，支持灵活控制照射范围，减少环境光干扰，实现精准布光；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7.</w:t>
            </w:r>
            <w:r>
              <w:rPr>
                <w:rFonts w:ascii="宋体" w:hAnsi="宋体" w:eastAsia="宋体" w:cs="Times New Roman"/>
                <w:szCs w:val="21"/>
                <w:highlight w:val="none"/>
              </w:rPr>
              <w:t>机身采用铝合金结构，兼顾强度与散热效率，内置对流散热风道+静音散热系统，支持长时间连续工作无过热风险；</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8.</w:t>
            </w:r>
            <w:r>
              <w:rPr>
                <w:rFonts w:ascii="宋体" w:hAnsi="宋体" w:eastAsia="宋体" w:cs="Times New Roman"/>
                <w:szCs w:val="21"/>
                <w:highlight w:val="none"/>
              </w:rPr>
              <w:t>供电兼容 AC 100–240V 50/60Hz 全球市电及 DC 12–24V 直流输入，可连接外置V口/安东电池实现纯电池供电，满足棚内固定安装与户外移动拍摄双重需求；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9.</w:t>
            </w:r>
            <w:r>
              <w:rPr>
                <w:rFonts w:ascii="宋体" w:hAnsi="宋体" w:eastAsia="宋体" w:cs="Times New Roman"/>
                <w:szCs w:val="21"/>
                <w:highlight w:val="none"/>
              </w:rPr>
              <w:t>产品尺寸 615×490×95mm</w:t>
            </w:r>
            <w:r>
              <w:rPr>
                <w:rFonts w:hint="eastAsia" w:ascii="宋体" w:hAnsi="宋体" w:eastAsia="宋体" w:cs="Times New Roman"/>
                <w:szCs w:val="21"/>
                <w:highlight w:val="none"/>
                <w:lang w:val="en-US" w:eastAsia="zh-CN"/>
              </w:rPr>
              <w:t>(±10mm)</w:t>
            </w:r>
            <w:r>
              <w:rPr>
                <w:rFonts w:ascii="宋体" w:hAnsi="宋体" w:eastAsia="宋体" w:cs="Times New Roman"/>
                <w:szCs w:val="21"/>
                <w:highlight w:val="none"/>
              </w:rPr>
              <w:t>，净重</w:t>
            </w:r>
            <w:r>
              <w:rPr>
                <w:rFonts w:ascii="宋体" w:hAnsi="宋体" w:eastAsia="宋体" w:cs="Times New Roman"/>
                <w:szCs w:val="21"/>
              </w:rPr>
              <w:t>≤</w:t>
            </w:r>
            <w:r>
              <w:rPr>
                <w:rFonts w:ascii="宋体" w:hAnsi="宋体" w:eastAsia="宋体" w:cs="Times New Roman"/>
                <w:szCs w:val="21"/>
                <w:highlight w:val="none"/>
              </w:rPr>
              <w:t xml:space="preserve"> </w:t>
            </w:r>
            <w:r>
              <w:rPr>
                <w:rFonts w:hint="eastAsia" w:ascii="宋体" w:hAnsi="宋体" w:eastAsia="宋体" w:cs="Times New Roman"/>
                <w:szCs w:val="21"/>
                <w:highlight w:val="none"/>
                <w:lang w:val="en-US" w:eastAsia="zh-CN"/>
              </w:rPr>
              <w:t>6</w:t>
            </w:r>
            <w:r>
              <w:rPr>
                <w:rFonts w:ascii="宋体" w:hAnsi="宋体" w:eastAsia="宋体" w:cs="Times New Roman"/>
                <w:szCs w:val="21"/>
                <w:highlight w:val="none"/>
              </w:rPr>
              <w:t>kg，结构紧凑、重量适中，便于灯架安装与现场快速布设，适用于广电演播室、影视剧组、直播电商及高端会议活动的专业布光</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highlight w:val="none"/>
              </w:rPr>
            </w:pPr>
            <w:r>
              <w:rPr>
                <w:rFonts w:hint="eastAsia" w:ascii="宋体" w:hAnsi="宋体" w:eastAsia="宋体" w:cs="Times New Roman"/>
                <w:szCs w:val="21"/>
                <w:highlight w:val="none"/>
                <w:lang w:val="en-US" w:eastAsia="zh-CN"/>
              </w:rPr>
              <w:t>10.</w:t>
            </w:r>
            <w:r>
              <w:rPr>
                <w:rFonts w:hint="eastAsia" w:ascii="宋体" w:hAnsi="宋体" w:eastAsia="宋体" w:cs="Times New Roman"/>
                <w:szCs w:val="21"/>
                <w:highlight w:val="none"/>
              </w:rPr>
              <w:t>数量</w:t>
            </w:r>
            <w:r>
              <w:rPr>
                <w:rFonts w:hint="eastAsia" w:ascii="宋体" w:hAnsi="宋体" w:eastAsia="宋体" w:cs="Times New Roman"/>
                <w:szCs w:val="21"/>
                <w:highlight w:val="none"/>
                <w:lang w:val="en-US" w:eastAsia="zh-CN"/>
              </w:rPr>
              <w:t>不少于44台</w:t>
            </w:r>
            <w:r>
              <w:rPr>
                <w:rFonts w:hint="eastAsia" w:ascii="宋体" w:hAnsi="宋体" w:eastAsia="宋体" w:cs="Times New Roman"/>
                <w:szCs w:val="21"/>
                <w:highlight w:val="none"/>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highlight w:val="none"/>
                <w:lang w:val="en-US" w:eastAsia="zh-CN" w:bidi="ar"/>
              </w:rPr>
            </w:pPr>
            <w:r>
              <w:rPr>
                <w:rFonts w:hint="eastAsia" w:ascii="宋体" w:hAnsi="宋体" w:eastAsia="宋体" w:cs="宋体"/>
                <w:b/>
                <w:bCs/>
                <w:color w:val="000000"/>
                <w:kern w:val="0"/>
                <w:szCs w:val="21"/>
                <w:highlight w:val="none"/>
                <w:lang w:val="en-US" w:eastAsia="zh-CN" w:bidi="ar"/>
              </w:rPr>
              <w:t>47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highlight w:val="none"/>
              </w:rPr>
            </w:pPr>
            <w:r>
              <w:rPr>
                <w:rFonts w:ascii="宋体" w:hAnsi="宋体" w:eastAsia="宋体" w:cs="Times New Roman"/>
                <w:szCs w:val="21"/>
                <w:highlight w:val="none"/>
              </w:rPr>
              <w:t>无影棚聚光灯</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1.</w:t>
            </w:r>
            <w:r>
              <w:rPr>
                <w:rFonts w:hint="eastAsia" w:ascii="宋体" w:hAnsi="宋体" w:eastAsia="宋体" w:cs="Times New Roman"/>
                <w:szCs w:val="21"/>
                <w:highlight w:val="none"/>
              </w:rPr>
              <w:t>双色温 LED 菲涅耳聚光灯（≈200W 级·广播级色彩还原）功率与输出：额定215W恒功率输出，全亮度/全色温范围内功率稳定不衰减，满足持续高强度布光需求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2.</w:t>
            </w:r>
            <w:r>
              <w:rPr>
                <w:rFonts w:hint="eastAsia" w:ascii="宋体" w:hAnsi="宋体" w:eastAsia="宋体" w:cs="Times New Roman"/>
                <w:szCs w:val="21"/>
                <w:highlight w:val="none"/>
              </w:rPr>
              <w:t>光学系统：标配菲涅耳光学透镜，支持光斑角度连续调节（聚光</w:t>
            </w:r>
            <w:r>
              <w:rPr>
                <w:rFonts w:ascii="Times New Roman" w:hAnsi="Times New Roman" w:eastAsia="宋体" w:cs="Times New Roman"/>
                <w:szCs w:val="21"/>
                <w:highlight w:val="none"/>
              </w:rPr>
              <w:t>↔</w:t>
            </w:r>
            <w:r>
              <w:rPr>
                <w:rFonts w:hint="eastAsia" w:ascii="宋体" w:hAnsi="宋体" w:eastAsia="宋体" w:cs="Times New Roman"/>
                <w:szCs w:val="21"/>
                <w:highlight w:val="none"/>
              </w:rPr>
              <w:t>泛光），可在同一灯具上兼顾“硬光造型”与“大面铺光”</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highlight w:val="none"/>
                <w:lang w:val="en-US" w:eastAsia="zh-CN"/>
              </w:rPr>
              <w:t>3.</w:t>
            </w:r>
            <w:r>
              <w:rPr>
                <w:rFonts w:hint="eastAsia" w:ascii="宋体" w:hAnsi="宋体" w:eastAsia="宋体" w:cs="Times New Roman"/>
                <w:szCs w:val="21"/>
                <w:highlight w:val="none"/>
              </w:rPr>
              <w:t>光源与接口：采用高显色 COB LED 封装；</w:t>
            </w:r>
            <w:r>
              <w:rPr>
                <w:rFonts w:hint="eastAsia" w:ascii="宋体" w:hAnsi="宋体" w:eastAsia="宋体" w:cs="Times New Roman"/>
                <w:szCs w:val="21"/>
                <w:highlight w:val="none"/>
                <w:lang w:val="en-US" w:eastAsia="zh-CN"/>
              </w:rPr>
              <w:t>能</w:t>
            </w:r>
            <w:r>
              <w:rPr>
                <w:rFonts w:hint="eastAsia" w:ascii="宋体" w:hAnsi="宋体" w:eastAsia="宋体" w:cs="Times New Roman"/>
                <w:szCs w:val="21"/>
                <w:highlight w:val="none"/>
              </w:rPr>
              <w:t>快速加装柔光箱、蜂窝、束光筒等控光附件</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4.</w:t>
            </w:r>
            <w:r>
              <w:rPr>
                <w:rFonts w:hint="eastAsia" w:ascii="宋体" w:hAnsi="宋体" w:eastAsia="宋体" w:cs="Times New Roman"/>
                <w:szCs w:val="21"/>
                <w:highlight w:val="none"/>
              </w:rPr>
              <w:t>色彩性能：显色指标</w:t>
            </w:r>
            <w:r>
              <w:rPr>
                <w:rFonts w:ascii="宋体" w:hAnsi="宋体" w:eastAsia="宋体" w:cs="Times New Roman"/>
                <w:szCs w:val="21"/>
                <w:highlight w:val="none"/>
              </w:rPr>
              <w:t xml:space="preserve"> CRI </w:t>
            </w:r>
            <w:r>
              <w:rPr>
                <w:rFonts w:hint="eastAsia" w:ascii="宋体" w:hAnsi="宋体" w:eastAsia="宋体" w:cs="Times New Roman"/>
                <w:szCs w:val="21"/>
                <w:highlight w:val="none"/>
              </w:rPr>
              <w:t>≥</w:t>
            </w:r>
            <w:r>
              <w:rPr>
                <w:rFonts w:ascii="宋体" w:hAnsi="宋体" w:eastAsia="宋体" w:cs="Times New Roman"/>
                <w:szCs w:val="21"/>
                <w:highlight w:val="none"/>
              </w:rPr>
              <w:t>96</w:t>
            </w:r>
            <w:r>
              <w:rPr>
                <w:rFonts w:hint="eastAsia" w:ascii="宋体" w:hAnsi="宋体" w:eastAsia="宋体" w:cs="Times New Roman"/>
                <w:szCs w:val="21"/>
                <w:highlight w:val="none"/>
              </w:rPr>
              <w:t>、</w:t>
            </w:r>
            <w:r>
              <w:rPr>
                <w:rFonts w:ascii="宋体" w:hAnsi="宋体" w:eastAsia="宋体" w:cs="Times New Roman"/>
                <w:szCs w:val="21"/>
                <w:highlight w:val="none"/>
              </w:rPr>
              <w:t xml:space="preserve">TLCI </w:t>
            </w:r>
            <w:r>
              <w:rPr>
                <w:rFonts w:hint="eastAsia" w:ascii="宋体" w:hAnsi="宋体" w:eastAsia="宋体" w:cs="Times New Roman"/>
                <w:szCs w:val="21"/>
                <w:highlight w:val="none"/>
              </w:rPr>
              <w:t>≥</w:t>
            </w:r>
            <w:r>
              <w:rPr>
                <w:rFonts w:ascii="宋体" w:hAnsi="宋体" w:eastAsia="宋体" w:cs="Times New Roman"/>
                <w:szCs w:val="21"/>
                <w:highlight w:val="none"/>
              </w:rPr>
              <w:t>97</w:t>
            </w:r>
            <w:r>
              <w:rPr>
                <w:rFonts w:hint="eastAsia" w:ascii="宋体" w:hAnsi="宋体" w:eastAsia="宋体" w:cs="Times New Roman"/>
                <w:szCs w:val="21"/>
                <w:highlight w:val="none"/>
              </w:rPr>
              <w:t>；色彩质量按</w:t>
            </w:r>
            <w:r>
              <w:rPr>
                <w:rFonts w:ascii="宋体" w:hAnsi="宋体" w:eastAsia="宋体" w:cs="Times New Roman"/>
                <w:szCs w:val="21"/>
                <w:highlight w:val="none"/>
              </w:rPr>
              <w:t xml:space="preserve"> Rf</w:t>
            </w:r>
            <w:r>
              <w:rPr>
                <w:rFonts w:hint="eastAsia" w:ascii="宋体" w:hAnsi="宋体" w:eastAsia="宋体" w:cs="Times New Roman"/>
                <w:szCs w:val="21"/>
                <w:highlight w:val="none"/>
              </w:rPr>
              <w:t>≈</w:t>
            </w:r>
            <w:r>
              <w:rPr>
                <w:rFonts w:ascii="宋体" w:hAnsi="宋体" w:eastAsia="宋体" w:cs="Times New Roman"/>
                <w:szCs w:val="21"/>
                <w:highlight w:val="none"/>
              </w:rPr>
              <w:t>93</w:t>
            </w:r>
            <w:r>
              <w:rPr>
                <w:rFonts w:hint="eastAsia" w:ascii="宋体" w:hAnsi="宋体" w:eastAsia="宋体" w:cs="Times New Roman"/>
                <w:szCs w:val="21"/>
                <w:highlight w:val="none"/>
              </w:rPr>
              <w:t>、</w:t>
            </w:r>
            <w:r>
              <w:rPr>
                <w:rFonts w:ascii="宋体" w:hAnsi="宋体" w:eastAsia="宋体" w:cs="Times New Roman"/>
                <w:szCs w:val="21"/>
                <w:highlight w:val="none"/>
              </w:rPr>
              <w:t>Rg</w:t>
            </w:r>
            <w:r>
              <w:rPr>
                <w:rFonts w:hint="eastAsia" w:ascii="宋体" w:hAnsi="宋体" w:eastAsia="宋体" w:cs="Times New Roman"/>
                <w:szCs w:val="21"/>
                <w:highlight w:val="none"/>
              </w:rPr>
              <w:t>≈</w:t>
            </w:r>
            <w:r>
              <w:rPr>
                <w:rFonts w:ascii="宋体" w:hAnsi="宋体" w:eastAsia="宋体" w:cs="Times New Roman"/>
                <w:szCs w:val="21"/>
                <w:highlight w:val="none"/>
              </w:rPr>
              <w:t>100</w:t>
            </w:r>
            <w:r>
              <w:rPr>
                <w:rFonts w:ascii="Times New Roman" w:hAnsi="Times New Roman" w:eastAsia="宋体" w:cs="Times New Roman"/>
                <w:szCs w:val="21"/>
                <w:highlight w:val="none"/>
              </w:rPr>
              <w:t>​</w:t>
            </w:r>
            <w:r>
              <w:rPr>
                <w:rFonts w:hint="eastAsia" w:ascii="宋体" w:hAnsi="宋体" w:eastAsia="宋体" w:cs="Times New Roman"/>
                <w:szCs w:val="21"/>
                <w:highlight w:val="none"/>
              </w:rPr>
              <w:t>表述，并满足</w:t>
            </w:r>
            <w:r>
              <w:rPr>
                <w:rFonts w:ascii="宋体" w:hAnsi="宋体" w:eastAsia="宋体" w:cs="Times New Roman"/>
                <w:szCs w:val="21"/>
                <w:highlight w:val="none"/>
              </w:rPr>
              <w:t xml:space="preserve"> SSI/TM</w:t>
            </w:r>
            <w:r>
              <w:rPr>
                <w:rFonts w:ascii="Cambria Math" w:hAnsi="Cambria Math" w:eastAsia="宋体" w:cs="Cambria Math"/>
                <w:szCs w:val="21"/>
                <w:highlight w:val="none"/>
              </w:rPr>
              <w:t>‑</w:t>
            </w:r>
            <w:r>
              <w:rPr>
                <w:rFonts w:ascii="宋体" w:hAnsi="宋体" w:eastAsia="宋体" w:cs="Times New Roman"/>
                <w:szCs w:val="21"/>
                <w:highlight w:val="none"/>
              </w:rPr>
              <w:t>30</w:t>
            </w:r>
            <w:r>
              <w:rPr>
                <w:rFonts w:ascii="Times New Roman" w:hAnsi="Times New Roman" w:eastAsia="宋体" w:cs="Times New Roman"/>
                <w:szCs w:val="21"/>
                <w:highlight w:val="none"/>
              </w:rPr>
              <w:t>​</w:t>
            </w:r>
            <w:r>
              <w:rPr>
                <w:rFonts w:hint="eastAsia" w:ascii="宋体" w:hAnsi="宋体" w:eastAsia="宋体" w:cs="Times New Roman"/>
                <w:szCs w:val="21"/>
                <w:highlight w:val="none"/>
              </w:rPr>
              <w:t>类专业评价口径，强调人物肤色、服饰与场景细节的精准还原，适合对“无色偏</w:t>
            </w:r>
            <w:r>
              <w:rPr>
                <w:rFonts w:ascii="宋体" w:hAnsi="宋体" w:eastAsia="宋体" w:cs="Times New Roman"/>
                <w:szCs w:val="21"/>
                <w:highlight w:val="none"/>
              </w:rPr>
              <w:t>/</w:t>
            </w:r>
            <w:r>
              <w:rPr>
                <w:rFonts w:hint="eastAsia" w:ascii="宋体" w:hAnsi="宋体" w:eastAsia="宋体" w:cs="Times New Roman"/>
                <w:szCs w:val="21"/>
                <w:highlight w:val="none"/>
              </w:rPr>
              <w:t>可重复色彩”要求高的演播室与拍摄场景</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5.</w:t>
            </w:r>
            <w:r>
              <w:rPr>
                <w:rFonts w:hint="eastAsia" w:ascii="宋体" w:hAnsi="宋体" w:eastAsia="宋体" w:cs="Times New Roman"/>
                <w:szCs w:val="21"/>
                <w:highlight w:val="none"/>
              </w:rPr>
              <w:t>色温控制：2700K–6500K 无级可调，冷暖光可精细校准，描述强调过渡无断层、可一键思路匹配日光/室内光等环境基调（具体匹配精度以实测与现场灰卡/色卡校验为准）</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6.</w:t>
            </w:r>
            <w:r>
              <w:rPr>
                <w:rFonts w:hint="eastAsia" w:ascii="宋体" w:hAnsi="宋体" w:eastAsia="宋体" w:cs="Times New Roman"/>
                <w:szCs w:val="21"/>
                <w:highlight w:val="none"/>
              </w:rPr>
              <w:t>控制方式：支持智能 App 场景式控光，内置多场景预设，面向多机位直播、大型演播室、多灯编组等复杂布光场景做快速切换与管理</w:t>
            </w:r>
            <w:r>
              <w:rPr>
                <w:rFonts w:hint="eastAsia" w:ascii="宋体" w:hAnsi="宋体" w:eastAsia="宋体" w:cs="Times New Roman"/>
                <w:szCs w:val="21"/>
                <w:highlight w:val="none"/>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7.</w:t>
            </w:r>
            <w:r>
              <w:rPr>
                <w:rFonts w:hint="eastAsia" w:ascii="宋体" w:hAnsi="宋体" w:eastAsia="宋体" w:cs="Times New Roman"/>
                <w:szCs w:val="21"/>
                <w:highlight w:val="none"/>
              </w:rPr>
              <w:t>适用场景：广电演播室、影视剧组、高端直播/商业拍摄等对光质硬度可控 + 色彩可信度 + 附件生态要求一致的场合</w:t>
            </w:r>
            <w:r>
              <w:rPr>
                <w:rFonts w:hint="eastAsia" w:ascii="宋体" w:hAnsi="宋体" w:eastAsia="宋体" w:cs="Times New Roman"/>
                <w:szCs w:val="21"/>
                <w:highlight w:val="none"/>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highlight w:val="none"/>
              </w:rPr>
            </w:pPr>
            <w:r>
              <w:rPr>
                <w:rFonts w:hint="eastAsia" w:ascii="宋体" w:hAnsi="宋体" w:eastAsia="宋体" w:cs="Times New Roman"/>
                <w:szCs w:val="21"/>
                <w:highlight w:val="none"/>
                <w:lang w:val="en-US" w:eastAsia="zh-CN"/>
              </w:rPr>
              <w:t>8.</w:t>
            </w:r>
            <w:r>
              <w:rPr>
                <w:rFonts w:hint="eastAsia" w:ascii="宋体" w:hAnsi="宋体" w:eastAsia="宋体" w:cs="Times New Roman"/>
                <w:szCs w:val="21"/>
                <w:highlight w:val="none"/>
              </w:rPr>
              <w:t>数量</w:t>
            </w:r>
            <w:r>
              <w:rPr>
                <w:rFonts w:hint="eastAsia" w:ascii="宋体" w:hAnsi="宋体" w:eastAsia="宋体" w:cs="Times New Roman"/>
                <w:szCs w:val="21"/>
                <w:highlight w:val="none"/>
                <w:lang w:val="en-US" w:eastAsia="zh-CN"/>
              </w:rPr>
              <w:t>不少于</w:t>
            </w:r>
            <w:r>
              <w:rPr>
                <w:rFonts w:hint="eastAsia" w:ascii="宋体" w:hAnsi="宋体" w:eastAsia="宋体" w:cs="Times New Roman"/>
                <w:szCs w:val="21"/>
                <w:highlight w:val="none"/>
              </w:rPr>
              <w:t>14台。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48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固定灯光架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固定式灯光安装架（定制加工）：</w:t>
            </w:r>
            <w:r>
              <w:rPr>
                <w:rFonts w:hint="eastAsia" w:ascii="宋体" w:hAnsi="宋体" w:eastAsia="宋体" w:cs="Times New Roman"/>
                <w:szCs w:val="21"/>
              </w:rPr>
              <w:t>演播厅专业灯光使用基础架，</w:t>
            </w:r>
            <w:r>
              <w:rPr>
                <w:rFonts w:ascii="宋体" w:hAnsi="宋体" w:eastAsia="宋体" w:cs="Times New Roman"/>
                <w:szCs w:val="21"/>
              </w:rPr>
              <w:t>采用高强度方管作为主承重骨架，确保整体结构强度与长期承重稳定性；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桁架单元之间间隔布置横向支撑或吊点横梁，形成均匀分布的安装点位，满足多灯具等距布光与载荷分散要求；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表面处理严格执行除锈、防锈底漆+黑色哑光面漆多层涂装工艺，涂层附着力强、耐腐蚀，适应演播室、剧场等室内环境的长期使用；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系统为刚性固定连接式设计，通过膨胀螺栓直接固定于建筑顶面或承重梁上，不依赖悬吊，支架前端预留标准灯钩安装孔位接口，兼容常规舞台灯具、影视聚光灯及LED面光灯的快速安装与角度调节；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单点吊挂承重能力≥50kg</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6.</w:t>
            </w:r>
            <w:r>
              <w:rPr>
                <w:rFonts w:hint="eastAsia" w:ascii="宋体" w:hAnsi="宋体" w:eastAsia="宋体" w:cs="Times New Roman"/>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49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恒力铰链带自动刹车</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1.悬吊长度不少于</w:t>
            </w:r>
            <w:r>
              <w:rPr>
                <w:rFonts w:ascii="宋体" w:hAnsi="宋体" w:eastAsia="宋体" w:cs="Times New Roman"/>
                <w:szCs w:val="21"/>
              </w:rPr>
              <w:t>1.5米恒力铰链</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恒力弹簧选用进口高强弹不锈钢经特殊处理，天花路轨吊臂厚度</w:t>
            </w:r>
            <w:r>
              <w:rPr>
                <w:rFonts w:hint="eastAsia" w:ascii="宋体" w:hAnsi="宋体" w:eastAsia="宋体" w:cs="Times New Roman"/>
                <w:szCs w:val="21"/>
                <w:lang w:val="en-US" w:eastAsia="zh-CN"/>
              </w:rPr>
              <w:t>不少于</w:t>
            </w:r>
            <w:r>
              <w:rPr>
                <w:rFonts w:ascii="宋体" w:hAnsi="宋体" w:eastAsia="宋体" w:cs="Times New Roman"/>
                <w:szCs w:val="21"/>
              </w:rPr>
              <w:t>0.75MM，宽度</w:t>
            </w:r>
            <w:r>
              <w:rPr>
                <w:rFonts w:hint="eastAsia" w:ascii="宋体" w:hAnsi="宋体" w:eastAsia="宋体" w:cs="Times New Roman"/>
                <w:szCs w:val="21"/>
                <w:lang w:val="en-US" w:eastAsia="zh-CN"/>
              </w:rPr>
              <w:t>不少于</w:t>
            </w:r>
            <w:r>
              <w:rPr>
                <w:rFonts w:ascii="宋体" w:hAnsi="宋体" w:eastAsia="宋体" w:cs="Times New Roman"/>
                <w:szCs w:val="21"/>
              </w:rPr>
              <w:t>23MM经久耐用，抗腐蚀</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抗疲劳：5000次内不超过1%</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使用寿命：持续拉伸</w:t>
            </w:r>
            <w:r>
              <w:rPr>
                <w:rFonts w:hint="eastAsia" w:ascii="宋体" w:hAnsi="宋体" w:eastAsia="宋体" w:cs="Times New Roman"/>
                <w:szCs w:val="21"/>
              </w:rPr>
              <w:t>不少于</w:t>
            </w:r>
            <w:r>
              <w:rPr>
                <w:rFonts w:ascii="宋体" w:hAnsi="宋体" w:eastAsia="宋体" w:cs="Times New Roman"/>
                <w:szCs w:val="21"/>
              </w:rPr>
              <w:t>20年</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材质：铝合金材料制成，全喷塑处理，抗静电</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6.</w:t>
            </w:r>
            <w:r>
              <w:rPr>
                <w:rFonts w:hint="eastAsia" w:ascii="宋体" w:hAnsi="宋体" w:eastAsia="宋体" w:cs="Times New Roman"/>
                <w:szCs w:val="21"/>
              </w:rPr>
              <w:t>数量</w:t>
            </w:r>
            <w:r>
              <w:rPr>
                <w:rFonts w:hint="eastAsia" w:ascii="宋体" w:hAnsi="宋体" w:eastAsia="宋体" w:cs="Times New Roman"/>
                <w:szCs w:val="21"/>
                <w:lang w:eastAsia="zh-CN"/>
              </w:rPr>
              <w:t>不少于</w:t>
            </w:r>
            <w:r>
              <w:rPr>
                <w:rFonts w:hint="eastAsia" w:ascii="宋体" w:hAnsi="宋体" w:eastAsia="宋体" w:cs="Times New Roman"/>
                <w:szCs w:val="21"/>
                <w:lang w:val="en-US" w:eastAsia="zh-CN"/>
              </w:rPr>
              <w:t>14</w:t>
            </w:r>
            <w:r>
              <w:rPr>
                <w:rFonts w:hint="eastAsia" w:ascii="宋体" w:hAnsi="宋体" w:eastAsia="宋体" w:cs="Times New Roman"/>
                <w:szCs w:val="21"/>
              </w:rPr>
              <w:t>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eastAsia"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bidi="ar"/>
              </w:rPr>
              <w:t>5</w:t>
            </w:r>
            <w:r>
              <w:rPr>
                <w:rFonts w:hint="eastAsia" w:ascii="宋体" w:hAnsi="宋体" w:eastAsia="宋体" w:cs="宋体"/>
                <w:b/>
                <w:bCs/>
                <w:color w:val="000000"/>
                <w:kern w:val="0"/>
                <w:szCs w:val="21"/>
                <w:lang w:val="en-US" w:eastAsia="zh-CN" w:bidi="ar"/>
              </w:rPr>
              <w:t>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灯具安装配件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此项为影视灯光配件，数量配合实际灯光需求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rPr>
              <w:t>1</w:t>
            </w:r>
            <w:r>
              <w:rPr>
                <w:rFonts w:hint="eastAsia" w:ascii="宋体" w:hAnsi="宋体" w:eastAsia="宋体" w:cs="Times New Roman"/>
                <w:szCs w:val="21"/>
                <w:lang w:val="en-US" w:eastAsia="zh-CN"/>
              </w:rPr>
              <w:t>.</w:t>
            </w:r>
            <w:r>
              <w:rPr>
                <w:rFonts w:hint="eastAsia" w:ascii="宋体" w:hAnsi="宋体" w:eastAsia="宋体" w:cs="Times New Roman"/>
                <w:szCs w:val="21"/>
              </w:rPr>
              <w:t xml:space="preserve">含广电灯光悬挂专用保险链 </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2</w:t>
            </w:r>
            <w:r>
              <w:rPr>
                <w:rFonts w:hint="eastAsia" w:ascii="宋体" w:hAnsi="宋体" w:eastAsia="宋体" w:cs="Times New Roman"/>
                <w:szCs w:val="21"/>
                <w:lang w:val="en-US" w:eastAsia="zh-CN"/>
              </w:rPr>
              <w:t>.</w:t>
            </w:r>
            <w:r>
              <w:rPr>
                <w:rFonts w:hint="eastAsia" w:ascii="宋体" w:hAnsi="宋体" w:eastAsia="宋体" w:cs="Times New Roman"/>
                <w:szCs w:val="21"/>
              </w:rPr>
              <w:t>含220V/10A电源接插件；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rPr>
              <w:t>3</w:t>
            </w:r>
            <w:r>
              <w:rPr>
                <w:rFonts w:hint="eastAsia" w:ascii="宋体" w:hAnsi="宋体" w:eastAsia="宋体" w:cs="Times New Roman"/>
                <w:szCs w:val="21"/>
                <w:lang w:val="en-US" w:eastAsia="zh-CN"/>
              </w:rPr>
              <w:t>.</w:t>
            </w:r>
            <w:r>
              <w:rPr>
                <w:rFonts w:hint="eastAsia" w:ascii="宋体" w:hAnsi="宋体" w:eastAsia="宋体" w:cs="Times New Roman"/>
                <w:szCs w:val="21"/>
              </w:rPr>
              <w:t>含12V/24V三芯、五芯控制接插件</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Times New Roman"/>
                <w:szCs w:val="21"/>
              </w:rPr>
              <w:t>4</w:t>
            </w:r>
            <w:r>
              <w:rPr>
                <w:rFonts w:hint="eastAsia" w:ascii="宋体" w:hAnsi="宋体" w:eastAsia="宋体" w:cs="Times New Roman"/>
                <w:szCs w:val="21"/>
                <w:lang w:val="en-US" w:eastAsia="zh-CN"/>
              </w:rPr>
              <w:t>.</w:t>
            </w:r>
            <w:r>
              <w:rPr>
                <w:rFonts w:hint="eastAsia" w:ascii="宋体" w:hAnsi="宋体" w:eastAsia="宋体" w:cs="Times New Roman"/>
                <w:szCs w:val="21"/>
              </w:rPr>
              <w:t>含广电灯光专用号码牌、双色100*100mm</w:t>
            </w:r>
            <w:r>
              <w:rPr>
                <w:rFonts w:hint="eastAsia" w:ascii="宋体" w:hAnsi="宋体" w:eastAsia="宋体" w:cs="Times New Roman"/>
                <w:szCs w:val="21"/>
                <w:lang w:val="en-US" w:eastAsia="zh-CN"/>
              </w:rPr>
              <w:t>(±10mm)</w:t>
            </w:r>
            <w:r>
              <w:rPr>
                <w:rFonts w:hint="eastAsia" w:ascii="宋体" w:hAnsi="宋体" w:eastAsia="宋体" w:cs="Times New Roman"/>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eastAsia"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bidi="ar"/>
              </w:rPr>
              <w:t>5</w:t>
            </w:r>
            <w:r>
              <w:rPr>
                <w:rFonts w:hint="eastAsia" w:ascii="宋体" w:hAnsi="宋体" w:eastAsia="宋体" w:cs="宋体"/>
                <w:b/>
                <w:bCs/>
                <w:color w:val="000000"/>
                <w:kern w:val="0"/>
                <w:szCs w:val="21"/>
                <w:lang w:val="en-US" w:eastAsia="zh-CN" w:bidi="ar"/>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万用蟹夹</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主体为锻压高强合金钢，适配Φ38–50mm圆管/方管；</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顶部预留保险绳挂孔，底部配合标准灯钩使用；单只额定承重≥50kg，安全系数≥5倍；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表面哑光黑处理防反光，配双顶丝锁紧防脱落；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验收要求：满负荷挂载无变形、无滑移，符合演播室吊装安全标准；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rPr>
              <w:t>5.数量自行设计，不少于68个。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eastAsia"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bidi="ar"/>
              </w:rPr>
              <w:t>5</w:t>
            </w:r>
            <w:r>
              <w:rPr>
                <w:rFonts w:hint="eastAsia" w:ascii="宋体" w:hAnsi="宋体" w:eastAsia="宋体" w:cs="宋体"/>
                <w:b/>
                <w:bCs/>
                <w:color w:val="000000"/>
                <w:kern w:val="0"/>
                <w:szCs w:val="21"/>
                <w:lang w:val="en-US" w:eastAsia="zh-CN" w:bidi="ar"/>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演播室灯具阻燃DMX控制线</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1.氧铜多股软导体，带整体屏蔽层，阻燃护套，额定电压300V</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2.符合GB/T 19666阻燃标准及DMX512控制协议传输要求；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rPr>
              <w:t>3.按实际路由长度敷设，两端压接XLR-3芯公/母或按灯具接口配套</w:t>
            </w:r>
            <w:r>
              <w:rPr>
                <w:rFonts w:ascii="宋体" w:hAnsi="宋体" w:eastAsia="宋体" w:cs="Times New Roman"/>
                <w:szCs w:val="21"/>
              </w:rPr>
              <w:t>；</w:t>
            </w:r>
            <w:r>
              <w:rPr>
                <w:rFonts w:hint="eastAsia" w:ascii="宋体" w:hAnsi="宋体" w:eastAsia="宋体" w:cs="宋体"/>
                <w:szCs w:val="21"/>
              </w:rPr>
              <w:t>4.数量</w:t>
            </w:r>
            <w:r>
              <w:rPr>
                <w:rFonts w:hint="eastAsia" w:ascii="宋体" w:hAnsi="宋体" w:eastAsia="宋体" w:cs="Times New Roman"/>
                <w:szCs w:val="21"/>
              </w:rPr>
              <w:t>自行设计，</w:t>
            </w:r>
            <w:r>
              <w:rPr>
                <w:rFonts w:hint="eastAsia" w:ascii="宋体" w:hAnsi="宋体" w:eastAsia="宋体" w:cs="宋体"/>
                <w:szCs w:val="21"/>
              </w:rPr>
              <w:t>不少于74组。</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53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机柜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19英寸标准机架，宽600×深600×高988mm</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±10mm</w:t>
            </w:r>
            <w:r>
              <w:rPr>
                <w:rFonts w:hint="eastAsia" w:ascii="宋体" w:hAnsi="宋体" w:eastAsia="宋体" w:cs="Times New Roman"/>
                <w:szCs w:val="21"/>
                <w:lang w:eastAsia="zh-CN"/>
              </w:rPr>
              <w:t>）</w:t>
            </w:r>
            <w:r>
              <w:rPr>
                <w:rFonts w:ascii="宋体" w:hAnsi="宋体" w:eastAsia="宋体" w:cs="Times New Roman"/>
                <w:szCs w:val="21"/>
              </w:rPr>
              <w:t>（总高</w:t>
            </w:r>
            <w:r>
              <w:rPr>
                <w:rFonts w:hint="eastAsia" w:ascii="宋体" w:hAnsi="宋体" w:eastAsia="宋体" w:cs="Times New Roman"/>
                <w:szCs w:val="21"/>
                <w:lang w:val="en-US" w:eastAsia="zh-CN"/>
              </w:rPr>
              <w:t>不高于</w:t>
            </w:r>
            <w:r>
              <w:rPr>
                <w:rFonts w:ascii="宋体" w:hAnsi="宋体" w:eastAsia="宋体" w:cs="Times New Roman"/>
                <w:szCs w:val="21"/>
              </w:rPr>
              <w:t>1000mm），黑色静电喷塑；</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方孔条≥2.0mm热镀锌、安装梁≥1.5mm、其余</w:t>
            </w:r>
            <w:r>
              <w:rPr>
                <w:rFonts w:hint="eastAsia" w:ascii="宋体" w:hAnsi="宋体" w:eastAsia="宋体" w:cs="Times New Roman"/>
                <w:szCs w:val="21"/>
              </w:rPr>
              <w:t>至少为</w:t>
            </w:r>
            <w:bookmarkStart w:id="559" w:name="OLE_LINK13"/>
            <w:r>
              <w:rPr>
                <w:rFonts w:ascii="宋体" w:hAnsi="宋体" w:eastAsia="宋体" w:cs="Times New Roman"/>
                <w:szCs w:val="21"/>
              </w:rPr>
              <w:t>SPCC</w:t>
            </w:r>
            <w:bookmarkEnd w:id="559"/>
            <w:r>
              <w:rPr>
                <w:rFonts w:ascii="宋体" w:hAnsi="宋体" w:eastAsia="宋体" w:cs="Times New Roman"/>
                <w:szCs w:val="21"/>
              </w:rPr>
              <w:t>冷轧板≥1.2mm</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静载≥800kg；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前后六角网孔门（通风率≥75%），带锁，侧门快拆；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底部配可调支脚×4 + 重型脚轮×4；标配固定板×1、M6卡式方螺母螺丝包×20套；</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顶装风扇模块×2、6位国标PDU×1；符合ANSI/EIA RS-310-D、IEC297-2、GB/T3047.2-92标准；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7.</w:t>
            </w:r>
            <w:r>
              <w:rPr>
                <w:rFonts w:ascii="宋体" w:hAnsi="宋体" w:eastAsia="宋体" w:cs="Times New Roman"/>
                <w:szCs w:val="21"/>
              </w:rPr>
              <w:t>防护等级≥IP20；</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8.</w:t>
            </w:r>
            <w:r>
              <w:rPr>
                <w:rFonts w:hint="eastAsia" w:ascii="宋体" w:hAnsi="宋体" w:eastAsia="宋体" w:cs="Times New Roman"/>
                <w:szCs w:val="21"/>
              </w:rPr>
              <w:t>数量</w:t>
            </w:r>
            <w:r>
              <w:rPr>
                <w:rFonts w:hint="eastAsia" w:ascii="宋体" w:hAnsi="宋体" w:eastAsia="宋体" w:cs="Times New Roman"/>
                <w:szCs w:val="21"/>
                <w:lang w:val="en-US" w:eastAsia="zh-CN"/>
              </w:rPr>
              <w:t>自行设计，但不得少于1个</w:t>
            </w:r>
            <w:r>
              <w:rPr>
                <w:rFonts w:hint="eastAsia" w:ascii="宋体" w:hAnsi="宋体" w:eastAsia="宋体" w:cs="Times New Roman"/>
                <w:szCs w:val="21"/>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54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DMX灯控台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1.</w:t>
            </w:r>
            <w:r>
              <w:rPr>
                <w:rFonts w:hint="eastAsia" w:ascii="宋体" w:hAnsi="宋体" w:eastAsia="宋体" w:cs="Times New Roman"/>
                <w:szCs w:val="21"/>
              </w:rPr>
              <w:t>DMX512/1990标准，最大256个DMX控制通道，1路光电隔离DMX信号输出（XLR-5或XLR-3按系统约定），最大可配接控制≥12～16台电脑灯（每台最多32通道）/或≥64路调光；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2.</w:t>
            </w:r>
            <w:r>
              <w:rPr>
                <w:rFonts w:hint="eastAsia" w:ascii="宋体" w:hAnsi="宋体" w:eastAsia="宋体" w:cs="Times New Roman"/>
                <w:szCs w:val="21"/>
              </w:rPr>
              <w:t>存储容量≥80个重演场景，多步场景单条最多≥100步，可同时输出/运行≥16个重演场景</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3.</w:t>
            </w:r>
            <w:r>
              <w:rPr>
                <w:rFonts w:hint="eastAsia" w:ascii="宋体" w:hAnsi="宋体" w:eastAsia="宋体" w:cs="Times New Roman"/>
                <w:szCs w:val="21"/>
              </w:rPr>
              <w:t>配≥16根集控推杆</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4.</w:t>
            </w:r>
            <w:r>
              <w:rPr>
                <w:rFonts w:hint="eastAsia" w:ascii="宋体" w:hAnsi="宋体" w:eastAsia="宋体" w:cs="Times New Roman"/>
                <w:szCs w:val="21"/>
              </w:rPr>
              <w:t>支持按键点控+推杆集控方式，带背光LCD显示屏，界面中英文可切换；</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5.</w:t>
            </w:r>
            <w:r>
              <w:rPr>
                <w:rFonts w:hint="eastAsia" w:ascii="宋体" w:hAnsi="宋体" w:eastAsia="宋体" w:cs="Times New Roman"/>
                <w:szCs w:val="21"/>
              </w:rPr>
              <w:t>支持立即黑场（Blackout）、断电数据保持、USB（FAT32）场景备份/恢复，电源AC 100–240V 50/60Hz</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6.</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3台。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eastAsia"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bidi="ar"/>
              </w:rPr>
              <w:t>5</w:t>
            </w:r>
            <w:r>
              <w:rPr>
                <w:rFonts w:hint="eastAsia" w:ascii="宋体" w:hAnsi="宋体" w:eastAsia="宋体" w:cs="宋体"/>
                <w:b/>
                <w:bCs/>
                <w:color w:val="000000"/>
                <w:kern w:val="0"/>
                <w:szCs w:val="21"/>
                <w:lang w:val="en-US" w:eastAsia="zh-CN" w:bidi="ar"/>
              </w:rPr>
              <w:t>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直通箱</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12路</w:t>
            </w:r>
            <w:r>
              <w:rPr>
                <w:rFonts w:hint="eastAsia" w:ascii="宋体" w:hAnsi="宋体" w:eastAsia="宋体" w:cs="Times New Roman"/>
                <w:szCs w:val="21"/>
              </w:rPr>
              <w:t>级</w:t>
            </w:r>
            <w:r>
              <w:rPr>
                <w:rFonts w:ascii="宋体" w:hAnsi="宋体" w:eastAsia="宋体" w:cs="Times New Roman"/>
                <w:szCs w:val="21"/>
              </w:rPr>
              <w:t>三相直通配电柜，AC380V±10%输入；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hint="eastAsia" w:ascii="宋体" w:hAnsi="宋体" w:eastAsia="宋体" w:cs="Times New Roman"/>
                <w:szCs w:val="21"/>
              </w:rPr>
              <w:t>至少满足</w:t>
            </w:r>
            <w:r>
              <w:rPr>
                <w:rFonts w:ascii="宋体" w:hAnsi="宋体" w:eastAsia="宋体" w:cs="Times New Roman"/>
                <w:szCs w:val="21"/>
              </w:rPr>
              <w:t>12路独立输出（4kW/6kW可选）；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每路带独立空开+指示灯，工业级接线端子，标准机架安装；</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4.</w:t>
            </w:r>
            <w:r>
              <w:rPr>
                <w:rFonts w:hint="eastAsia" w:ascii="宋体" w:hAnsi="宋体" w:eastAsia="宋体" w:cs="Times New Roman"/>
                <w:szCs w:val="21"/>
              </w:rPr>
              <w:t>数量</w:t>
            </w:r>
            <w:r>
              <w:rPr>
                <w:rFonts w:hint="eastAsia" w:ascii="宋体" w:hAnsi="宋体" w:eastAsia="宋体" w:cs="Times New Roman"/>
                <w:szCs w:val="21"/>
                <w:lang w:val="en-US" w:eastAsia="zh-CN"/>
              </w:rPr>
              <w:t>自行设计，但不得少于</w:t>
            </w:r>
            <w:r>
              <w:rPr>
                <w:rFonts w:hint="eastAsia" w:ascii="宋体" w:hAnsi="宋体" w:eastAsia="宋体" w:cs="Times New Roman"/>
                <w:szCs w:val="21"/>
              </w:rPr>
              <w:t>5台。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56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ascii="宋体" w:hAnsi="宋体" w:eastAsia="宋体" w:cs="Times New Roman"/>
                <w:szCs w:val="21"/>
              </w:rPr>
              <w:t>信号放大器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DMX-512信号分配放大器，</w:t>
            </w:r>
            <w:r>
              <w:rPr>
                <w:rFonts w:hint="eastAsia" w:ascii="宋体" w:hAnsi="宋体" w:eastAsia="宋体" w:cs="Times New Roman"/>
                <w:szCs w:val="21"/>
              </w:rPr>
              <w:t>至少满足</w:t>
            </w:r>
            <w:r>
              <w:rPr>
                <w:rFonts w:ascii="宋体" w:hAnsi="宋体" w:eastAsia="宋体" w:cs="Times New Roman"/>
                <w:szCs w:val="21"/>
              </w:rPr>
              <w:t>一进八出；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光电全隔离≥1000V；</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各输出独立电源，驱动距离≤2000m；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19英寸1U机架，AC100-240V；</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3套</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val="0"/>
                <w:bCs w:val="0"/>
                <w:color w:val="auto"/>
                <w:szCs w:val="21"/>
              </w:rPr>
            </w:pPr>
            <w:r>
              <w:rPr>
                <w:rFonts w:hint="eastAsia" w:ascii="宋体" w:hAnsi="宋体" w:eastAsia="宋体" w:cs="宋体"/>
                <w:b w:val="0"/>
                <w:bCs w:val="0"/>
                <w:color w:val="auto"/>
                <w:kern w:val="0"/>
                <w:szCs w:val="21"/>
                <w:lang w:bidi="ar"/>
              </w:rPr>
              <w:t>二</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val="0"/>
                <w:bCs w:val="0"/>
                <w:color w:val="auto"/>
                <w:szCs w:val="21"/>
              </w:rPr>
            </w:pPr>
            <w:r>
              <w:rPr>
                <w:rFonts w:hint="eastAsia" w:ascii="宋体" w:hAnsi="宋体" w:eastAsia="宋体" w:cs="Times New Roman"/>
                <w:b w:val="0"/>
                <w:bCs w:val="0"/>
                <w:color w:val="auto"/>
                <w:sz w:val="24"/>
                <w:szCs w:val="24"/>
              </w:rPr>
              <w:t>融媒体采编基础支撑系统</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智能装备恒湿管理柜主柜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智能装备恒湿管理柜主柜，柜体采用≥1.2mm镀锌板材质，配备≥15.6寸触控显示屏</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需集成人脸识别模块，刷卡模块，指纹模块，恒湿模块，柜体尺寸为1980*1100*500mm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采用工业级设计，支持7×24小时连续运行，低发热低功耗，采用RS485通讯，</w:t>
            </w:r>
            <w:r>
              <w:rPr>
                <w:rFonts w:ascii="Times New Roman" w:hAnsi="Times New Roman" w:eastAsia="宋体" w:cs="Times New Roman"/>
                <w:szCs w:val="24"/>
              </w:rPr>
              <w:t>具备抗干扰设计</w:t>
            </w:r>
            <w:r>
              <w:rPr>
                <w:rFonts w:hint="eastAsia" w:ascii="Times New Roman" w:hAnsi="Times New Roman" w:eastAsia="宋体" w:cs="Times New Roman"/>
                <w:szCs w:val="24"/>
              </w:rPr>
              <w:t>，</w:t>
            </w:r>
            <w:r>
              <w:rPr>
                <w:rFonts w:hint="eastAsia" w:ascii="宋体" w:hAnsi="宋体" w:eastAsia="宋体" w:cs="宋体"/>
                <w:szCs w:val="21"/>
              </w:rPr>
              <w:t>集成共模电感+TVS管抗干扰</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ascii="Times New Roman" w:hAnsi="Times New Roman" w:eastAsia="宋体" w:cs="Times New Roman"/>
                <w:szCs w:val="24"/>
              </w:rPr>
              <w:t>须支持</w:t>
            </w:r>
            <w:r>
              <w:rPr>
                <w:rFonts w:hint="eastAsia" w:ascii="宋体" w:hAnsi="宋体" w:eastAsia="宋体" w:cs="宋体"/>
                <w:szCs w:val="21"/>
              </w:rPr>
              <w:t>局域网本地化部署，数据不出内网；环境适应性需要满足范围至少</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作温度-10~60℃，储存温度-20~70℃，工作湿度5%~90%RH</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智能装备恒湿管理柜从柜-通柜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val="en-US" w:eastAsia="zh-CN"/>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智能装备恒湿管理柜从柜（通柜</w:t>
            </w:r>
            <w:r>
              <w:rPr>
                <w:rFonts w:hint="eastAsia" w:ascii="Times New Roman" w:hAnsi="Times New Roman" w:eastAsia="宋体" w:cs="Times New Roman"/>
                <w:szCs w:val="24"/>
              </w:rPr>
              <w:t>）</w:t>
            </w:r>
            <w:r>
              <w:rPr>
                <w:rFonts w:ascii="宋体" w:hAnsi="宋体" w:eastAsia="宋体" w:cs="宋体"/>
                <w:szCs w:val="21"/>
              </w:rPr>
              <w:t>，柜体采用≥1.2mm镀锌板材质</w:t>
            </w:r>
            <w:r>
              <w:rPr>
                <w:rFonts w:ascii="Times New Roman" w:hAnsi="Times New Roman" w:eastAsia="宋体" w:cs="Times New Roman"/>
                <w:szCs w:val="24"/>
              </w:rPr>
              <w:t>；</w:t>
            </w:r>
            <w:r>
              <w:rPr>
                <w:rFonts w:hint="eastAsia" w:ascii="Times New Roman" w:hAnsi="Times New Roman" w:eastAsia="宋体" w:cs="Times New Roman"/>
                <w:szCs w:val="24"/>
                <w:lang w:val="en-US"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szCs w:val="24"/>
              </w:rPr>
            </w:pPr>
            <w:r>
              <w:rPr>
                <w:rFonts w:hint="eastAsia" w:ascii="Times New Roman" w:hAnsi="Times New Roman" w:eastAsia="宋体" w:cs="Times New Roman"/>
                <w:szCs w:val="24"/>
                <w:lang w:val="en-US" w:eastAsia="zh-CN"/>
              </w:rPr>
              <w:t>2.</w:t>
            </w:r>
            <w:r>
              <w:rPr>
                <w:rFonts w:ascii="Times New Roman" w:hAnsi="Times New Roman" w:eastAsia="宋体" w:cs="Times New Roman"/>
                <w:szCs w:val="24"/>
              </w:rPr>
              <w:t>内置恒湿控制模块及管理模块，采用</w:t>
            </w:r>
            <w:r>
              <w:rPr>
                <w:rFonts w:hint="eastAsia" w:ascii="Times New Roman" w:hAnsi="Times New Roman" w:eastAsia="宋体" w:cs="Times New Roman"/>
                <w:szCs w:val="24"/>
              </w:rPr>
              <w:t>通柜</w:t>
            </w:r>
            <w:r>
              <w:rPr>
                <w:rFonts w:ascii="Times New Roman" w:hAnsi="Times New Roman" w:eastAsia="宋体" w:cs="Times New Roman"/>
                <w:szCs w:val="24"/>
              </w:rPr>
              <w:t>开启设计便于</w:t>
            </w:r>
            <w:r>
              <w:rPr>
                <w:rFonts w:hint="eastAsia" w:ascii="Times New Roman" w:hAnsi="Times New Roman" w:eastAsia="宋体" w:cs="Times New Roman"/>
                <w:szCs w:val="24"/>
              </w:rPr>
              <w:t>大件</w:t>
            </w:r>
            <w:r>
              <w:rPr>
                <w:rFonts w:ascii="Times New Roman" w:hAnsi="Times New Roman" w:eastAsia="宋体" w:cs="Times New Roman"/>
                <w:szCs w:val="24"/>
              </w:rPr>
              <w:t>存取；</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Times New Roman" w:hAnsi="Times New Roman" w:eastAsia="宋体" w:cs="Times New Roman"/>
                <w:szCs w:val="24"/>
                <w:lang w:val="en-US" w:eastAsia="zh-CN"/>
              </w:rPr>
              <w:t>3.</w:t>
            </w:r>
            <w:r>
              <w:rPr>
                <w:rFonts w:hint="eastAsia" w:ascii="宋体" w:hAnsi="宋体" w:eastAsia="宋体" w:cs="宋体"/>
                <w:szCs w:val="21"/>
              </w:rPr>
              <w:t>柜体尺寸为1980*1100*500mm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采用工业级设计，支持7×24小时连续运行，低发热低功耗</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采用RS485通讯，</w:t>
            </w:r>
            <w:r>
              <w:rPr>
                <w:rFonts w:ascii="Times New Roman" w:hAnsi="Times New Roman" w:eastAsia="宋体" w:cs="Times New Roman"/>
                <w:szCs w:val="24"/>
              </w:rPr>
              <w:t>具备抗干扰设计</w:t>
            </w:r>
            <w:r>
              <w:rPr>
                <w:rFonts w:hint="eastAsia" w:ascii="Times New Roman" w:hAnsi="Times New Roman" w:eastAsia="宋体" w:cs="Times New Roman"/>
                <w:szCs w:val="24"/>
              </w:rPr>
              <w:t>，</w:t>
            </w:r>
            <w:r>
              <w:rPr>
                <w:rFonts w:hint="eastAsia" w:ascii="宋体" w:hAnsi="宋体" w:eastAsia="宋体" w:cs="宋体"/>
                <w:szCs w:val="21"/>
              </w:rPr>
              <w:t>集成共模电感+TVS管抗干扰；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环境适应性需要满足范围至少：工作温度-10~60℃，储存温度-20~70℃，工作湿度5%~90%RH</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智能装备恒湿管理柜从柜-多门副柜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szCs w:val="24"/>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智能装备恒湿管理柜从柜（多门副柜）</w:t>
            </w:r>
            <w:r>
              <w:rPr>
                <w:rFonts w:ascii="宋体" w:hAnsi="宋体" w:eastAsia="宋体" w:cs="宋体"/>
                <w:szCs w:val="21"/>
              </w:rPr>
              <w:t>，柜体采用≥1.2mm镀锌板材质</w:t>
            </w:r>
            <w:r>
              <w:rPr>
                <w:rFonts w:ascii="Times New Roman" w:hAnsi="Times New Roman" w:eastAsia="宋体" w:cs="Times New Roman"/>
                <w:szCs w:val="24"/>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szCs w:val="24"/>
              </w:rPr>
            </w:pPr>
            <w:r>
              <w:rPr>
                <w:rFonts w:hint="eastAsia" w:ascii="Times New Roman" w:hAnsi="Times New Roman" w:eastAsia="宋体" w:cs="Times New Roman"/>
                <w:szCs w:val="24"/>
                <w:lang w:val="en-US" w:eastAsia="zh-CN"/>
              </w:rPr>
              <w:t>2.</w:t>
            </w:r>
            <w:r>
              <w:rPr>
                <w:rFonts w:ascii="Times New Roman" w:hAnsi="Times New Roman" w:eastAsia="宋体" w:cs="Times New Roman"/>
                <w:szCs w:val="24"/>
              </w:rPr>
              <w:t>内置恒湿控制模块及管理模块，采用多门独立开启设计便于分类存取；</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Times New Roman" w:hAnsi="Times New Roman" w:eastAsia="宋体" w:cs="Times New Roman"/>
                <w:szCs w:val="24"/>
                <w:lang w:val="en-US" w:eastAsia="zh-CN"/>
              </w:rPr>
              <w:t>3.</w:t>
            </w:r>
            <w:r>
              <w:rPr>
                <w:rFonts w:hint="eastAsia" w:ascii="宋体" w:hAnsi="宋体" w:eastAsia="宋体" w:cs="宋体"/>
                <w:szCs w:val="21"/>
              </w:rPr>
              <w:t>柜体尺寸为1980*1100*500mm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采用工业级设计，支持7×24小时连续运行，低发热低功耗</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采用RS485通讯，</w:t>
            </w:r>
            <w:r>
              <w:rPr>
                <w:rFonts w:ascii="Times New Roman" w:hAnsi="Times New Roman" w:eastAsia="宋体" w:cs="Times New Roman"/>
                <w:szCs w:val="24"/>
              </w:rPr>
              <w:t>具备抗干扰设计</w:t>
            </w:r>
            <w:r>
              <w:rPr>
                <w:rFonts w:hint="eastAsia" w:ascii="Times New Roman" w:hAnsi="Times New Roman" w:eastAsia="宋体" w:cs="Times New Roman"/>
                <w:szCs w:val="24"/>
              </w:rPr>
              <w:t>，</w:t>
            </w:r>
            <w:r>
              <w:rPr>
                <w:rFonts w:hint="eastAsia" w:ascii="宋体" w:hAnsi="宋体" w:eastAsia="宋体" w:cs="宋体"/>
                <w:szCs w:val="21"/>
              </w:rPr>
              <w:t>集成共模电感+TVS管抗干扰；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环境适应性需要满足范围至少：工作温度-10~60℃，储存温度-20~70℃，工作湿度5%~90%RH</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智能柜系统定制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配套智能柜使用的后台管理及二维码盘点系统</w:t>
            </w:r>
            <w:r>
              <w:rPr>
                <w:rFonts w:hint="eastAsia" w:ascii="宋体" w:hAnsi="宋体" w:eastAsia="宋体" w:cs="宋体"/>
                <w:szCs w:val="21"/>
              </w:rPr>
              <w:t>：二维码盘点系统，通过局域网本地化部署，数据不出内网，后台管理系统（Web端），全流程操作日志（借还、异常操作）</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支持按时间、人员、物品等多维度筛选导出。借用次数统计、使用时长分析</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3.</w:t>
            </w:r>
            <w:r>
              <w:rPr>
                <w:rFonts w:hint="eastAsia" w:ascii="宋体" w:hAnsi="宋体" w:eastAsia="宋体" w:cs="宋体"/>
                <w:szCs w:val="21"/>
              </w:rPr>
              <w:t>支持工具（需归还）与耗材（无需归还）双模式。 工具可一格多放，二维码追溯借还责任</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4.</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装备资产二维码热转印打印机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1.</w:t>
            </w:r>
            <w:r>
              <w:rPr>
                <w:rFonts w:hint="eastAsia" w:ascii="宋体" w:hAnsi="宋体" w:eastAsia="宋体" w:cs="宋体"/>
                <w:szCs w:val="21"/>
              </w:rPr>
              <w:t>便携式热转印智能标签打印机（碳带+不干胶标签介质）</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打印分辨率 ≥300 dpi；</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有效打印宽度 ≤48 mm，适用标签宽度范围 20–50 mm（含白底四防纸、哑银PET、透明等常见办公/资产标签材质）；</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打印头为热转印型式，需配套碳带组件工作（非热敏直打）；</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连接方式支持 Bluetooth（移动端编辑打印）＋USB（PC端编辑打印），物理接口含 USB</w:t>
            </w:r>
            <w:r>
              <w:rPr>
                <w:rFonts w:ascii="Cambria Math" w:hAnsi="Cambria Math" w:eastAsia="宋体" w:cs="Cambria Math"/>
                <w:szCs w:val="21"/>
              </w:rPr>
              <w:t>‑</w:t>
            </w:r>
            <w:r>
              <w:rPr>
                <w:rFonts w:hint="eastAsia" w:ascii="宋体" w:hAnsi="宋体" w:eastAsia="宋体" w:cs="宋体"/>
                <w:szCs w:val="21"/>
              </w:rPr>
              <w:t>C（充电/数据）；内置可充电锂离子电池（容量 2000 mAh 级），支持脱离线缆便携打印；</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机身尺寸178×108×74 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hint="eastAsia" w:ascii="宋体" w:hAnsi="宋体" w:eastAsia="宋体" w:cs="宋体"/>
                <w:szCs w:val="21"/>
              </w:rPr>
              <w:t>，重量760 g</w:t>
            </w:r>
            <w:r>
              <w:rPr>
                <w:rFonts w:hint="eastAsia" w:ascii="宋体" w:hAnsi="宋体" w:eastAsia="宋体" w:cs="宋体"/>
                <w:szCs w:val="21"/>
                <w:lang w:eastAsia="zh-CN"/>
              </w:rPr>
              <w:t>（</w:t>
            </w:r>
            <w:r>
              <w:rPr>
                <w:rFonts w:hint="eastAsia" w:ascii="宋体" w:hAnsi="宋体" w:eastAsia="宋体" w:cs="宋体"/>
                <w:szCs w:val="21"/>
                <w:lang w:val="en-US" w:eastAsia="zh-CN"/>
              </w:rPr>
              <w:t>±10g</w:t>
            </w:r>
            <w:r>
              <w:rPr>
                <w:rFonts w:hint="eastAsia" w:ascii="宋体" w:hAnsi="宋体" w:eastAsia="宋体" w:cs="宋体"/>
                <w:szCs w:val="21"/>
                <w:lang w:eastAsia="zh-CN"/>
              </w:rPr>
              <w:t>）</w:t>
            </w:r>
            <w:r>
              <w:rPr>
                <w:rFonts w:hint="eastAsia" w:ascii="宋体" w:hAnsi="宋体" w:eastAsia="宋体" w:cs="宋体"/>
                <w:szCs w:val="21"/>
              </w:rPr>
              <w:t>；工作温度5–40℃；</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7.</w:t>
            </w:r>
            <w:r>
              <w:rPr>
                <w:rFonts w:hint="eastAsia" w:ascii="宋体" w:hAnsi="宋体" w:eastAsia="宋体" w:cs="宋体"/>
                <w:szCs w:val="21"/>
              </w:rPr>
              <w:t>随箱应配：主机×1、碳带×≥1、USB</w:t>
            </w:r>
            <w:r>
              <w:rPr>
                <w:rFonts w:ascii="Cambria Math" w:hAnsi="Cambria Math" w:eastAsia="宋体" w:cs="Cambria Math"/>
                <w:szCs w:val="21"/>
              </w:rPr>
              <w:t>‑</w:t>
            </w:r>
            <w:r>
              <w:rPr>
                <w:rFonts w:hint="eastAsia" w:ascii="宋体" w:hAnsi="宋体" w:eastAsia="宋体" w:cs="宋体"/>
                <w:szCs w:val="21"/>
              </w:rPr>
              <w:t>C数据/充电线×1、说明书/质保凭证×1</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8.</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装备资产二维码打印机耗材</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1.</w:t>
            </w:r>
            <w:r>
              <w:rPr>
                <w:rFonts w:hint="eastAsia" w:ascii="宋体" w:hAnsi="宋体" w:eastAsia="宋体" w:cs="宋体"/>
                <w:szCs w:val="21"/>
              </w:rPr>
              <w:t>热转印专用色带（碳带）：打印宽度50mm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hint="eastAsia" w:ascii="宋体" w:hAnsi="宋体" w:eastAsia="宋体" w:cs="宋体"/>
                <w:szCs w:val="21"/>
              </w:rPr>
              <w:t>，单卷长度24m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采用树脂基或混合基配方，具备长效保存、抗高温、高清打印特性，适配前述热转印标签打印机使用；</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专用自粘打印纸：提供白色、黄色两种基色，采用高附着性不干胶材料，具备长效不褪色、防水、防油、耐高低温、耐摩擦性强等特性，撕下后不留残胶；</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4.</w:t>
            </w:r>
            <w:r>
              <w:rPr>
                <w:rFonts w:hint="eastAsia" w:ascii="宋体" w:hAnsi="宋体" w:eastAsia="宋体" w:cs="宋体"/>
                <w:szCs w:val="21"/>
              </w:rPr>
              <w:t>打印成品应保证细小文字清晰可辨，满足资产标识、线缆标签、配电箱标识等长期户外/工业环境使用要求</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5.</w:t>
            </w:r>
            <w:r>
              <w:rPr>
                <w:rFonts w:hint="eastAsia" w:ascii="宋体" w:hAnsi="宋体" w:eastAsia="宋体" w:cs="宋体"/>
                <w:szCs w:val="21"/>
              </w:rPr>
              <w:t>数量为1批，满足装备柜装满至少2套设备使用量。</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展示屏</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定制75寸广告屏，采用Android系统方案，系统版本11.0及以上；</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可外接U盘播放音乐、图片及视频；可调节图像，背光，设置，声音等功能；</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采用16：9高清全视角LCD，最大分辨率支持3840*2160；</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侧置USB,HDMI,网口等众多接口；</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多种信号接口，支持多种信号输入/出；</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ascii="宋体" w:hAnsi="宋体" w:eastAsia="宋体" w:cs="宋体"/>
                <w:szCs w:val="21"/>
              </w:rPr>
              <w:t>视角≥178°(H) / 178°(V)；</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7.</w:t>
            </w:r>
            <w:r>
              <w:rPr>
                <w:rFonts w:ascii="宋体" w:hAnsi="宋体" w:eastAsia="宋体" w:cs="宋体"/>
                <w:szCs w:val="21"/>
              </w:rPr>
              <w:t>色彩度≥1.07B(8bit)；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ascii="宋体" w:hAnsi="宋体" w:eastAsia="宋体" w:cs="宋体"/>
                <w:szCs w:val="21"/>
              </w:rPr>
              <w:t>背光类型D-LED；</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9.</w:t>
            </w:r>
            <w:r>
              <w:rPr>
                <w:rFonts w:ascii="宋体" w:hAnsi="宋体" w:eastAsia="宋体" w:cs="宋体"/>
                <w:szCs w:val="21"/>
              </w:rPr>
              <w:t>可受中控控制开关机/升级高亮背光，采用3MM钢化玻璃，玻璃面板支持莫氏 7 级硬度；</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10.</w:t>
            </w:r>
            <w:r>
              <w:rPr>
                <w:rFonts w:ascii="宋体" w:hAnsi="宋体" w:eastAsia="宋体" w:cs="宋体"/>
                <w:szCs w:val="21"/>
              </w:rPr>
              <w:t>视频播放支持wmv、avi、flv、rm、rmvb、mpeg、ts、mp4等多种格式；</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11.</w:t>
            </w:r>
            <w:r>
              <w:rPr>
                <w:rFonts w:ascii="宋体" w:hAnsi="宋体" w:eastAsia="宋体" w:cs="宋体"/>
                <w:szCs w:val="21"/>
              </w:rPr>
              <w:t>图片播放支持BMP、JPEG、PNG、GIF等多种格式；</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12.</w:t>
            </w:r>
            <w:r>
              <w:rPr>
                <w:rFonts w:ascii="宋体" w:hAnsi="宋体" w:eastAsia="宋体" w:cs="宋体"/>
                <w:szCs w:val="21"/>
              </w:rPr>
              <w:t>网络通信支持以太网、WIFI；采用专业级芯片及处理技术，确保高画质；</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13.</w:t>
            </w:r>
            <w:r>
              <w:rPr>
                <w:rFonts w:ascii="宋体" w:hAnsi="宋体" w:eastAsia="宋体" w:cs="宋体"/>
                <w:szCs w:val="21"/>
              </w:rPr>
              <w:t>采用工业级高性能液晶屏，确保图象高清晰、高亮度和使用稳定性；</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14.</w:t>
            </w:r>
            <w:r>
              <w:rPr>
                <w:rFonts w:ascii="宋体" w:hAnsi="宋体" w:eastAsia="宋体" w:cs="宋体"/>
                <w:szCs w:val="21"/>
              </w:rPr>
              <w:t>外壳采用高强度钢材设计，外观超薄，美观结实，具有优良的防护等级和电磁屏蔽性能；</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15.</w:t>
            </w:r>
            <w:r>
              <w:rPr>
                <w:rFonts w:hint="eastAsia" w:ascii="宋体" w:hAnsi="宋体" w:eastAsia="宋体" w:cs="宋体"/>
                <w:szCs w:val="21"/>
              </w:rPr>
              <w:t>支持由中控系统远程控制开关机与状态管理</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16.</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8口poe千兆交换机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千兆PoE交换机，提供≥8个10/100/1000M自适应PoE电口+≥1个千兆SFP光口；</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整机PoE供电总功率≥120W，单端口PoE最大输出≥30W，须支持IEEE 802.3af/at标准；</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PoE端口须支持优先级机制，整机功耗超限时自动保障高优先级端口供电；</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4.</w:t>
            </w:r>
            <w:r>
              <w:rPr>
                <w:rFonts w:ascii="宋体" w:hAnsi="宋体" w:eastAsia="宋体" w:cs="宋体"/>
                <w:szCs w:val="21"/>
              </w:rPr>
              <w:t>须支持端口隔离及VLAN功能，非阻塞线速转发</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5.</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3台。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机柜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定制</w:t>
            </w:r>
            <w:r>
              <w:rPr>
                <w:rFonts w:ascii="宋体" w:hAnsi="宋体" w:eastAsia="宋体" w:cs="宋体"/>
                <w:szCs w:val="21"/>
              </w:rPr>
              <w:t>9U壁挂式机柜：宽450×深550×高400mm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ascii="宋体" w:hAnsi="宋体" w:eastAsia="宋体" w:cs="宋体"/>
                <w:szCs w:val="21"/>
              </w:rPr>
              <w:t>（9U），冷轧钢喷塑；</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方孔条热镀锌；</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快拆侧板，壁挂安装；</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4.</w:t>
            </w:r>
            <w:r>
              <w:rPr>
                <w:rFonts w:ascii="宋体" w:hAnsi="宋体" w:eastAsia="宋体" w:cs="宋体"/>
                <w:szCs w:val="21"/>
              </w:rPr>
              <w:t>含M6方螺母包及接地端子</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5.</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路由器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1.</w:t>
            </w:r>
            <w:r>
              <w:rPr>
                <w:rFonts w:hint="eastAsia" w:ascii="宋体" w:hAnsi="宋体" w:eastAsia="宋体" w:cs="宋体"/>
                <w:szCs w:val="21"/>
              </w:rPr>
              <w:t>接口与性能：固化千兆以太网口≥27个，其中固化WAN口≥3个、固化LAN口≥23个，支持WAN/LAN角色灵活切换（切换口≥1个），出口链路支持冗余备份（WAN口≥4个）；整机转发性能满足中小型企业/园区千兆线速转发需求</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Times New Roman"/>
                <w:szCs w:val="21"/>
                <w:lang w:val="en-US" w:eastAsia="zh-CN"/>
              </w:rPr>
              <w:t>2.</w:t>
            </w:r>
            <w:r>
              <w:rPr>
                <w:rFonts w:hint="eastAsia" w:ascii="宋体" w:hAnsi="宋体" w:eastAsia="宋体" w:cs="宋体"/>
                <w:szCs w:val="21"/>
              </w:rPr>
              <w:t>无线与协议：支持802.11a/b/g/n/ac/ax（Wi-Fi 6）等无线协议，兼容新旧终端接入；支持国家标准IPSec VPN协议，实现跨互联网加密传输</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终端与认证：支持实时查看终端流量、在线状态、认证类型、VLAN、接入位置等信息；Portal认证页面可自定义（标题、文字、免责声明等）；云端扩展认证服务支持员工认证（WPA-PSK/WPA2-PSK/WPA3-PSK、802.1X、企业微信/钉钉认证）及访客认证（</w:t>
            </w:r>
            <w:r>
              <w:rPr>
                <w:rFonts w:hint="eastAsia" w:ascii="宋体" w:hAnsi="宋体" w:eastAsia="宋体" w:cs="宋体"/>
                <w:szCs w:val="21"/>
                <w:lang w:eastAsia="zh-CN"/>
              </w:rPr>
              <w:t>短</w:t>
            </w:r>
            <w:r>
              <w:rPr>
                <w:rFonts w:hint="eastAsia" w:ascii="宋体" w:hAnsi="宋体" w:eastAsia="宋体" w:cs="宋体"/>
                <w:szCs w:val="21"/>
              </w:rPr>
              <w:t>信</w:t>
            </w:r>
            <w:r>
              <w:rPr>
                <w:rFonts w:hint="eastAsia" w:ascii="宋体" w:hAnsi="宋体" w:eastAsia="宋体" w:cs="宋体"/>
                <w:szCs w:val="21"/>
                <w:lang w:val="en-US" w:eastAsia="zh-CN"/>
              </w:rPr>
              <w:t>.</w:t>
            </w:r>
            <w:r>
              <w:rPr>
                <w:rFonts w:hint="eastAsia" w:ascii="宋体" w:hAnsi="宋体" w:eastAsia="宋体" w:cs="宋体"/>
                <w:szCs w:val="21"/>
              </w:rPr>
              <w:t>Facebook/Twitter/Line等社交认证）</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应用识别与流控：内置应用特征库，可识别≥300种主流应用（邮件、游戏、P2P、流媒体、金融交易、办公OA等）；支持基于IP段、时间、上下行、线路维度的带宽保证通道，确保关键业务体验</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高密优化与安全：支持多播/广播优化、ARP广播转单播，减少无线空口资源浪费；支持无线DOS防御（并发数/新建连接速率/小包速率阈值自定义）；支持NAT、DHCP、DDNS、静态IP/PPPoE/DHCP三种上网方式</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管理与运维：提供WEB图形化界面管理，支持微信小程序快速开局；</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7.</w:t>
            </w:r>
            <w:r>
              <w:rPr>
                <w:rFonts w:hint="eastAsia" w:ascii="宋体" w:hAnsi="宋体" w:eastAsia="宋体" w:cs="宋体"/>
                <w:szCs w:val="21"/>
              </w:rPr>
              <w:t>设备尺寸适配标准机柜安装，工作温度0℃~45℃，湿度5%~95%（非凝结）</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8.</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防火墙</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网络层吞吐量≥3G，应用层吞吐量≥1G，并发连接数≥100万，HTTP新建连接数≥3万。接口≥6千兆电口+2千兆光口SFP</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2.产品支持路由模式、透明模式、虚拟网线模式、旁路镜像模式等多种部署方式</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3.产品支持链路健康检查功能，支持基于多种协议对链路可用性进行探测，探测协议至少包括DNS解析、ARP探测和PING方式</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4.产品支持DNS透明代理功能，避免单运营商DNS解析出现单一链路流量过载，平衡多条运营商线路的带宽利用率</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rPr>
              <w:t>5.产品支持对HTTPS协议加密流量进行解密，支持配置基于区域、对象、业务类型、服务器IP/端口的解密策略</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6.产品支持IPSec VPN智能选路功能，根据线路质量和应用实现自动链路切换</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rPr>
              <w:t>7.产品支持僵尸主机检测功能，产品内置僵尸网络特征库超过128万种，可识别主机的异常外联行为</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rPr>
              <w:t>8.产品支持三权分立功能，根据管理员权限分为安全管理员、审计员、系统管理员三种角色</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9.产品支持策略生命周期管理功能，支持对安全策略修改的时间、原因、变更类型进行统一管理，便于策略的运维与管理</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以太网交换机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以太网交换机主机,支持24个10/100/1000BASE-T电口,支持4个1G/10G BASE-X SFP Plus端口）；</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须配置冗余可插拔AC电源模块（≥2个）；</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ascii="宋体" w:hAnsi="宋体" w:eastAsia="宋体" w:cs="宋体"/>
                <w:szCs w:val="21"/>
              </w:rPr>
              <w:t>配套万兆SFP+光模块（850nm，传输距离≥300m，LC接口）≥4个</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48口交换机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三层千兆接入交换机，千兆电口≥48个，万兆SFP+光口≥4个，Console口≥1个；</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交换性能≥1.08Tbps，包转发率≥560Mpps；</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ascii="宋体" w:hAnsi="宋体" w:eastAsia="宋体" w:cs="宋体"/>
                <w:szCs w:val="21"/>
              </w:rPr>
              <w:t>须支持STP/RSTP/MSTP协议及4K个VLAN；MAC地址表≥32K</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支持MAC自动学习及源MAC过滤/端口学习数限制；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须支持IGMP Snooping、防网关ARP欺骗及端口隔离；</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6.</w:t>
            </w:r>
            <w:r>
              <w:rPr>
                <w:rFonts w:ascii="宋体" w:hAnsi="宋体" w:eastAsia="宋体" w:cs="宋体"/>
                <w:szCs w:val="21"/>
              </w:rPr>
              <w:t>须支持SNMPv1/v2c/v3及WEB网管</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AC控制器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ascii="宋体" w:hAnsi="宋体" w:eastAsia="宋体" w:cs="宋体"/>
                <w:szCs w:val="21"/>
              </w:rPr>
              <w:t>无线控制器（AC）</w:t>
            </w:r>
            <w:r>
              <w:rPr>
                <w:rFonts w:hint="eastAsia" w:ascii="宋体" w:hAnsi="宋体" w:eastAsia="宋体" w:cs="宋体"/>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支持不少于8个千兆以太网口，1个千兆光接口，1个USB口，支持不少于2个WAN口做链路冗余备份；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w:t>
            </w:r>
            <w:r>
              <w:rPr>
                <w:rFonts w:hint="eastAsia" w:ascii="宋体" w:hAnsi="宋体" w:eastAsia="宋体" w:cs="宋体"/>
                <w:szCs w:val="21"/>
              </w:rPr>
              <w:t>支持802.11a/b/g/n/ac/ax等协议；</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zCs w:val="21"/>
                <w:lang w:val="en-US" w:eastAsia="zh-CN"/>
              </w:rPr>
              <w:t>.</w:t>
            </w:r>
            <w:r>
              <w:rPr>
                <w:rFonts w:hint="eastAsia" w:ascii="宋体" w:hAnsi="宋体" w:eastAsia="宋体" w:cs="宋体"/>
                <w:szCs w:val="21"/>
              </w:rPr>
              <w:t>支持查看实时流量收发状态、在线状态、认证类型、在线时长、VLAN信息、终端信息、接入位置等信息；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支持Portal认证页面自定义，包括页面展示信息、页面标题、文字描述、免责声明等信息；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w:t>
            </w:r>
            <w:r>
              <w:rPr>
                <w:rFonts w:hint="eastAsia" w:ascii="宋体" w:hAnsi="宋体" w:eastAsia="宋体" w:cs="宋体"/>
                <w:szCs w:val="21"/>
                <w:lang w:val="en-US" w:eastAsia="zh-CN"/>
              </w:rPr>
              <w:t>.</w:t>
            </w:r>
            <w:r>
              <w:rPr>
                <w:rFonts w:hint="eastAsia" w:ascii="宋体" w:hAnsi="宋体" w:eastAsia="宋体" w:cs="宋体"/>
                <w:szCs w:val="21"/>
              </w:rPr>
              <w:t>支持OPEN、802.1X账号认证、WPA-PSK、WPA2-PSK、WPA-PSK/WPA2-PSK混合加密；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w:t>
            </w:r>
            <w:r>
              <w:rPr>
                <w:rFonts w:hint="eastAsia" w:ascii="宋体" w:hAnsi="宋体" w:eastAsia="宋体" w:cs="宋体"/>
                <w:szCs w:val="21"/>
                <w:lang w:val="en-US" w:eastAsia="zh-CN"/>
              </w:rPr>
              <w:t>.</w:t>
            </w:r>
            <w:r>
              <w:rPr>
                <w:rFonts w:hint="eastAsia" w:ascii="宋体" w:hAnsi="宋体" w:eastAsia="宋体" w:cs="宋体"/>
                <w:szCs w:val="21"/>
              </w:rPr>
              <w:t>支持应用识别，能识别不低于300种常见的网络应用，能识别邮件、游戏、P2P流媒体、WEB流媒体、金融交易、办公OA、移动终端应用等主流应用；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7</w:t>
            </w:r>
            <w:r>
              <w:rPr>
                <w:rFonts w:hint="eastAsia" w:ascii="宋体" w:hAnsi="宋体" w:eastAsia="宋体" w:cs="宋体"/>
                <w:szCs w:val="21"/>
                <w:lang w:val="en-US" w:eastAsia="zh-CN"/>
              </w:rPr>
              <w:t>.</w:t>
            </w:r>
            <w:r>
              <w:rPr>
                <w:rFonts w:hint="eastAsia" w:ascii="宋体" w:hAnsi="宋体" w:eastAsia="宋体" w:cs="宋体"/>
                <w:szCs w:val="21"/>
              </w:rPr>
              <w:t>支持针对不同流量内容设定保证通道，针对上/下行、IP地址端、时间、线路等维度进行进行通道带宽的保证，以便具有良好的使用体验；</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8</w:t>
            </w:r>
            <w:r>
              <w:rPr>
                <w:rFonts w:hint="eastAsia" w:ascii="宋体" w:hAnsi="宋体" w:eastAsia="宋体" w:cs="宋体"/>
                <w:szCs w:val="21"/>
                <w:lang w:val="en-US" w:eastAsia="zh-CN"/>
              </w:rPr>
              <w:t>.</w:t>
            </w:r>
            <w:r>
              <w:rPr>
                <w:rFonts w:hint="eastAsia" w:ascii="宋体" w:hAnsi="宋体" w:eastAsia="宋体" w:cs="宋体"/>
                <w:szCs w:val="21"/>
              </w:rPr>
              <w:t>支持高密优化，支持多播优化、广播优化、ARP广播转单播，有效减少无线空口资源不必要的浪费，提升使用体验；</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9</w:t>
            </w:r>
            <w:r>
              <w:rPr>
                <w:rFonts w:hint="eastAsia" w:ascii="宋体" w:hAnsi="宋体" w:eastAsia="宋体" w:cs="宋体"/>
                <w:szCs w:val="21"/>
                <w:lang w:val="en-US" w:eastAsia="zh-CN"/>
              </w:rPr>
              <w:t>.</w:t>
            </w:r>
            <w:r>
              <w:rPr>
                <w:rFonts w:hint="eastAsia" w:ascii="宋体" w:hAnsi="宋体" w:eastAsia="宋体" w:cs="宋体"/>
                <w:szCs w:val="21"/>
              </w:rPr>
              <w:t>支持NAT、DHCP、DDNS动态域名，支持路由网关功能，支持静态IP、DHCP、PPPoE拨号三种上网方式；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10</w:t>
            </w:r>
            <w:r>
              <w:rPr>
                <w:rFonts w:hint="eastAsia" w:ascii="宋体" w:hAnsi="宋体" w:eastAsia="宋体" w:cs="宋体"/>
                <w:szCs w:val="21"/>
                <w:lang w:val="en-US" w:eastAsia="zh-CN"/>
              </w:rPr>
              <w:t>.</w:t>
            </w:r>
            <w:r>
              <w:rPr>
                <w:rFonts w:hint="eastAsia" w:ascii="宋体" w:hAnsi="宋体" w:eastAsia="宋体" w:cs="宋体"/>
                <w:szCs w:val="21"/>
              </w:rPr>
              <w:t>为方便无线网络管理，网关支持WEB图形化界面管理，支持基于微信小程序开局；</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11</w:t>
            </w:r>
            <w:r>
              <w:rPr>
                <w:rFonts w:hint="eastAsia" w:ascii="宋体" w:hAnsi="宋体" w:eastAsia="宋体" w:cs="宋体"/>
                <w:szCs w:val="21"/>
                <w:lang w:val="en-US" w:eastAsia="zh-CN"/>
              </w:rPr>
              <w:t>.</w:t>
            </w:r>
            <w:r>
              <w:rPr>
                <w:rFonts w:hint="eastAsia" w:ascii="宋体" w:hAnsi="宋体" w:eastAsia="宋体" w:cs="宋体"/>
                <w:szCs w:val="21"/>
              </w:rPr>
              <w:t>支持国家标准IPSec VPN协议，实现跨互联网加密传输；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12</w:t>
            </w:r>
            <w:r>
              <w:rPr>
                <w:rFonts w:hint="eastAsia" w:ascii="宋体" w:hAnsi="宋体" w:eastAsia="宋体" w:cs="宋体"/>
                <w:szCs w:val="21"/>
                <w:lang w:val="en-US" w:eastAsia="zh-CN"/>
              </w:rPr>
              <w:t>.</w:t>
            </w:r>
            <w:r>
              <w:rPr>
                <w:rFonts w:hint="eastAsia" w:ascii="宋体" w:hAnsi="宋体" w:eastAsia="宋体" w:cs="宋体"/>
                <w:szCs w:val="21"/>
              </w:rPr>
              <w:t>支持无线DOS防御，可基于并发数/新建连接速率/小包速率DIY设定阈值</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13.</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AP模块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 支持IEEE 802.11ax标准，可同时工作在802.11ax和802.11a/b/g/n/ac模式，向下兼容所有主流无线协议。</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 采用双频设计，支持2.4GHz和5GHz频段同时工作，整机支持≥6条空间流。</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 整机最大接入速率≥5377.5 Mbps。其中5GHz单射频最大接入速率≥4.8 Gbps，2.4GHz单射频最大接入速率≥0.5 Gbps。</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 支持20MHz、40MHz、80MHz、160MHz工作频宽，5GHz单射频最高可支持160MHz频宽。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 内置矩阵式天线，支持波束成形技术，无需外置天线。</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 提供≥1个2.5G/1000M自适应以太网上联口，支持PoE供电（802.3af/at标准）。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7. 支持PoE供电和本地直流电源适配器供电两种供电模式。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8. 支持802.1X、CA证书、短信认证、双因素认证、微信小程序认证、MAC认证、Portal认证等多种认证方式。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9. 支持智能负载均衡，能够基于用户数、信号强度、信道利用率等多种策略自动调整AP间的接入压力。</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10. 支持QoS服务质量保障，支持不同SSID或VLAN映射不同的QoS策略，支持智能带宽限速。</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11. 具备潜在风险终端和网络访问流量的识别与封堵功能，支持WIDS/WIPS无线入侵检测与防御，能够对非法AP进行实时检测、告警及反制。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12. 支持100%胖瘦一体化工作模式（Fat AP/Fit AP），无需通过软件升级即可在胖AP和瘦AP模式间切换，以适应集中管理或本地独立组网需求。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13. 支持虚拟AP功能，一台物理AP可虚拟为多台逻辑AP，分别受不同AC设备独立管理，互不影响，不同虚拟AP之间数据隔离，虚拟AP在AC上不占用AP License。</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14. 支持≥32个SSID，支持SSID隐藏、中文SSID，支持基于SSID的接入用户数限制。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15. 支持802.11k/v/r快速漫游协议，用户在同一控制器下的AP间移动时，切换时延≤50ms，保证业务不中断。</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16. 支持动态信道选择（DCS）、自动功率调整和DFS功能，自动优化射频环境，避免同频干扰。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17. 支持MU-MIMO和OFDMA技术，提升高密度用户场景下的并发能力和频谱效率。</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18. 支持频谱分析功能，能够可视化呈现射频干扰源对无线局域网性能的影响。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19. 支持IPv4/IPv6双协议栈，具备同时获取IPv4/IPv6地址的能力。</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20. 支持应用识别功能，能识别不低于300种常见的网络应用，包括邮件、游戏、P2P、流媒体、金融交易、办公OA、移动终端应用等主流应用。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21. 支持数据探针功能，可对终端设备进行探测与信息收集。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22</w:t>
            </w:r>
            <w:r>
              <w:rPr>
                <w:rFonts w:hint="eastAsia" w:ascii="宋体" w:hAnsi="宋体" w:eastAsia="宋体" w:cs="宋体"/>
                <w:szCs w:val="21"/>
              </w:rPr>
              <w:t>.数量不少于8台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bidi="ar"/>
              </w:rPr>
              <w:t>16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光模块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1.不劣于</w:t>
            </w:r>
            <w:r>
              <w:rPr>
                <w:rFonts w:hint="eastAsia" w:ascii="宋体" w:hAnsi="宋体" w:eastAsia="宋体" w:cs="宋体"/>
                <w:szCs w:val="21"/>
              </w:rPr>
              <w:t>10G级万兆单模光模块</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最大传输距离10KM,双纤口</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适用LC型接头跳线</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8台。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bidi="ar"/>
              </w:rPr>
              <w:t>17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展示灯光设备中控系统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szCs w:val="21"/>
              </w:rPr>
            </w:pPr>
            <w:r>
              <w:rPr>
                <w:rFonts w:hint="eastAsia" w:ascii="宋体" w:hAnsi="宋体" w:eastAsia="宋体" w:cs="宋体"/>
                <w:szCs w:val="21"/>
              </w:rPr>
              <w:t>建设一套基于专用低频段抗干扰无线组网的展厅智能物联网中控系统有。</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b/>
                <w:bCs/>
                <w:color w:val="000000"/>
                <w:sz w:val="20"/>
                <w:szCs w:val="20"/>
                <w:u w:val="none"/>
                <w:lang w:val="en-US" w:eastAsia="zh-CN" w:bidi="ar"/>
              </w:rPr>
            </w:pPr>
            <w:r>
              <w:rPr>
                <w:rFonts w:hint="eastAsia" w:ascii="宋体" w:hAnsi="宋体" w:eastAsia="宋体" w:cs="宋体"/>
                <w:b/>
                <w:bCs/>
                <w:szCs w:val="21"/>
              </w:rPr>
              <w:t>▲1.无线信号频段必须避开2.4G、5.0G公共无线频段以避免信号干扰；</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投标人应提供制造商提供的含技术指标的产品宣传彩页或者制造商官网的相应技术指标的网页（带网址信息，可复查）截图或技术白皮书或第三方检测报告作为证明资料，并加盖投标人公章。）</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b/>
                <w:bCs/>
                <w:szCs w:val="21"/>
                <w:lang w:val="en-US" w:eastAsia="zh-CN"/>
              </w:rPr>
            </w:pPr>
            <w:r>
              <w:rPr>
                <w:rFonts w:hint="eastAsia" w:ascii="宋体" w:hAnsi="宋体" w:eastAsia="宋体" w:cs="宋体"/>
                <w:b/>
                <w:bCs/>
                <w:szCs w:val="21"/>
              </w:rPr>
              <w:t>▲2.采用网状网的无线网络架构，拥有自适应组网，无线中继功能，动态路由功能，可在传输路径不通时，重新探测新的传输路径；</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投标人应提供制造商提供的含技术指标的产品宣传彩页或者制造商官网的相应技术指标的网页（带网址信息，可复查）截图或技术白皮书或第三方检测报告作为证明资料，并加盖投标人公章。）</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szCs w:val="21"/>
              </w:rPr>
            </w:pPr>
            <w:r>
              <w:rPr>
                <w:rFonts w:hint="eastAsia" w:ascii="宋体" w:hAnsi="宋体" w:eastAsia="宋体" w:cs="宋体"/>
                <w:szCs w:val="21"/>
              </w:rPr>
              <w:t>3.终端控制子节点免除传统弱电控制布线；</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4.核心网关承担指令分发与状态汇聚；</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5.终端无线子节点集成干接点直控能力，可直接管理电脑、一体机等终端设备，配套协议控制模块提供标准串行通信接口，全面兼容并管控投影机、矩阵、融合主机等第三方AV设备；</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6.系统支持手持平板、墙面屏幕面板多类型终端协同操控，具备双向实时反馈机制（含电流侦测与状态回码），确保设备实际开关状态即时同步至操控终端；</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b/>
                <w:bCs/>
                <w:szCs w:val="21"/>
                <w:lang w:eastAsia="zh-CN"/>
              </w:rPr>
            </w:pPr>
            <w:r>
              <w:rPr>
                <w:rFonts w:hint="eastAsia" w:ascii="宋体" w:hAnsi="宋体" w:eastAsia="宋体" w:cs="宋体"/>
                <w:b/>
                <w:bCs/>
                <w:szCs w:val="21"/>
              </w:rPr>
              <w:t>▲7.软件支持零编程可视化场景编辑，可在手持终端app图形界面对下属管理设备进行情景功能设定，无需在电脑端进行大量代码编程操作也可灵活添加下属设备</w:t>
            </w:r>
            <w:r>
              <w:rPr>
                <w:rFonts w:hint="eastAsia" w:ascii="宋体" w:hAnsi="宋体" w:eastAsia="宋体" w:cs="宋体"/>
                <w:b/>
                <w:bCs/>
                <w:szCs w:val="21"/>
                <w:lang w:eastAsia="zh-CN"/>
              </w:rPr>
              <w:t>；</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投标人应提供制造商提供的含技术指标的产品宣传彩页或者制造商官网的相应技术指标的网页（带网址信息，可复查）截图或技术白皮书或第三方检测报告作为证明资料，并加盖投标人公章。）</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8.可实现大屏播放控制包括不限于片源选择、音量控制、演示文档控制等功能；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9.终端采用低压供电，超低待机功耗，适应常规室内环境长期连续运行，后期新增设备可通过无线节点灵活扩展接入，无需线路改造；</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b/>
                <w:bCs/>
                <w:szCs w:val="21"/>
              </w:rPr>
            </w:pPr>
            <w:r>
              <w:rPr>
                <w:rFonts w:hint="eastAsia" w:ascii="宋体" w:hAnsi="宋体" w:eastAsia="宋体" w:cs="宋体"/>
                <w:b/>
                <w:bCs/>
                <w:szCs w:val="21"/>
              </w:rPr>
              <w:t>▲10.可在手持终端上通过图形化界面对灯光、设备等进行分别编组，可对编组进行定时管理；</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投标人应提供制造商提供的含技术指标的产品宣传彩页或者制造商官网的相应技术指标的网页（带网址信息，可复查）截图或技术白皮书或第三方检测报告作为证明资料，并加盖投标人公章。）</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11.管理功能基于云端服务器上传下发命令；</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b/>
                <w:bCs/>
                <w:szCs w:val="21"/>
                <w:lang w:eastAsia="zh-CN"/>
              </w:rPr>
            </w:pPr>
            <w:r>
              <w:rPr>
                <w:rFonts w:hint="eastAsia" w:ascii="宋体" w:hAnsi="宋体" w:eastAsia="宋体" w:cs="宋体"/>
                <w:b/>
                <w:bCs/>
                <w:szCs w:val="21"/>
              </w:rPr>
              <w:t>▲12.为确保软件技术能力、要求生产厂家拥有控制系统相关</w:t>
            </w:r>
            <w:r>
              <w:rPr>
                <w:rFonts w:hint="eastAsia" w:ascii="宋体" w:hAnsi="宋体" w:eastAsia="宋体" w:cs="宋体"/>
                <w:b/>
                <w:bCs/>
                <w:szCs w:val="21"/>
                <w:lang w:val="en-US" w:eastAsia="zh-CN"/>
              </w:rPr>
              <w:t>软件</w:t>
            </w:r>
            <w:r>
              <w:rPr>
                <w:rFonts w:hint="eastAsia" w:ascii="宋体" w:hAnsi="宋体" w:eastAsia="宋体" w:cs="宋体"/>
                <w:b/>
                <w:bCs/>
                <w:szCs w:val="21"/>
              </w:rPr>
              <w:t>著</w:t>
            </w:r>
            <w:r>
              <w:rPr>
                <w:rFonts w:hint="eastAsia" w:ascii="宋体" w:hAnsi="宋体" w:eastAsia="宋体" w:cs="宋体"/>
                <w:b/>
                <w:bCs/>
                <w:szCs w:val="21"/>
                <w:lang w:val="en-US" w:eastAsia="zh-CN"/>
              </w:rPr>
              <w:t>作权</w:t>
            </w:r>
            <w:r>
              <w:rPr>
                <w:rFonts w:hint="eastAsia" w:ascii="宋体" w:hAnsi="宋体" w:eastAsia="宋体" w:cs="宋体"/>
                <w:b/>
                <w:bCs/>
                <w:szCs w:val="21"/>
              </w:rPr>
              <w:t>（</w:t>
            </w:r>
            <w:r>
              <w:rPr>
                <w:rFonts w:hint="eastAsia" w:ascii="宋体" w:hAnsi="宋体" w:eastAsia="宋体" w:cs="宋体"/>
                <w:b/>
                <w:bCs/>
                <w:szCs w:val="21"/>
                <w:lang w:eastAsia="zh-CN"/>
              </w:rPr>
              <w:t>投标人</w:t>
            </w:r>
            <w:r>
              <w:rPr>
                <w:rFonts w:hint="eastAsia" w:ascii="宋体" w:hAnsi="宋体" w:eastAsia="宋体" w:cs="宋体"/>
                <w:b/>
                <w:bCs/>
                <w:szCs w:val="21"/>
              </w:rPr>
              <w:t>需提供复印件或扫描件并加盖</w:t>
            </w:r>
            <w:r>
              <w:rPr>
                <w:rFonts w:hint="eastAsia" w:ascii="宋体" w:hAnsi="宋体" w:eastAsia="宋体" w:cs="宋体"/>
                <w:b/>
                <w:bCs/>
                <w:szCs w:val="21"/>
                <w:lang w:eastAsia="zh-CN"/>
              </w:rPr>
              <w:t>投标人</w:t>
            </w:r>
            <w:r>
              <w:rPr>
                <w:rFonts w:hint="eastAsia" w:ascii="宋体" w:hAnsi="宋体" w:eastAsia="宋体" w:cs="宋体"/>
                <w:b/>
                <w:bCs/>
                <w:szCs w:val="21"/>
              </w:rPr>
              <w:t>章）</w:t>
            </w:r>
            <w:r>
              <w:rPr>
                <w:rFonts w:hint="eastAsia" w:ascii="宋体" w:hAnsi="宋体" w:eastAsia="宋体" w:cs="宋体"/>
                <w:b/>
                <w:bCs/>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本系统管控本次改造中除专业影视灯光及演播厅专业设备外的全部照明灯光、LED大屏及配套多媒体设备，远程运维功能依赖现场原有互联网实现。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eastAsia="zh-CN"/>
              </w:rPr>
            </w:pPr>
            <w:r>
              <w:rPr>
                <w:rFonts w:hint="eastAsia" w:ascii="宋体" w:hAnsi="宋体" w:eastAsia="宋体" w:cs="宋体"/>
                <w:szCs w:val="21"/>
                <w:lang w:val="en-US" w:eastAsia="zh-CN"/>
              </w:rPr>
              <w:t>13.</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bCs/>
                <w:szCs w:val="21"/>
              </w:rPr>
            </w:pPr>
            <w:r>
              <w:rPr>
                <w:rFonts w:hint="eastAsia" w:ascii="宋体" w:hAnsi="宋体" w:eastAsia="宋体" w:cs="宋体"/>
                <w:b/>
                <w:bCs/>
                <w:color w:val="000000"/>
                <w:kern w:val="0"/>
                <w:szCs w:val="21"/>
                <w:lang w:bidi="ar"/>
              </w:rPr>
              <w:t>三</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bCs/>
                <w:sz w:val="24"/>
                <w:szCs w:val="24"/>
              </w:rPr>
            </w:pPr>
            <w:bookmarkStart w:id="560" w:name="OLE_LINK4"/>
            <w:r>
              <w:rPr>
                <w:rFonts w:hint="eastAsia" w:ascii="宋体" w:hAnsi="宋体" w:eastAsia="宋体" w:cs="Times New Roman"/>
                <w:b/>
                <w:bCs/>
                <w:color w:val="auto"/>
                <w:sz w:val="24"/>
                <w:szCs w:val="24"/>
              </w:rPr>
              <w:t>学生融创空间及综合发布系统</w:t>
            </w:r>
            <w:bookmarkEnd w:id="560"/>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嵌入旋转三基色面光灯</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1.采用高显色指数LED作为发光原件，能够满足专业摄像要求；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2.额定功率≥140W；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3.光源采用≥360颗高显指LED灯珠；显色指数Ra≥95、R9≥90、TLCI≥95；</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4.色温支持3200K-5600K连续可调，调节精度±150K；出光角度≥120°，具备≥3个DMX控制通道；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.光效≥72lm/W，光通量≥10000lm；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.照度≥1052lx@4m（全功率标准测试条件）；使用寿命≥50000小时（L70标准）；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.控制协议须支持≥4种独立调光方式，至少包含RS-485中控协议、DMX512（1990版）、DALI、0/1-10V及2.4G无线调光中的四种；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数量为14套。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侧翻灯光控制系统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用于侧翻灯光角度亮度色温控制；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通道：24路独立调光通道，电气隔离输出</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电压：AC88～256V 50/60Hz；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电源输入：三芯带锁输入，输出，手拉手方式；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通讯协议：DMX 512（1990版）；</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中控控制：RS232/RS485输出口，连接中控实现远程调用集控；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扩展功能：支持主、从机扩展通道，可扩展独立通道</w:t>
            </w:r>
            <w:r>
              <w:rPr>
                <w:rFonts w:hint="eastAsia" w:ascii="宋体" w:hAnsi="宋体" w:eastAsia="宋体" w:cs="宋体"/>
                <w:szCs w:val="21"/>
                <w:lang w:val="en-US" w:eastAsia="zh-CN"/>
              </w:rPr>
              <w:t>不少于</w:t>
            </w:r>
            <w:r>
              <w:rPr>
                <w:rFonts w:hint="eastAsia" w:ascii="宋体" w:hAnsi="宋体" w:eastAsia="宋体" w:cs="宋体"/>
                <w:szCs w:val="21"/>
              </w:rPr>
              <w:t>192个，连接</w:t>
            </w:r>
            <w:r>
              <w:rPr>
                <w:rFonts w:hint="eastAsia" w:ascii="宋体" w:hAnsi="宋体" w:eastAsia="宋体" w:cs="宋体"/>
                <w:szCs w:val="21"/>
                <w:lang w:val="en-US" w:eastAsia="zh-CN"/>
              </w:rPr>
              <w:t>数不少于</w:t>
            </w:r>
            <w:r>
              <w:rPr>
                <w:rFonts w:hint="eastAsia" w:ascii="宋体" w:hAnsi="宋体" w:eastAsia="宋体" w:cs="宋体"/>
                <w:szCs w:val="21"/>
              </w:rPr>
              <w:t>4台；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8.</w:t>
            </w:r>
            <w:r>
              <w:rPr>
                <w:rFonts w:hint="eastAsia" w:ascii="宋体" w:hAnsi="宋体" w:eastAsia="宋体" w:cs="宋体"/>
                <w:szCs w:val="21"/>
              </w:rPr>
              <w:t>USB输出5V：LED照明灯供电</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配备对应灯光数量使用的信号放大模块，模块参数达到或高于下面标准：220-240VAC，50Hz；DMX数字信号光电藕合隔离2进4出；4位独立放大的DMX信号输出；有效提高DMX信号传送能力；有效提高DMX信号抗干扰能力；DMX信号光电隔离；防止市电高压串入调光台；防止雷击高压串入调光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10.</w:t>
            </w:r>
            <w:r>
              <w:rPr>
                <w:rFonts w:hint="eastAsia" w:ascii="宋体" w:hAnsi="宋体" w:eastAsia="宋体" w:cs="宋体"/>
                <w:szCs w:val="21"/>
              </w:rPr>
              <w:t>配备对应灯光数量使用的电源转接模块，参数达到或高于下面标准：最大负载：3500W；输入电源支持：220V/50Hz；输入3*2.5电缆线，输出3*1.5电缆线；三芯16A航空自锁电源插头输入输出</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11.</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高清小间距LED显示屏</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ascii="宋体" w:hAnsi="宋体" w:eastAsia="宋体" w:cs="宋体"/>
                <w:szCs w:val="21"/>
              </w:rPr>
              <w:t>用于发布厅背景显示的高清小间距LED显示屏系统</w:t>
            </w:r>
            <w:r>
              <w:rPr>
                <w:rFonts w:hint="eastAsia" w:ascii="宋体" w:hAnsi="宋体" w:eastAsia="宋体" w:cs="宋体"/>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像素结构 1R1G1B；</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sz w:val="21"/>
                <w:szCs w:val="21"/>
                <w:lang w:val="en-US" w:eastAsia="zh-CN"/>
              </w:rPr>
            </w:pPr>
            <w:r>
              <w:rPr>
                <w:rFonts w:hint="eastAsia" w:ascii="宋体" w:hAnsi="宋体" w:eastAsia="宋体" w:cs="宋体"/>
                <w:b w:val="0"/>
                <w:bCs/>
                <w:color w:val="auto"/>
                <w:kern w:val="0"/>
                <w:sz w:val="21"/>
                <w:szCs w:val="21"/>
                <w:highlight w:val="none"/>
                <w:lang w:val="en-US" w:eastAsia="zh-CN" w:bidi="ar-SA"/>
              </w:rPr>
              <w:t>▲2.</w:t>
            </w:r>
            <w:r>
              <w:rPr>
                <w:rFonts w:hint="eastAsia" w:ascii="宋体" w:hAnsi="宋体" w:eastAsia="宋体" w:cs="宋体"/>
                <w:b w:val="0"/>
                <w:bCs/>
                <w:szCs w:val="21"/>
              </w:rPr>
              <w:t>LED像素点间距 ≤1.25mm，像素密度 ≥640,000 dot/㎡；</w:t>
            </w:r>
            <w:r>
              <w:rPr>
                <w:rFonts w:hint="eastAsia" w:ascii="宋体" w:hAnsi="宋体" w:eastAsia="宋体" w:cs="Times New Roman"/>
                <w:b w:val="0"/>
                <w:bCs/>
                <w:kern w:val="0"/>
                <w:szCs w:val="21"/>
                <w:highlight w:val="none"/>
                <w:lang w:val="zh-CN" w:eastAsia="zh-CN"/>
              </w:rPr>
              <w:t>（</w:t>
            </w:r>
            <w:r>
              <w:rPr>
                <w:rFonts w:hint="eastAsia" w:ascii="宋体" w:hAnsi="宋体" w:eastAsia="宋体" w:cs="Times New Roman"/>
                <w:b w:val="0"/>
                <w:bCs/>
                <w:kern w:val="0"/>
                <w:szCs w:val="21"/>
                <w:highlight w:val="none"/>
                <w:lang w:val="en-US" w:eastAsia="zh-CN"/>
              </w:rPr>
              <w:t>投标人应提供制造商提供的含技术指标的产品宣传彩页或者制造商官网的相应技术指标的网页（带网址信息，可复查）截图或技术白皮书或第三方检测报告作为证明资料，并加盖投标人公章。）</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szCs w:val="21"/>
              </w:rPr>
            </w:pP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单模组尺寸 320(W)×160(H) 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hint="eastAsia" w:ascii="宋体" w:hAnsi="宋体" w:eastAsia="宋体" w:cs="宋体"/>
                <w:szCs w:val="21"/>
              </w:rPr>
              <w:t>（厚度含安装磁吸结构16.6–28.6 mm）</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模组分辨率不小于 256×128，灯珠封装尺寸1010级 SMD，模组重量0.54 kg/块；维护方式为完全前维护（磁吸拆装）</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信号接口采用 HUB320类排针排母接收卡接口（出货配置按接收卡通道数配套）</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防护等级不低于IP30；</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光学性能：白平衡亮度 ≥500 cd/㎡（典型可到600 cd/㎡级），色温 3000–10000K 可调，水平/垂直视角 ≥160°/160°，对比度 ≥3000:1，亮度均匀性 ≥97%，色度均匀性控制在 ±0.003 Cx,Cy以内；</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驱动与画质：恒流驱动、扫描≥64S，换帧频率 ≥60Hz，刷新率 ≥3840Hz，灰度等级最高支持 16bit；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功耗/供电：峰值功耗 ≤450W/㎡、平均功耗 ≤150W/㎡，模组级供电电压 DC 4.5–5V（系统侧整屏配电按 AC 200–240V设计）；</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工作环境 -10～+40℃ / 10–80%RH（无冷凝）；</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11.</w:t>
            </w:r>
            <w:r>
              <w:rPr>
                <w:rFonts w:hint="eastAsia" w:ascii="宋体" w:hAnsi="宋体" w:eastAsia="宋体" w:cs="宋体"/>
                <w:szCs w:val="21"/>
              </w:rPr>
              <w:t>整屏实施应采用同系列模组+配套接收卡+专用电源+箱体/框架成套供货，并保证模块拼装后无可见黑线、亮度色度一致性达标，验收以实地全屏白场/灰阶/刷新实测及控制系统带载稳定性为准</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12.</w:t>
            </w:r>
            <w:r>
              <w:rPr>
                <w:rFonts w:hint="eastAsia" w:ascii="宋体" w:hAnsi="宋体" w:eastAsia="宋体" w:cs="宋体"/>
                <w:szCs w:val="21"/>
              </w:rPr>
              <w:t>显示</w:t>
            </w:r>
            <w:r>
              <w:rPr>
                <w:rFonts w:hint="eastAsia" w:ascii="宋体" w:hAnsi="宋体" w:eastAsia="宋体" w:cs="宋体"/>
                <w:szCs w:val="21"/>
                <w:lang w:val="en-US" w:eastAsia="zh-CN"/>
              </w:rPr>
              <w:t>面积</w:t>
            </w:r>
            <w:r>
              <w:rPr>
                <w:rFonts w:hint="eastAsia" w:ascii="宋体" w:hAnsi="宋体" w:eastAsia="宋体" w:cs="宋体"/>
                <w:szCs w:val="21"/>
              </w:rPr>
              <w:t>尺寸不小于11.3平方米。</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显示屏控制系统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支持多路HDMI高清信号输入；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支持亮度自定义调节；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图像瞬间切换，保障画面显示，支持画中画</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支持点对点显示</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显示屏钢结构</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按照显示屏尺寸及要求定制，尺寸应不小于14平米</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室内LED显示屏专用钢结构框架系统：主体承重结构经精密激光切割成形，整体框架设计需满足≥1.5倍屏体自重的安全冗余系数，具备抗震及抗变形能力；</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表面处理采用防锈工艺，色泽均匀、附着力强、耐腐蚀、防静电；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结构需预留标准化安装孔位及调节机构，支持前维护/后维护方式，保证屏体拼装后平整度≤0.3mm/m²、缝隙≤0.5mm；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框架需确保内部设备通风散热良好、走线整齐规范</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智能配电箱</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按照显示屏尺寸及要求定制，输入电源AC 380V/三相五线制，输出为LED显示单元供电回路，辅助设备独立支路；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配电柜内集成智能监控单元（MCU），支持通过中控系统或上位机软件实现远程分步上电/断电控制（时序上电）</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具备单路/分组上电延时设定功能，防止瞬间冲击电流过大；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系统需具备智能电能监测功能，可实时采集并显示总电量、电压、电流、功率因数、有功功率、频率及各支路开关状态，并支持故障报警（过压、欠压、过流、漏电、温度异常等）；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柜内配置复合防雷模块（SPD），并具备防雷失效指示与遥信报警触点；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保护机制须完整覆盖过压、欠压、过流、短路、断路及漏电保护，所有输出回路均配置高分断微型断路器（MCB），确保单点故障不影响整屏运行；</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柜体采用标准GGD/非标定制型材，防护等级≥IP20，具备良好的散热与电磁屏蔽性能，门带安全锁具</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大屏控制设备</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机架式播控工作站：中央处理器≥6核12线程，基础频率≥3.30GHz、最大睿频≥4.80GHz，缓存≥18MB，平台兼容DDR4/DDR5内存体系；</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系统内存≥16GB（DDR4 3200MHz或DDR5级）；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系统盘≥512GB SSD（固态硬盘），可另预留扩展盘位；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独立显卡，显存≥4GB GDDR6，具备≥3个独立显示输出接口（含HDMI/DisplayPort组合）</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支持多屏扩展/分屏显示（至少驱动2台以上外接显示设备同时输出不同画面内容）</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硬件解码能力覆盖HEVC(H.265)/H.264/AVC等常用高清编码；附带对应驱动与基础播控播放软件环境，可通过外接触控面板/中控系统实现节目播放控制、信号切换编排及播放列表管理等播控功能；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主机接口应包含USB×≥6（含USB 3.2/3.0型高速口）、RJ45千兆网口×≥1、音频输入/输出等</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随机配套显示器×1台，尺寸≥23.8″，分辨率≥1920×1080，刷新率≥60Hz，接口含HDMI（或DP）并随箱配对应信号线；</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9.</w:t>
            </w:r>
            <w:r>
              <w:rPr>
                <w:rFonts w:hint="eastAsia" w:ascii="宋体" w:hAnsi="宋体" w:eastAsia="宋体" w:cs="宋体"/>
                <w:szCs w:val="21"/>
              </w:rPr>
              <w:t>整机提供标准电源线及键鼠套装</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eastAsia="宋体" w:cs="宋体"/>
                <w:szCs w:val="21"/>
              </w:rPr>
            </w:pPr>
            <w:r>
              <w:rPr>
                <w:rFonts w:hint="eastAsia" w:ascii="宋体" w:hAnsi="宋体" w:eastAsia="宋体" w:cs="宋体"/>
                <w:szCs w:val="21"/>
              </w:rPr>
              <w:t>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大屏控制软件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大屏控制软件提供中文操作、控制和维护界面</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大屏控制软件要支持选配冗余热备份信号的切换控制</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控制软件要支持选配PPT嵌入控制功能，可以完成PPT的在线实时翻页，并且必须保留PPT所有的翻页特效</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大屏控制软件提供模式和预案的管理</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eastAsia="宋体" w:cs="宋体"/>
                <w:szCs w:val="21"/>
              </w:rPr>
            </w:pPr>
            <w:r>
              <w:rPr>
                <w:rFonts w:hint="eastAsia" w:ascii="宋体" w:hAnsi="宋体" w:eastAsia="宋体" w:cs="宋体"/>
                <w:szCs w:val="21"/>
              </w:rPr>
              <w:t>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视频切换矩阵</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ascii="宋体" w:hAnsi="宋体" w:eastAsia="宋体" w:cs="宋体"/>
                <w:szCs w:val="21"/>
              </w:rPr>
              <w:t>视频切换矩阵：工业级设计，支持</w:t>
            </w:r>
            <w:r>
              <w:rPr>
                <w:rFonts w:hint="eastAsia" w:ascii="宋体" w:hAnsi="宋体" w:eastAsia="宋体" w:cs="宋体"/>
                <w:szCs w:val="21"/>
              </w:rPr>
              <w:t>至少</w:t>
            </w:r>
            <w:r>
              <w:rPr>
                <w:rFonts w:ascii="宋体" w:hAnsi="宋体" w:eastAsia="宋体" w:cs="宋体"/>
                <w:szCs w:val="21"/>
              </w:rPr>
              <w:t>4K×2K@30Hz分辨率</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支持3D视频及HDCP协议；</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≥16bit色彩深度；</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宽电压供电（100-240V）；</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支持面板按键/IR/上位机/RS232等多种控制方式；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ascii="宋体" w:hAnsi="宋体" w:eastAsia="宋体" w:cs="宋体"/>
                <w:szCs w:val="21"/>
              </w:rPr>
              <w:t>防静电能力≥16kV</w:t>
            </w:r>
            <w:r>
              <w:rPr>
                <w:rFonts w:hint="eastAsia" w:ascii="宋体" w:hAnsi="宋体" w:eastAsia="宋体" w:cs="宋体"/>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支持</w:t>
            </w:r>
            <w:r>
              <w:rPr>
                <w:rFonts w:ascii="宋体" w:hAnsi="宋体" w:eastAsia="宋体" w:cs="宋体"/>
                <w:szCs w:val="21"/>
              </w:rPr>
              <w:t>的EDID读取机制</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eastAsia="宋体" w:cs="宋体"/>
                <w:szCs w:val="21"/>
              </w:rPr>
            </w:pPr>
            <w:r>
              <w:rPr>
                <w:rFonts w:hint="eastAsia" w:ascii="宋体" w:hAnsi="宋体" w:eastAsia="宋体" w:cs="宋体"/>
                <w:szCs w:val="21"/>
              </w:rPr>
              <w:t>10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无线视频信号投射</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ascii="宋体" w:hAnsi="宋体" w:eastAsia="宋体" w:cs="宋体"/>
                <w:szCs w:val="21"/>
              </w:rPr>
              <w:t>无线视频信号投屏系统：支持4K分辨率</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5GHz频段传输；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外置高增益天线；</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4.</w:t>
            </w:r>
            <w:r>
              <w:rPr>
                <w:rFonts w:ascii="宋体" w:hAnsi="宋体" w:eastAsia="宋体" w:cs="宋体"/>
                <w:szCs w:val="21"/>
              </w:rPr>
              <w:t>支持双画面同时投屏及画面混合显示</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无线手持话筒</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采用UHF超高频段双接收数字导频技术，传输可靠；</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运用DPLL数字锁相环多信道频率合成技术，在50MHz频率带宽内以250KHz信道间隔提供</w:t>
            </w:r>
            <w:r>
              <w:rPr>
                <w:rFonts w:hint="eastAsia" w:ascii="宋体" w:hAnsi="宋体" w:eastAsia="宋体" w:cs="宋体"/>
                <w:szCs w:val="21"/>
                <w:lang w:val="en-US" w:eastAsia="zh-CN"/>
              </w:rPr>
              <w:t>不小于</w:t>
            </w:r>
            <w:r>
              <w:rPr>
                <w:rFonts w:hint="eastAsia" w:ascii="宋体" w:hAnsi="宋体" w:eastAsia="宋体" w:cs="宋体"/>
                <w:szCs w:val="21"/>
              </w:rPr>
              <w:t>200个信道选择，便于多套设备同时使用并轻松规避各类干扰；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具备先进自动对频技术，发射器与接收机频率失调时仅需一键操作，发射机即可自动追锁接收机频率并调整一致，操作便捷</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具备高低功率切换功能，大型演出（1000㎡以上场所）启用高功率发射，小型演出场所切换至低功率发射以节约电池电量；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支持接收灵敏度调节功能，可根据实际需求调节灵敏度以提升抗干扰能力或增加接收距离；</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开阔环境使用距离最大200米；</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内置自动搜索无干扰频点功能，一键锁频防止使用中误操作；</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采用电子音量控制，可调范围0-39，每步进2dBm；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9.</w:t>
            </w:r>
            <w:r>
              <w:rPr>
                <w:rFonts w:hint="eastAsia" w:ascii="宋体" w:hAnsi="宋体" w:eastAsia="宋体" w:cs="宋体"/>
                <w:szCs w:val="21"/>
              </w:rPr>
              <w:t>设有一键安装模式，内置100组安装频点，便于多套设备同时使用的频点配置</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技术参数如下：频率范围640MHz-690MHz/740MHz-790MHz，调制方式为宽带FM，可调范围至少50MHz，信道数目至少200，信道间隔250KHz，频率稳定度±0.005%以内，动态范围100dB，最大频偏±45KHz，音频响应80Hz-18KHz(±3dB)，综合信噪比&gt;105dB，综合失真≤0.5%，工作温度-10°C</w:t>
            </w:r>
            <w:r>
              <w:rPr>
                <w:rFonts w:hint="eastAsia" w:ascii="宋体" w:hAnsi="宋体" w:eastAsia="宋体" w:cs="宋体"/>
                <w:szCs w:val="21"/>
                <w:lang w:val="en-US" w:eastAsia="zh-CN"/>
              </w:rPr>
              <w:t>至</w:t>
            </w:r>
            <w:r>
              <w:rPr>
                <w:rFonts w:hint="eastAsia" w:ascii="宋体" w:hAnsi="宋体" w:eastAsia="宋体" w:cs="宋体"/>
                <w:szCs w:val="21"/>
              </w:rPr>
              <w:t>+40°C；</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11.</w:t>
            </w:r>
            <w:r>
              <w:rPr>
                <w:rFonts w:hint="eastAsia" w:ascii="宋体" w:hAnsi="宋体" w:eastAsia="宋体" w:cs="宋体"/>
                <w:szCs w:val="21"/>
              </w:rPr>
              <w:t>接收机指标：采用二次变频超外差方式，第一中频110MHz、第二中频10.7MHz，无线接口BNC/50Ω，灵敏度12 dBμV (80dBS/N)，灵敏度调节范围12-32 dBμV，杂散抑制≥75dB，最大输出电平+10 dBV；</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12.</w:t>
            </w:r>
            <w:r>
              <w:rPr>
                <w:rFonts w:hint="eastAsia" w:ascii="宋体" w:hAnsi="宋体" w:eastAsia="宋体" w:cs="宋体"/>
                <w:szCs w:val="21"/>
              </w:rPr>
              <w:t>发射器指标：佩挂发射器采用1/4波长鞭状天线、手持麦克风内置螺旋天线，输出功率高功率50mW/低功率30mW，杂散抑制-60dB，</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13.</w:t>
            </w:r>
            <w:r>
              <w:rPr>
                <w:rFonts w:hint="eastAsia" w:ascii="宋体" w:hAnsi="宋体" w:eastAsia="宋体" w:cs="宋体"/>
                <w:szCs w:val="21"/>
              </w:rPr>
              <w:t>供电采用两节AA电池，使用时间高功率时大于5小时、低功率时大于10小时</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14.</w:t>
            </w:r>
            <w:r>
              <w:rPr>
                <w:rFonts w:hint="eastAsia" w:ascii="宋体" w:hAnsi="宋体" w:eastAsia="宋体" w:cs="宋体"/>
                <w:szCs w:val="21"/>
              </w:rPr>
              <w:t>一套内容为2支手持发射话筒1台接收机。数量为2套。</w:t>
            </w:r>
          </w:p>
        </w:tc>
      </w:tr>
      <w:tr>
        <w:tblPrEx>
          <w:tblCellMar>
            <w:top w:w="0" w:type="dxa"/>
            <w:left w:w="108" w:type="dxa"/>
            <w:bottom w:w="0" w:type="dxa"/>
            <w:right w:w="108" w:type="dxa"/>
          </w:tblCellMar>
        </w:tblPrEx>
        <w:trPr>
          <w:trHeight w:val="90"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天线放大器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w:t>
            </w:r>
            <w:r>
              <w:rPr>
                <w:rFonts w:ascii="宋体" w:hAnsi="宋体" w:eastAsia="宋体" w:cs="宋体"/>
                <w:szCs w:val="21"/>
              </w:rPr>
              <w:t>UHF全频段天线分配及有源指向性天线系统（≥10通道级）</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单一主机须支持8–10个无线接收通道的射频信号分配与供电管理；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内置开关电源，提供≥4组DC 12V输出端子，可直接为多台无线接收机供电；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支持多台分配主机级联扩展；</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频率响应范围覆盖450–970MHz UHF频段；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ascii="宋体" w:hAnsi="宋体" w:eastAsia="宋体" w:cs="宋体"/>
                <w:szCs w:val="21"/>
              </w:rPr>
              <w:t>输入交流电压100–240V自适应；</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ascii="宋体" w:hAnsi="宋体" w:eastAsia="宋体" w:cs="宋体"/>
                <w:szCs w:val="21"/>
              </w:rPr>
              <w:t>主机为标准1U机架式设计</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ascii="宋体" w:hAnsi="宋体" w:eastAsia="宋体" w:cs="宋体"/>
                <w:szCs w:val="21"/>
              </w:rPr>
              <w:t>配套有源指向性天线须采用对数周期偶极振子阵列设计，集成低噪声放大器并具备增益选择开关，支持多种安装方式（支架固定/天花板悬挂/墙面安装），射频频率范围450–970MHz；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9.</w:t>
            </w:r>
            <w:r>
              <w:rPr>
                <w:rFonts w:ascii="宋体" w:hAnsi="宋体" w:eastAsia="宋体" w:cs="宋体"/>
                <w:szCs w:val="21"/>
              </w:rPr>
              <w:t>整套系统通过BNC接口实现射频信号与电源一体化传输</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线性音柱扬声器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专业级线性阵列音柱，额定功率≥200W，额定阻抗8Ω；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须内置≥8只3英寸全频驱动单元呈线性排列；</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灵敏度≥94dB（1W/1m），频率响应80Hz–20kHz，最大声压级≥117dB；</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水平覆盖角≥120°、垂直覆盖角≥90°；</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箱体采用ABS工程塑胶+金属网罩设计；</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6.</w:t>
            </w:r>
            <w:r>
              <w:rPr>
                <w:rFonts w:ascii="宋体" w:hAnsi="宋体" w:eastAsia="宋体" w:cs="宋体"/>
                <w:szCs w:val="21"/>
              </w:rPr>
              <w:t>外形尺寸900×87×98mm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ascii="宋体" w:hAnsi="宋体" w:eastAsia="宋体" w:cs="宋体"/>
                <w:szCs w:val="21"/>
              </w:rPr>
              <w:t>重量≤6kg，适合壁挂或嵌入式安装</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数量为6只。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数字全频功放</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双通道D类数字功率放大器，8Ω立体声模式每通道额定输出≥500W，4Ω立体声模式每通道≥850W，桥接8Ω模式≥1400W；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频响5Hz–25kHz（±0.5dB），信噪比≥115dB（A计权），阻尼系数≥500（8Ω，5Hz–1kHz）；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输入灵敏度支持多档切换，总谐波失真&lt;0.1%（额定功率）；</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内置多重智能保护（功率限制/过热/短路/过载/直流保护）；</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ascii="宋体" w:hAnsi="宋体" w:eastAsia="宋体" w:cs="宋体"/>
                <w:szCs w:val="21"/>
              </w:rPr>
              <w:t>标准19英寸机架式</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数量为3台。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调音台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ascii="宋体" w:hAnsi="宋体" w:eastAsia="宋体" w:cs="宋体"/>
                <w:szCs w:val="21"/>
              </w:rPr>
              <w:t>模拟调音台（带数字播放/录音与DSP效果）</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输入通道数≥12路（含≥8路单声道话筒/线路输入），每路须配备低噪声话筒前置放大器及+48V幻象电源开关；另须提供≥8路线路输入及≥2路立体声输入；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话筒/线路通道须具备断点插入点（Insert）及高通滤波器，前4路话筒通道须内置单旋钮压缩器，所有话筒/线路通道配备≥3段参量/半参量EQ；</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主输出须同时提供平衡式XLR及TRS接口，并具备分组/辅助发送/监听输出体系；</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须内置24-bit DSP效果引擎（预设效果程序≥100种），并支持脚踏开关控制；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ascii="宋体" w:hAnsi="宋体" w:eastAsia="宋体" w:cs="宋体"/>
                <w:szCs w:val="21"/>
              </w:rPr>
              <w:t>须集成USB音频接口用于播放与录制（采样率支持≥48kHz），同时具备蓝牙音频传输功能用于移动设备无线接入；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ascii="宋体" w:hAnsi="宋体" w:eastAsia="宋体" w:cs="宋体"/>
                <w:szCs w:val="21"/>
              </w:rPr>
              <w:t>供电为AC 100–240V宽电压输入</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数字音频处理器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1.1.</w:t>
            </w:r>
            <w:r>
              <w:rPr>
                <w:rFonts w:ascii="宋体" w:hAnsi="宋体" w:eastAsia="宋体" w:cs="宋体"/>
                <w:szCs w:val="21"/>
              </w:rPr>
              <w:t>8×8 DSP数字音频矩阵处理器，须采用浮点DSP架构（内核主频≥300MHz），AD/DA转换≥24-bit，系统音频处理延迟&lt;3ms；</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模拟侧须提供8路平衡输入（Mic/Line可切换）及8路平衡线路输出，每路输入独立可配置+48V幻象电源（每通道输出电流≥6.5mA）；</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频响20Hz–20kHz（±0.5dB），THD+N≤-90dB（Line），信噪比≥105dB（Line）；</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管控接口须含USB（免驱音频/配置）、RS-232（中控对接）及RJ-45以太网口（TCP/IP网络管控）；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ascii="宋体" w:hAnsi="宋体" w:eastAsia="宋体" w:cs="宋体"/>
                <w:szCs w:val="21"/>
              </w:rPr>
              <w:t>AC 100–240V宽电压供电，标准机架式</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数量为1台。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宋体"/>
                <w:szCs w:val="21"/>
              </w:rPr>
              <w:t>AI话筒处理器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ascii="宋体" w:hAnsi="宋体" w:eastAsia="宋体" w:cs="宋体"/>
                <w:szCs w:val="21"/>
              </w:rPr>
              <w:t>AI话筒处理</w:t>
            </w: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须配备≥2英寸全彩高清触摸控制显示屏，分辨率≥1280×720，支持通过触摸界面进行参数独立设置与查看及任意触摸操作；</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w:t>
            </w:r>
            <w:r>
              <w:rPr>
                <w:rFonts w:hint="eastAsia" w:ascii="宋体" w:hAnsi="宋体" w:eastAsia="宋体" w:cs="宋体"/>
                <w:szCs w:val="21"/>
              </w:rPr>
              <w:t>须具备≥4路XLR平衡/6.35mm组合输入接口，每路独立可切换+48V幻象供电；须具备≥2路XLR平衡输出接口；</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zCs w:val="21"/>
                <w:lang w:val="en-US" w:eastAsia="zh-CN"/>
              </w:rPr>
              <w:t>.</w:t>
            </w:r>
            <w:r>
              <w:rPr>
                <w:rFonts w:hint="eastAsia" w:ascii="宋体" w:hAnsi="宋体" w:eastAsia="宋体" w:cs="宋体"/>
                <w:szCs w:val="21"/>
              </w:rPr>
              <w:t>须具备前置增益开关功能，开启前置时增益调节范围须覆盖20～40dB，关闭前置时增益调节范围须覆盖-1～20dB，以满足不同类型话筒的特性匹配需求；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须采用AI大模型语音算法，须同时具备智能反馈抑制（支持开关及≥5档调节）与智能降噪功能（支持开关及≥5档调节），以满足不同会议场景的差异化调校需求；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w:t>
            </w:r>
            <w:r>
              <w:rPr>
                <w:rFonts w:hint="eastAsia" w:ascii="宋体" w:hAnsi="宋体" w:eastAsia="宋体" w:cs="宋体"/>
                <w:szCs w:val="21"/>
                <w:lang w:val="en-US" w:eastAsia="zh-CN"/>
              </w:rPr>
              <w:t>.</w:t>
            </w:r>
            <w:r>
              <w:rPr>
                <w:rFonts w:hint="eastAsia" w:ascii="宋体" w:hAnsi="宋体" w:eastAsia="宋体" w:cs="宋体"/>
                <w:szCs w:val="21"/>
              </w:rPr>
              <w:t>须采用AI语音增强算法，基于深度神经网络实现声学自动降噪及去混响处理，环境降噪抑制能力须≥26dB；</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w:t>
            </w:r>
            <w:r>
              <w:rPr>
                <w:rFonts w:hint="eastAsia" w:ascii="宋体" w:hAnsi="宋体" w:eastAsia="宋体" w:cs="宋体"/>
                <w:szCs w:val="21"/>
                <w:lang w:val="en-US" w:eastAsia="zh-CN"/>
              </w:rPr>
              <w:t>.</w:t>
            </w:r>
            <w:r>
              <w:rPr>
                <w:rFonts w:hint="eastAsia" w:ascii="宋体" w:hAnsi="宋体" w:eastAsia="宋体" w:cs="宋体"/>
                <w:szCs w:val="21"/>
              </w:rPr>
              <w:t>须采用AI声纹识别技术，基于深度神经网络对人声进行精准识别，须能有效消除桌面敲击声、键盘声、水杯碰撞声、翻页声、鼓掌声等典型会议环境噪声，同时增强语音信号清晰度；</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7</w:t>
            </w:r>
            <w:r>
              <w:rPr>
                <w:rFonts w:hint="eastAsia" w:ascii="宋体" w:hAnsi="宋体" w:eastAsia="宋体" w:cs="宋体"/>
                <w:szCs w:val="21"/>
                <w:lang w:val="en-US" w:eastAsia="zh-CN"/>
              </w:rPr>
              <w:t>.</w:t>
            </w:r>
            <w:r>
              <w:rPr>
                <w:rFonts w:hint="eastAsia" w:ascii="宋体" w:hAnsi="宋体" w:eastAsia="宋体" w:cs="宋体"/>
                <w:szCs w:val="21"/>
              </w:rPr>
              <w:t>须采用AI大模型语音处理技术，具备自适应啸叫抑制功能，自适应反馈抑制增益须≥20dB；同等拾音距离条件下话筒声压须提升≥10dB，同等声压条件下拾音距离须提升≥3倍；须支持即插即用免调试，设备连接后须在10秒内自动运算达到稳态无声反馈工作状态；</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8</w:t>
            </w:r>
            <w:r>
              <w:rPr>
                <w:rFonts w:hint="eastAsia" w:ascii="宋体" w:hAnsi="宋体" w:eastAsia="宋体" w:cs="宋体"/>
                <w:szCs w:val="21"/>
                <w:lang w:val="en-US" w:eastAsia="zh-CN"/>
              </w:rPr>
              <w:t>.</w:t>
            </w:r>
            <w:r>
              <w:rPr>
                <w:rFonts w:hint="eastAsia" w:ascii="宋体" w:hAnsi="宋体" w:eastAsia="宋体" w:cs="宋体"/>
                <w:szCs w:val="21"/>
              </w:rPr>
              <w:t>采样频率须≥44.1kHz，须采用音频时钟同步传输技术，端到端音频延时须&lt;3ms；</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9</w:t>
            </w:r>
            <w:r>
              <w:rPr>
                <w:rFonts w:hint="eastAsia" w:ascii="宋体" w:hAnsi="宋体" w:eastAsia="宋体" w:cs="宋体"/>
                <w:szCs w:val="21"/>
                <w:lang w:val="en-US" w:eastAsia="zh-CN"/>
              </w:rPr>
              <w:t>.</w:t>
            </w:r>
            <w:r>
              <w:rPr>
                <w:rFonts w:hint="eastAsia" w:ascii="宋体" w:hAnsi="宋体" w:eastAsia="宋体" w:cs="宋体"/>
                <w:szCs w:val="21"/>
              </w:rPr>
              <w:t>须具备多场景参数预设调用功能，支持一键导入/保存设置参数；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10</w:t>
            </w:r>
            <w:r>
              <w:rPr>
                <w:rFonts w:hint="eastAsia" w:ascii="宋体" w:hAnsi="宋体" w:eastAsia="宋体" w:cs="宋体"/>
                <w:szCs w:val="21"/>
                <w:lang w:val="en-US" w:eastAsia="zh-CN"/>
              </w:rPr>
              <w:t>.</w:t>
            </w:r>
            <w:r>
              <w:rPr>
                <w:rFonts w:hint="eastAsia" w:ascii="宋体" w:hAnsi="宋体" w:eastAsia="宋体" w:cs="宋体"/>
                <w:szCs w:val="21"/>
              </w:rPr>
              <w:t>技术指标要求：频率响应20Hz–20kHz，动态范围≥106dB，信噪比≥110dB，总谐波失真&lt;0.03%，等效噪声级≤-20dBV；音频传输须同时支持Dante协议及AES67协议；降噪范围须覆盖-10dB至-40dB；须采用双核DSP处理架构（单核字长≥40-bit，主频≥400MHz×2）</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11.</w:t>
            </w:r>
            <w:r>
              <w:rPr>
                <w:rFonts w:hint="eastAsia" w:ascii="宋体" w:hAnsi="宋体" w:eastAsia="宋体" w:cs="宋体"/>
                <w:szCs w:val="21"/>
              </w:rPr>
              <w:t>数量为1台。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电源时序器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8路智能电源时序器（1U机架式）：配置≥8路大功率受控电源输出 + ≥1路常通直出电源，单路最大输出电流≥30A（视总保险管参数而定），最大通断电压 AC 240V；</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面板集成系统总开关、手动控制按钮、电源状态指示灯及继电器开关状态指示，支持面板一键启停时序控制；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具备手动面板控制与中控/PC软件并行管理能力，可通过RS-232串口接收指令实现远程开关机与状态监控；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电源插座采用多功能万用插孔设计，兼容国标、美标、欧标等多种规格二芯电源插头，无需额外转换插头；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通信协议开放，采用 DB9（FM）型 RS-232 国际标准通用协议，可无缝对接市面上主流智能中央控制系统及电脑端管理软件；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标准 19英寸机架式1U超薄设计，便于机柜集约化部署；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工作温度范围 -20°C ~ +70°C，适应各类机房及现场演出环境的高低温工况</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高清摄像头</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高清摄像头：1、须采用≥1/2.5英寸CMOS传感器，有效像素≥851万；须支持4K（3840×2160）@30fps超高清视频输出，并向下兼容1080P/720P等分辨率格式；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2、须配备4K超高清广角镜头，光学变焦倍率≥12倍，广角端水平视场角须≥71°；</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3、须具备自动休眠功能，功耗低于400mW时自动进入休眠状态以保护设备安全，并支持随时唤醒恢复工作；</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4、须同时支持RS232、RS485、网络及USB多种控制方式，兼容主流中控及导播系统对接；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5、须支持U盘本地存储录制功能，无需外接NVR即可实现本地直接录制；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6、须同时具备HDMI 1.4b及3G-SDI双接口输出，可直接输出非压缩数字视频信号，满足演播室及会议场景多路信号调度需求；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7、须具备超高信噪比CMOS传感器，配合3D降噪处理功能，低照度环境下图像信噪比须≥55dB，确保画面干净清晰；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8、须搭载智能曝光图像处理技术，可有效抑制投影、电视等外部光源对画面的干扰影响</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数量为1个。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机柜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rPr>
              <w:t>42U定制机柜，含托架≥8对、托板≥1块，绑线棍≥8根，1U盲板≥10块，22U竖向绑线排≥1批，8位国标PDU电源≥2个。数量1套。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融创空间会议一体机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高度集成化会议一体机，集投影、电子白板、音响、显示、视频终端、广告机、Android终端及Windows电脑等多种功能于一体；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须搭载Android 14.0及以上及Windows双系统架构，支持自由切换；</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屏幕尺寸≥65英寸，分辨率≥3840×2160，刷新率≥60Hz，亮度≥350cd/㎡，对比度≥1200:1，视角≥178°；</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须配备OPS模块（Windows系统，处理器≥i5十代，内存≥8GB，SSD≥256GB）；</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前置面板须集成开机键、≥3路USB接口、≥1路Type-C接口、≥1路HDMI输入及≥1路TOUCH触摸接口；</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ascii="宋体" w:hAnsi="宋体" w:eastAsia="宋体" w:cs="宋体"/>
                <w:szCs w:val="21"/>
              </w:rPr>
              <w:t>书写精度±1mm，支持原笔迹书写、手势操作及智能图形/文字识别；</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7.</w:t>
            </w:r>
            <w:r>
              <w:rPr>
                <w:rFonts w:ascii="宋体" w:hAnsi="宋体" w:eastAsia="宋体" w:cs="宋体"/>
                <w:szCs w:val="21"/>
              </w:rPr>
              <w:t>须支持多屏互动（1分屏或4分屏），支持手机反向控制及PC硬件投屏器双向操控；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ascii="宋体" w:hAnsi="宋体" w:eastAsia="宋体" w:cs="宋体"/>
                <w:szCs w:val="21"/>
              </w:rPr>
              <w:t>须内置≥4800万像素自动对焦摄像头及≥八阵列麦克风（拾音距离≥10米，支持回声消除及环境降噪）；</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9.</w:t>
            </w:r>
            <w:r>
              <w:rPr>
                <w:rFonts w:ascii="宋体" w:hAnsi="宋体" w:eastAsia="宋体" w:cs="宋体"/>
                <w:szCs w:val="21"/>
              </w:rPr>
              <w:t>须支持MDM远程集控、定时开关机、防蓝光护眼等管理功能</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加重一体机液压壁挂支架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ascii="宋体" w:hAnsi="宋体" w:eastAsia="宋体" w:cs="宋体"/>
                <w:szCs w:val="21"/>
              </w:rPr>
              <w:t>横屏使用定制双液压杆壁挂前维护支架：专为内嵌安装场景开发的工业级高性能产品</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采用双液压杆助力前弹结构，支持横屏挂载，最大承重能力≥100kg，满足大尺寸显示终端/重型设备的壁挂安装与安全承载需求；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安装方式简洁可靠，适配混凝土/实心砖墙及加固结构墙面，预埋/后置膨胀螺栓固定，安装完成后整机贴合墙面，外观平整美观；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维护时通过液压杆弹性助力将设备整体平稳向前弹出，无需拆卸整机即可完成背部接口接线、模块更换及日常检修，单人即可操作，大幅提升运维效率并降低维护风险；</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ascii="宋体" w:hAnsi="宋体" w:eastAsia="宋体" w:cs="宋体"/>
                <w:szCs w:val="21"/>
              </w:rPr>
              <w:t>支架主体采用高强度钢材精密加工，表面防腐防锈处理，结构稳定不变形</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sz w:val="24"/>
                <w:szCs w:val="24"/>
              </w:rPr>
            </w:pPr>
            <w:r>
              <w:rPr>
                <w:rFonts w:hint="eastAsia" w:ascii="宋体" w:hAnsi="宋体" w:eastAsia="宋体" w:cs="宋体"/>
                <w:b/>
                <w:bCs/>
                <w:color w:val="000000"/>
                <w:kern w:val="0"/>
                <w:sz w:val="24"/>
                <w:szCs w:val="24"/>
                <w:lang w:bidi="ar"/>
              </w:rPr>
              <w:t>四</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sz w:val="24"/>
                <w:szCs w:val="24"/>
              </w:rPr>
            </w:pPr>
            <w:r>
              <w:rPr>
                <w:rFonts w:hint="eastAsia" w:ascii="宋体" w:hAnsi="宋体" w:eastAsia="宋体" w:cs="宋体"/>
                <w:b/>
                <w:bCs/>
                <w:color w:val="000000"/>
                <w:kern w:val="0"/>
                <w:sz w:val="24"/>
                <w:szCs w:val="24"/>
                <w:lang w:bidi="ar"/>
              </w:rPr>
              <w:t>融媒体中心暖通系统</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lang w:val="en-US" w:eastAsia="zh-CN"/>
              </w:rPr>
              <w:t>风</w:t>
            </w:r>
            <w:r>
              <w:rPr>
                <w:rFonts w:hint="eastAsia" w:ascii="宋体" w:hAnsi="宋体" w:eastAsia="宋体" w:cs="宋体"/>
                <w:szCs w:val="21"/>
              </w:rPr>
              <w:t>管机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数量不少于5台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匹数：不小于5匹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制冷量（kw）：</w:t>
            </w:r>
            <w:r>
              <w:rPr>
                <w:rFonts w:hint="eastAsia" w:ascii="Calibri" w:hAnsi="Calibri" w:eastAsia="宋体" w:cs="宋体"/>
                <w:szCs w:val="22"/>
                <w:lang w:val="en-US" w:eastAsia="zh-CN"/>
              </w:rPr>
              <w:t>≥</w:t>
            </w:r>
            <w:r>
              <w:rPr>
                <w:rFonts w:hint="eastAsia" w:ascii="宋体" w:hAnsi="宋体" w:eastAsia="宋体" w:cs="宋体"/>
                <w:szCs w:val="21"/>
                <w:lang w:val="en-US" w:eastAsia="zh-CN"/>
              </w:rPr>
              <w:t>12</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制热量（kw）：</w:t>
            </w:r>
            <w:r>
              <w:rPr>
                <w:rFonts w:hint="eastAsia" w:ascii="Calibri" w:hAnsi="Calibri" w:eastAsia="宋体" w:cs="宋体"/>
                <w:szCs w:val="22"/>
                <w:lang w:val="en-US" w:eastAsia="zh-CN"/>
              </w:rPr>
              <w:t>≥</w:t>
            </w:r>
            <w:r>
              <w:rPr>
                <w:rFonts w:hint="eastAsia" w:ascii="宋体" w:hAnsi="宋体" w:eastAsia="宋体" w:cs="宋体"/>
                <w:szCs w:val="21"/>
                <w:lang w:val="en-US" w:eastAsia="zh-CN"/>
              </w:rPr>
              <w:t>14</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制冷功率：</w:t>
            </w:r>
            <w:r>
              <w:rPr>
                <w:rFonts w:hint="eastAsia" w:ascii="Calibri" w:hAnsi="Calibri" w:eastAsia="宋体" w:cs="宋体"/>
                <w:szCs w:val="22"/>
                <w:lang w:val="en-US" w:eastAsia="zh-CN"/>
              </w:rPr>
              <w:t>≥</w:t>
            </w:r>
            <w:r>
              <w:rPr>
                <w:rFonts w:hint="eastAsia" w:ascii="宋体" w:hAnsi="宋体" w:eastAsia="宋体" w:cs="宋体"/>
                <w:szCs w:val="21"/>
                <w:lang w:val="en-US" w:eastAsia="zh-CN"/>
              </w:rPr>
              <w:t>4.85KW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制热功率：</w:t>
            </w:r>
            <w:r>
              <w:rPr>
                <w:rFonts w:hint="eastAsia" w:ascii="Calibri" w:hAnsi="Calibri" w:eastAsia="宋体" w:cs="宋体"/>
                <w:szCs w:val="22"/>
                <w:lang w:val="en-US" w:eastAsia="zh-CN"/>
              </w:rPr>
              <w:t>≥</w:t>
            </w:r>
            <w:r>
              <w:rPr>
                <w:rFonts w:hint="eastAsia" w:ascii="宋体" w:hAnsi="宋体" w:eastAsia="宋体" w:cs="宋体"/>
                <w:szCs w:val="21"/>
                <w:lang w:val="en-US" w:eastAsia="zh-CN"/>
              </w:rPr>
              <w:t>4.45KW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冷媒;R32</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APF:≤3.58</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室内机噪声dB（A）：≤42</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室外机噪声dB（A）：≤58</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室内机重量：</w:t>
            </w:r>
            <w:r>
              <w:rPr>
                <w:rFonts w:hint="eastAsia" w:ascii="Calibri" w:hAnsi="Calibri" w:eastAsia="宋体" w:cs="宋体"/>
                <w:szCs w:val="22"/>
                <w:lang w:val="en-US" w:eastAsia="zh-CN"/>
              </w:rPr>
              <w:t>≥</w:t>
            </w:r>
            <w:r>
              <w:rPr>
                <w:rFonts w:hint="eastAsia" w:ascii="宋体" w:hAnsi="宋体" w:eastAsia="宋体" w:cs="宋体"/>
                <w:szCs w:val="21"/>
                <w:lang w:val="en-US" w:eastAsia="zh-CN"/>
              </w:rPr>
              <w:t>41Kg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外机重量：</w:t>
            </w:r>
            <w:r>
              <w:rPr>
                <w:rFonts w:hint="eastAsia" w:ascii="Calibri" w:hAnsi="Calibri" w:eastAsia="宋体" w:cs="宋体"/>
                <w:szCs w:val="22"/>
                <w:lang w:val="en-US" w:eastAsia="zh-CN"/>
              </w:rPr>
              <w:t>≥</w:t>
            </w:r>
            <w:r>
              <w:rPr>
                <w:rFonts w:hint="eastAsia" w:ascii="宋体" w:hAnsi="宋体" w:eastAsia="宋体" w:cs="宋体"/>
                <w:szCs w:val="21"/>
                <w:lang w:val="en-US" w:eastAsia="zh-CN"/>
              </w:rPr>
              <w:t>62Kg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室内机尺寸宽×高×深（mm）1400*250*700（允许偏差：±20mm）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室外机机身尺寸宽×高×深（mm）：940*823*360（允许偏差：±20mm）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电源(V)：380</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风管机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数量不少于1台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匹数：</w:t>
            </w:r>
            <w:r>
              <w:rPr>
                <w:rFonts w:hint="eastAsia" w:ascii="宋体" w:hAnsi="宋体" w:eastAsia="宋体" w:cs="宋体"/>
                <w:color w:val="000000"/>
                <w:kern w:val="0"/>
                <w:szCs w:val="21"/>
                <w:lang w:val="en-US" w:eastAsia="zh-CN"/>
              </w:rPr>
              <w:t>不低于</w:t>
            </w:r>
            <w:r>
              <w:rPr>
                <w:rFonts w:hint="eastAsia" w:ascii="宋体" w:hAnsi="宋体" w:eastAsia="宋体" w:cs="宋体"/>
                <w:color w:val="000000"/>
                <w:kern w:val="0"/>
                <w:szCs w:val="21"/>
              </w:rPr>
              <w:t>2匹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rPr>
              <w:t>制冷量（kw）：</w:t>
            </w:r>
            <w:r>
              <w:rPr>
                <w:rFonts w:hint="eastAsia" w:ascii="Calibri" w:hAnsi="Calibri" w:eastAsia="宋体" w:cs="宋体"/>
                <w:szCs w:val="22"/>
                <w:lang w:val="en-US" w:eastAsia="zh-CN"/>
              </w:rPr>
              <w:t>≥</w:t>
            </w:r>
            <w:r>
              <w:rPr>
                <w:rFonts w:hint="eastAsia" w:ascii="宋体" w:hAnsi="宋体" w:eastAsia="宋体" w:cs="宋体"/>
                <w:color w:val="000000"/>
                <w:kern w:val="0"/>
                <w:szCs w:val="21"/>
                <w:lang w:val="en-US" w:eastAsia="zh-CN"/>
              </w:rPr>
              <w:t>4.9</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制热量（kw）：</w:t>
            </w:r>
            <w:r>
              <w:rPr>
                <w:rFonts w:hint="eastAsia" w:ascii="Calibri" w:hAnsi="Calibri" w:eastAsia="宋体" w:cs="宋体"/>
                <w:szCs w:val="22"/>
                <w:lang w:val="en-US" w:eastAsia="zh-CN"/>
              </w:rPr>
              <w:t>≥</w:t>
            </w: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3</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制冷功率：</w:t>
            </w:r>
            <w:r>
              <w:rPr>
                <w:rFonts w:hint="eastAsia" w:ascii="宋体" w:hAnsi="宋体" w:eastAsia="宋体" w:cs="宋体"/>
                <w:kern w:val="2"/>
                <w:sz w:val="21"/>
                <w:szCs w:val="22"/>
                <w:lang w:val="en-US" w:eastAsia="zh-CN" w:bidi="ar-SA"/>
              </w:rPr>
              <w:t>≥</w:t>
            </w:r>
            <w:r>
              <w:rPr>
                <w:rFonts w:hint="eastAsia" w:ascii="宋体" w:hAnsi="宋体" w:eastAsia="宋体" w:cs="宋体"/>
                <w:kern w:val="2"/>
                <w:sz w:val="21"/>
                <w:szCs w:val="21"/>
                <w:lang w:val="en-US" w:eastAsia="zh-CN" w:bidi="ar-SA"/>
              </w:rPr>
              <w:t>1.8KW</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szCs w:val="21"/>
                <w:lang w:val="en-US" w:eastAsia="zh-CN"/>
              </w:rPr>
            </w:pPr>
            <w:r>
              <w:rPr>
                <w:rFonts w:hint="eastAsia" w:ascii="Calibri" w:hAnsi="Calibri" w:eastAsia="宋体" w:cs="宋体"/>
                <w:szCs w:val="21"/>
                <w:lang w:val="en-US" w:eastAsia="zh-CN"/>
              </w:rPr>
              <w:t>制热功率：</w:t>
            </w:r>
            <w:r>
              <w:rPr>
                <w:rFonts w:hint="eastAsia" w:ascii="Calibri" w:hAnsi="Calibri" w:eastAsia="宋体" w:cs="宋体"/>
                <w:szCs w:val="22"/>
                <w:lang w:val="en-US" w:eastAsia="zh-CN"/>
              </w:rPr>
              <w:t>≥</w:t>
            </w:r>
            <w:r>
              <w:rPr>
                <w:rFonts w:hint="eastAsia" w:ascii="宋体" w:hAnsi="宋体" w:eastAsia="宋体" w:cs="宋体"/>
                <w:szCs w:val="21"/>
                <w:lang w:val="en-US" w:eastAsia="zh-CN"/>
              </w:rPr>
              <w:t>1.8KW</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冷媒;R32</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APF:</w:t>
            </w:r>
            <w:r>
              <w:rPr>
                <w:rFonts w:hint="eastAsia" w:ascii="宋体" w:hAnsi="宋体" w:eastAsia="宋体" w:cs="宋体"/>
                <w:szCs w:val="21"/>
                <w:lang w:val="en-US" w:eastAsia="zh-CN"/>
              </w:rPr>
              <w:t>≤4.00</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室内机噪声</w:t>
            </w:r>
            <w:r>
              <w:rPr>
                <w:rFonts w:hint="eastAsia" w:ascii="宋体" w:hAnsi="宋体" w:eastAsia="宋体" w:cs="宋体"/>
                <w:color w:val="000000"/>
                <w:kern w:val="0"/>
                <w:sz w:val="21"/>
                <w:szCs w:val="21"/>
                <w:lang w:val="en-US" w:eastAsia="zh-CN" w:bidi="ar-SA"/>
              </w:rPr>
              <w:t>dB（A）</w:t>
            </w:r>
            <w:r>
              <w:rPr>
                <w:rFonts w:hint="eastAsia" w:ascii="宋体" w:hAnsi="宋体" w:eastAsia="宋体" w:cs="宋体"/>
                <w:kern w:val="2"/>
                <w:sz w:val="21"/>
                <w:szCs w:val="22"/>
                <w:lang w:val="en-US" w:eastAsia="zh-CN" w:bidi="ar-SA"/>
              </w:rPr>
              <w:t>：≤32</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宋体" w:hAnsi="宋体" w:eastAsia="宋体" w:cs="宋体"/>
                <w:szCs w:val="22"/>
                <w:lang w:val="en-US" w:eastAsia="zh-CN"/>
              </w:rPr>
            </w:pPr>
            <w:r>
              <w:rPr>
                <w:rFonts w:hint="eastAsia" w:ascii="Calibri" w:hAnsi="Calibri" w:eastAsia="宋体"/>
                <w:szCs w:val="22"/>
                <w:lang w:val="en-US" w:eastAsia="zh-CN"/>
              </w:rPr>
              <w:t>室外机噪声</w:t>
            </w:r>
            <w:r>
              <w:rPr>
                <w:rFonts w:hint="eastAsia" w:ascii="宋体" w:hAnsi="宋体" w:eastAsia="宋体" w:cs="宋体"/>
                <w:color w:val="000000"/>
                <w:kern w:val="0"/>
                <w:szCs w:val="21"/>
                <w:lang w:val="en-US" w:eastAsia="zh-CN"/>
              </w:rPr>
              <w:t>dB（A）</w:t>
            </w:r>
            <w:r>
              <w:rPr>
                <w:rFonts w:hint="eastAsia" w:ascii="Calibri" w:hAnsi="Calibri" w:eastAsia="宋体"/>
                <w:szCs w:val="22"/>
                <w:lang w:val="en-US" w:eastAsia="zh-CN"/>
              </w:rPr>
              <w:t>：≤</w:t>
            </w:r>
            <w:r>
              <w:rPr>
                <w:rFonts w:hint="eastAsia" w:ascii="宋体" w:hAnsi="宋体" w:eastAsia="宋体" w:cs="宋体"/>
                <w:szCs w:val="22"/>
                <w:lang w:val="en-US" w:eastAsia="zh-CN"/>
              </w:rPr>
              <w:t>54</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室内机重量：≥16Kg</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szCs w:val="22"/>
                <w:lang w:val="en-US" w:eastAsia="zh-CN"/>
              </w:rPr>
            </w:pPr>
            <w:r>
              <w:rPr>
                <w:rFonts w:hint="eastAsia" w:ascii="宋体" w:hAnsi="宋体" w:eastAsia="宋体" w:cs="宋体"/>
                <w:szCs w:val="22"/>
                <w:lang w:val="en-US" w:eastAsia="zh-CN"/>
              </w:rPr>
              <w:t>外机重量：</w:t>
            </w:r>
            <w:r>
              <w:rPr>
                <w:rFonts w:hint="eastAsia" w:ascii="宋体" w:hAnsi="宋体" w:eastAsia="宋体" w:cs="宋体"/>
                <w:kern w:val="2"/>
                <w:sz w:val="21"/>
                <w:szCs w:val="22"/>
                <w:lang w:val="en-US" w:eastAsia="zh-CN" w:bidi="ar-SA"/>
              </w:rPr>
              <w:t>≥29Kg</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室内机尺寸宽×高×深（mm）900*200*450</w:t>
            </w:r>
            <w:r>
              <w:rPr>
                <w:rFonts w:hint="eastAsia" w:ascii="宋体" w:hAnsi="宋体" w:eastAsia="宋体" w:cs="宋体"/>
                <w:kern w:val="2"/>
                <w:sz w:val="21"/>
                <w:szCs w:val="21"/>
                <w:lang w:val="en-US" w:eastAsia="zh-CN" w:bidi="ar-SA"/>
              </w:rPr>
              <w:t>（尺寸偏差≤±20mm）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2"/>
                <w:lang w:val="en-US" w:eastAsia="zh-CN"/>
              </w:rPr>
              <w:t>室外机机身尺寸宽×高×深（mm）：860*560*330</w:t>
            </w:r>
            <w:r>
              <w:rPr>
                <w:rFonts w:hint="eastAsia" w:ascii="宋体" w:hAnsi="宋体" w:eastAsia="宋体" w:cs="宋体"/>
                <w:szCs w:val="21"/>
                <w:lang w:val="en-US" w:eastAsia="zh-CN"/>
              </w:rPr>
              <w:t>（尺寸偏差≤±20mm）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电源(V)：220</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宋体"/>
                <w:szCs w:val="21"/>
              </w:rPr>
            </w:pPr>
            <w:r>
              <w:rPr>
                <w:rFonts w:hint="eastAsia" w:ascii="宋体" w:hAnsi="宋体" w:eastAsia="宋体" w:cs="宋体"/>
                <w:kern w:val="0"/>
                <w:szCs w:val="21"/>
              </w:rPr>
              <w:t>分体挂机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lang w:val="en-US" w:eastAsia="zh-CN"/>
              </w:rPr>
              <w:t>数量不少于1台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匹数：</w:t>
            </w:r>
            <w:r>
              <w:rPr>
                <w:rFonts w:hint="eastAsia" w:ascii="宋体" w:hAnsi="宋体" w:eastAsia="宋体" w:cs="宋体"/>
                <w:color w:val="000000"/>
                <w:kern w:val="0"/>
                <w:szCs w:val="21"/>
                <w:lang w:val="en-US" w:eastAsia="zh-CN"/>
              </w:rPr>
              <w:t>不小于</w:t>
            </w:r>
            <w:r>
              <w:rPr>
                <w:rFonts w:hint="eastAsia" w:ascii="宋体" w:hAnsi="宋体" w:eastAsia="宋体" w:cs="宋体"/>
                <w:color w:val="000000"/>
                <w:kern w:val="0"/>
                <w:szCs w:val="21"/>
              </w:rPr>
              <w:t>1.5匹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rPr>
              <w:t>制冷量（kw）：</w:t>
            </w:r>
            <w:r>
              <w:rPr>
                <w:rFonts w:hint="eastAsia" w:ascii="Calibri" w:hAnsi="Calibri" w:eastAsia="宋体" w:cs="宋体"/>
                <w:szCs w:val="22"/>
                <w:lang w:val="en-US" w:eastAsia="zh-CN"/>
              </w:rPr>
              <w:t>≥</w:t>
            </w:r>
            <w:r>
              <w:rPr>
                <w:rFonts w:hint="eastAsia" w:ascii="宋体" w:hAnsi="宋体" w:eastAsia="宋体" w:cs="宋体"/>
                <w:color w:val="000000"/>
                <w:kern w:val="0"/>
                <w:szCs w:val="21"/>
              </w:rPr>
              <w:t>3.</w:t>
            </w:r>
            <w:r>
              <w:rPr>
                <w:rFonts w:hint="eastAsia" w:ascii="宋体" w:hAnsi="宋体" w:eastAsia="宋体" w:cs="宋体"/>
                <w:color w:val="000000"/>
                <w:kern w:val="0"/>
                <w:szCs w:val="21"/>
                <w:lang w:val="en-US" w:eastAsia="zh-CN"/>
              </w:rPr>
              <w:t>4</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制热量（kw）</w:t>
            </w:r>
            <w:r>
              <w:rPr>
                <w:rFonts w:hint="eastAsia" w:ascii="宋体" w:hAnsi="宋体" w:eastAsia="宋体" w:cs="宋体"/>
                <w:color w:val="000000"/>
                <w:kern w:val="0"/>
                <w:szCs w:val="21"/>
                <w:lang w:val="en-US" w:eastAsia="zh-CN"/>
              </w:rPr>
              <w:t>：≥4.9</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制冷功率：</w:t>
            </w:r>
            <w:r>
              <w:rPr>
                <w:rFonts w:hint="eastAsia" w:ascii="Calibri" w:hAnsi="Calibri" w:eastAsia="宋体" w:cs="宋体"/>
                <w:szCs w:val="22"/>
                <w:lang w:val="en-US" w:eastAsia="zh-CN"/>
              </w:rPr>
              <w:t>≥</w:t>
            </w:r>
            <w:r>
              <w:rPr>
                <w:rFonts w:hint="eastAsia" w:ascii="宋体" w:hAnsi="宋体" w:eastAsia="宋体" w:cs="宋体"/>
                <w:color w:val="000000"/>
                <w:kern w:val="0"/>
                <w:szCs w:val="21"/>
                <w:lang w:val="en-US" w:eastAsia="zh-CN"/>
              </w:rPr>
              <w:t>840W</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Calibri" w:hAnsi="Calibri" w:eastAsia="宋体"/>
                <w:szCs w:val="22"/>
              </w:rPr>
            </w:pPr>
            <w:r>
              <w:rPr>
                <w:rFonts w:hint="eastAsia" w:ascii="Calibri" w:hAnsi="Calibri" w:eastAsia="宋体" w:cs="宋体"/>
                <w:szCs w:val="21"/>
                <w:lang w:val="en-US" w:eastAsia="zh-CN"/>
              </w:rPr>
              <w:t>制热功率：</w:t>
            </w:r>
            <w:r>
              <w:rPr>
                <w:rFonts w:hint="eastAsia" w:ascii="Calibri" w:hAnsi="Calibri" w:eastAsia="宋体" w:cs="宋体"/>
                <w:szCs w:val="22"/>
                <w:lang w:val="en-US" w:eastAsia="zh-CN"/>
              </w:rPr>
              <w:t>≥</w:t>
            </w:r>
            <w:r>
              <w:rPr>
                <w:rFonts w:hint="eastAsia" w:ascii="宋体" w:hAnsi="宋体" w:eastAsia="宋体" w:cs="宋体"/>
                <w:szCs w:val="21"/>
                <w:lang w:val="en-US" w:eastAsia="zh-CN"/>
              </w:rPr>
              <w:t>1230W</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室内机噪声</w:t>
            </w:r>
            <w:r>
              <w:rPr>
                <w:rFonts w:hint="eastAsia" w:ascii="宋体" w:hAnsi="宋体" w:eastAsia="宋体" w:cs="宋体"/>
                <w:color w:val="000000"/>
                <w:kern w:val="0"/>
                <w:sz w:val="21"/>
                <w:szCs w:val="21"/>
                <w:lang w:val="en-US" w:eastAsia="zh-CN" w:bidi="ar-SA"/>
              </w:rPr>
              <w:t>dB（A）</w:t>
            </w:r>
            <w:r>
              <w:rPr>
                <w:rFonts w:hint="eastAsia" w:ascii="宋体" w:hAnsi="宋体" w:eastAsia="宋体" w:cs="宋体"/>
                <w:kern w:val="2"/>
                <w:sz w:val="21"/>
                <w:szCs w:val="22"/>
                <w:lang w:val="en-US" w:eastAsia="zh-CN" w:bidi="ar-SA"/>
              </w:rPr>
              <w:t>：≤41</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kern w:val="0"/>
                <w:szCs w:val="21"/>
              </w:rPr>
            </w:pPr>
            <w:r>
              <w:rPr>
                <w:rFonts w:hint="eastAsia" w:ascii="Calibri" w:hAnsi="Calibri" w:eastAsia="宋体"/>
                <w:szCs w:val="22"/>
                <w:lang w:val="en-US" w:eastAsia="zh-CN"/>
              </w:rPr>
              <w:t>室外机噪声</w:t>
            </w:r>
            <w:r>
              <w:rPr>
                <w:rFonts w:hint="eastAsia" w:ascii="宋体" w:hAnsi="宋体" w:eastAsia="宋体" w:cs="宋体"/>
                <w:color w:val="000000"/>
                <w:kern w:val="0"/>
                <w:szCs w:val="21"/>
                <w:lang w:val="en-US" w:eastAsia="zh-CN"/>
              </w:rPr>
              <w:t>dB（A）</w:t>
            </w:r>
            <w:r>
              <w:rPr>
                <w:rFonts w:hint="eastAsia" w:ascii="Calibri" w:hAnsi="Calibri" w:eastAsia="宋体"/>
                <w:szCs w:val="22"/>
                <w:lang w:val="en-US" w:eastAsia="zh-CN"/>
              </w:rPr>
              <w:t>：≤</w:t>
            </w:r>
            <w:r>
              <w:rPr>
                <w:rFonts w:hint="eastAsia" w:ascii="宋体" w:hAnsi="宋体" w:eastAsia="宋体" w:cs="宋体"/>
                <w:szCs w:val="22"/>
                <w:lang w:val="en-US" w:eastAsia="zh-CN"/>
              </w:rPr>
              <w:t>51</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内机净重（kg）：≥10</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宋体" w:hAnsi="宋体" w:eastAsia="宋体" w:cs="宋体"/>
                <w:szCs w:val="22"/>
                <w:lang w:val="en-US" w:eastAsia="zh-CN"/>
              </w:rPr>
            </w:pPr>
            <w:r>
              <w:rPr>
                <w:rFonts w:hint="eastAsia" w:ascii="Calibri" w:hAnsi="Calibri" w:eastAsia="宋体"/>
                <w:szCs w:val="22"/>
                <w:lang w:val="en-US" w:eastAsia="zh-CN"/>
              </w:rPr>
              <w:t>外机净重（</w:t>
            </w:r>
            <w:r>
              <w:rPr>
                <w:rFonts w:hint="eastAsia" w:ascii="宋体" w:hAnsi="宋体" w:eastAsia="宋体" w:cs="宋体"/>
                <w:szCs w:val="22"/>
                <w:lang w:val="en-US" w:eastAsia="zh-CN"/>
              </w:rPr>
              <w:t>kg</w:t>
            </w:r>
            <w:r>
              <w:rPr>
                <w:rFonts w:hint="eastAsia" w:ascii="Calibri" w:hAnsi="Calibri" w:eastAsia="宋体"/>
                <w:szCs w:val="22"/>
                <w:lang w:val="en-US" w:eastAsia="zh-CN"/>
              </w:rPr>
              <w:t>）：</w:t>
            </w:r>
            <w:r>
              <w:rPr>
                <w:rFonts w:hint="eastAsia" w:ascii="Calibri" w:hAnsi="Calibri" w:eastAsia="宋体" w:cs="宋体"/>
                <w:szCs w:val="22"/>
                <w:lang w:val="en-US" w:eastAsia="zh-CN"/>
              </w:rPr>
              <w:t>≥</w:t>
            </w:r>
            <w:r>
              <w:rPr>
                <w:rFonts w:hint="eastAsia" w:ascii="宋体" w:hAnsi="宋体" w:eastAsia="宋体" w:cs="宋体"/>
                <w:szCs w:val="22"/>
                <w:lang w:val="en-US" w:eastAsia="zh-CN"/>
              </w:rPr>
              <w:t>23</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内机机身尺寸宽×高×深（mm）：880*310*210</w:t>
            </w:r>
            <w:r>
              <w:rPr>
                <w:rFonts w:hint="eastAsia" w:ascii="宋体" w:hAnsi="宋体" w:eastAsia="宋体" w:cs="宋体"/>
                <w:kern w:val="2"/>
                <w:sz w:val="21"/>
                <w:szCs w:val="21"/>
                <w:lang w:val="en-US" w:eastAsia="zh-CN" w:bidi="ar-SA"/>
              </w:rPr>
              <w:t>（尺寸偏差≤±20mm）</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szCs w:val="22"/>
                <w:lang w:val="en-US" w:eastAsia="zh-CN"/>
              </w:rPr>
            </w:pPr>
            <w:r>
              <w:rPr>
                <w:rFonts w:hint="eastAsia" w:ascii="宋体" w:hAnsi="宋体" w:eastAsia="宋体" w:cs="宋体"/>
                <w:szCs w:val="22"/>
                <w:lang w:val="en-US" w:eastAsia="zh-CN"/>
              </w:rPr>
              <w:t>外机机身尺寸宽×高×深（mm）：820*560*300</w:t>
            </w:r>
            <w:r>
              <w:rPr>
                <w:rFonts w:hint="eastAsia" w:ascii="宋体" w:hAnsi="宋体" w:eastAsia="宋体" w:cs="宋体"/>
                <w:szCs w:val="21"/>
                <w:lang w:val="en-US" w:eastAsia="zh-CN"/>
              </w:rPr>
              <w:t>（尺寸偏差≤±20mm）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color w:val="000000"/>
                <w:kern w:val="0"/>
                <w:szCs w:val="21"/>
              </w:rPr>
              <w:t>电源(V)：220</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Times New Roman"/>
                <w:b/>
                <w:bCs/>
                <w:szCs w:val="21"/>
              </w:rPr>
            </w:pPr>
            <w:r>
              <w:rPr>
                <w:rFonts w:hint="eastAsia" w:ascii="宋体" w:hAnsi="宋体" w:eastAsia="宋体" w:cs="宋体"/>
                <w:b/>
                <w:bCs/>
                <w:color w:val="000000"/>
                <w:kern w:val="0"/>
                <w:szCs w:val="21"/>
                <w:lang w:bidi="ar"/>
              </w:rPr>
              <w:t>五</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bCs/>
                <w:sz w:val="24"/>
                <w:szCs w:val="24"/>
              </w:rPr>
            </w:pPr>
            <w:bookmarkStart w:id="561" w:name="OLE_LINK5"/>
            <w:r>
              <w:rPr>
                <w:rFonts w:hint="eastAsia" w:ascii="宋体" w:hAnsi="宋体" w:eastAsia="宋体" w:cs="Times New Roman"/>
                <w:b/>
                <w:bCs/>
                <w:sz w:val="24"/>
                <w:szCs w:val="24"/>
              </w:rPr>
              <w:t>融媒体中心办公家具</w:t>
            </w:r>
            <w:bookmarkEnd w:id="561"/>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桌子</w:t>
            </w:r>
          </w:p>
        </w:tc>
        <w:tc>
          <w:tcPr>
            <w:tcW w:w="6671" w:type="dxa"/>
            <w:tcBorders>
              <w:top w:val="single" w:color="000000" w:sz="4" w:space="0"/>
              <w:left w:val="single" w:color="000000" w:sz="4" w:space="0"/>
              <w:bottom w:val="single" w:color="000000" w:sz="4" w:space="0"/>
              <w:right w:val="single" w:color="000000" w:sz="4" w:space="0"/>
            </w:tcBorders>
            <w:vAlign w:val="center"/>
          </w:tcPr>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基材：采用</w:t>
            </w:r>
            <w:r>
              <w:rPr>
                <w:rFonts w:hint="eastAsia" w:ascii="Times New Roman" w:hAnsi="Times New Roman" w:eastAsia="宋体" w:cs="Times New Roman"/>
                <w:szCs w:val="24"/>
                <w:lang w:val="en-US"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numPr>
                <w:ilvl w:val="0"/>
                <w:numId w:val="0"/>
              </w:num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Times New Roman" w:hAnsi="Times New Roman" w:eastAsia="宋体" w:cs="Times New Roman"/>
                <w:szCs w:val="24"/>
                <w:lang w:val="en-US"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整体材质为塑胶板，采用增强聚丙烯（PP）低温一次注射成形</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产品具有耐冲击、抗老化、抗氧化等特点，方便清洁、色调明快，完全符合国</w:t>
            </w:r>
            <w:r>
              <w:rPr>
                <w:rFonts w:hint="eastAsia" w:ascii="宋体" w:hAnsi="宋体" w:eastAsia="宋体" w:cs="宋体"/>
                <w:szCs w:val="21"/>
                <w:lang w:val="en-US" w:eastAsia="zh-CN"/>
              </w:rPr>
              <w:t>标</w:t>
            </w:r>
            <w:r>
              <w:rPr>
                <w:rFonts w:hint="eastAsia" w:ascii="宋体" w:hAnsi="宋体" w:eastAsia="宋体" w:cs="宋体"/>
                <w:szCs w:val="21"/>
              </w:rPr>
              <w:t>环保要求。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实木小书柜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val="en-US"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Times New Roman" w:hAnsi="Times New Roman" w:eastAsia="宋体" w:cs="Times New Roman"/>
                <w:szCs w:val="24"/>
                <w:lang w:val="en-US"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异形书柜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5</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桌子（不带柜子）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6</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1、靠背为灰色网布，厚度≥1.0mm；</w:t>
            </w:r>
            <w:r>
              <w:rPr>
                <w:rFonts w:hint="eastAsia" w:ascii="宋体" w:hAnsi="宋体" w:eastAsia="宋体" w:cs="宋体"/>
                <w:szCs w:val="21"/>
              </w:rPr>
              <w:br w:type="textWrapping"/>
            </w:r>
            <w:r>
              <w:rPr>
                <w:rFonts w:hint="eastAsia" w:ascii="宋体" w:hAnsi="宋体" w:eastAsia="宋体" w:cs="宋体"/>
                <w:szCs w:val="21"/>
              </w:rPr>
              <w:t>2、靠背和扶手、腰靠均采用黑色PP连体；</w:t>
            </w:r>
            <w:r>
              <w:rPr>
                <w:rFonts w:hint="eastAsia" w:ascii="宋体" w:hAnsi="宋体" w:eastAsia="宋体" w:cs="宋体"/>
                <w:szCs w:val="21"/>
              </w:rPr>
              <w:br w:type="textWrapping"/>
            </w:r>
            <w:r>
              <w:rPr>
                <w:rFonts w:hint="eastAsia" w:ascii="宋体" w:hAnsi="宋体" w:eastAsia="宋体" w:cs="宋体"/>
                <w:szCs w:val="21"/>
              </w:rPr>
              <w:t>3、座垫面料为布绒，海绵55#高密度、高弹力聚氨脂海绵；透气网布；</w:t>
            </w:r>
            <w:r>
              <w:rPr>
                <w:rFonts w:hint="eastAsia" w:ascii="宋体" w:hAnsi="宋体" w:eastAsia="宋体" w:cs="宋体"/>
                <w:szCs w:val="21"/>
              </w:rPr>
              <w:br w:type="textWrapping"/>
            </w:r>
            <w:r>
              <w:rPr>
                <w:rFonts w:hint="eastAsia" w:ascii="宋体" w:hAnsi="宋体" w:eastAsia="宋体" w:cs="宋体"/>
                <w:szCs w:val="21"/>
              </w:rPr>
              <w:t>4、椅板：曲木板材经模具八层高频热压成型，板材厚10-12mm；</w:t>
            </w:r>
            <w:r>
              <w:rPr>
                <w:rFonts w:hint="eastAsia" w:ascii="宋体" w:hAnsi="宋体" w:eastAsia="宋体" w:cs="宋体"/>
                <w:szCs w:val="21"/>
              </w:rPr>
              <w:br w:type="textWrapping"/>
            </w:r>
            <w:r>
              <w:rPr>
                <w:rFonts w:hint="eastAsia" w:ascii="宋体" w:hAnsi="宋体" w:eastAsia="宋体" w:cs="宋体"/>
                <w:szCs w:val="21"/>
              </w:rPr>
              <w:t>5、底盘：黑色蝴蝶底盘；</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7</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定制实木书柜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w:t>
            </w:r>
            <w:r>
              <w:rPr>
                <w:rFonts w:hint="eastAsia" w:ascii="宋体" w:hAnsi="宋体" w:eastAsia="宋体" w:cs="宋体"/>
                <w:szCs w:val="21"/>
                <w:lang w:eastAsia="zh-CN"/>
              </w:rPr>
              <w:t>，</w:t>
            </w:r>
            <w:r>
              <w:rPr>
                <w:rFonts w:hint="eastAsia" w:ascii="宋体" w:hAnsi="宋体" w:eastAsia="宋体" w:cs="宋体"/>
                <w:szCs w:val="21"/>
              </w:rPr>
              <w:t>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8</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报刊抽屉柜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柜子主体：粉末涂膜冷轧钢板，防水、稳固、光滑耐磨</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柜体采用厚度≥0.6mm一级冷轧钢板，主支撑结构件采用0.8mm厚一级冷轧钢板</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表面经去油除锈、酸洗磷化处理（钢板：符合GB/T 5213-2008冷轧低碳钢板及钢带标准）。</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9</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演播室2席控制台</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1、基材：E0级高密度纤维板，符合GB/T 11718-2021《中密度纤维板》、GB/T 17657-2013《人造板及饰面人造板理化性能实验方法》、GB 18580-2017《室内装饰装修材料人造板及其制品中甲醛释放限量》</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含水量≤11%</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甲醛释放量≤0.05mg/m³</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油漆：水性漆，符合HJ2537-2014标准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5</w:t>
            </w:r>
            <w:r>
              <w:rPr>
                <w:rFonts w:hint="eastAsia" w:ascii="宋体" w:hAnsi="宋体" w:eastAsia="宋体" w:cs="宋体"/>
                <w:szCs w:val="21"/>
              </w:rPr>
              <w:t>、配备五金件。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10</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主持椅</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1.西皮饰面；</w:t>
            </w:r>
            <w:r>
              <w:rPr>
                <w:rFonts w:hint="eastAsia" w:ascii="宋体" w:hAnsi="宋体" w:eastAsia="宋体" w:cs="宋体"/>
                <w:szCs w:val="21"/>
              </w:rPr>
              <w:br w:type="textWrapping"/>
            </w:r>
            <w:r>
              <w:rPr>
                <w:rFonts w:hint="eastAsia" w:ascii="宋体" w:hAnsi="宋体" w:eastAsia="宋体" w:cs="宋体"/>
                <w:szCs w:val="21"/>
              </w:rPr>
              <w:t>2.内板</w:t>
            </w:r>
            <w:r>
              <w:rPr>
                <w:rFonts w:hint="eastAsia" w:ascii="宋体" w:hAnsi="宋体" w:eastAsia="宋体" w:cs="宋体"/>
                <w:szCs w:val="21"/>
                <w:lang w:val="en-US" w:eastAsia="zh-CN"/>
              </w:rPr>
              <w:t>不劣于</w:t>
            </w:r>
            <w:r>
              <w:rPr>
                <w:rFonts w:hint="eastAsia" w:ascii="宋体" w:hAnsi="宋体" w:eastAsia="宋体" w:cs="宋体"/>
                <w:szCs w:val="21"/>
              </w:rPr>
              <w:t>12mm木皮压制而成高密度夹板；</w:t>
            </w:r>
            <w:r>
              <w:rPr>
                <w:rFonts w:hint="eastAsia" w:ascii="宋体" w:hAnsi="宋体" w:eastAsia="宋体" w:cs="宋体"/>
                <w:szCs w:val="21"/>
              </w:rPr>
              <w:br w:type="textWrapping"/>
            </w:r>
            <w:r>
              <w:rPr>
                <w:rFonts w:hint="eastAsia" w:ascii="宋体" w:hAnsi="宋体" w:eastAsia="宋体" w:cs="宋体"/>
                <w:szCs w:val="21"/>
              </w:rPr>
              <w:t>3.座包一体成型定型海绵+座壳，永不变形；</w:t>
            </w:r>
            <w:r>
              <w:rPr>
                <w:rFonts w:hint="eastAsia" w:ascii="宋体" w:hAnsi="宋体" w:eastAsia="宋体" w:cs="宋体"/>
                <w:szCs w:val="21"/>
              </w:rPr>
              <w:br w:type="textWrapping"/>
            </w:r>
            <w:r>
              <w:rPr>
                <w:rFonts w:hint="eastAsia" w:ascii="宋体" w:hAnsi="宋体" w:eastAsia="宋体" w:cs="宋体"/>
                <w:szCs w:val="21"/>
              </w:rPr>
              <w:t>4、升降气杆，配备铝合金圆形脚盘。</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11</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导播室椅子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1、靠背为灰色网布，厚度≥1.0mm；</w:t>
            </w:r>
            <w:r>
              <w:rPr>
                <w:rFonts w:hint="eastAsia" w:ascii="宋体" w:hAnsi="宋体" w:eastAsia="宋体" w:cs="宋体"/>
                <w:szCs w:val="21"/>
              </w:rPr>
              <w:br w:type="textWrapping"/>
            </w:r>
            <w:r>
              <w:rPr>
                <w:rFonts w:hint="eastAsia" w:ascii="宋体" w:hAnsi="宋体" w:eastAsia="宋体" w:cs="宋体"/>
                <w:szCs w:val="21"/>
              </w:rPr>
              <w:t>2、靠背和扶手、腰靠均采用黑色PP连体；</w:t>
            </w:r>
            <w:r>
              <w:rPr>
                <w:rFonts w:hint="eastAsia" w:ascii="宋体" w:hAnsi="宋体" w:eastAsia="宋体" w:cs="宋体"/>
                <w:szCs w:val="21"/>
              </w:rPr>
              <w:br w:type="textWrapping"/>
            </w:r>
            <w:r>
              <w:rPr>
                <w:rFonts w:hint="eastAsia" w:ascii="宋体" w:hAnsi="宋体" w:eastAsia="宋体" w:cs="宋体"/>
                <w:szCs w:val="21"/>
              </w:rPr>
              <w:t>3、座垫面料为布绒，海绵55#高密度、高弹力聚氨脂海绵；</w:t>
            </w:r>
            <w:r>
              <w:rPr>
                <w:rFonts w:hint="eastAsia" w:ascii="宋体" w:hAnsi="宋体" w:eastAsia="宋体" w:cs="宋体"/>
                <w:szCs w:val="21"/>
                <w:lang w:val="en-US" w:eastAsia="zh-CN"/>
              </w:rPr>
              <w:t>透</w:t>
            </w:r>
            <w:r>
              <w:rPr>
                <w:rFonts w:hint="eastAsia" w:ascii="宋体" w:hAnsi="宋体" w:eastAsia="宋体" w:cs="宋体"/>
                <w:szCs w:val="21"/>
              </w:rPr>
              <w:t>气网布；</w:t>
            </w:r>
            <w:r>
              <w:rPr>
                <w:rFonts w:hint="eastAsia" w:ascii="宋体" w:hAnsi="宋体" w:eastAsia="宋体" w:cs="宋体"/>
                <w:szCs w:val="21"/>
              </w:rPr>
              <w:br w:type="textWrapping"/>
            </w:r>
            <w:r>
              <w:rPr>
                <w:rFonts w:hint="eastAsia" w:ascii="宋体" w:hAnsi="宋体" w:eastAsia="宋体" w:cs="宋体"/>
                <w:szCs w:val="21"/>
              </w:rPr>
              <w:t>4、椅板：曲木板材经模具八层高频热压成型，板材厚10-12mm；</w:t>
            </w:r>
            <w:r>
              <w:rPr>
                <w:rFonts w:hint="eastAsia" w:ascii="宋体" w:hAnsi="宋体" w:eastAsia="宋体" w:cs="宋体"/>
                <w:szCs w:val="21"/>
              </w:rPr>
              <w:br w:type="textWrapping"/>
            </w:r>
            <w:r>
              <w:rPr>
                <w:rFonts w:hint="eastAsia" w:ascii="宋体" w:hAnsi="宋体" w:eastAsia="宋体" w:cs="宋体"/>
                <w:szCs w:val="21"/>
              </w:rPr>
              <w:t>5、底盘：黑色蝴蝶底盘；</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12</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单人沙发</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面料：采用西皮，皮面光泽度好，透气性强，柔软而富于弹性，厚度＞1.2mm</w:t>
            </w:r>
            <w:r>
              <w:rPr>
                <w:rFonts w:hint="eastAsia" w:ascii="宋体" w:hAnsi="宋体" w:eastAsia="宋体" w:cs="宋体"/>
                <w:szCs w:val="21"/>
                <w:lang w:eastAsia="zh-CN"/>
              </w:rPr>
              <w:t>；</w:t>
            </w:r>
          </w:p>
          <w:p>
            <w:pPr>
              <w:jc w:val="left"/>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根据人体工程学原理设计，坐感舒适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基材：实木内架，经防潮、防腐、防虫等化学处理，含水率≤11%。钢制下架。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13</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茶几</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14</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成品衣柜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15</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沙发</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面料：采用麻布面料，透气性强，柔软而富于弹性，厚度＞1.2mm</w:t>
            </w:r>
            <w:r>
              <w:rPr>
                <w:rFonts w:hint="eastAsia" w:ascii="宋体" w:hAnsi="宋体" w:eastAsia="宋体" w:cs="宋体"/>
                <w:szCs w:val="21"/>
                <w:lang w:eastAsia="zh-CN"/>
              </w:rPr>
              <w:t>；</w:t>
            </w: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泡绵：坐垫采用45Kg/m3发泡高密度高回弹泡绵，，回弹性能好，不变形；根据人体工程学原理设计，坐感舒适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基材：实木内架，经防潮、防腐、防虫等化学处理，含水率≤11%。钢制下架。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16</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化妆台</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五金配件：采用偏心件、连接五金件；合金基材，表面镀锌或镀镍，经防锈处理。</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17</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化妆椅</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坐板靠背面料：采用西皮面料，皮面光泽度好，透气性强，柔软而富于弹性，厚度＞1.2mm</w:t>
            </w:r>
            <w:r>
              <w:rPr>
                <w:rFonts w:hint="eastAsia" w:ascii="宋体" w:hAnsi="宋体" w:eastAsia="宋体" w:cs="宋体"/>
                <w:szCs w:val="21"/>
                <w:lang w:eastAsia="zh-CN"/>
              </w:rPr>
              <w:t>；</w:t>
            </w:r>
          </w:p>
          <w:p>
            <w:pPr>
              <w:jc w:val="left"/>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根据人体工程学原理设计，坐感舒适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钢管基材，电镀工艺涂装。</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18</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圆凳</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1.西皮饰面；</w:t>
            </w:r>
            <w:r>
              <w:rPr>
                <w:rFonts w:hint="eastAsia" w:ascii="宋体" w:hAnsi="宋体" w:eastAsia="宋体" w:cs="宋体"/>
                <w:szCs w:val="21"/>
              </w:rPr>
              <w:br w:type="textWrapping"/>
            </w:r>
            <w:r>
              <w:rPr>
                <w:rFonts w:hint="eastAsia" w:ascii="宋体" w:hAnsi="宋体" w:eastAsia="宋体" w:cs="宋体"/>
                <w:szCs w:val="21"/>
              </w:rPr>
              <w:t>2.内板</w:t>
            </w:r>
            <w:r>
              <w:rPr>
                <w:rFonts w:hint="eastAsia" w:ascii="宋体" w:hAnsi="宋体" w:eastAsia="宋体" w:cs="宋体"/>
                <w:szCs w:val="21"/>
                <w:lang w:val="en-US" w:eastAsia="zh-CN"/>
              </w:rPr>
              <w:t>不劣于</w:t>
            </w:r>
            <w:r>
              <w:rPr>
                <w:rFonts w:hint="eastAsia" w:ascii="宋体" w:hAnsi="宋体" w:eastAsia="宋体" w:cs="宋体"/>
                <w:szCs w:val="21"/>
              </w:rPr>
              <w:t>12mm木皮压制而成高密度夹板；</w:t>
            </w:r>
            <w:r>
              <w:rPr>
                <w:rFonts w:hint="eastAsia" w:ascii="宋体" w:hAnsi="宋体" w:eastAsia="宋体" w:cs="宋体"/>
                <w:szCs w:val="21"/>
              </w:rPr>
              <w:br w:type="textWrapping"/>
            </w:r>
            <w:r>
              <w:rPr>
                <w:rFonts w:hint="eastAsia" w:ascii="宋体" w:hAnsi="宋体" w:eastAsia="宋体" w:cs="宋体"/>
                <w:szCs w:val="21"/>
              </w:rPr>
              <w:t>3.座包一体成型定型海绵+座壳，永不变形；</w:t>
            </w:r>
            <w:r>
              <w:rPr>
                <w:rFonts w:hint="eastAsia" w:ascii="宋体" w:hAnsi="宋体" w:eastAsia="宋体" w:cs="宋体"/>
                <w:szCs w:val="21"/>
              </w:rPr>
              <w:br w:type="textWrapping"/>
            </w: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升降气杆，配备电镀五星盘，尼龙万向轮。</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19</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实木柜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20</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造型屋</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rPr>
            </w:pPr>
            <w:r>
              <w:rPr>
                <w:rFonts w:hint="eastAsia" w:ascii="宋体" w:hAnsi="宋体" w:eastAsia="宋体" w:cs="宋体"/>
                <w:szCs w:val="21"/>
                <w:lang w:val="en-US" w:eastAsia="zh-CN"/>
              </w:rPr>
              <w:t>1.不劣于</w:t>
            </w:r>
            <w:r>
              <w:rPr>
                <w:rFonts w:hint="eastAsia" w:ascii="宋体" w:hAnsi="宋体" w:eastAsia="宋体" w:cs="宋体"/>
                <w:szCs w:val="21"/>
              </w:rPr>
              <w:t>2mm厚镀锌钢材按节点要求铣削隐藏式连接卡槽、螺栓固定孔，边缘多道打磨处理；</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立柱表面喷砂精细化处理，去除表面氧化层，防腐抗氧化处理；涂刷环氧富锌底漆、耐高温中间漆，表面贴木纹家具膜</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21</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嵌入式智能电动升降插座系统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定制化嵌入式智能电动升降插座系统，非标尺寸定制</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22</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制实木展柜/书柜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23</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办公桌</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24</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软包坐凳</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坐板采用西皮，定型海绵软包。</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25</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所有钢管、钢板均采用低炭A3冷扎钢板拉焊或冲压、冲剪成形，经精密度模具冲剪</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采用二氧化碳保护焊接工艺进行焊接，经细心打磨、较正、酸洗、碱洗、最新锌系磷化技术磷化、皱灰色环氧树酯粉体静电喷涂、高温烘焗成形。具有整体焊接牢固美观、焊接点均匀、耐磨抗刮花等特点</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塑胶板采用增强聚丙烯（PP）低温一次注射成形，产品具有耐冲击、抗老化、抗氧化等特点</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26</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三角形洽谈桌</w:t>
            </w:r>
          </w:p>
        </w:tc>
        <w:tc>
          <w:tcPr>
            <w:tcW w:w="6671" w:type="dxa"/>
            <w:tcBorders>
              <w:top w:val="single" w:color="000000" w:sz="4" w:space="0"/>
              <w:left w:val="single" w:color="000000" w:sz="4" w:space="0"/>
              <w:bottom w:val="single" w:color="000000" w:sz="4" w:space="0"/>
              <w:right w:val="single" w:color="000000" w:sz="4" w:space="0"/>
            </w:tcBorders>
            <w:vAlign w:val="center"/>
          </w:tcPr>
          <w:p>
            <w:pPr>
              <w:numPr>
                <w:ilvl w:val="0"/>
                <w:numId w:val="6"/>
              </w:numPr>
              <w:jc w:val="left"/>
              <w:rPr>
                <w:rFonts w:hint="eastAsia" w:ascii="宋体" w:hAnsi="宋体" w:eastAsia="宋体" w:cs="宋体"/>
                <w:szCs w:val="21"/>
              </w:rPr>
            </w:pP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numPr>
                <w:ilvl w:val="0"/>
                <w:numId w:val="0"/>
              </w:num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27</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长条桌</w:t>
            </w:r>
          </w:p>
        </w:tc>
        <w:tc>
          <w:tcPr>
            <w:tcW w:w="6671" w:type="dxa"/>
            <w:tcBorders>
              <w:top w:val="single" w:color="000000" w:sz="4" w:space="0"/>
              <w:left w:val="single" w:color="000000" w:sz="4" w:space="0"/>
              <w:bottom w:val="single" w:color="000000" w:sz="4" w:space="0"/>
              <w:right w:val="single" w:color="000000" w:sz="4" w:space="0"/>
            </w:tcBorders>
            <w:vAlign w:val="center"/>
          </w:tcPr>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28</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梯形洽谈桌</w:t>
            </w:r>
          </w:p>
        </w:tc>
        <w:tc>
          <w:tcPr>
            <w:tcW w:w="6671" w:type="dxa"/>
            <w:tcBorders>
              <w:top w:val="single" w:color="000000" w:sz="4" w:space="0"/>
              <w:left w:val="single" w:color="000000" w:sz="4" w:space="0"/>
              <w:bottom w:val="single" w:color="000000" w:sz="4" w:space="0"/>
              <w:right w:val="single" w:color="000000" w:sz="4" w:space="0"/>
            </w:tcBorders>
            <w:vAlign w:val="center"/>
          </w:tcPr>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29</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洽谈椅（分色）</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所有钢管、钢板均采用低炭A3冷扎钢板拉焊或冲压、冲剪成形，经精密度模具冲剪</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采用二氧化碳保护焊接工艺进行焊接，经细心打磨、较正、酸洗、碱洗、最新锌系磷化技术磷化、皱灰色环氧树酯粉体静电喷涂、高温烘焗成形。具有整体焊接牢固美观、焊接点均匀、耐磨抗刮花等特点</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塑胶板采用增强聚丙烯（PP）低温一次注射成形，产品具有耐冲击、抗老化、抗氧化等特点</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.颜色要求：50把白色，黄蓝绿各10把</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30</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会议桌</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五金配件：采用偏心件、连接五金件；合金基材，表面镀锌或镀镍，经防锈处理。</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31</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椅子（带桌板）</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1.椅身:PP材料；</w:t>
            </w:r>
            <w:r>
              <w:rPr>
                <w:rFonts w:hint="eastAsia" w:ascii="宋体" w:hAnsi="宋体" w:eastAsia="宋体" w:cs="宋体"/>
                <w:szCs w:val="21"/>
              </w:rPr>
              <w:br w:type="textWrapping"/>
            </w:r>
            <w:r>
              <w:rPr>
                <w:rFonts w:hint="eastAsia" w:ascii="宋体" w:hAnsi="宋体" w:eastAsia="宋体" w:cs="宋体"/>
                <w:szCs w:val="21"/>
              </w:rPr>
              <w:t>2.坐垫:采用网布，具有抗菌、抗静电、耐磨性强，清洁方便；</w:t>
            </w:r>
            <w:r>
              <w:rPr>
                <w:rFonts w:hint="eastAsia" w:ascii="宋体" w:hAnsi="宋体" w:eastAsia="宋体" w:cs="宋体"/>
                <w:szCs w:val="21"/>
              </w:rPr>
              <w:br w:type="textWrapping"/>
            </w:r>
            <w:r>
              <w:rPr>
                <w:rFonts w:hint="eastAsia" w:ascii="宋体" w:hAnsi="宋体" w:eastAsia="宋体" w:cs="宋体"/>
                <w:szCs w:val="21"/>
              </w:rPr>
              <w:t>3.海绵:采用定型海绵，回弹率≥53%，75％压缩永久变形≤2.4%、拉伸强度≥164kpa，伸长率≥ 185%，撕裂强度≥2.8N/cm,回弹性好，经久不变形；</w:t>
            </w:r>
            <w:r>
              <w:rPr>
                <w:rFonts w:hint="eastAsia" w:ascii="宋体" w:hAnsi="宋体" w:eastAsia="宋体" w:cs="宋体"/>
                <w:szCs w:val="21"/>
              </w:rPr>
              <w:br w:type="textWrapping"/>
            </w:r>
            <w:r>
              <w:rPr>
                <w:rFonts w:hint="eastAsia" w:ascii="宋体" w:hAnsi="宋体" w:eastAsia="宋体" w:cs="宋体"/>
                <w:szCs w:val="21"/>
              </w:rPr>
              <w:t>4.结构:椅座、椅架、横梁等连接稳固，具有保护功能；</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32</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面料：椅子坐垫和靠背均采用1.0mm以上环保皮，防水性和耐磨性好；</w:t>
            </w:r>
          </w:p>
          <w:p>
            <w:pPr>
              <w:jc w:val="left"/>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w:t>
            </w:r>
            <w:r>
              <w:rPr>
                <w:rFonts w:hint="eastAsia" w:ascii="宋体" w:hAnsi="宋体" w:eastAsia="宋体" w:cs="宋体"/>
                <w:szCs w:val="21"/>
              </w:rPr>
              <w:t>辅料：高密高弹定型海绵，回弹性佳，软硬适中；</w:t>
            </w:r>
          </w:p>
          <w:p>
            <w:pPr>
              <w:jc w:val="left"/>
              <w:rPr>
                <w:rFonts w:hint="eastAsia" w:ascii="宋体" w:hAnsi="宋体" w:eastAsia="宋体" w:cs="宋体"/>
                <w:szCs w:val="21"/>
                <w:lang w:eastAsia="zh-CN"/>
              </w:rPr>
            </w:pPr>
            <w:r>
              <w:rPr>
                <w:rFonts w:hint="eastAsia" w:ascii="宋体" w:hAnsi="宋体" w:eastAsia="宋体" w:cs="宋体"/>
                <w:szCs w:val="21"/>
              </w:rPr>
              <w:t>3</w:t>
            </w:r>
            <w:r>
              <w:rPr>
                <w:rFonts w:hint="eastAsia" w:ascii="宋体" w:hAnsi="宋体" w:eastAsia="宋体" w:cs="宋体"/>
                <w:szCs w:val="21"/>
                <w:lang w:val="en-US" w:eastAsia="zh-CN"/>
              </w:rPr>
              <w:t>.</w:t>
            </w:r>
            <w:r>
              <w:rPr>
                <w:rFonts w:hint="eastAsia" w:ascii="宋体" w:hAnsi="宋体" w:eastAsia="宋体" w:cs="宋体"/>
                <w:szCs w:val="21"/>
              </w:rPr>
              <w:t>脚架：选用曲木脚架，线条利落，依据人体工学原理设计</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整体符合国家行业环保标准。</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33</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木柜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34</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办公桌（不带柜子）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35</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办公椅</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所有钢管、钢板均采用低炭A3冷扎钢板拉焊或冲压、冲剪成形，经精密度模具冲剪</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采用二氧化碳保护焊接工艺进行焊接，经细心打磨、较正、酸洗、碱洗、最新锌系磷化技术磷化、皱灰色环氧树酯粉体静电喷涂、高温烘焗成形。具有整体焊接牢固美观、焊接点均匀、耐磨抗刮花等特点</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塑胶板采用增强聚丙烯（PP）低温一次注射成形，产品具有耐冲击、抗老化、抗氧化等特点</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36</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单人沙发</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面料：采用布艺，皮面光泽度好，透气性强，柔软而富于弹性，厚度＞1.2mm</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泡绵：坐垫采用45Kg/m3发泡高密度高回弹泡绵，，回弹性能好，不变形；根据人体工程学原理设计，坐感舒适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基材：实木内架，经防潮、防腐、防虫等化学处理，含水率≤11%。钢制下架。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37</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双人位沙发</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面料：采用布艺，皮面光泽度好，透气性强，柔软而富于弹性，厚度＞1.2mm</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泡绵：坐垫采用45Kg/m3发泡高密度高回弹泡绵，，回弹性能好，不变形；根据人体工程学原理设计，坐感舒适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基材：实木内架，经防潮、防腐、防虫等化学处理，含水率≤11%。钢制下架。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38</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茶几</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E1级刨花板，并达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39</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主播椅</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面料：采用西皮，皮面光泽度好，透气性强，柔软而富于弹性，厚度＞1.2mm</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泡绵：坐垫采用45Kg/m3发泡高密度高回弹泡绵，回弹性能好，不变形；根据人体工程学原理设计，坐感舒适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基材：实木内架，经防潮、防腐、防虫等化学处理，含水率≤11%。钢制下架。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40</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桌子</w:t>
            </w:r>
          </w:p>
        </w:tc>
        <w:tc>
          <w:tcPr>
            <w:tcW w:w="6671" w:type="dxa"/>
            <w:tcBorders>
              <w:top w:val="single" w:color="000000" w:sz="4" w:space="0"/>
              <w:left w:val="single" w:color="000000" w:sz="4" w:space="0"/>
              <w:bottom w:val="single" w:color="000000" w:sz="4" w:space="0"/>
              <w:right w:val="single" w:color="000000" w:sz="4" w:space="0"/>
            </w:tcBorders>
            <w:vAlign w:val="center"/>
          </w:tcPr>
          <w:p>
            <w:pPr>
              <w:numPr>
                <w:ilvl w:val="0"/>
                <w:numId w:val="7"/>
              </w:numPr>
              <w:jc w:val="left"/>
              <w:rPr>
                <w:rFonts w:hint="eastAsia" w:ascii="宋体" w:hAnsi="宋体" w:eastAsia="宋体" w:cs="宋体"/>
                <w:szCs w:val="21"/>
              </w:rPr>
            </w:pP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widowControl w:val="0"/>
              <w:numPr>
                <w:ilvl w:val="0"/>
                <w:numId w:val="0"/>
              </w:numPr>
              <w:ind w:firstLine="420" w:firstLineChars="200"/>
              <w:jc w:val="both"/>
              <w:textAlignment w:val="baseline"/>
              <w:rPr>
                <w:rFonts w:hint="default" w:ascii="Times New Roman" w:hAnsi="Times New Roman" w:eastAsia="宋体" w:cs="Times New Roman"/>
                <w:kern w:val="2"/>
                <w:sz w:val="21"/>
                <w:szCs w:val="28"/>
                <w:lang w:val="en-US" w:eastAsia="zh-CN" w:bidi="ar-SA"/>
              </w:rPr>
            </w:pPr>
            <w:r>
              <w:rPr>
                <w:rFonts w:hint="eastAsia" w:ascii="Times New Roman" w:hAnsi="Times New Roman" w:eastAsia="宋体" w:cs="Times New Roman"/>
                <w:kern w:val="2"/>
                <w:sz w:val="21"/>
                <w:szCs w:val="28"/>
                <w:lang w:val="en-US" w:eastAsia="zh-CN" w:bidi="ar-SA"/>
              </w:rPr>
              <w:t>4.五金配件：采用偏心件、连接五金件；合金基材，表面镀锌或镀镍，经防锈处理。</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41</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双人位沙发</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面料：采用布艺，皮面光泽度好，透气性强，柔软而富于弹性，厚度＞1.2mm</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泡绵：坐垫采用45Kg/m3发泡高密度高回弹泡绵，，回弹性能好，不变形；根据人体工程学原理设计，坐感舒适</w:t>
            </w:r>
            <w:r>
              <w:rPr>
                <w:rFonts w:hint="eastAsia" w:ascii="宋体" w:hAnsi="宋体" w:eastAsia="宋体" w:cs="宋体"/>
                <w:szCs w:val="21"/>
                <w:lang w:eastAsia="zh-CN"/>
              </w:rPr>
              <w:t>；</w:t>
            </w:r>
          </w:p>
          <w:p>
            <w:pPr>
              <w:numPr>
                <w:ilvl w:val="0"/>
                <w:numId w:val="8"/>
              </w:num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基材：实木内架，经防潮、防腐、防虫等化学处理，含水率≤11%。钢制下架。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42</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木柜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43</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桌子（不带柜子）</w:t>
            </w:r>
          </w:p>
        </w:tc>
        <w:tc>
          <w:tcPr>
            <w:tcW w:w="6671" w:type="dxa"/>
            <w:tcBorders>
              <w:top w:val="single" w:color="000000" w:sz="4" w:space="0"/>
              <w:left w:val="single" w:color="000000" w:sz="4" w:space="0"/>
              <w:bottom w:val="single" w:color="000000" w:sz="4" w:space="0"/>
              <w:right w:val="single" w:color="000000" w:sz="4" w:space="0"/>
            </w:tcBorders>
            <w:vAlign w:val="center"/>
          </w:tcPr>
          <w:p>
            <w:pPr>
              <w:numPr>
                <w:ilvl w:val="0"/>
                <w:numId w:val="0"/>
              </w:numPr>
              <w:jc w:val="left"/>
              <w:rPr>
                <w:rFonts w:ascii="Times New Roman" w:hAnsi="Times New Roman" w:eastAsia="宋体" w:cs="Times New Roman"/>
                <w:szCs w:val="24"/>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44</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所有钢管、钢板均采用低炭A3冷扎钢板拉焊或冲压、冲剪成形，经精密度模具冲剪</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采用二氧化碳保护焊接工艺进行焊接，经细心打磨、较正、酸洗、碱洗、最新锌系磷化技术磷化、皱灰色环氧树酯粉体静电喷涂、高温烘焗成形。具有整体焊接牢固美观、焊接点均匀、耐磨抗刮花等特点</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塑胶板采用增强聚丙烯（PP）低温一次注射成形，产品具有耐冲击、抗老化、抗氧化等特点</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45</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木柜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46</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桌子（不带柜子）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47</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所有钢管、钢板均采用低炭A3冷扎钢板拉焊或冲压、冲剪成形，经精密度模具冲剪</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采用二氧化碳保护焊接工艺进行焊接，经细心打磨、较正、酸洗、碱洗、最新锌系磷化技术磷化、皱灰色环氧树酯粉体静电喷涂、高温烘焗成形。具有整体焊接牢固美观、焊接点均匀、耐磨抗刮花等特点</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塑胶板采用增强聚丙烯（PP）低温一次注射成形，产品具有耐冲击、抗老化、抗氧化等特点</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48</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木柜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49</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桌子（不带柜子）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50</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Calibri" w:hAnsi="Calibri" w:eastAsia="宋体" w:cs="Times New Roman"/>
                <w:szCs w:val="22"/>
                <w:lang w:eastAsia="zh-CN"/>
              </w:rPr>
            </w:pPr>
            <w:r>
              <w:rPr>
                <w:rFonts w:hint="eastAsia" w:ascii="Calibri" w:hAnsi="Calibri" w:eastAsia="宋体" w:cs="Times New Roman"/>
                <w:szCs w:val="22"/>
                <w:lang w:val="en-US" w:eastAsia="zh-CN"/>
              </w:rPr>
              <w:t>1.</w:t>
            </w:r>
            <w:r>
              <w:rPr>
                <w:rFonts w:hint="eastAsia" w:ascii="Calibri" w:hAnsi="Calibri" w:eastAsia="宋体" w:cs="Times New Roman"/>
                <w:szCs w:val="22"/>
              </w:rPr>
              <w:t>所有钢管、钢板均采用低炭A3冷扎钢板拉焊或冲压、冲剪成形，经精密度模具冲剪</w:t>
            </w:r>
            <w:r>
              <w:rPr>
                <w:rFonts w:hint="eastAsia" w:ascii="Calibri" w:hAnsi="Calibri" w:eastAsia="宋体" w:cs="Times New Roman"/>
                <w:szCs w:val="22"/>
                <w:lang w:eastAsia="zh-CN"/>
              </w:rPr>
              <w:t>；</w:t>
            </w:r>
          </w:p>
          <w:p>
            <w:pPr>
              <w:jc w:val="left"/>
              <w:rPr>
                <w:rFonts w:hint="eastAsia" w:ascii="宋体" w:hAnsi="宋体" w:eastAsia="宋体" w:cs="Times New Roman"/>
                <w:sz w:val="24"/>
                <w:szCs w:val="24"/>
                <w:lang w:eastAsia="zh-CN"/>
              </w:rPr>
            </w:pPr>
            <w:r>
              <w:rPr>
                <w:rFonts w:hint="eastAsia" w:ascii="Calibri" w:hAnsi="Calibri" w:eastAsia="宋体" w:cs="Times New Roman"/>
                <w:szCs w:val="22"/>
                <w:lang w:val="en-US" w:eastAsia="zh-CN"/>
              </w:rPr>
              <w:t>2.</w:t>
            </w:r>
            <w:r>
              <w:rPr>
                <w:rFonts w:hint="eastAsia" w:ascii="Calibri" w:hAnsi="Calibri" w:eastAsia="宋体" w:cs="Times New Roman"/>
                <w:szCs w:val="22"/>
              </w:rPr>
              <w:t>采用二氧化碳保护焊接工艺进行焊接，经细心打磨、较正、酸洗、碱洗、最新锌系磷化技术磷化、皱灰色环氧树酯粉体静电喷涂、高温烘焗成形。具有整体焊接牢固美观、焊接点均匀、耐磨抗刮花等特点</w:t>
            </w:r>
            <w:r>
              <w:rPr>
                <w:rFonts w:hint="eastAsia" w:ascii="Calibri" w:hAnsi="Calibri" w:eastAsia="宋体" w:cs="Times New Roman"/>
                <w:szCs w:val="22"/>
                <w:lang w:eastAsia="zh-CN"/>
              </w:rPr>
              <w:t>；</w:t>
            </w:r>
            <w:r>
              <w:rPr>
                <w:rFonts w:hint="eastAsia" w:ascii="Calibri" w:hAnsi="Calibri" w:eastAsia="宋体" w:cs="Times New Roman"/>
                <w:szCs w:val="22"/>
              </w:rPr>
              <w:br w:type="textWrapping"/>
            </w:r>
            <w:r>
              <w:rPr>
                <w:rFonts w:hint="eastAsia" w:ascii="Calibri" w:hAnsi="Calibri" w:eastAsia="宋体" w:cs="Times New Roman"/>
                <w:szCs w:val="22"/>
                <w:lang w:val="en-US" w:eastAsia="zh-CN"/>
              </w:rPr>
              <w:t>3</w:t>
            </w:r>
            <w:r>
              <w:rPr>
                <w:rFonts w:hint="eastAsia" w:ascii="Calibri" w:hAnsi="Calibri" w:eastAsia="宋体" w:cs="Times New Roman"/>
                <w:szCs w:val="22"/>
              </w:rPr>
              <w:t>．塑胶板采用增强聚丙烯（PP）低温一次注射成形，产品具有耐冲击、抗老化、抗氧化等特点</w:t>
            </w:r>
            <w:r>
              <w:rPr>
                <w:rFonts w:hint="eastAsia" w:ascii="Calibri" w:hAnsi="Calibri" w:eastAsia="宋体" w:cs="Times New Roman"/>
                <w:szCs w:val="22"/>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51</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工具桌</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Times New Roman"/>
                <w:sz w:val="24"/>
                <w:szCs w:val="24"/>
              </w:rPr>
            </w:pPr>
            <w:r>
              <w:rPr>
                <w:rFonts w:hint="eastAsia" w:ascii="Calibri" w:hAnsi="Calibri" w:eastAsia="宋体" w:cs="Times New Roman"/>
                <w:szCs w:val="22"/>
              </w:rPr>
              <w:t>1</w:t>
            </w:r>
            <w:r>
              <w:rPr>
                <w:rFonts w:hint="eastAsia" w:ascii="Calibri" w:hAnsi="Calibri" w:eastAsia="宋体" w:cs="Times New Roman"/>
                <w:szCs w:val="22"/>
                <w:lang w:val="en-US" w:eastAsia="zh-CN"/>
              </w:rPr>
              <w:t>.</w:t>
            </w:r>
            <w:r>
              <w:rPr>
                <w:rFonts w:hint="eastAsia" w:ascii="Calibri" w:hAnsi="Calibri" w:eastAsia="宋体" w:cs="Times New Roman"/>
                <w:szCs w:val="22"/>
              </w:rPr>
              <w:t>基材：采用</w:t>
            </w:r>
            <w:r>
              <w:rPr>
                <w:rFonts w:hint="eastAsia" w:ascii="Calibri" w:hAnsi="Calibri" w:eastAsia="宋体" w:cs="Times New Roman"/>
                <w:szCs w:val="22"/>
                <w:lang w:eastAsia="zh-CN"/>
              </w:rPr>
              <w:t>国产</w:t>
            </w:r>
            <w:r>
              <w:rPr>
                <w:rFonts w:hint="eastAsia" w:ascii="Calibri" w:hAnsi="Calibri" w:eastAsia="宋体" w:cs="Times New Roman"/>
                <w:szCs w:val="22"/>
              </w:rPr>
              <w:t>E0级实木颗粒板，并达</w:t>
            </w:r>
            <w:r>
              <w:rPr>
                <w:rFonts w:hint="eastAsia" w:ascii="Calibri" w:hAnsi="Calibri" w:eastAsia="宋体" w:cs="Times New Roman"/>
                <w:szCs w:val="22"/>
                <w:lang w:eastAsia="zh-CN"/>
              </w:rPr>
              <w:t>GB/T35601-2024</w:t>
            </w:r>
            <w:r>
              <w:rPr>
                <w:rFonts w:hint="eastAsia" w:ascii="Calibri" w:hAnsi="Calibri" w:eastAsia="宋体" w:cs="Times New Roman"/>
                <w:szCs w:val="22"/>
              </w:rPr>
              <w:t>标准</w:t>
            </w:r>
            <w:r>
              <w:rPr>
                <w:rFonts w:hint="eastAsia" w:ascii="Calibri" w:hAnsi="Calibri" w:eastAsia="宋体" w:cs="Times New Roman"/>
                <w:szCs w:val="22"/>
                <w:lang w:eastAsia="zh-CN"/>
              </w:rPr>
              <w:t>；</w:t>
            </w:r>
            <w:r>
              <w:rPr>
                <w:rFonts w:hint="eastAsia" w:ascii="Calibri" w:hAnsi="Calibri" w:eastAsia="宋体" w:cs="Times New Roman"/>
                <w:szCs w:val="22"/>
              </w:rPr>
              <w:br w:type="textWrapping"/>
            </w:r>
            <w:r>
              <w:rPr>
                <w:rFonts w:hint="eastAsia" w:ascii="Calibri" w:hAnsi="Calibri" w:eastAsia="宋体" w:cs="Times New Roman"/>
                <w:szCs w:val="22"/>
                <w:lang w:val="en-US" w:eastAsia="zh-CN"/>
              </w:rPr>
              <w:t>2.</w:t>
            </w:r>
            <w:r>
              <w:rPr>
                <w:rFonts w:hint="eastAsia" w:ascii="Calibri" w:hAnsi="Calibri" w:eastAsia="宋体" w:cs="Times New Roman"/>
                <w:szCs w:val="22"/>
              </w:rPr>
              <w:t>贴面：E1级环保耐磨三聚氢胺浸渍饰面，表面耐磨圈数为300转以上；表面退色率(耐光性)色度褪变极微</w:t>
            </w:r>
            <w:r>
              <w:rPr>
                <w:rFonts w:hint="eastAsia" w:ascii="Calibri" w:hAnsi="Calibri" w:eastAsia="宋体" w:cs="Times New Roman"/>
                <w:szCs w:val="22"/>
                <w:lang w:eastAsia="zh-CN"/>
              </w:rPr>
              <w:t>；</w:t>
            </w:r>
            <w:r>
              <w:rPr>
                <w:rFonts w:hint="eastAsia" w:ascii="Calibri" w:hAnsi="Calibri" w:eastAsia="宋体" w:cs="Times New Roman"/>
                <w:szCs w:val="22"/>
              </w:rPr>
              <w:br w:type="textWrapping"/>
            </w:r>
            <w:r>
              <w:rPr>
                <w:rFonts w:hint="eastAsia" w:ascii="Calibri" w:hAnsi="Calibri" w:eastAsia="宋体" w:cs="Times New Roman"/>
                <w:szCs w:val="22"/>
                <w:lang w:val="en-US" w:eastAsia="zh-CN"/>
              </w:rPr>
              <w:t>3.</w:t>
            </w:r>
            <w:r>
              <w:rPr>
                <w:rFonts w:hint="eastAsia" w:ascii="Calibri" w:hAnsi="Calibri" w:eastAsia="宋体" w:cs="Times New Roman"/>
                <w:szCs w:val="22"/>
              </w:rPr>
              <w:t>封边：近色</w:t>
            </w:r>
            <w:r>
              <w:rPr>
                <w:rFonts w:hint="eastAsia" w:ascii="Calibri" w:hAnsi="Calibri" w:eastAsia="宋体" w:cs="Times New Roman"/>
                <w:szCs w:val="22"/>
                <w:lang w:eastAsia="zh-CN"/>
              </w:rPr>
              <w:t>国产</w:t>
            </w:r>
            <w:r>
              <w:rPr>
                <w:rFonts w:hint="eastAsia" w:ascii="Calibri" w:hAnsi="Calibri" w:eastAsia="宋体" w:cs="Times New Roman"/>
                <w:szCs w:val="22"/>
              </w:rPr>
              <w:t>PVC封边，封边条厚度不低于2mm，封边拼接紧密，外表结合处缝隙小于0.1mm，转角过度顺畅，不变形开裂</w:t>
            </w:r>
            <w:r>
              <w:rPr>
                <w:rFonts w:hint="eastAsia" w:ascii="Calibri" w:hAnsi="Calibri" w:eastAsia="宋体" w:cs="Times New Roman"/>
                <w:szCs w:val="22"/>
                <w:lang w:eastAsia="zh-CN"/>
              </w:rPr>
              <w:t>；</w:t>
            </w:r>
            <w:r>
              <w:rPr>
                <w:rFonts w:hint="eastAsia" w:ascii="Calibri" w:hAnsi="Calibri" w:eastAsia="宋体" w:cs="Times New Roman"/>
                <w:szCs w:val="22"/>
              </w:rPr>
              <w:t xml:space="preserve">                                                 </w:t>
            </w:r>
            <w:r>
              <w:rPr>
                <w:rFonts w:hint="eastAsia" w:ascii="Calibri" w:hAnsi="Calibri" w:eastAsia="宋体" w:cs="Times New Roman"/>
                <w:szCs w:val="22"/>
              </w:rPr>
              <w:br w:type="textWrapping"/>
            </w:r>
            <w:r>
              <w:rPr>
                <w:rFonts w:hint="eastAsia" w:ascii="Calibri" w:hAnsi="Calibri" w:eastAsia="宋体" w:cs="Times New Roman"/>
                <w:szCs w:val="22"/>
                <w:lang w:val="en-US" w:eastAsia="zh-CN"/>
              </w:rPr>
              <w:t>4.</w:t>
            </w:r>
            <w:r>
              <w:rPr>
                <w:rFonts w:hint="eastAsia" w:ascii="Calibri" w:hAnsi="Calibri" w:eastAsia="宋体" w:cs="Times New Roman"/>
                <w:szCs w:val="22"/>
              </w:rPr>
              <w:t>冷轧钢架体，结实耐用。</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bCs/>
                <w:szCs w:val="21"/>
              </w:rPr>
            </w:pPr>
            <w:r>
              <w:rPr>
                <w:rFonts w:hint="eastAsia" w:ascii="宋体" w:hAnsi="宋体" w:eastAsia="宋体" w:cs="宋体"/>
                <w:b/>
                <w:bCs/>
                <w:color w:val="000000"/>
                <w:kern w:val="0"/>
                <w:szCs w:val="21"/>
                <w:lang w:bidi="ar"/>
              </w:rPr>
              <w:t>六</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eastAsia="宋体" w:cs="Times New Roman"/>
                <w:b/>
                <w:bCs/>
                <w:sz w:val="24"/>
                <w:szCs w:val="24"/>
                <w:lang w:eastAsia="zh-CN"/>
              </w:rPr>
            </w:pPr>
            <w:bookmarkStart w:id="562" w:name="OLE_LINK6"/>
            <w:r>
              <w:rPr>
                <w:rFonts w:hint="eastAsia" w:ascii="宋体" w:hAnsi="宋体" w:eastAsia="宋体" w:cs="宋体"/>
                <w:b/>
                <w:bCs/>
                <w:color w:val="000000"/>
                <w:kern w:val="0"/>
                <w:szCs w:val="21"/>
                <w:lang w:bidi="ar"/>
              </w:rPr>
              <w:t>融媒体中心形象识别系统</w:t>
            </w:r>
            <w:bookmarkEnd w:id="562"/>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走廊区域仿真绿植</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仿真龟背叶，</w:t>
            </w:r>
            <w:r>
              <w:rPr>
                <w:rFonts w:hint="eastAsia" w:ascii="宋体" w:hAnsi="宋体" w:eastAsia="宋体" w:cs="宋体"/>
                <w:color w:val="000000"/>
                <w:kern w:val="0"/>
                <w:szCs w:val="21"/>
                <w:lang w:val="en-US" w:eastAsia="zh-CN" w:bidi="ar"/>
              </w:rPr>
              <w:t>尺寸</w:t>
            </w:r>
            <w:r>
              <w:rPr>
                <w:rFonts w:hint="eastAsia" w:ascii="宋体" w:hAnsi="宋体" w:eastAsia="宋体" w:cs="宋体"/>
                <w:color w:val="000000"/>
                <w:kern w:val="0"/>
                <w:szCs w:val="21"/>
                <w:lang w:bidi="ar"/>
              </w:rPr>
              <w:t>130</w:t>
            </w:r>
            <w:r>
              <w:rPr>
                <w:rFonts w:hint="eastAsia" w:ascii="宋体" w:hAnsi="宋体" w:eastAsia="宋体" w:cs="宋体"/>
                <w:color w:val="000000"/>
                <w:kern w:val="0"/>
                <w:szCs w:val="21"/>
                <w:lang w:val="en-US" w:eastAsia="zh-CN" w:bidi="ar"/>
              </w:rPr>
              <w:t>0m</w:t>
            </w:r>
            <w:r>
              <w:rPr>
                <w:rFonts w:hint="eastAsia" w:ascii="宋体" w:hAnsi="宋体" w:eastAsia="宋体" w:cs="宋体"/>
                <w:color w:val="000000"/>
                <w:kern w:val="0"/>
                <w:szCs w:val="21"/>
                <w:lang w:bidi="ar"/>
              </w:rPr>
              <w:t>m*75</w:t>
            </w:r>
            <w:r>
              <w:rPr>
                <w:rFonts w:hint="eastAsia" w:ascii="宋体" w:hAnsi="宋体" w:eastAsia="宋体" w:cs="宋体"/>
                <w:color w:val="000000"/>
                <w:kern w:val="0"/>
                <w:szCs w:val="21"/>
                <w:lang w:val="en-US" w:eastAsia="zh-CN" w:bidi="ar"/>
              </w:rPr>
              <w:t>0m</w:t>
            </w:r>
            <w:r>
              <w:rPr>
                <w:rFonts w:hint="eastAsia" w:ascii="宋体" w:hAnsi="宋体" w:eastAsia="宋体" w:cs="宋体"/>
                <w:color w:val="000000"/>
                <w:kern w:val="0"/>
                <w:szCs w:val="21"/>
                <w:lang w:bidi="ar"/>
              </w:rPr>
              <w:t>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val="en-US" w:eastAsia="zh-CN" w:bidi="ar"/>
              </w:rPr>
              <w:t>±10mm</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电镀背发光精工字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1.厚度不小于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 ，</w:t>
            </w:r>
            <w:r>
              <w:rPr>
                <w:rFonts w:hint="eastAsia" w:ascii="宋体" w:hAnsi="宋体" w:eastAsia="宋体" w:cs="宋体"/>
                <w:color w:val="000000"/>
                <w:kern w:val="0"/>
                <w:szCs w:val="21"/>
                <w:lang w:bidi="ar"/>
              </w:rPr>
              <w:t>304不锈钢激光切割焊接、精工打磨抛光、表面拉丝、电镀着色、无指纹处理；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2.</w:t>
            </w:r>
            <w:r>
              <w:rPr>
                <w:rFonts w:hint="eastAsia" w:ascii="宋体" w:hAnsi="宋体" w:eastAsia="宋体" w:cs="宋体"/>
                <w:color w:val="000000"/>
                <w:kern w:val="0"/>
                <w:szCs w:val="21"/>
                <w:lang w:bidi="ar"/>
              </w:rPr>
              <w:t>内嵌底板采用结皮PVC板，背板采用水晶板喷砂处理，透光率≥92%</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3.</w:t>
            </w:r>
            <w:r>
              <w:rPr>
                <w:rFonts w:hint="eastAsia" w:ascii="宋体" w:hAnsi="宋体" w:eastAsia="宋体" w:cs="宋体"/>
                <w:color w:val="000000"/>
                <w:kern w:val="0"/>
                <w:szCs w:val="21"/>
                <w:lang w:bidi="ar"/>
              </w:rPr>
              <w:t>光源采用高亮防水LED软灯带/模组，色温</w:t>
            </w:r>
            <w:r>
              <w:rPr>
                <w:rFonts w:hint="eastAsia" w:ascii="宋体" w:hAnsi="宋体" w:eastAsia="宋体" w:cs="宋体"/>
                <w:color w:val="000000"/>
                <w:kern w:val="0"/>
                <w:szCs w:val="21"/>
                <w:lang w:val="en-US" w:eastAsia="zh-CN" w:bidi="ar"/>
              </w:rPr>
              <w:t>不低于</w:t>
            </w:r>
            <w:r>
              <w:rPr>
                <w:rFonts w:hint="eastAsia" w:ascii="宋体" w:hAnsi="宋体" w:eastAsia="宋体" w:cs="宋体"/>
                <w:color w:val="000000"/>
                <w:kern w:val="0"/>
                <w:szCs w:val="21"/>
                <w:lang w:bidi="ar"/>
              </w:rPr>
              <w:t>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精工弧形线条</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Times New Roman" w:hAnsi="Times New Roman" w:eastAsia="宋体" w:cs="Times New Roman"/>
                <w:szCs w:val="24"/>
                <w:lang w:val="en-US" w:eastAsia="zh-CN"/>
              </w:rPr>
              <w:t>mm，</w:t>
            </w:r>
            <w:r>
              <w:rPr>
                <w:rFonts w:hint="eastAsia" w:ascii="宋体" w:hAnsi="宋体" w:eastAsia="宋体" w:cs="宋体"/>
                <w:color w:val="000000"/>
                <w:kern w:val="0"/>
                <w:szCs w:val="21"/>
                <w:lang w:bidi="ar"/>
              </w:rPr>
              <w:t>304不锈钢激光切割焊接、精工打磨抛光、表面拉丝、电镀着色、无指纹处理；底板结皮PVC板雕刻</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校馆剪影发光造型</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 ，</w:t>
            </w:r>
            <w:r>
              <w:rPr>
                <w:rFonts w:hint="eastAsia" w:ascii="宋体" w:hAnsi="宋体" w:eastAsia="宋体" w:cs="宋体"/>
                <w:color w:val="000000"/>
                <w:kern w:val="0"/>
                <w:szCs w:val="21"/>
                <w:lang w:bidi="ar"/>
              </w:rPr>
              <w:t>304不锈钢激光切割焊接、精工打磨，丝网印处理；底板结皮PVC板，打磨喷漆，光源采用高亮防水LED软灯带/模组，色温6000K。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电镀背发光精工字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 ，</w:t>
            </w:r>
            <w:r>
              <w:rPr>
                <w:rFonts w:hint="eastAsia" w:ascii="宋体" w:hAnsi="宋体" w:eastAsia="宋体" w:cs="宋体"/>
                <w:color w:val="000000"/>
                <w:kern w:val="0"/>
                <w:szCs w:val="21"/>
                <w:lang w:bidi="ar"/>
              </w:rPr>
              <w:t>304不锈钢激光切割焊接、精工打磨抛光、表面拉丝、电镀着色、无指纹处理；内嵌底板采用结皮PVC板，背板采用水晶板喷砂处理，透光率≥92%，光源采用高亮防水LED软灯带/模组，色温6000K。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精工字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 ，</w:t>
            </w:r>
            <w:r>
              <w:rPr>
                <w:rFonts w:hint="eastAsia" w:ascii="宋体" w:hAnsi="宋体" w:eastAsia="宋体" w:cs="宋体"/>
                <w:color w:val="000000"/>
                <w:kern w:val="0"/>
                <w:szCs w:val="21"/>
                <w:lang w:bidi="ar"/>
              </w:rPr>
              <w:t>304不锈钢激光切割焊接、精工打磨抛光、表面拉丝、电镀着色、无指纹处理；底板结皮PVC板</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超级发光字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bidi="ar"/>
              </w:rPr>
              <w:t>字壳材质采用专用铝边带（开槽铝型材，一体化折弯，侧边烤漆工艺；面材液态亚克力浇筑固化，无缝粘接，防水密封，透光率≥92%，光源采用高亮防水LED软灯带/模组，色温</w:t>
            </w:r>
            <w:r>
              <w:rPr>
                <w:rFonts w:hint="eastAsia" w:ascii="宋体" w:hAnsi="宋体" w:eastAsia="宋体" w:cs="宋体"/>
                <w:color w:val="000000"/>
                <w:kern w:val="0"/>
                <w:szCs w:val="21"/>
                <w:lang w:val="en-US" w:eastAsia="zh-CN" w:bidi="ar"/>
              </w:rPr>
              <w:t>不低于</w:t>
            </w:r>
            <w:r>
              <w:rPr>
                <w:rFonts w:hint="eastAsia" w:ascii="宋体" w:hAnsi="宋体" w:eastAsia="宋体" w:cs="宋体"/>
                <w:color w:val="000000"/>
                <w:kern w:val="0"/>
                <w:szCs w:val="21"/>
                <w:lang w:bidi="ar"/>
              </w:rPr>
              <w:t>6000K。</w:t>
            </w:r>
          </w:p>
        </w:tc>
      </w:tr>
      <w:tr>
        <w:tblPrEx>
          <w:tblCellMar>
            <w:top w:w="0" w:type="dxa"/>
            <w:left w:w="108" w:type="dxa"/>
            <w:bottom w:w="0" w:type="dxa"/>
            <w:right w:w="108" w:type="dxa"/>
          </w:tblCellMar>
        </w:tblPrEx>
        <w:trPr>
          <w:trHeight w:val="624"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亚克力烤漆字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厚度不小于10mm</w:t>
            </w:r>
            <w:r>
              <w:rPr>
                <w:rFonts w:hint="eastAsia" w:ascii="宋体" w:hAnsi="宋体" w:eastAsia="宋体" w:cs="宋体"/>
                <w:color w:val="000000"/>
                <w:kern w:val="0"/>
                <w:szCs w:val="21"/>
                <w:lang w:bidi="ar"/>
              </w:rPr>
              <w:t>亚克力切割、侧边精细打磨，表面烤漆处理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城市剪影发光造型</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w:t>
            </w:r>
            <w:r>
              <w:rPr>
                <w:rFonts w:hint="eastAsia" w:ascii="宋体" w:hAnsi="宋体" w:eastAsia="宋体" w:cs="宋体"/>
                <w:color w:val="000000"/>
                <w:kern w:val="0"/>
                <w:szCs w:val="21"/>
                <w:lang w:bidi="ar"/>
              </w:rPr>
              <w:t>304不锈钢激光切割焊接、精工打磨，丝网印处理；底板结皮PVC板，打磨喷漆，光源采用高亮防水LED软灯带/模组，色温</w:t>
            </w:r>
            <w:r>
              <w:rPr>
                <w:rFonts w:hint="eastAsia" w:ascii="宋体" w:hAnsi="宋体" w:eastAsia="宋体" w:cs="宋体"/>
                <w:color w:val="000000"/>
                <w:kern w:val="0"/>
                <w:szCs w:val="21"/>
                <w:lang w:val="en-US" w:eastAsia="zh-CN" w:bidi="ar"/>
              </w:rPr>
              <w:t>不低于</w:t>
            </w:r>
            <w:r>
              <w:rPr>
                <w:rFonts w:hint="eastAsia" w:ascii="宋体" w:hAnsi="宋体" w:eastAsia="宋体" w:cs="宋体"/>
                <w:color w:val="000000"/>
                <w:kern w:val="0"/>
                <w:szCs w:val="21"/>
                <w:lang w:bidi="ar"/>
              </w:rPr>
              <w:t>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宣绒布画面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加厚高密阻燃宣绒布，100%聚酯纤维高密织造，哑光磨砂面质感，克重≥350g/㎡；采用高清UV喷绘工艺，墨水采用环保墨水；基底处理涂刷基膜、环保糯米胶</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PVC喷印画面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立体展板画面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PVC结皮板切割、侧边精细打磨、喷漆；饰面3mm亚克力表面UV喷印处理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亚克力烤漆线条</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PVC结皮板切割、侧边精细打磨、喷漆；饰面3mm亚克力表面UV喷印处理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习语长廊文化墙</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精工发光字、墙面浮雕打印、雕刻烤漆字、磁吸展板造型可更换画面、雕刻线条等装饰</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花箱仿真绿植景观</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3600*500*600mm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val="en-US" w:eastAsia="zh-CN" w:bidi="ar"/>
              </w:rPr>
              <w:t>±10mm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bidi="ar"/>
              </w:rPr>
              <w:t>高花箱，</w:t>
            </w:r>
            <w:r>
              <w:rPr>
                <w:rFonts w:hint="eastAsia" w:ascii="宋体" w:hAnsi="宋体" w:eastAsia="宋体" w:cs="宋体"/>
                <w:color w:val="000000"/>
                <w:kern w:val="0"/>
                <w:szCs w:val="21"/>
                <w:lang w:val="en-US" w:eastAsia="zh-CN" w:bidi="ar"/>
              </w:rPr>
              <w:t>厚度不小于15mm</w:t>
            </w:r>
            <w:r>
              <w:rPr>
                <w:rFonts w:hint="eastAsia" w:ascii="宋体" w:hAnsi="宋体" w:eastAsia="宋体" w:cs="宋体"/>
                <w:color w:val="000000"/>
                <w:kern w:val="0"/>
                <w:szCs w:val="21"/>
                <w:lang w:bidi="ar"/>
              </w:rPr>
              <w:t>加厚防腐木喷漆，底角增设砥柱，增加承重力，采用镀釉螺栓加固，防锈耐用；5盆</w:t>
            </w:r>
            <w:r>
              <w:rPr>
                <w:rFonts w:hint="eastAsia" w:ascii="宋体" w:hAnsi="宋体" w:eastAsia="宋体" w:cs="宋体"/>
                <w:color w:val="000000"/>
                <w:kern w:val="0"/>
                <w:szCs w:val="21"/>
                <w:lang w:val="en-US" w:eastAsia="zh-CN" w:bidi="ar"/>
              </w:rPr>
              <w:t>高度不低于</w:t>
            </w: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200mm</w:t>
            </w:r>
            <w:r>
              <w:rPr>
                <w:rFonts w:hint="eastAsia" w:ascii="宋体" w:hAnsi="宋体" w:eastAsia="宋体" w:cs="宋体"/>
                <w:color w:val="000000"/>
                <w:kern w:val="0"/>
                <w:szCs w:val="21"/>
                <w:lang w:bidi="ar"/>
              </w:rPr>
              <w:t>高天堂鸟仿真花带轻奢花盆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定制悬挂式绿植</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吊篮花：金属吊杆及支架、花盆直径≤20</w:t>
            </w:r>
            <w:r>
              <w:rPr>
                <w:rFonts w:hint="eastAsia" w:ascii="宋体" w:hAnsi="宋体" w:eastAsia="宋体" w:cs="宋体"/>
                <w:color w:val="000000"/>
                <w:kern w:val="0"/>
                <w:szCs w:val="21"/>
                <w:lang w:val="en-US" w:eastAsia="zh-CN" w:bidi="ar"/>
              </w:rPr>
              <w:t>0m</w:t>
            </w:r>
            <w:r>
              <w:rPr>
                <w:rFonts w:hint="eastAsia" w:ascii="宋体" w:hAnsi="宋体" w:eastAsia="宋体" w:cs="宋体"/>
                <w:color w:val="000000"/>
                <w:kern w:val="0"/>
                <w:szCs w:val="21"/>
                <w:lang w:bidi="ar"/>
              </w:rPr>
              <w:t>m、盆内吊兰仿真绿植</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书柜台面定制绿植景观</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仿真绿植，盒子直径≤50</w:t>
            </w:r>
            <w:r>
              <w:rPr>
                <w:rFonts w:hint="eastAsia" w:ascii="宋体" w:hAnsi="宋体" w:eastAsia="宋体" w:cs="宋体"/>
                <w:color w:val="000000"/>
                <w:kern w:val="0"/>
                <w:szCs w:val="21"/>
                <w:lang w:val="en-US" w:eastAsia="zh-CN" w:bidi="ar"/>
              </w:rPr>
              <w:t>0m</w:t>
            </w:r>
            <w:r>
              <w:rPr>
                <w:rFonts w:hint="eastAsia" w:ascii="宋体" w:hAnsi="宋体" w:eastAsia="宋体" w:cs="宋体"/>
                <w:color w:val="000000"/>
                <w:kern w:val="0"/>
                <w:szCs w:val="21"/>
                <w:lang w:bidi="ar"/>
              </w:rPr>
              <w:t>m</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电镀背发光精工字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 ，</w:t>
            </w:r>
            <w:r>
              <w:rPr>
                <w:rFonts w:hint="eastAsia" w:ascii="宋体" w:hAnsi="宋体" w:eastAsia="宋体" w:cs="宋体"/>
                <w:color w:val="000000"/>
                <w:kern w:val="0"/>
                <w:szCs w:val="21"/>
                <w:lang w:bidi="ar"/>
              </w:rPr>
              <w:t>304不锈钢激光切割焊接、精工打磨抛光、表面拉丝、电镀着色、无指纹处理；内嵌底板采用结皮PVC板，背板采用水晶板喷砂处理，透光率≥92%，光源采用高亮防水LED软灯带/模组，色温</w:t>
            </w:r>
            <w:r>
              <w:rPr>
                <w:rFonts w:hint="eastAsia" w:ascii="宋体" w:hAnsi="宋体" w:eastAsia="宋体" w:cs="宋体"/>
                <w:color w:val="000000"/>
                <w:kern w:val="0"/>
                <w:szCs w:val="21"/>
                <w:lang w:val="en-US" w:eastAsia="zh-CN" w:bidi="ar"/>
              </w:rPr>
              <w:t>不低于</w:t>
            </w:r>
            <w:r>
              <w:rPr>
                <w:rFonts w:hint="eastAsia" w:ascii="宋体" w:hAnsi="宋体" w:eastAsia="宋体" w:cs="宋体"/>
                <w:color w:val="000000"/>
                <w:kern w:val="0"/>
                <w:szCs w:val="21"/>
                <w:lang w:bidi="ar"/>
              </w:rPr>
              <w:t>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定制展示架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2200*2700mm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val="en-US" w:eastAsia="zh-CN" w:bidi="ar"/>
              </w:rPr>
              <w:t>±10mm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bidi="ar"/>
              </w:rPr>
              <w:t>高，高透亚克力，光学级防眩光处理，定制化304不锈钢悬挂系统，模块化CNC精密加工</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宣绒布画面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加厚高密阻燃宣绒布，100%聚酯纤维高密织造，哑光磨砂面质感，克重≥350g/㎡；采用高清UV喷绘工艺，墨水采用环保墨水；基底处理涂刷基膜、环保糯米胶</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电镀背发光精工字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 ，</w:t>
            </w:r>
            <w:r>
              <w:rPr>
                <w:rFonts w:hint="eastAsia" w:ascii="宋体" w:hAnsi="宋体" w:eastAsia="宋体" w:cs="宋体"/>
                <w:color w:val="000000"/>
                <w:kern w:val="0"/>
                <w:szCs w:val="21"/>
                <w:lang w:bidi="ar"/>
              </w:rPr>
              <w:t>304不锈钢激光切割焊接、精工打磨抛光、表面拉丝、电镀着色、无指纹处理；内嵌底板采用结皮PVC板，背板采用水晶板喷砂处理，透光率≥92%，光源采用高亮防水LED软灯带/模组，色温</w:t>
            </w:r>
            <w:r>
              <w:rPr>
                <w:rFonts w:hint="eastAsia" w:ascii="宋体" w:hAnsi="宋体" w:eastAsia="宋体" w:cs="宋体"/>
                <w:color w:val="000000"/>
                <w:kern w:val="0"/>
                <w:szCs w:val="21"/>
                <w:lang w:val="en-US" w:eastAsia="zh-CN" w:bidi="ar"/>
              </w:rPr>
              <w:t>不低于</w:t>
            </w:r>
            <w:r>
              <w:rPr>
                <w:rFonts w:hint="eastAsia" w:ascii="宋体" w:hAnsi="宋体" w:eastAsia="宋体" w:cs="宋体"/>
                <w:color w:val="000000"/>
                <w:kern w:val="0"/>
                <w:szCs w:val="21"/>
                <w:lang w:bidi="ar"/>
              </w:rPr>
              <w:t>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亚克力烤漆字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w:t>
            </w: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亚克力切割、侧边精细打磨，表面烤漆处理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立体展板画面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PVC结皮板切割、侧边精细打磨、喷漆；饰面3mm亚克力表面UV喷印处理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PVC喷印画面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定制环形飘带灯</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选用航空级铝合金型材，通过数控滚圆设备冷弯成型为整圈环形主龙骨。金属骨架成型后，依次进行喷砂除锈、环氧富锌底漆、丙烯酸聚氨酯面漆三道涂层工艺，涂刷绝缘防腐涂料；采用硅胶一体化封装柔性灯带，设置高密度LED灯珠，满足演播室专业灯光色彩还原要求</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定制流水灯</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现场放样，</w:t>
            </w:r>
            <w:r>
              <w:rPr>
                <w:rFonts w:hint="eastAsia" w:ascii="宋体" w:hAnsi="宋体" w:eastAsia="宋体" w:cs="宋体"/>
                <w:color w:val="000000"/>
                <w:kern w:val="0"/>
                <w:szCs w:val="21"/>
                <w:lang w:val="en-US" w:eastAsia="zh-CN" w:bidi="ar"/>
              </w:rPr>
              <w:t>采用厚度</w:t>
            </w:r>
            <w:r>
              <w:rPr>
                <w:rFonts w:hint="eastAsia" w:ascii="宋体" w:hAnsi="宋体" w:eastAsia="宋体" w:cs="宋体"/>
                <w:color w:val="000000"/>
                <w:kern w:val="0"/>
                <w:szCs w:val="21"/>
                <w:lang w:bidi="ar"/>
              </w:rPr>
              <w:t>≥1.2mm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bidi="ar"/>
              </w:rPr>
              <w:t>304不锈钢，现场纯人工手工冷弯、反复锤制塑形、校正调弧、修边整平，多道手工工序精细化调整，保证整体曲面弧度顺滑连贯、过渡自然，无硬折、无扭曲、无变形；不锈钢打磨去毛刺，表层耐候哑光喷涂处理，抗氧化、防霉变、抗形变；内置高密度定制柔性 LED 流水光源模组；配套专用智能流水驱动控制系统，支持追逐、流水、渐变、呼吸等动态效果内置高透光防眩光光学级 PC 漫反射透镜，防频闪、防蓝光、柔光匀光处理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宣绒布画面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加厚高密阻燃宣绒布，100%聚酯纤维高密织造，哑光磨砂面质感，克重≥350g/㎡；采用高清UV喷绘工艺，墨水采用环保墨水；基底处理涂刷基膜、环保糯米胶</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顶部飘带氛围装饰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波浪款弹力布，垂吊高度≤70</w:t>
            </w:r>
            <w:r>
              <w:rPr>
                <w:rFonts w:hint="eastAsia" w:ascii="宋体" w:hAnsi="宋体" w:eastAsia="宋体" w:cs="宋体"/>
                <w:color w:val="000000"/>
                <w:kern w:val="0"/>
                <w:szCs w:val="21"/>
                <w:lang w:val="en-US" w:eastAsia="zh-CN" w:bidi="ar"/>
              </w:rPr>
              <w:t>0m</w:t>
            </w:r>
            <w:r>
              <w:rPr>
                <w:rFonts w:hint="eastAsia" w:ascii="宋体" w:hAnsi="宋体" w:eastAsia="宋体" w:cs="宋体"/>
                <w:color w:val="000000"/>
                <w:kern w:val="0"/>
                <w:szCs w:val="21"/>
                <w:lang w:bidi="ar"/>
              </w:rPr>
              <w:t>m</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立体展板画面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PVC结皮板切割、侧边精细打磨、喷漆；饰面3mm亚克力表面UV喷印处理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卷轴装饰造型</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PVC结皮板，数控CNC精密雕刻、整体弧度流畅自然、圆弧边角经过多道精细打磨处理，所有边角钝化处理，无毛刺、无尖角、无刀痕、整体细腻平整，表面采用哑光烤漆工艺处理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PVC裱宣绒布画面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PVC结皮板切割、侧边精细打磨、喷漆；饰面宣绒布UV喷绘</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电镀背精工发光字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 xml:space="preserve">mm， </w:t>
            </w:r>
            <w:r>
              <w:rPr>
                <w:rFonts w:hint="eastAsia" w:ascii="宋体" w:hAnsi="宋体" w:eastAsia="宋体" w:cs="宋体"/>
                <w:color w:val="000000"/>
                <w:kern w:val="0"/>
                <w:szCs w:val="21"/>
                <w:lang w:bidi="ar"/>
              </w:rPr>
              <w:t>304不锈钢激光切割焊接、精工打磨抛光、表面拉丝、电镀着色、无指纹处理；内嵌底板采用结皮PVC板，背板采用水晶板喷砂处理，透光率≥92%，光源采用高亮防水LED软灯带/模组，色温</w:t>
            </w:r>
            <w:r>
              <w:rPr>
                <w:rFonts w:hint="eastAsia" w:ascii="宋体" w:hAnsi="宋体" w:eastAsia="宋体" w:cs="宋体"/>
                <w:color w:val="000000"/>
                <w:kern w:val="0"/>
                <w:szCs w:val="21"/>
                <w:lang w:val="en-US" w:eastAsia="zh-CN" w:bidi="ar"/>
              </w:rPr>
              <w:t>不低于</w:t>
            </w:r>
            <w:r>
              <w:rPr>
                <w:rFonts w:hint="eastAsia" w:ascii="宋体" w:hAnsi="宋体" w:eastAsia="宋体" w:cs="宋体"/>
                <w:color w:val="000000"/>
                <w:kern w:val="0"/>
                <w:szCs w:val="21"/>
                <w:lang w:bidi="ar"/>
              </w:rPr>
              <w:t>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PVC板喷印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 xml:space="preserve">厚度不小于 </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亚克力烤漆字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亚克力切割、侧边精细打磨，表面烤漆处理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亚克力喷印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5mm</w:t>
            </w:r>
            <w:r>
              <w:rPr>
                <w:rFonts w:hint="eastAsia" w:ascii="宋体" w:hAnsi="宋体" w:eastAsia="宋体" w:cs="宋体"/>
                <w:color w:val="000000"/>
                <w:kern w:val="0"/>
                <w:szCs w:val="21"/>
                <w:lang w:val="en-US" w:eastAsia="zh-CN" w:bidi="ar"/>
              </w:rPr>
              <w:t xml:space="preserve"> </w:t>
            </w:r>
            <w:r>
              <w:rPr>
                <w:rFonts w:hint="eastAsia" w:ascii="宋体" w:hAnsi="宋体" w:eastAsia="宋体" w:cs="宋体"/>
                <w:color w:val="000000"/>
                <w:kern w:val="0"/>
                <w:szCs w:val="21"/>
                <w:lang w:bidi="ar"/>
              </w:rPr>
              <w:t>亚克力切割、侧边精细打磨，表面UV喷印处理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屏风造型</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2200*2700mm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val="en-US" w:eastAsia="zh-CN" w:bidi="ar"/>
              </w:rPr>
              <w:t>±10mm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bidi="ar"/>
              </w:rPr>
              <w:t>高，定制金属格栅屏风造型</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墙面造型展板</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PVC板喷印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立体字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PVC结皮板切割、侧边精细打磨、喷漆；饰面3mm亚克力表面UV喷印处理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549"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立体展板画面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PVC结皮板切割、侧边精细打磨、喷漆；饰面3mm亚克力表面UV喷印处理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PVC烤漆线条</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墙壁装饰架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六边形</w:t>
            </w:r>
            <w:r>
              <w:rPr>
                <w:rFonts w:hint="eastAsia" w:ascii="宋体" w:hAnsi="宋体" w:eastAsia="宋体" w:cs="宋体"/>
                <w:color w:val="000000"/>
                <w:kern w:val="0"/>
                <w:szCs w:val="21"/>
                <w:lang w:val="en-US" w:eastAsia="zh-CN" w:bidi="ar"/>
              </w:rPr>
              <w:t>结构 厚度不小于</w:t>
            </w:r>
            <w:r>
              <w:rPr>
                <w:rFonts w:hint="eastAsia" w:ascii="宋体" w:hAnsi="宋体" w:eastAsia="宋体" w:cs="宋体"/>
                <w:color w:val="000000"/>
                <w:kern w:val="0"/>
                <w:szCs w:val="21"/>
                <w:lang w:bidi="ar"/>
              </w:rPr>
              <w:t>18mm</w:t>
            </w:r>
            <w:r>
              <w:rPr>
                <w:rFonts w:hint="eastAsia" w:ascii="Times New Roman" w:hAnsi="Times New Roman" w:eastAsia="宋体" w:cs="Times New Roman"/>
                <w:szCs w:val="24"/>
                <w:lang w:val="en-US" w:eastAsia="zh-CN"/>
              </w:rPr>
              <w:t xml:space="preserve"> </w:t>
            </w:r>
            <w:r>
              <w:rPr>
                <w:rFonts w:hint="eastAsia" w:ascii="宋体" w:hAnsi="宋体" w:eastAsia="宋体" w:cs="宋体"/>
                <w:color w:val="000000"/>
                <w:kern w:val="0"/>
                <w:szCs w:val="21"/>
                <w:lang w:bidi="ar"/>
              </w:rPr>
              <w:t>实木板装饰架、层板架</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PVC烤漆板</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墙壁装饰架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六边形</w:t>
            </w:r>
            <w:r>
              <w:rPr>
                <w:rFonts w:hint="eastAsia" w:ascii="宋体" w:hAnsi="宋体" w:eastAsia="宋体" w:cs="宋体"/>
                <w:color w:val="000000"/>
                <w:kern w:val="0"/>
                <w:szCs w:val="21"/>
                <w:lang w:val="en-US" w:eastAsia="zh-CN" w:bidi="ar"/>
              </w:rPr>
              <w:t>结构 厚度不小于</w:t>
            </w:r>
            <w:r>
              <w:rPr>
                <w:rFonts w:hint="eastAsia" w:ascii="宋体" w:hAnsi="宋体" w:eastAsia="宋体" w:cs="宋体"/>
                <w:color w:val="000000"/>
                <w:kern w:val="0"/>
                <w:szCs w:val="21"/>
                <w:lang w:bidi="ar"/>
              </w:rPr>
              <w:t>18mm实木板装饰架、层板架</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PVC烤漆板</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8941" w:type="dxa"/>
            <w:gridSpan w:val="3"/>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default"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注：融媒体中心形象数量自行设计，应结合融媒体中心整体设计充分考虑，文化设计、线路布局、材料使用等，使用材料不劣于需求中的要求。</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bCs/>
                <w:szCs w:val="21"/>
              </w:rPr>
            </w:pPr>
            <w:r>
              <w:rPr>
                <w:rFonts w:hint="eastAsia" w:ascii="宋体" w:hAnsi="宋体" w:eastAsia="宋体" w:cs="宋体"/>
                <w:b/>
                <w:bCs/>
                <w:color w:val="000000"/>
                <w:kern w:val="0"/>
                <w:szCs w:val="21"/>
                <w:lang w:bidi="ar"/>
              </w:rPr>
              <w:t>七</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bCs/>
                <w:sz w:val="24"/>
                <w:szCs w:val="24"/>
              </w:rPr>
            </w:pPr>
            <w:bookmarkStart w:id="563" w:name="OLE_LINK7"/>
            <w:r>
              <w:rPr>
                <w:rFonts w:hint="eastAsia" w:ascii="宋体" w:hAnsi="宋体" w:eastAsia="宋体" w:cs="宋体"/>
                <w:b/>
                <w:bCs/>
                <w:color w:val="000000"/>
                <w:kern w:val="0"/>
                <w:szCs w:val="21"/>
                <w:lang w:bidi="ar"/>
              </w:rPr>
              <w:t>融媒体管理平台系统</w:t>
            </w:r>
            <w:bookmarkEnd w:id="563"/>
          </w:p>
        </w:tc>
      </w:tr>
      <w:tr>
        <w:tblPrEx>
          <w:tblCellMar>
            <w:top w:w="0" w:type="dxa"/>
            <w:left w:w="108" w:type="dxa"/>
            <w:bottom w:w="0" w:type="dxa"/>
            <w:right w:w="108" w:type="dxa"/>
          </w:tblCellMar>
        </w:tblPrEx>
        <w:trPr>
          <w:trHeight w:val="304" w:hRule="atLeast"/>
        </w:trPr>
        <w:tc>
          <w:tcPr>
            <w:tcW w:w="916" w:type="dxa"/>
            <w:tcBorders>
              <w:top w:val="single" w:color="000000" w:sz="4" w:space="0"/>
              <w:left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（一）</w:t>
            </w:r>
          </w:p>
        </w:tc>
        <w:tc>
          <w:tcPr>
            <w:tcW w:w="1354" w:type="dxa"/>
            <w:tcBorders>
              <w:top w:val="single" w:color="000000" w:sz="4" w:space="0"/>
              <w:left w:val="single" w:color="000000" w:sz="4" w:space="0"/>
              <w:right w:val="single" w:color="000000" w:sz="4" w:space="0"/>
            </w:tcBorders>
            <w:vAlign w:val="center"/>
          </w:tcPr>
          <w:p>
            <w:pPr>
              <w:widowControl/>
              <w:spacing w:line="360" w:lineRule="auto"/>
              <w:jc w:val="center"/>
              <w:rPr>
                <w:rFonts w:ascii="宋体" w:hAnsi="宋体" w:eastAsia="宋体" w:cs="Times New Roman"/>
                <w:szCs w:val="21"/>
              </w:rPr>
            </w:pPr>
            <w:r>
              <w:rPr>
                <w:rFonts w:hint="eastAsia" w:ascii="宋体" w:hAnsi="宋体" w:eastAsia="宋体" w:cs="宋体"/>
                <w:b/>
                <w:bCs/>
                <w:color w:val="000000"/>
                <w:kern w:val="0"/>
                <w:szCs w:val="21"/>
                <w:lang w:bidi="ar"/>
              </w:rPr>
              <w:t>采编发一体化协作平台—AI智能投稿平台</w:t>
            </w:r>
          </w:p>
        </w:tc>
        <w:tc>
          <w:tcPr>
            <w:tcW w:w="6671" w:type="dxa"/>
            <w:tcBorders>
              <w:top w:val="single" w:color="000000" w:sz="4" w:space="0"/>
              <w:left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2"/>
                <w:lang w:eastAsia="zh-CN" w:bidi="ar"/>
              </w:rPr>
            </w:pPr>
            <w:r>
              <w:rPr>
                <w:rFonts w:hint="eastAsia" w:ascii="宋体" w:hAnsi="宋体" w:eastAsia="宋体" w:cs="宋体"/>
                <w:color w:val="000000"/>
                <w:szCs w:val="21"/>
                <w:u w:val="none"/>
                <w:lang w:val="en-US" w:eastAsia="zh-CN" w:bidi="ar"/>
              </w:rPr>
              <w:t>1.</w:t>
            </w:r>
            <w:r>
              <w:rPr>
                <w:rFonts w:hint="default" w:ascii="宋体" w:hAnsi="宋体" w:eastAsia="宋体" w:cs="宋体"/>
                <w:color w:val="000000"/>
                <w:szCs w:val="21"/>
                <w:u w:val="none"/>
                <w:lang w:bidi="ar"/>
              </w:rPr>
              <w:t>系统需提供二级单位向宣传部投稿的渠道和流程，宣传部可接收和处理各二级单位的投稿稿件</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2.</w:t>
            </w:r>
            <w:r>
              <w:rPr>
                <w:rFonts w:hint="default" w:ascii="宋体" w:hAnsi="宋体" w:eastAsia="宋体" w:cs="宋体"/>
                <w:color w:val="000000"/>
                <w:szCs w:val="21"/>
                <w:u w:val="none"/>
                <w:lang w:bidi="ar"/>
              </w:rPr>
              <w:t>系统需提供在工作桌面，查看全部待处理稿件，并展示投稿统计数据</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3.</w:t>
            </w:r>
            <w:r>
              <w:rPr>
                <w:rFonts w:hint="default" w:ascii="宋体" w:hAnsi="宋体" w:eastAsia="宋体" w:cs="宋体"/>
                <w:color w:val="000000"/>
                <w:szCs w:val="21"/>
                <w:u w:val="none"/>
                <w:lang w:bidi="ar"/>
              </w:rPr>
              <w:t>系统需提供在线写稿，可对稿件内容、标题等信息进行编辑，提供字体、字号、段落设置以及自动排版等格式编辑功能，可以设置封面图、填写作者及摄影摄像人员信息</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4.</w:t>
            </w:r>
            <w:r>
              <w:rPr>
                <w:rFonts w:hint="default" w:ascii="宋体" w:hAnsi="宋体" w:eastAsia="宋体" w:cs="宋体"/>
                <w:color w:val="000000"/>
                <w:szCs w:val="21"/>
                <w:u w:val="none"/>
                <w:lang w:bidi="ar"/>
              </w:rPr>
              <w:t>系统需支持正文投稿或链接投稿，对链接投稿支持访问链接投稿地址，以快速确认内容是否正确</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5.</w:t>
            </w:r>
            <w:r>
              <w:rPr>
                <w:rFonts w:hint="default" w:ascii="宋体" w:hAnsi="宋体" w:eastAsia="宋体" w:cs="宋体"/>
                <w:color w:val="000000"/>
                <w:szCs w:val="21"/>
                <w:u w:val="none"/>
                <w:lang w:bidi="ar"/>
              </w:rPr>
              <w:t>系统需支持导入word中已写好的稿件内容，并保留原格式</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6.</w:t>
            </w:r>
            <w:r>
              <w:rPr>
                <w:rFonts w:hint="default" w:ascii="宋体" w:hAnsi="宋体" w:eastAsia="宋体" w:cs="宋体"/>
                <w:color w:val="000000"/>
                <w:szCs w:val="21"/>
                <w:u w:val="none"/>
                <w:lang w:bidi="ar"/>
              </w:rPr>
              <w:t>系统需支持在写稿时，可对图片进行裁剪、水印、滤镜等快速编辑</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7.</w:t>
            </w:r>
            <w:r>
              <w:rPr>
                <w:rFonts w:hint="default" w:ascii="宋体" w:hAnsi="宋体" w:eastAsia="宋体" w:cs="宋体"/>
                <w:color w:val="000000"/>
                <w:szCs w:val="21"/>
                <w:u w:val="none"/>
                <w:lang w:bidi="ar"/>
              </w:rPr>
              <w:t>系统需支持在写稿时，可对视频进行裁剪、水印、滤镜、背景乐等快速编辑</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8.</w:t>
            </w:r>
            <w:r>
              <w:rPr>
                <w:rFonts w:hint="default" w:ascii="宋体" w:hAnsi="宋体" w:eastAsia="宋体" w:cs="宋体"/>
                <w:color w:val="000000"/>
                <w:szCs w:val="21"/>
                <w:u w:val="none"/>
                <w:lang w:bidi="ar"/>
              </w:rPr>
              <w:t>系统需提供文章素材模块，支持在稿件投递过程中，可以将拍摄的照片素材，以单独的文章素材模块进行上传</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9.</w:t>
            </w:r>
            <w:r>
              <w:rPr>
                <w:rFonts w:hint="eastAsia" w:ascii="宋体" w:hAnsi="宋体" w:eastAsia="宋体" w:cs="宋体"/>
                <w:color w:val="000000"/>
                <w:kern w:val="0"/>
                <w:szCs w:val="21"/>
                <w:lang w:bidi="ar"/>
              </w:rPr>
              <w:t>系统需支持在浏览器内对稿件进行打印，可对内容进行在线预览</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b/>
                <w:bCs/>
                <w:sz w:val="20"/>
                <w:szCs w:val="20"/>
                <w:lang w:val="en-US" w:eastAsia="zh-CN"/>
              </w:rPr>
            </w:pPr>
            <w:r>
              <w:rPr>
                <w:rFonts w:hint="eastAsia" w:ascii="Times New Roman" w:hAnsi="Times New Roman" w:eastAsia="宋体" w:cs="Times New Roman"/>
                <w:b/>
                <w:bCs/>
                <w:szCs w:val="24"/>
              </w:rPr>
              <w:t>▲</w:t>
            </w:r>
            <w:r>
              <w:rPr>
                <w:rFonts w:hint="eastAsia" w:ascii="Times New Roman" w:hAnsi="Times New Roman" w:eastAsia="宋体" w:cs="Times New Roman"/>
                <w:b/>
                <w:bCs/>
                <w:szCs w:val="24"/>
                <w:lang w:val="en-US" w:eastAsia="zh-CN"/>
              </w:rPr>
              <w:t>10.</w:t>
            </w:r>
            <w:r>
              <w:rPr>
                <w:rFonts w:hint="default" w:ascii="宋体" w:hAnsi="宋体" w:eastAsia="宋体" w:cs="宋体"/>
                <w:b/>
                <w:bCs/>
                <w:color w:val="000000"/>
                <w:szCs w:val="21"/>
                <w:u w:val="none"/>
                <w:lang w:bidi="ar"/>
              </w:rPr>
              <w:t>系统需提供一键排版，能够在线预览不同样式效果，并提供稿件一键排版软件相关著作权</w:t>
            </w:r>
            <w:r>
              <w:rPr>
                <w:rFonts w:hint="eastAsia" w:ascii="宋体" w:hAnsi="宋体" w:eastAsia="宋体" w:cs="宋体"/>
                <w:b/>
                <w:bCs/>
                <w:color w:val="000000"/>
                <w:szCs w:val="21"/>
                <w:u w:val="none"/>
                <w:lang w:eastAsia="zh-CN" w:bidi="ar"/>
              </w:rPr>
              <w:t>；</w:t>
            </w:r>
            <w:r>
              <w:rPr>
                <w:rFonts w:hint="eastAsia" w:ascii="宋体" w:hAnsi="宋体" w:eastAsia="宋体" w:cs="Times New Roman"/>
                <w:b/>
                <w:bCs/>
                <w:szCs w:val="21"/>
                <w:lang w:eastAsia="zh-CN"/>
              </w:rPr>
              <w:t>（</w:t>
            </w:r>
            <w:r>
              <w:rPr>
                <w:rFonts w:hint="eastAsia" w:ascii="宋体" w:hAnsi="宋体" w:eastAsia="宋体" w:cs="Times New Roman"/>
                <w:b/>
                <w:bCs/>
                <w:szCs w:val="21"/>
                <w:lang w:val="en-US" w:eastAsia="zh-CN"/>
              </w:rPr>
              <w:t>投标人需提供产品功能截图或其他能体现出满足本条参数的材料，并加盖投标人章）</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11.</w:t>
            </w:r>
            <w:r>
              <w:rPr>
                <w:rFonts w:hint="default" w:ascii="宋体" w:hAnsi="宋体" w:eastAsia="宋体" w:cs="宋体"/>
                <w:color w:val="000000"/>
                <w:szCs w:val="21"/>
                <w:u w:val="none"/>
                <w:lang w:bidi="ar"/>
              </w:rPr>
              <w:t>系统需支持按照学校实际投稿审核流程，进行系统审核流程及相关人员权限配置</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12.</w:t>
            </w:r>
            <w:r>
              <w:rPr>
                <w:rFonts w:hint="eastAsia" w:ascii="宋体" w:hAnsi="宋体" w:eastAsia="宋体" w:cs="宋体"/>
                <w:color w:val="000000"/>
                <w:kern w:val="0"/>
                <w:szCs w:val="21"/>
                <w:lang w:bidi="ar"/>
              </w:rPr>
              <w:t>系统需支持不同用户可在线查看并编辑审核与自己相关的稿件内容，并将其提交给相应的用户进行审核</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b/>
                <w:bCs/>
                <w:color w:val="000000"/>
                <w:kern w:val="0"/>
                <w:sz w:val="21"/>
                <w:szCs w:val="21"/>
                <w:lang w:eastAsia="zh-CN" w:bidi="ar"/>
              </w:rPr>
            </w:pPr>
            <w:r>
              <w:rPr>
                <w:rFonts w:hint="eastAsia" w:ascii="宋体" w:hAnsi="宋体" w:eastAsia="宋体" w:cs="宋体"/>
                <w:color w:val="000000"/>
                <w:szCs w:val="21"/>
                <w:u w:val="none"/>
                <w:lang w:val="en-US" w:eastAsia="zh-CN" w:bidi="ar"/>
              </w:rPr>
              <w:t>13.</w:t>
            </w:r>
            <w:r>
              <w:rPr>
                <w:rFonts w:hint="default" w:ascii="宋体" w:hAnsi="宋体" w:eastAsia="宋体" w:cs="宋体"/>
                <w:color w:val="000000"/>
                <w:szCs w:val="21"/>
                <w:u w:val="none"/>
                <w:lang w:bidi="ar"/>
              </w:rPr>
              <w:t>系统需支持能够将投稿稿件，分享给系统外部人员进行查看，即不通过登录系统就可查看稿件内容</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14.</w:t>
            </w:r>
            <w:r>
              <w:rPr>
                <w:rFonts w:hint="default" w:ascii="宋体" w:hAnsi="宋体" w:eastAsia="宋体" w:cs="宋体"/>
                <w:color w:val="000000"/>
                <w:szCs w:val="21"/>
                <w:u w:val="none"/>
                <w:lang w:bidi="ar"/>
              </w:rPr>
              <w:t>系统需支持各二级单位查看本人及本单位其他人员投稿稿件，可按草稿、已发布等不同状态进行个人投稿稿件筛选</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15.</w:t>
            </w:r>
            <w:r>
              <w:rPr>
                <w:rFonts w:hint="default" w:ascii="宋体" w:hAnsi="宋体" w:eastAsia="宋体" w:cs="宋体"/>
                <w:color w:val="000000"/>
                <w:szCs w:val="21"/>
                <w:u w:val="none"/>
                <w:lang w:bidi="ar"/>
              </w:rPr>
              <w:t>系统需支持严格的角色权限划分，不同二级单位只能查看自己单位的投稿稿件内容</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16.</w:t>
            </w:r>
            <w:r>
              <w:rPr>
                <w:rFonts w:hint="default" w:ascii="宋体" w:hAnsi="宋体" w:eastAsia="宋体" w:cs="宋体"/>
                <w:color w:val="000000"/>
                <w:szCs w:val="21"/>
                <w:u w:val="none"/>
                <w:lang w:bidi="ar"/>
              </w:rPr>
              <w:t>系统需支持直观查看投稿稿件的标题、投稿媒体、创建人、投稿状态，对于发布稿件，支持查看发布链接</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ascii="宋体" w:hAnsi="宋体" w:eastAsia="宋体" w:cs="宋体"/>
                <w:b/>
                <w:bCs/>
                <w:szCs w:val="21"/>
              </w:rPr>
            </w:pPr>
            <w:r>
              <w:rPr>
                <w:rFonts w:hint="eastAsia" w:ascii="Times New Roman" w:hAnsi="Times New Roman" w:eastAsia="宋体" w:cs="Times New Roman"/>
                <w:b/>
                <w:bCs/>
                <w:szCs w:val="24"/>
              </w:rPr>
              <w:t>▲</w:t>
            </w:r>
            <w:r>
              <w:rPr>
                <w:rFonts w:hint="eastAsia" w:ascii="宋体" w:hAnsi="宋体" w:eastAsia="宋体" w:cs="宋体"/>
                <w:b/>
                <w:bCs/>
                <w:color w:val="000000"/>
                <w:kern w:val="0"/>
                <w:szCs w:val="21"/>
                <w:lang w:val="en-US" w:eastAsia="zh-CN" w:bidi="ar"/>
              </w:rPr>
              <w:t>17.</w:t>
            </w:r>
            <w:r>
              <w:rPr>
                <w:rFonts w:hint="eastAsia" w:ascii="宋体" w:hAnsi="宋体" w:eastAsia="宋体" w:cs="宋体"/>
                <w:b/>
                <w:bCs/>
                <w:color w:val="000000"/>
                <w:kern w:val="0"/>
                <w:szCs w:val="21"/>
                <w:lang w:bidi="ar"/>
              </w:rPr>
              <w:t>系统需支持查看流程记录、历史记录，并对比不同版本的变更内容</w:t>
            </w:r>
            <w:r>
              <w:rPr>
                <w:rFonts w:hint="eastAsia" w:ascii="宋体" w:hAnsi="宋体" w:eastAsia="宋体" w:cs="Times New Roman"/>
                <w:b/>
                <w:bCs/>
                <w:szCs w:val="21"/>
                <w:lang w:val="en-US" w:eastAsia="zh-CN"/>
              </w:rPr>
              <w:t>（投标人需提供产品功能截图或其他能体现出满足本条参数的材料，并加盖投标人章）</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Times New Roman"/>
                <w:b/>
                <w:bCs/>
                <w:szCs w:val="21"/>
                <w:lang w:val="en-US" w:eastAsia="zh-CN"/>
              </w:rPr>
            </w:pPr>
            <w:r>
              <w:rPr>
                <w:rFonts w:hint="eastAsia" w:ascii="宋体" w:hAnsi="宋体" w:eastAsia="宋体" w:cs="宋体"/>
                <w:color w:val="000000"/>
                <w:szCs w:val="21"/>
                <w:u w:val="none"/>
                <w:lang w:val="en-US" w:eastAsia="zh-CN" w:bidi="ar"/>
              </w:rPr>
              <w:t>18.</w:t>
            </w:r>
            <w:r>
              <w:rPr>
                <w:rFonts w:hint="default" w:ascii="宋体" w:hAnsi="宋体" w:eastAsia="宋体" w:cs="宋体"/>
                <w:color w:val="000000"/>
                <w:szCs w:val="21"/>
                <w:u w:val="none"/>
                <w:lang w:bidi="ar"/>
              </w:rPr>
              <w:t>系统需支持查看本单位投稿统计数据，能够按不同时间段筛选，查看不同人员提交及发布的投稿数量，并进行排名</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19.</w:t>
            </w:r>
            <w:r>
              <w:rPr>
                <w:rFonts w:hint="default" w:ascii="宋体" w:hAnsi="宋体" w:eastAsia="宋体" w:cs="宋体"/>
                <w:color w:val="000000"/>
                <w:szCs w:val="21"/>
                <w:u w:val="none"/>
                <w:lang w:bidi="ar"/>
              </w:rPr>
              <w:t>系统需支持为宣传部老师提供接收处理各二级单位投稿稿件的统一模块，并可对稿件进行筛选、审核、下载等处理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20.</w:t>
            </w:r>
            <w:r>
              <w:rPr>
                <w:rFonts w:hint="default" w:ascii="宋体" w:hAnsi="宋体" w:eastAsia="宋体" w:cs="宋体"/>
                <w:color w:val="000000"/>
                <w:szCs w:val="21"/>
                <w:u w:val="none"/>
                <w:lang w:bidi="ar"/>
              </w:rPr>
              <w:t>系统需支持快速查看稿件标题、来稿单位、写稿人、投稿媒体信息，方便宣传部更方便地进行稿件处理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b/>
                <w:bCs/>
                <w:color w:val="000000"/>
                <w:kern w:val="0"/>
                <w:sz w:val="21"/>
                <w:szCs w:val="21"/>
                <w:lang w:eastAsia="zh-CN" w:bidi="ar"/>
              </w:rPr>
            </w:pPr>
            <w:r>
              <w:rPr>
                <w:rFonts w:hint="eastAsia" w:ascii="宋体" w:hAnsi="宋体" w:eastAsia="宋体" w:cs="宋体"/>
                <w:color w:val="000000"/>
                <w:kern w:val="0"/>
                <w:szCs w:val="21"/>
                <w:lang w:val="en-US" w:eastAsia="zh-CN" w:bidi="ar"/>
              </w:rPr>
              <w:t>21.</w:t>
            </w:r>
            <w:r>
              <w:rPr>
                <w:rFonts w:hint="eastAsia" w:ascii="宋体" w:hAnsi="宋体" w:eastAsia="宋体" w:cs="宋体"/>
                <w:color w:val="000000"/>
                <w:kern w:val="0"/>
                <w:szCs w:val="21"/>
                <w:lang w:bidi="ar"/>
              </w:rPr>
              <w:t>系统需支持按照二级单位和个人分别统计投稿情况</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ascii="宋体" w:hAnsi="宋体" w:eastAsia="宋体" w:cs="Times New Roman"/>
                <w:sz w:val="24"/>
                <w:szCs w:val="24"/>
              </w:rPr>
            </w:pPr>
            <w:r>
              <w:rPr>
                <w:rFonts w:hint="eastAsia" w:ascii="宋体" w:hAnsi="宋体" w:eastAsia="宋体" w:cs="宋体"/>
                <w:color w:val="000000"/>
                <w:szCs w:val="21"/>
                <w:u w:val="none"/>
                <w:lang w:val="en-US" w:eastAsia="zh-CN" w:bidi="ar"/>
              </w:rPr>
              <w:t>22.</w:t>
            </w:r>
            <w:r>
              <w:rPr>
                <w:rFonts w:hint="default" w:ascii="宋体" w:hAnsi="宋体" w:eastAsia="宋体" w:cs="宋体"/>
                <w:color w:val="000000"/>
                <w:szCs w:val="21"/>
                <w:u w:val="none"/>
                <w:lang w:bidi="ar"/>
              </w:rPr>
              <w:t>系统需支持按照自定义时间进行投稿数据统计，同时支持对搜索结果数据导出。</w:t>
            </w:r>
          </w:p>
        </w:tc>
      </w:tr>
      <w:tr>
        <w:tblPrEx>
          <w:tblCellMar>
            <w:top w:w="0" w:type="dxa"/>
            <w:left w:w="108" w:type="dxa"/>
            <w:bottom w:w="0" w:type="dxa"/>
            <w:right w:w="108" w:type="dxa"/>
          </w:tblCellMar>
        </w:tblPrEx>
        <w:trPr>
          <w:trHeight w:val="587"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（二）</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szCs w:val="21"/>
              </w:rPr>
            </w:pPr>
            <w:r>
              <w:rPr>
                <w:rFonts w:hint="eastAsia" w:ascii="宋体" w:hAnsi="宋体" w:eastAsia="宋体" w:cs="宋体"/>
                <w:b/>
                <w:bCs/>
                <w:color w:val="000000"/>
                <w:kern w:val="0"/>
                <w:szCs w:val="21"/>
                <w:lang w:bidi="ar"/>
              </w:rPr>
              <w:t>采编发一体化协作平台</w:t>
            </w:r>
            <w:r>
              <w:rPr>
                <w:rFonts w:ascii="Arial" w:hAnsi="Arial" w:eastAsia="宋体" w:cs="Arial"/>
                <w:b/>
                <w:bCs/>
                <w:color w:val="000000"/>
                <w:szCs w:val="21"/>
                <w:u w:val="none"/>
                <w:lang w:bidi="ar"/>
              </w:rPr>
              <w:t>-</w:t>
            </w:r>
            <w:r>
              <w:rPr>
                <w:rFonts w:hint="default" w:ascii="宋体" w:hAnsi="宋体" w:eastAsia="宋体" w:cs="宋体"/>
                <w:b/>
                <w:bCs/>
                <w:color w:val="000000"/>
                <w:szCs w:val="21"/>
                <w:u w:val="none"/>
                <w:lang w:bidi="ar"/>
              </w:rPr>
              <w:t>网站发布、新媒体发布</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default" w:ascii="宋体" w:hAnsi="宋体" w:eastAsia="宋体" w:cs="宋体"/>
                <w:b/>
                <w:bCs/>
                <w:szCs w:val="22"/>
                <w:lang w:bidi="ar"/>
              </w:rPr>
            </w:pPr>
            <w:r>
              <w:rPr>
                <w:rFonts w:hint="eastAsia" w:ascii="Times New Roman" w:hAnsi="Times New Roman" w:eastAsia="宋体" w:cs="Times New Roman"/>
                <w:b/>
                <w:bCs/>
                <w:szCs w:val="24"/>
              </w:rPr>
              <w:t>▲</w:t>
            </w:r>
            <w:r>
              <w:rPr>
                <w:rFonts w:hint="eastAsia" w:ascii="Times New Roman" w:hAnsi="Times New Roman" w:eastAsia="宋体" w:cs="Times New Roman"/>
                <w:b/>
                <w:bCs/>
                <w:szCs w:val="24"/>
                <w:lang w:val="en-US" w:eastAsia="zh-CN"/>
              </w:rPr>
              <w:t>1.</w:t>
            </w:r>
            <w:r>
              <w:rPr>
                <w:rFonts w:hint="default" w:ascii="宋体" w:hAnsi="宋体" w:eastAsia="宋体" w:cs="宋体"/>
                <w:b/>
                <w:bCs/>
                <w:color w:val="000000"/>
                <w:szCs w:val="21"/>
                <w:u w:val="none"/>
                <w:lang w:bidi="ar"/>
              </w:rPr>
              <w:t>系统需实现与</w:t>
            </w:r>
            <w:r>
              <w:rPr>
                <w:rFonts w:hint="eastAsia" w:ascii="宋体" w:hAnsi="宋体" w:eastAsia="宋体" w:cs="宋体"/>
                <w:b/>
                <w:bCs/>
                <w:color w:val="000000"/>
                <w:szCs w:val="21"/>
                <w:u w:val="none"/>
                <w:lang w:val="en-US" w:eastAsia="zh-CN" w:bidi="ar"/>
              </w:rPr>
              <w:t>采购人</w:t>
            </w:r>
            <w:r>
              <w:rPr>
                <w:rFonts w:hint="default" w:ascii="宋体" w:hAnsi="宋体" w:eastAsia="宋体" w:cs="宋体"/>
                <w:b/>
                <w:bCs/>
                <w:color w:val="000000"/>
                <w:szCs w:val="21"/>
                <w:u w:val="none"/>
                <w:lang w:bidi="ar"/>
              </w:rPr>
              <w:t>现有网站群的无缝集成，支持将稿件内容直接推送至博达网站群中宣传部管辖的学校官网，并可对本系统已发布内容进行统一维护与管理</w:t>
            </w:r>
            <w:r>
              <w:rPr>
                <w:rFonts w:hint="eastAsia" w:ascii="宋体" w:hAnsi="宋体" w:eastAsia="宋体" w:cs="宋体"/>
                <w:b/>
                <w:bCs/>
                <w:color w:val="000000"/>
                <w:szCs w:val="21"/>
                <w:u w:val="none"/>
                <w:lang w:eastAsia="zh-CN" w:bidi="ar"/>
              </w:rPr>
              <w:t>；</w:t>
            </w:r>
            <w:r>
              <w:rPr>
                <w:rFonts w:hint="default" w:ascii="宋体" w:hAnsi="宋体" w:eastAsia="宋体" w:cs="宋体"/>
                <w:b/>
                <w:bCs/>
                <w:color w:val="000000"/>
                <w:szCs w:val="21"/>
                <w:u w:val="none"/>
                <w:lang w:bidi="ar"/>
              </w:rPr>
              <w:t>（</w:t>
            </w:r>
            <w:r>
              <w:rPr>
                <w:rFonts w:hint="eastAsia" w:ascii="宋体" w:hAnsi="宋体" w:eastAsia="宋体" w:cs="宋体"/>
                <w:b/>
                <w:bCs/>
                <w:color w:val="000000"/>
                <w:szCs w:val="21"/>
                <w:u w:val="none"/>
                <w:lang w:val="en-US" w:eastAsia="zh-CN" w:bidi="ar"/>
              </w:rPr>
              <w:t>投标人</w:t>
            </w:r>
            <w:r>
              <w:rPr>
                <w:rFonts w:hint="default" w:ascii="宋体" w:hAnsi="宋体" w:eastAsia="宋体" w:cs="宋体"/>
                <w:b/>
                <w:bCs/>
                <w:color w:val="000000"/>
                <w:szCs w:val="21"/>
                <w:u w:val="none"/>
                <w:lang w:bidi="ar"/>
              </w:rPr>
              <w:t>需提供承诺函</w:t>
            </w:r>
            <w:r>
              <w:rPr>
                <w:rFonts w:hint="eastAsia" w:ascii="宋体" w:hAnsi="宋体" w:eastAsia="宋体" w:cs="宋体"/>
                <w:b/>
                <w:bCs/>
                <w:color w:val="000000"/>
                <w:szCs w:val="21"/>
                <w:u w:val="none"/>
                <w:lang w:eastAsia="zh-CN" w:bidi="ar"/>
              </w:rPr>
              <w:t>，</w:t>
            </w:r>
            <w:r>
              <w:rPr>
                <w:rFonts w:hint="default" w:ascii="宋体" w:hAnsi="宋体" w:eastAsia="宋体" w:cs="宋体"/>
                <w:b/>
                <w:bCs/>
                <w:color w:val="000000"/>
                <w:szCs w:val="21"/>
                <w:u w:val="none"/>
                <w:lang w:bidi="ar"/>
              </w:rPr>
              <w:t>并加盖公章）</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2.</w:t>
            </w:r>
            <w:r>
              <w:rPr>
                <w:rFonts w:hint="default" w:ascii="宋体" w:hAnsi="宋体" w:eastAsia="宋体" w:cs="宋体"/>
                <w:color w:val="000000"/>
                <w:szCs w:val="21"/>
                <w:u w:val="none"/>
                <w:lang w:bidi="ar"/>
              </w:rPr>
              <w:t>系统需支持在工作桌面展示宣传部最新发稿，并可通过点击标题直接访问</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3.</w:t>
            </w:r>
            <w:r>
              <w:rPr>
                <w:rFonts w:hint="default" w:ascii="宋体" w:hAnsi="宋体" w:eastAsia="宋体" w:cs="宋体"/>
                <w:color w:val="000000"/>
                <w:szCs w:val="21"/>
                <w:u w:val="none"/>
                <w:lang w:bidi="ar"/>
              </w:rPr>
              <w:t>系统需提供宣传部对稿件的集中处理模块，能够直观展示待处理、已处理及发起的稿件审核流程</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4.</w:t>
            </w:r>
            <w:r>
              <w:rPr>
                <w:rFonts w:hint="default" w:ascii="宋体" w:hAnsi="宋体" w:eastAsia="宋体" w:cs="宋体"/>
                <w:color w:val="000000"/>
                <w:szCs w:val="21"/>
                <w:u w:val="none"/>
                <w:lang w:bidi="ar"/>
              </w:rPr>
              <w:t>系统需支持从网站的栏目视角与整体视角对网站内容进行维护，宣传部能够统一查看网站所有文章及本人创建文章</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b/>
                <w:bCs/>
                <w:color w:val="000000"/>
                <w:kern w:val="0"/>
                <w:szCs w:val="21"/>
                <w:lang w:bidi="ar"/>
              </w:rPr>
            </w:pPr>
            <w:r>
              <w:rPr>
                <w:rFonts w:hint="eastAsia" w:ascii="Times New Roman" w:hAnsi="Times New Roman" w:eastAsia="宋体" w:cs="Times New Roman"/>
                <w:b/>
                <w:bCs/>
                <w:szCs w:val="24"/>
              </w:rPr>
              <w:t>▲</w:t>
            </w:r>
            <w:r>
              <w:rPr>
                <w:rFonts w:hint="eastAsia" w:ascii="Times New Roman" w:hAnsi="Times New Roman" w:eastAsia="宋体" w:cs="Times New Roman"/>
                <w:b/>
                <w:bCs/>
                <w:szCs w:val="24"/>
                <w:lang w:val="en-US" w:eastAsia="zh-CN"/>
              </w:rPr>
              <w:t>5.</w:t>
            </w:r>
            <w:r>
              <w:rPr>
                <w:rFonts w:hint="eastAsia" w:ascii="宋体" w:hAnsi="宋体" w:eastAsia="宋体" w:cs="宋体"/>
                <w:b/>
                <w:bCs/>
                <w:color w:val="000000"/>
                <w:kern w:val="0"/>
                <w:szCs w:val="21"/>
                <w:lang w:bidi="ar"/>
              </w:rPr>
              <w:t>系统需支持按树状形式展示网站中栏目，每个栏目中，展示该栏目下的稿件信息。可对稿件进行置顶、头条、推荐的操作。支持文章拖动排序</w:t>
            </w:r>
            <w:r>
              <w:rPr>
                <w:rFonts w:hint="eastAsia" w:ascii="宋体" w:hAnsi="宋体" w:eastAsia="宋体" w:cs="宋体"/>
                <w:b/>
                <w:bCs/>
                <w:color w:val="000000"/>
                <w:kern w:val="0"/>
                <w:szCs w:val="21"/>
                <w:lang w:eastAsia="zh-CN" w:bidi="ar"/>
              </w:rPr>
              <w:t>；</w:t>
            </w:r>
            <w:r>
              <w:rPr>
                <w:rFonts w:hint="eastAsia" w:ascii="宋体" w:hAnsi="宋体" w:eastAsia="宋体" w:cs="Times New Roman"/>
                <w:b/>
                <w:bCs/>
                <w:szCs w:val="21"/>
                <w:lang w:eastAsia="zh-CN"/>
              </w:rPr>
              <w:t>（</w:t>
            </w:r>
            <w:r>
              <w:rPr>
                <w:rFonts w:hint="eastAsia" w:ascii="宋体" w:hAnsi="宋体" w:eastAsia="宋体" w:cs="Times New Roman"/>
                <w:b/>
                <w:bCs/>
                <w:szCs w:val="21"/>
                <w:lang w:val="en-US" w:eastAsia="zh-CN"/>
              </w:rPr>
              <w:t>投标人需提供产品功能截图或其他能体现出满足本条参数的材料，并加盖投标人章）</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b/>
                <w:bCs/>
                <w:color w:val="000000"/>
                <w:kern w:val="0"/>
                <w:szCs w:val="21"/>
                <w:lang w:val="en-US" w:eastAsia="zh-CN" w:bidi="ar"/>
              </w:rPr>
              <w:t>6.</w:t>
            </w:r>
            <w:r>
              <w:rPr>
                <w:rFonts w:hint="default" w:ascii="宋体" w:hAnsi="宋体" w:eastAsia="宋体" w:cs="宋体"/>
                <w:color w:val="000000"/>
                <w:szCs w:val="21"/>
                <w:u w:val="none"/>
                <w:lang w:bidi="ar"/>
              </w:rPr>
              <w:t>系统需支持设置封面图，并对设置了封面图的稿件可在列表中直观展示，并可快速浏览</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7.</w:t>
            </w:r>
            <w:r>
              <w:rPr>
                <w:rFonts w:hint="default" w:ascii="宋体" w:hAnsi="宋体" w:eastAsia="宋体" w:cs="宋体"/>
                <w:color w:val="000000"/>
                <w:szCs w:val="21"/>
                <w:u w:val="none"/>
                <w:lang w:bidi="ar"/>
              </w:rPr>
              <w:t>系统需支持宣传部对发布至网站的稿件行快速撤稿，撤稿稿件应在撤稿箱中集中管理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b/>
                <w:bCs/>
                <w:color w:val="000000"/>
                <w:kern w:val="0"/>
                <w:szCs w:val="21"/>
                <w:lang w:eastAsia="zh-CN" w:bidi="ar"/>
              </w:rPr>
            </w:pPr>
            <w:r>
              <w:rPr>
                <w:rFonts w:hint="eastAsia" w:ascii="宋体" w:hAnsi="宋体" w:eastAsia="宋体" w:cs="宋体"/>
                <w:color w:val="000000"/>
                <w:kern w:val="0"/>
                <w:szCs w:val="21"/>
                <w:lang w:val="en-US" w:eastAsia="zh-CN" w:bidi="ar"/>
              </w:rPr>
              <w:t>8.</w:t>
            </w:r>
            <w:r>
              <w:rPr>
                <w:rFonts w:hint="eastAsia" w:ascii="宋体" w:hAnsi="宋体" w:eastAsia="宋体" w:cs="宋体"/>
                <w:color w:val="000000"/>
                <w:kern w:val="0"/>
                <w:szCs w:val="21"/>
                <w:lang w:bidi="ar"/>
              </w:rPr>
              <w:t>系统需支持对稿件内容、标题、作者等信息进行编辑，可对内容中的字体、字号、加粗、段落等格式进行设置。可从编辑器中，直接上传图片、视频等资源，可发布链接文章，提供审核记录和流程记录</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9.</w:t>
            </w:r>
            <w:r>
              <w:rPr>
                <w:rFonts w:hint="default" w:ascii="宋体" w:hAnsi="宋体" w:eastAsia="宋体" w:cs="宋体"/>
                <w:color w:val="000000"/>
                <w:szCs w:val="21"/>
                <w:u w:val="none"/>
                <w:lang w:bidi="ar"/>
              </w:rPr>
              <w:t>系统需支持在写稿时将PDF文件插入编辑器正文,并发布至网站以正文形式进行展示</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10.</w:t>
            </w:r>
            <w:r>
              <w:rPr>
                <w:rFonts w:hint="default" w:ascii="宋体" w:hAnsi="宋体" w:eastAsia="宋体" w:cs="宋体"/>
                <w:color w:val="000000"/>
                <w:szCs w:val="21"/>
                <w:u w:val="none"/>
                <w:lang w:bidi="ar"/>
              </w:rPr>
              <w:t>系统需支持在稿件编辑时，对正文中的多张图片选择不同的图片合成模版进行快速合成，同时支持合成后的图片一键插入正文</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11.</w:t>
            </w:r>
            <w:r>
              <w:rPr>
                <w:rFonts w:hint="eastAsia" w:ascii="宋体" w:hAnsi="宋体" w:eastAsia="宋体" w:cs="宋体"/>
                <w:color w:val="000000"/>
                <w:kern w:val="0"/>
                <w:szCs w:val="21"/>
                <w:lang w:bidi="ar"/>
              </w:rPr>
              <w:t>系统需支持在稿件编辑时，可在图片、视频上，进行水印的设置与生成，可开关水印、设置水印图片、水印位置与水印大小等</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12.</w:t>
            </w:r>
            <w:r>
              <w:rPr>
                <w:rFonts w:hint="default" w:ascii="宋体" w:hAnsi="宋体" w:eastAsia="宋体" w:cs="宋体"/>
                <w:color w:val="000000"/>
                <w:szCs w:val="21"/>
                <w:u w:val="none"/>
                <w:lang w:bidi="ar"/>
              </w:rPr>
              <w:t>系统需支持同一篇文章宣传部可一键发布至不同的网站和栏目，并可分别设置封面图和是否置顶</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13.</w:t>
            </w:r>
            <w:r>
              <w:rPr>
                <w:rFonts w:hint="default" w:ascii="宋体" w:hAnsi="宋体" w:eastAsia="宋体" w:cs="宋体"/>
                <w:color w:val="000000"/>
                <w:szCs w:val="21"/>
                <w:u w:val="none"/>
                <w:lang w:bidi="ar"/>
              </w:rPr>
              <w:t>系统需支持宣传部对发布至网站的文章进行快速访问，并应展示文章的发布栏目和链接地址，以方便用户核对</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14.</w:t>
            </w:r>
            <w:r>
              <w:rPr>
                <w:rFonts w:hint="default" w:ascii="宋体" w:hAnsi="宋体" w:eastAsia="宋体" w:cs="宋体"/>
                <w:color w:val="000000"/>
                <w:szCs w:val="21"/>
                <w:u w:val="none"/>
                <w:lang w:bidi="ar"/>
              </w:rPr>
              <w:t>系统需支持宣传部可快速访问网站前台，以实现对网站发文的快速浏览</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15.</w:t>
            </w:r>
            <w:r>
              <w:rPr>
                <w:rFonts w:hint="default" w:ascii="宋体" w:hAnsi="宋体" w:eastAsia="宋体" w:cs="宋体"/>
                <w:color w:val="000000"/>
                <w:szCs w:val="21"/>
                <w:u w:val="none"/>
                <w:lang w:bidi="ar"/>
              </w:rPr>
              <w:t>系统需支持批量下载稿件，并应下载稿件原图，以方便宣传部在系统外部使用，同时在系统中应有下载记录</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16.</w:t>
            </w:r>
            <w:r>
              <w:rPr>
                <w:rFonts w:hint="default" w:ascii="宋体" w:hAnsi="宋体" w:eastAsia="宋体" w:cs="宋体"/>
                <w:color w:val="000000"/>
                <w:szCs w:val="21"/>
                <w:u w:val="none"/>
                <w:lang w:bidi="ar"/>
              </w:rPr>
              <w:t>系统需支持对宣传部不同人员设置不同的栏目管理权限，以实现不同人员维护不同栏目的文章</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17.</w:t>
            </w:r>
            <w:r>
              <w:rPr>
                <w:rFonts w:hint="default" w:ascii="宋体" w:hAnsi="宋体" w:eastAsia="宋体" w:cs="宋体"/>
                <w:color w:val="000000"/>
                <w:szCs w:val="21"/>
                <w:u w:val="none"/>
                <w:lang w:bidi="ar"/>
              </w:rPr>
              <w:t>系统需支持当绑定宣传部多个网站时可快速下拉切换，以方便对各个网站进行维护</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18.</w:t>
            </w:r>
            <w:r>
              <w:rPr>
                <w:rFonts w:hint="default" w:ascii="宋体" w:hAnsi="宋体" w:eastAsia="宋体" w:cs="宋体"/>
                <w:color w:val="000000"/>
                <w:szCs w:val="21"/>
                <w:u w:val="none"/>
                <w:lang w:bidi="ar"/>
              </w:rPr>
              <w:t>系统需支持查看宣传部所属网站稿件三审三校记录清单，可导出三审三校台账，并下载审批表</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19.</w:t>
            </w:r>
            <w:r>
              <w:rPr>
                <w:rFonts w:hint="default" w:ascii="宋体" w:hAnsi="宋体" w:eastAsia="宋体" w:cs="宋体"/>
                <w:color w:val="000000"/>
                <w:szCs w:val="21"/>
                <w:u w:val="none"/>
                <w:lang w:bidi="ar"/>
              </w:rPr>
              <w:t>系统需支持预设网站审批表模版，并可依据学校的实际审批表模版进行更改并导入系统</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20.</w:t>
            </w:r>
            <w:r>
              <w:rPr>
                <w:rFonts w:hint="default" w:ascii="宋体" w:hAnsi="宋体" w:eastAsia="宋体" w:cs="宋体"/>
                <w:color w:val="000000"/>
                <w:szCs w:val="21"/>
                <w:u w:val="none"/>
                <w:lang w:bidi="ar"/>
              </w:rPr>
              <w:t>系统需支持查看宣传部所属网站的发布统计，可查看各网站的累计发布文章数量及趋势图</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21.</w:t>
            </w:r>
            <w:r>
              <w:rPr>
                <w:rFonts w:hint="default" w:ascii="宋体" w:hAnsi="宋体" w:eastAsia="宋体" w:cs="宋体"/>
                <w:color w:val="000000"/>
                <w:szCs w:val="21"/>
                <w:u w:val="none"/>
                <w:lang w:bidi="ar"/>
              </w:rPr>
              <w:t>系统需提供对宣传部所属网站文章发布明细的展示，可直接访问文章发布链接，并可同步网站点击量，可自定义表头对明细进行导出</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22.</w:t>
            </w:r>
            <w:r>
              <w:rPr>
                <w:rFonts w:hint="default" w:ascii="宋体" w:hAnsi="宋体" w:eastAsia="宋体" w:cs="宋体"/>
                <w:color w:val="000000"/>
                <w:szCs w:val="21"/>
                <w:u w:val="none"/>
                <w:lang w:bidi="ar"/>
              </w:rPr>
              <w:t>系统需支持在资源库中对已绑定网站媒体发布稿件原图进行存储，并支持在资源库中以word文稿形式存储稿件</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b/>
                <w:bCs/>
                <w:sz w:val="20"/>
                <w:szCs w:val="20"/>
                <w:lang w:val="en-US" w:eastAsia="zh-CN"/>
              </w:rPr>
            </w:pPr>
            <w:r>
              <w:rPr>
                <w:rFonts w:hint="eastAsia" w:ascii="宋体" w:hAnsi="宋体" w:eastAsia="宋体" w:cs="宋体"/>
                <w:color w:val="000000"/>
                <w:kern w:val="0"/>
                <w:szCs w:val="21"/>
                <w:lang w:val="en-US" w:eastAsia="zh-CN" w:bidi="ar"/>
              </w:rPr>
              <w:t>23.</w:t>
            </w:r>
            <w:r>
              <w:rPr>
                <w:rFonts w:hint="eastAsia" w:ascii="宋体" w:hAnsi="宋体" w:eastAsia="宋体" w:cs="宋体"/>
                <w:color w:val="000000"/>
                <w:kern w:val="0"/>
                <w:szCs w:val="21"/>
                <w:lang w:bidi="ar"/>
              </w:rPr>
              <w:t>系统需支持查看稿件列表，可查看稿件详情，可下载为word，可查看发布的媒体以及链接，以及稿件的版本信息、关系图谱</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24.</w:t>
            </w:r>
            <w:r>
              <w:rPr>
                <w:rFonts w:hint="eastAsia" w:ascii="宋体" w:hAnsi="宋体" w:eastAsia="宋体" w:cs="宋体"/>
                <w:color w:val="000000"/>
                <w:kern w:val="0"/>
                <w:szCs w:val="21"/>
                <w:lang w:bidi="ar"/>
              </w:rPr>
              <w:t>系统需支持在写稿时插入资源库资源</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25.</w:t>
            </w:r>
            <w:r>
              <w:rPr>
                <w:rFonts w:hint="default" w:ascii="宋体" w:hAnsi="宋体" w:eastAsia="宋体" w:cs="宋体"/>
                <w:color w:val="000000"/>
                <w:szCs w:val="21"/>
                <w:u w:val="none"/>
                <w:lang w:bidi="ar"/>
              </w:rPr>
              <w:t>系统需支持对接微信公众号，并在系统中完成公众号内容的三审三校及留痕</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26.</w:t>
            </w:r>
            <w:r>
              <w:rPr>
                <w:rFonts w:hint="default" w:ascii="宋体" w:hAnsi="宋体" w:eastAsia="宋体" w:cs="宋体"/>
                <w:color w:val="000000"/>
                <w:szCs w:val="21"/>
                <w:u w:val="none"/>
                <w:lang w:bidi="ar"/>
              </w:rPr>
              <w:t>系统需支持微信公众号内容的获取，可对待发布公众号文章进行预览，并提交审核</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27.</w:t>
            </w:r>
            <w:r>
              <w:rPr>
                <w:rFonts w:hint="default" w:ascii="宋体" w:hAnsi="宋体" w:eastAsia="宋体" w:cs="宋体"/>
                <w:color w:val="000000"/>
                <w:szCs w:val="21"/>
                <w:u w:val="none"/>
                <w:lang w:bidi="ar"/>
              </w:rPr>
              <w:t>系统需支持审核完成之后，直接发布内容至通过微信认证的公众号</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28.</w:t>
            </w:r>
            <w:r>
              <w:rPr>
                <w:rFonts w:hint="default" w:ascii="宋体" w:hAnsi="宋体" w:eastAsia="宋体" w:cs="宋体"/>
                <w:color w:val="000000"/>
                <w:szCs w:val="21"/>
                <w:u w:val="none"/>
                <w:lang w:bidi="ar"/>
              </w:rPr>
              <w:t>系统需支持在公众号审核过程中及发布之后，可查看稿件正文、审核记录及各个审核流程环节的人员、时间、状态信息</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29.</w:t>
            </w:r>
            <w:r>
              <w:rPr>
                <w:rFonts w:hint="default" w:ascii="宋体" w:hAnsi="宋体" w:eastAsia="宋体" w:cs="宋体"/>
                <w:color w:val="000000"/>
                <w:szCs w:val="21"/>
                <w:u w:val="none"/>
                <w:lang w:bidi="ar"/>
              </w:rPr>
              <w:t>系统支持通过系统发布的公众号稿件，可直接获取并在网站上编辑和发布</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30.</w:t>
            </w:r>
            <w:r>
              <w:rPr>
                <w:rFonts w:hint="default" w:ascii="宋体" w:hAnsi="宋体" w:eastAsia="宋体" w:cs="宋体"/>
                <w:color w:val="000000"/>
                <w:szCs w:val="21"/>
                <w:u w:val="none"/>
                <w:lang w:bidi="ar"/>
              </w:rPr>
              <w:t>系统需支持查看公众号已经推送的图文，支持删除已经发布的图文，删除之后，公众号中应同步删除</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31.</w:t>
            </w:r>
            <w:r>
              <w:rPr>
                <w:rFonts w:hint="default" w:ascii="宋体" w:hAnsi="宋体" w:eastAsia="宋体" w:cs="宋体"/>
                <w:color w:val="000000"/>
                <w:szCs w:val="21"/>
                <w:u w:val="none"/>
                <w:lang w:bidi="ar"/>
              </w:rPr>
              <w:t>系统需支持按照不同状态对公众号图文进行快速筛选查看</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32.</w:t>
            </w:r>
            <w:r>
              <w:rPr>
                <w:rFonts w:hint="default" w:ascii="宋体" w:hAnsi="宋体" w:eastAsia="宋体" w:cs="宋体"/>
                <w:color w:val="000000"/>
                <w:szCs w:val="21"/>
                <w:u w:val="none"/>
                <w:lang w:bidi="ar"/>
              </w:rPr>
              <w:t>系统需支持通过手机端对公众号内容进行发布前审核，可以查看发布预览链接、可以查看审核记录，支持从手机端直接发布至通过微信认证的公众号</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33.</w:t>
            </w:r>
            <w:r>
              <w:rPr>
                <w:rFonts w:hint="eastAsia" w:ascii="宋体" w:hAnsi="宋体" w:eastAsia="宋体" w:cs="宋体"/>
                <w:color w:val="000000"/>
                <w:kern w:val="0"/>
                <w:szCs w:val="21"/>
                <w:lang w:bidi="ar"/>
              </w:rPr>
              <w:t>系统需支持可根据用户实际需求，提交给相应的人员审核或发布</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34.</w:t>
            </w:r>
            <w:r>
              <w:rPr>
                <w:rFonts w:hint="default" w:ascii="宋体" w:hAnsi="宋体" w:eastAsia="宋体" w:cs="宋体"/>
                <w:color w:val="000000"/>
                <w:szCs w:val="21"/>
                <w:u w:val="none"/>
                <w:lang w:bidi="ar"/>
              </w:rPr>
              <w:t>系统需支持在公众号审核过程中使用与公众号官方一致的文章预览链接，并实现在发布前后任意时间，链接都不能过期</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35.</w:t>
            </w:r>
            <w:r>
              <w:rPr>
                <w:rFonts w:hint="default" w:ascii="宋体" w:hAnsi="宋体" w:eastAsia="宋体" w:cs="宋体"/>
                <w:color w:val="000000"/>
                <w:szCs w:val="21"/>
                <w:u w:val="none"/>
                <w:lang w:bidi="ar"/>
              </w:rPr>
              <w:t>系统需支持宣传部查看全校公众号稿件三审三校记录清单，可导出三审三校台账，并下载审批表</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color w:val="000000"/>
                <w:kern w:val="0"/>
                <w:szCs w:val="21"/>
                <w:lang w:bidi="ar"/>
              </w:rPr>
            </w:pPr>
            <w:r>
              <w:rPr>
                <w:rFonts w:hint="eastAsia" w:ascii="宋体" w:hAnsi="宋体" w:eastAsia="宋体" w:cs="宋体"/>
                <w:color w:val="000000"/>
                <w:szCs w:val="21"/>
                <w:u w:val="none"/>
                <w:lang w:val="en-US" w:eastAsia="zh-CN" w:bidi="ar"/>
              </w:rPr>
              <w:t>36.</w:t>
            </w:r>
            <w:r>
              <w:rPr>
                <w:rFonts w:hint="default" w:ascii="宋体" w:hAnsi="宋体" w:eastAsia="宋体" w:cs="宋体"/>
                <w:color w:val="000000"/>
                <w:szCs w:val="21"/>
                <w:u w:val="none"/>
                <w:lang w:bidi="ar"/>
              </w:rPr>
              <w:t>系统需支持预设公众号审批表模版，并可依据学校的实际审批表模版进行更改并导入系统。</w:t>
            </w:r>
          </w:p>
        </w:tc>
      </w:tr>
      <w:tr>
        <w:tblPrEx>
          <w:tblCellMar>
            <w:top w:w="0" w:type="dxa"/>
            <w:left w:w="108" w:type="dxa"/>
            <w:bottom w:w="0" w:type="dxa"/>
            <w:right w:w="108" w:type="dxa"/>
          </w:tblCellMar>
        </w:tblPrEx>
        <w:trPr>
          <w:trHeight w:val="484"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（三）</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采编发一体化协作平台</w:t>
            </w:r>
            <w:r>
              <w:rPr>
                <w:rFonts w:ascii="Arial" w:hAnsi="Arial" w:eastAsia="宋体" w:cs="Arial"/>
                <w:b/>
                <w:bCs/>
                <w:color w:val="000000"/>
                <w:szCs w:val="21"/>
                <w:u w:val="none"/>
                <w:lang w:bidi="ar"/>
              </w:rPr>
              <w:t>-</w:t>
            </w:r>
            <w:r>
              <w:rPr>
                <w:rFonts w:ascii="Arial" w:hAnsi="Arial" w:eastAsia="宋体" w:cs="Arial"/>
                <w:b/>
                <w:bCs/>
                <w:color w:val="000000"/>
                <w:szCs w:val="21"/>
                <w:u w:val="none"/>
                <w:lang w:bidi="ar"/>
              </w:rPr>
              <w:br w:type="textWrapping"/>
            </w:r>
            <w:r>
              <w:rPr>
                <w:rFonts w:hint="default" w:ascii="宋体" w:hAnsi="宋体" w:eastAsia="宋体" w:cs="宋体"/>
                <w:b/>
                <w:bCs/>
                <w:color w:val="000000"/>
                <w:szCs w:val="21"/>
                <w:u w:val="none"/>
                <w:lang w:bidi="ar"/>
              </w:rPr>
              <w:t>移动端</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w:t>
            </w:r>
            <w:r>
              <w:rPr>
                <w:rFonts w:hint="default" w:ascii="宋体" w:hAnsi="宋体" w:eastAsia="宋体" w:cs="宋体"/>
                <w:color w:val="000000"/>
                <w:szCs w:val="21"/>
                <w:u w:val="none"/>
                <w:lang w:bidi="ar"/>
              </w:rPr>
              <w:t>系统需支持通过手机端登录并进行页面适配，可根据用户权限，对待稿件进行处理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w:t>
            </w:r>
            <w:r>
              <w:rPr>
                <w:rFonts w:hint="default" w:ascii="宋体" w:hAnsi="宋体" w:eastAsia="宋体" w:cs="宋体"/>
                <w:color w:val="000000"/>
                <w:szCs w:val="21"/>
                <w:u w:val="none"/>
                <w:lang w:bidi="ar"/>
              </w:rPr>
              <w:t>系统需支持根据待处理、已处理进行查看，快速查看稿件信息，点击打开查看并处理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w:t>
            </w:r>
            <w:r>
              <w:rPr>
                <w:rFonts w:hint="default" w:ascii="宋体" w:hAnsi="宋体" w:eastAsia="宋体" w:cs="宋体"/>
                <w:color w:val="000000"/>
                <w:szCs w:val="21"/>
                <w:u w:val="none"/>
                <w:lang w:bidi="ar"/>
              </w:rPr>
              <w:t>系统需支持编写网站稿件，可插入图片、视频、音频，并可对正文进行撤销和恢复操作</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4.</w:t>
            </w:r>
            <w:r>
              <w:rPr>
                <w:rFonts w:hint="default" w:ascii="宋体" w:hAnsi="宋体" w:eastAsia="宋体" w:cs="宋体"/>
                <w:color w:val="000000"/>
                <w:szCs w:val="21"/>
                <w:u w:val="none"/>
                <w:lang w:bidi="ar"/>
              </w:rPr>
              <w:t>系统需支持设置稿件为正文稿件或者链接稿件</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Calibri" w:hAnsi="Calibri" w:eastAsia="宋体" w:cs="Times New Roman"/>
                <w:szCs w:val="22"/>
                <w:lang w:eastAsia="zh-CN" w:bidi="ar"/>
              </w:rPr>
            </w:pPr>
            <w:r>
              <w:rPr>
                <w:rFonts w:hint="eastAsia" w:ascii="宋体" w:hAnsi="宋体" w:eastAsia="宋体" w:cs="宋体"/>
                <w:color w:val="000000"/>
                <w:szCs w:val="21"/>
                <w:u w:val="none"/>
                <w:lang w:val="en-US" w:eastAsia="zh-CN" w:bidi="ar"/>
              </w:rPr>
              <w:t>5.</w:t>
            </w:r>
            <w:r>
              <w:rPr>
                <w:rFonts w:hint="default" w:ascii="宋体" w:hAnsi="宋体" w:eastAsia="宋体" w:cs="宋体"/>
                <w:color w:val="000000"/>
                <w:szCs w:val="21"/>
                <w:u w:val="none"/>
                <w:lang w:bidi="ar"/>
              </w:rPr>
              <w:t>系统需支持对正文进行全屏编辑，以提升小屏幕下的用户编写和查看体验</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6.</w:t>
            </w:r>
            <w:r>
              <w:rPr>
                <w:rFonts w:hint="default" w:ascii="宋体" w:hAnsi="宋体" w:eastAsia="宋体" w:cs="宋体"/>
                <w:color w:val="000000"/>
                <w:szCs w:val="21"/>
                <w:u w:val="none"/>
                <w:lang w:bidi="ar"/>
              </w:rPr>
              <w:t>系统需支持一键排版将文章快速修改为网站默认格式，样式发布效果应与PC端一致</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7.</w:t>
            </w:r>
            <w:r>
              <w:rPr>
                <w:rFonts w:hint="default" w:ascii="宋体" w:hAnsi="宋体" w:eastAsia="宋体" w:cs="宋体"/>
                <w:color w:val="000000"/>
                <w:szCs w:val="21"/>
                <w:u w:val="none"/>
                <w:lang w:bidi="ar"/>
              </w:rPr>
              <w:t>系统需支持上传封面图及从正文中选择封面图，并可在审核过程中对封面图进行更改替换</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8.</w:t>
            </w:r>
            <w:r>
              <w:rPr>
                <w:rFonts w:hint="default" w:ascii="宋体" w:hAnsi="宋体" w:eastAsia="宋体" w:cs="宋体"/>
                <w:color w:val="000000"/>
                <w:szCs w:val="21"/>
                <w:u w:val="none"/>
                <w:lang w:bidi="ar"/>
              </w:rPr>
              <w:t>系统需支持与PC端一致的网站扩展字段展示及设置</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9.</w:t>
            </w:r>
            <w:r>
              <w:rPr>
                <w:rFonts w:hint="default" w:ascii="宋体" w:hAnsi="宋体" w:eastAsia="宋体" w:cs="宋体"/>
                <w:color w:val="000000"/>
                <w:szCs w:val="21"/>
                <w:u w:val="none"/>
                <w:lang w:bidi="ar"/>
              </w:rPr>
              <w:t>系统需支持网站文章发布，选择需要发布的网站可查看网站文章列表，可对栏目进行筛选</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10.</w:t>
            </w:r>
            <w:r>
              <w:rPr>
                <w:rFonts w:hint="default" w:ascii="宋体" w:hAnsi="宋体" w:eastAsia="宋体" w:cs="宋体"/>
                <w:color w:val="000000"/>
                <w:szCs w:val="21"/>
                <w:u w:val="none"/>
                <w:lang w:bidi="ar"/>
              </w:rPr>
              <w:t>系统需支持按照审核中、发布、撤稿不同状态进行稿件查看，并可通过关键词对稿件进行搜索</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b/>
                <w:bCs/>
                <w:color w:val="000000"/>
                <w:kern w:val="0"/>
                <w:sz w:val="21"/>
                <w:szCs w:val="21"/>
                <w:lang w:eastAsia="zh-CN" w:bidi="ar"/>
              </w:rPr>
            </w:pPr>
            <w:r>
              <w:rPr>
                <w:rFonts w:hint="eastAsia" w:ascii="宋体" w:hAnsi="宋体" w:eastAsia="宋体" w:cs="宋体"/>
                <w:color w:val="000000"/>
                <w:kern w:val="0"/>
                <w:szCs w:val="21"/>
                <w:lang w:val="en-US" w:eastAsia="zh-CN" w:bidi="ar"/>
              </w:rPr>
              <w:t>11.</w:t>
            </w:r>
            <w:r>
              <w:rPr>
                <w:rFonts w:hint="eastAsia" w:ascii="宋体" w:hAnsi="宋体" w:eastAsia="宋体" w:cs="宋体"/>
                <w:color w:val="000000"/>
                <w:kern w:val="0"/>
                <w:szCs w:val="21"/>
                <w:lang w:bidi="ar"/>
              </w:rPr>
              <w:t>系统需支持与PC端审核流一致，支持多层级审核，自定义流程节点。支持稿件修改、打回，可以进行原因备注。审核人可以提交给下一级审核者，或者根据权限进行发布</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12.</w:t>
            </w:r>
            <w:r>
              <w:rPr>
                <w:rFonts w:hint="default" w:ascii="宋体" w:hAnsi="宋体" w:eastAsia="宋体" w:cs="宋体"/>
                <w:color w:val="000000"/>
                <w:szCs w:val="21"/>
                <w:u w:val="none"/>
                <w:lang w:bidi="ar"/>
              </w:rPr>
              <w:t>系统需支持查看稿件全流程记录，可查看每一个审核环节的操作人、操作时间及流程节点名称</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13.</w:t>
            </w:r>
            <w:r>
              <w:rPr>
                <w:rFonts w:hint="default" w:ascii="宋体" w:hAnsi="宋体" w:eastAsia="宋体" w:cs="宋体"/>
                <w:color w:val="000000"/>
                <w:szCs w:val="21"/>
                <w:u w:val="none"/>
                <w:lang w:bidi="ar"/>
              </w:rPr>
              <w:t>系统需支持同一篇文章可一键发布至不同的网站和栏目，并可分别设置封面图和是否置顶</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14.</w:t>
            </w:r>
            <w:r>
              <w:rPr>
                <w:rFonts w:hint="default" w:ascii="宋体" w:hAnsi="宋体" w:eastAsia="宋体" w:cs="宋体"/>
                <w:color w:val="000000"/>
                <w:szCs w:val="21"/>
                <w:u w:val="none"/>
                <w:lang w:bidi="ar"/>
              </w:rPr>
              <w:t>系统需支持切换登录部门，可查看个人基本信息，包括账号、姓名、联系方式、部门、角色等</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15.</w:t>
            </w:r>
            <w:r>
              <w:rPr>
                <w:rFonts w:hint="default" w:ascii="宋体" w:hAnsi="宋体" w:eastAsia="宋体" w:cs="宋体"/>
                <w:color w:val="000000"/>
                <w:szCs w:val="21"/>
                <w:u w:val="none"/>
                <w:lang w:bidi="ar"/>
              </w:rPr>
              <w:t>系统需具备对接学校企业微信、钉钉等移动办公平台的能力，以便通过办公平台登录系统</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16.</w:t>
            </w:r>
            <w:r>
              <w:rPr>
                <w:rFonts w:hint="eastAsia" w:ascii="宋体" w:hAnsi="宋体" w:eastAsia="宋体" w:cs="宋体"/>
                <w:color w:val="000000"/>
                <w:kern w:val="0"/>
                <w:szCs w:val="21"/>
                <w:lang w:bidi="ar"/>
              </w:rPr>
              <w:t>系统需支持通过移动端消息提醒机制，对稿件、网站发布等业务进行消息提醒。</w:t>
            </w:r>
          </w:p>
        </w:tc>
      </w:tr>
      <w:tr>
        <w:tblPrEx>
          <w:tblCellMar>
            <w:top w:w="0" w:type="dxa"/>
            <w:left w:w="108" w:type="dxa"/>
            <w:bottom w:w="0" w:type="dxa"/>
            <w:right w:w="108" w:type="dxa"/>
          </w:tblCellMar>
        </w:tblPrEx>
        <w:trPr>
          <w:trHeight w:val="1668"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（四）</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AI媒体资源库管理平台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Calibri" w:hAnsi="Calibri" w:eastAsia="宋体" w:cs="Times New Roman"/>
                <w:szCs w:val="22"/>
                <w:lang w:eastAsia="zh-CN" w:bidi="ar"/>
              </w:rPr>
            </w:pPr>
            <w:r>
              <w:rPr>
                <w:rFonts w:hint="eastAsia" w:ascii="宋体" w:hAnsi="宋体" w:eastAsia="宋体" w:cs="宋体"/>
                <w:color w:val="000000"/>
                <w:szCs w:val="21"/>
                <w:u w:val="none"/>
                <w:lang w:val="en-US" w:eastAsia="zh-CN" w:bidi="ar"/>
              </w:rPr>
              <w:t>1.</w:t>
            </w:r>
            <w:r>
              <w:rPr>
                <w:rFonts w:hint="default" w:ascii="宋体" w:hAnsi="宋体" w:eastAsia="宋体" w:cs="宋体"/>
                <w:color w:val="000000"/>
                <w:szCs w:val="21"/>
                <w:u w:val="none"/>
                <w:lang w:bidi="ar"/>
              </w:rPr>
              <w:t>系统需支持对宣传部各类媒体资源进行统一存储和管理，支持图片、视频、音频等多种媒体类型</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w:t>
            </w:r>
            <w:r>
              <w:rPr>
                <w:rFonts w:hint="default" w:ascii="宋体" w:hAnsi="宋体" w:eastAsia="宋体" w:cs="宋体"/>
                <w:color w:val="000000"/>
                <w:szCs w:val="21"/>
                <w:u w:val="none"/>
                <w:lang w:bidi="ar"/>
              </w:rPr>
              <w:t>系统需支持提供资源库首页，能够通过关键词快速查询资源库中的资源，能够根据类别标签快速筛选相关资源</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w:t>
            </w:r>
            <w:r>
              <w:rPr>
                <w:rFonts w:hint="default" w:ascii="宋体" w:hAnsi="宋体" w:eastAsia="宋体" w:cs="宋体"/>
                <w:color w:val="000000"/>
                <w:szCs w:val="21"/>
                <w:u w:val="none"/>
                <w:lang w:bidi="ar"/>
              </w:rPr>
              <w:t>系统需支持用户提交宣传素材，填写详细信息，包括主题、类别等，并且通过审核方可入库</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4.</w:t>
            </w:r>
            <w:r>
              <w:rPr>
                <w:rFonts w:hint="default" w:ascii="宋体" w:hAnsi="宋体" w:eastAsia="宋体" w:cs="宋体"/>
                <w:color w:val="000000"/>
                <w:szCs w:val="21"/>
                <w:u w:val="none"/>
                <w:lang w:bidi="ar"/>
              </w:rPr>
              <w:t>系统需支持通过上传文件及上传文件夹两种方式上传宣传素材</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5.</w:t>
            </w:r>
            <w:r>
              <w:rPr>
                <w:rFonts w:hint="default" w:ascii="宋体" w:hAnsi="宋体" w:eastAsia="宋体" w:cs="宋体"/>
                <w:color w:val="000000"/>
                <w:szCs w:val="21"/>
                <w:u w:val="none"/>
                <w:lang w:bidi="ar"/>
              </w:rPr>
              <w:t>系统需支持对单独的宣传素材资源进行信息设置，包括名称、拍摄时间、作者、人员信息及说明，以更灵活地进行素材管理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6.</w:t>
            </w:r>
            <w:r>
              <w:rPr>
                <w:rFonts w:hint="default" w:ascii="宋体" w:hAnsi="宋体" w:eastAsia="宋体" w:cs="宋体"/>
                <w:color w:val="000000"/>
                <w:szCs w:val="21"/>
                <w:u w:val="none"/>
                <w:lang w:bidi="ar"/>
              </w:rPr>
              <w:t>系统需支持快速将宣传素材同步给相关单位进行使用</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7.</w:t>
            </w:r>
            <w:r>
              <w:rPr>
                <w:rFonts w:hint="default" w:ascii="宋体" w:hAnsi="宋体" w:eastAsia="宋体" w:cs="宋体"/>
                <w:color w:val="000000"/>
                <w:szCs w:val="21"/>
                <w:u w:val="none"/>
                <w:lang w:bidi="ar"/>
              </w:rPr>
              <w:t>系统需支持按照文件夹分层形式对资源进行管理，并且可对文件及文件夹进行分享、下载、重命名等操作</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8.</w:t>
            </w:r>
            <w:r>
              <w:rPr>
                <w:rFonts w:hint="default" w:ascii="宋体" w:hAnsi="宋体" w:eastAsia="宋体" w:cs="宋体"/>
                <w:color w:val="000000"/>
                <w:szCs w:val="21"/>
                <w:u w:val="none"/>
                <w:lang w:bidi="ar"/>
              </w:rPr>
              <w:t>系统需支持按照名称、日期、大小对文件进行升序和降序展示，并支持按照大图、缩略图、列表、时光轴形式进行资源展示</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9.</w:t>
            </w:r>
            <w:r>
              <w:rPr>
                <w:rFonts w:hint="default" w:ascii="宋体" w:hAnsi="宋体" w:eastAsia="宋体" w:cs="宋体"/>
                <w:color w:val="000000"/>
                <w:szCs w:val="21"/>
                <w:u w:val="none"/>
                <w:lang w:bidi="ar"/>
              </w:rPr>
              <w:t>系统需支持对资源进行快速检索，可通过关键字对资源名称、资源标签进行单层及多层级搜索</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10.</w:t>
            </w:r>
            <w:r>
              <w:rPr>
                <w:rFonts w:hint="default" w:ascii="宋体" w:hAnsi="宋体" w:eastAsia="宋体" w:cs="宋体"/>
                <w:color w:val="000000"/>
                <w:szCs w:val="21"/>
                <w:u w:val="none"/>
                <w:lang w:bidi="ar"/>
              </w:rPr>
              <w:t>系统需支持通过浏览器上传本地文件、文件夹及压缩包，系统可实现对上传地压缩包自动解压并按照目录层级进行存储</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11.</w:t>
            </w:r>
            <w:r>
              <w:rPr>
                <w:rFonts w:hint="default" w:ascii="宋体" w:hAnsi="宋体" w:eastAsia="宋体" w:cs="宋体"/>
                <w:color w:val="000000"/>
                <w:szCs w:val="21"/>
                <w:u w:val="none"/>
                <w:lang w:bidi="ar"/>
              </w:rPr>
              <w:t>系统需支持按照图片、视频、音频、其他文件等资源分类方式，对不同类别的资源进行统一展示和管理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12.</w:t>
            </w:r>
            <w:r>
              <w:rPr>
                <w:rFonts w:hint="default" w:ascii="宋体" w:hAnsi="宋体" w:eastAsia="宋体" w:cs="宋体"/>
                <w:color w:val="000000"/>
                <w:szCs w:val="21"/>
                <w:u w:val="none"/>
                <w:lang w:bidi="ar"/>
              </w:rPr>
              <w:t>系统需支持文件删除后，进入回收站，到固定时间后自动清理，回收站内的内容可再恢复，也可彻底删除，可以清空回收站</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13.</w:t>
            </w:r>
            <w:r>
              <w:rPr>
                <w:rFonts w:hint="default" w:ascii="宋体" w:hAnsi="宋体" w:eastAsia="宋体" w:cs="宋体"/>
                <w:color w:val="000000"/>
                <w:szCs w:val="21"/>
                <w:u w:val="none"/>
                <w:lang w:bidi="ar"/>
              </w:rPr>
              <w:t>系统需支持按照关键字、来源单位、尺寸、格式、大小、视频时长等不同条件对资源进行筛选检索</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14.</w:t>
            </w:r>
            <w:r>
              <w:rPr>
                <w:rFonts w:hint="default" w:ascii="宋体" w:hAnsi="宋体" w:eastAsia="宋体" w:cs="宋体"/>
                <w:color w:val="000000"/>
                <w:szCs w:val="21"/>
                <w:u w:val="none"/>
                <w:lang w:bidi="ar"/>
              </w:rPr>
              <w:t>系统需支持查看资源的详细信息，包括名称、上传人、部门、上传时间、资源大小、存储路径等信息，可以对资源的标签进行单独设置，也可查看相关资源</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15.</w:t>
            </w:r>
            <w:r>
              <w:rPr>
                <w:rFonts w:hint="default" w:ascii="宋体" w:hAnsi="宋体" w:eastAsia="宋体" w:cs="宋体"/>
                <w:color w:val="000000"/>
                <w:szCs w:val="21"/>
                <w:u w:val="none"/>
                <w:lang w:bidi="ar"/>
              </w:rPr>
              <w:t>系统需支持管理员可对资源进行公开、半公开及不公开的设置，以便更精细化的对资源权限进行管理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16.</w:t>
            </w:r>
            <w:r>
              <w:rPr>
                <w:rFonts w:hint="default" w:ascii="宋体" w:hAnsi="宋体" w:eastAsia="宋体" w:cs="宋体"/>
                <w:color w:val="000000"/>
                <w:szCs w:val="21"/>
                <w:u w:val="none"/>
                <w:lang w:bidi="ar"/>
              </w:rPr>
              <w:t>系统需支持二级单位对半公开的资源提交申请，经由宣传部管理员审核通过之后，方可下载使用</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17.</w:t>
            </w:r>
            <w:r>
              <w:rPr>
                <w:rFonts w:hint="default" w:ascii="宋体" w:hAnsi="宋体" w:eastAsia="宋体" w:cs="宋体"/>
                <w:color w:val="000000"/>
                <w:szCs w:val="21"/>
                <w:u w:val="none"/>
                <w:lang w:bidi="ar"/>
              </w:rPr>
              <w:t>系统需支持查看个人上传、下载、收藏、分享的资源</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18.</w:t>
            </w:r>
            <w:r>
              <w:rPr>
                <w:rFonts w:hint="eastAsia" w:ascii="宋体" w:hAnsi="宋体" w:eastAsia="宋体" w:cs="宋体"/>
                <w:color w:val="000000"/>
                <w:kern w:val="0"/>
                <w:szCs w:val="21"/>
                <w:lang w:bidi="ar"/>
              </w:rPr>
              <w:t>系统需支持可进行系统标签的维护，包括标签名称、类型、颜色、排序信息，系统可自动进行各个标签的使用情况统计</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19.</w:t>
            </w:r>
            <w:r>
              <w:rPr>
                <w:rFonts w:hint="default" w:ascii="宋体" w:hAnsi="宋体" w:eastAsia="宋体" w:cs="宋体"/>
                <w:color w:val="000000"/>
                <w:szCs w:val="21"/>
                <w:u w:val="none"/>
                <w:lang w:bidi="ar"/>
              </w:rPr>
              <w:t>系统需支持对资源存储情况进行统计，可统计资源所占空间大小及不同资源的数量趋势</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20.</w:t>
            </w:r>
            <w:r>
              <w:rPr>
                <w:rFonts w:hint="default" w:ascii="宋体" w:hAnsi="宋体" w:eastAsia="宋体" w:cs="宋体"/>
                <w:color w:val="000000"/>
                <w:szCs w:val="21"/>
                <w:u w:val="none"/>
                <w:lang w:bidi="ar"/>
              </w:rPr>
              <w:t>系统需支持配置二级单位资源空间，可设置二级单位资源空间存储上限，设置资源公开权限，并可进行排序</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21.</w:t>
            </w:r>
            <w:r>
              <w:rPr>
                <w:rFonts w:hint="default" w:ascii="宋体" w:hAnsi="宋体" w:eastAsia="宋体" w:cs="宋体"/>
                <w:color w:val="000000"/>
                <w:szCs w:val="21"/>
                <w:u w:val="none"/>
                <w:lang w:bidi="ar"/>
              </w:rPr>
              <w:t>系统需支持对系统中已下载的资源进行统计，可按照下载次数对资源进行排序，同时提供资源的下载明细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22.</w:t>
            </w:r>
            <w:r>
              <w:rPr>
                <w:rFonts w:hint="default" w:ascii="宋体" w:hAnsi="宋体" w:eastAsia="宋体" w:cs="宋体"/>
                <w:color w:val="000000"/>
                <w:szCs w:val="21"/>
                <w:u w:val="none"/>
                <w:lang w:bidi="ar"/>
              </w:rPr>
              <w:t>系统需支持自定义资源存储路径，可对不同业务产生的资源进行固定路径配置，可按照年月日及部门信息自动生成文件存储路径</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b/>
                <w:bCs/>
                <w:color w:val="000000"/>
                <w:kern w:val="0"/>
                <w:sz w:val="21"/>
                <w:szCs w:val="21"/>
                <w:lang w:eastAsia="zh-CN" w:bidi="ar"/>
              </w:rPr>
            </w:pPr>
            <w:r>
              <w:rPr>
                <w:rFonts w:hint="eastAsia" w:ascii="宋体" w:hAnsi="宋体" w:eastAsia="宋体" w:cs="宋体"/>
                <w:color w:val="000000"/>
                <w:kern w:val="0"/>
                <w:szCs w:val="21"/>
                <w:lang w:val="en-US" w:eastAsia="zh-CN" w:bidi="ar"/>
              </w:rPr>
              <w:t>23.</w:t>
            </w:r>
            <w:r>
              <w:rPr>
                <w:rFonts w:hint="eastAsia" w:ascii="宋体" w:hAnsi="宋体" w:eastAsia="宋体" w:cs="宋体"/>
                <w:color w:val="000000"/>
                <w:kern w:val="0"/>
                <w:szCs w:val="21"/>
                <w:lang w:bidi="ar"/>
              </w:rPr>
              <w:t>系统需支持本地化的Windows资源上传助手客户端，可以对图片视频等资源进行上传，上传速度快，链接不易断开，可上传文件夹及大型文件，可批量上传，可断点续传</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24.</w:t>
            </w:r>
            <w:r>
              <w:rPr>
                <w:rFonts w:hint="default" w:ascii="宋体" w:hAnsi="宋体" w:eastAsia="宋体" w:cs="宋体"/>
                <w:color w:val="000000"/>
                <w:szCs w:val="21"/>
                <w:u w:val="none"/>
                <w:lang w:bidi="ar"/>
              </w:rPr>
              <w:t>系统需支持Windows客户端查看资源上传列表，及各项资源上传过程和结果</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25.</w:t>
            </w:r>
            <w:r>
              <w:rPr>
                <w:rFonts w:hint="default" w:ascii="宋体" w:hAnsi="宋体" w:eastAsia="宋体" w:cs="宋体"/>
                <w:color w:val="000000"/>
                <w:szCs w:val="21"/>
                <w:u w:val="none"/>
                <w:lang w:bidi="ar"/>
              </w:rPr>
              <w:t>系统需提供资源上传助手软件相关著作权</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26.</w:t>
            </w:r>
            <w:r>
              <w:rPr>
                <w:rFonts w:hint="eastAsia" w:ascii="宋体" w:hAnsi="宋体" w:eastAsia="宋体" w:cs="宋体"/>
                <w:color w:val="000000"/>
                <w:kern w:val="0"/>
                <w:szCs w:val="21"/>
                <w:lang w:bidi="ar"/>
              </w:rPr>
              <w:t>系统需支持对宣传部线下的历史图片和视频资源，按照统一规则迁移至资源平台</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27.</w:t>
            </w:r>
            <w:r>
              <w:rPr>
                <w:rFonts w:hint="eastAsia" w:ascii="宋体" w:hAnsi="宋体" w:eastAsia="宋体" w:cs="宋体"/>
                <w:color w:val="000000"/>
                <w:kern w:val="0"/>
                <w:szCs w:val="21"/>
                <w:lang w:bidi="ar"/>
              </w:rPr>
              <w:t>系统需支持按照学校要求的资源层级径规则，在资源平台中对迁移的资源进行存储和管理。</w:t>
            </w:r>
          </w:p>
        </w:tc>
      </w:tr>
      <w:tr>
        <w:tblPrEx>
          <w:tblCellMar>
            <w:top w:w="0" w:type="dxa"/>
            <w:left w:w="108" w:type="dxa"/>
            <w:bottom w:w="0" w:type="dxa"/>
            <w:right w:w="108" w:type="dxa"/>
          </w:tblCellMar>
        </w:tblPrEx>
        <w:trPr>
          <w:trHeight w:val="2934"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lef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（五）</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AI工具集成-</w:t>
            </w:r>
            <w:r>
              <w:rPr>
                <w:rFonts w:hint="eastAsia" w:ascii="宋体" w:hAnsi="宋体" w:eastAsia="宋体" w:cs="宋体"/>
                <w:b/>
                <w:bCs/>
                <w:color w:val="000000"/>
                <w:kern w:val="0"/>
                <w:szCs w:val="21"/>
                <w:lang w:bidi="ar"/>
              </w:rPr>
              <w:br w:type="textWrapping"/>
            </w:r>
            <w:r>
              <w:rPr>
                <w:rFonts w:hint="eastAsia" w:ascii="宋体" w:hAnsi="宋体" w:eastAsia="宋体" w:cs="宋体"/>
                <w:b/>
                <w:bCs/>
                <w:color w:val="000000"/>
                <w:kern w:val="0"/>
                <w:szCs w:val="21"/>
                <w:lang w:bidi="ar"/>
              </w:rPr>
              <w:t>AI-AIGC写稿助手系统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w:t>
            </w:r>
            <w:r>
              <w:rPr>
                <w:rFonts w:hint="eastAsia" w:ascii="宋体" w:hAnsi="宋体" w:eastAsia="宋体" w:cs="宋体"/>
                <w:color w:val="000000"/>
                <w:kern w:val="0"/>
                <w:szCs w:val="21"/>
                <w:lang w:bidi="ar"/>
              </w:rPr>
              <w:t>系统需支持接入 AI大模型，为智能写稿提供基础模型保障</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2.</w:t>
            </w:r>
            <w:r>
              <w:rPr>
                <w:rFonts w:hint="eastAsia" w:ascii="宋体" w:hAnsi="宋体" w:eastAsia="宋体" w:cs="宋体"/>
                <w:color w:val="000000"/>
                <w:kern w:val="0"/>
                <w:szCs w:val="21"/>
                <w:lang w:bidi="ar"/>
              </w:rPr>
              <w:t>系统需支持在网站编辑器中嵌入AI写稿助手，实现编辑器正文与AI的互动</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3.</w:t>
            </w:r>
            <w:r>
              <w:rPr>
                <w:rFonts w:hint="eastAsia" w:ascii="宋体" w:hAnsi="宋体" w:eastAsia="宋体" w:cs="宋体"/>
                <w:color w:val="000000"/>
                <w:kern w:val="0"/>
                <w:szCs w:val="21"/>
                <w:lang w:bidi="ar"/>
              </w:rPr>
              <w:t>系统需支持通过对话形式，与写稿助手进行互动问答，并实现多轮问答</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4.</w:t>
            </w:r>
            <w:r>
              <w:rPr>
                <w:rFonts w:hint="eastAsia" w:ascii="宋体" w:hAnsi="宋体" w:eastAsia="宋体" w:cs="宋体"/>
                <w:color w:val="000000"/>
                <w:kern w:val="0"/>
                <w:szCs w:val="21"/>
                <w:lang w:bidi="ar"/>
              </w:rPr>
              <w:t>系统需支持通过上传领导讲话稿直接生成新闻文章，并对文章进行对话修改</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5.</w:t>
            </w:r>
            <w:r>
              <w:rPr>
                <w:rFonts w:hint="eastAsia" w:ascii="宋体" w:hAnsi="宋体" w:eastAsia="宋体" w:cs="宋体"/>
                <w:color w:val="000000"/>
                <w:kern w:val="0"/>
                <w:szCs w:val="21"/>
                <w:lang w:bidi="ar"/>
              </w:rPr>
              <w:t>系统需支持根据文章内容智能生成标题和新闻摘要</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6.</w:t>
            </w:r>
            <w:r>
              <w:rPr>
                <w:rFonts w:hint="eastAsia" w:ascii="宋体" w:hAnsi="宋体" w:eastAsia="宋体" w:cs="宋体"/>
                <w:color w:val="000000"/>
                <w:kern w:val="0"/>
                <w:szCs w:val="21"/>
                <w:lang w:bidi="ar"/>
              </w:rPr>
              <w:t>系统需支持利用大模型自身能力实现AI纠错</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7.</w:t>
            </w:r>
            <w:r>
              <w:rPr>
                <w:rFonts w:hint="eastAsia" w:ascii="宋体" w:hAnsi="宋体" w:eastAsia="宋体" w:cs="宋体"/>
                <w:color w:val="000000"/>
                <w:kern w:val="0"/>
                <w:szCs w:val="21"/>
                <w:lang w:bidi="ar"/>
              </w:rPr>
              <w:t>系统需支持以知识库的形式对已发布文章进行调用，使生成的内容更符合学校新闻写作要求</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8.</w:t>
            </w:r>
            <w:r>
              <w:rPr>
                <w:rFonts w:hint="eastAsia" w:ascii="宋体" w:hAnsi="宋体" w:eastAsia="宋体" w:cs="宋体"/>
                <w:color w:val="000000"/>
                <w:kern w:val="0"/>
                <w:szCs w:val="21"/>
                <w:lang w:bidi="ar"/>
              </w:rPr>
              <w:t>系统应支持大模型的思考过程，以便对生成内容的方向与思路更好的把握</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9.</w:t>
            </w:r>
            <w:r>
              <w:rPr>
                <w:rFonts w:hint="eastAsia" w:ascii="宋体" w:hAnsi="宋体" w:eastAsia="宋体" w:cs="宋体"/>
                <w:color w:val="000000"/>
                <w:kern w:val="0"/>
                <w:szCs w:val="21"/>
                <w:lang w:bidi="ar"/>
              </w:rPr>
              <w:t>系统应支持将大模型生成的内容一键复制，以方便在系统外部使用</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10.</w:t>
            </w:r>
            <w:r>
              <w:rPr>
                <w:rFonts w:hint="eastAsia" w:ascii="宋体" w:hAnsi="宋体" w:eastAsia="宋体" w:cs="宋体"/>
                <w:color w:val="000000"/>
                <w:kern w:val="0"/>
                <w:szCs w:val="21"/>
                <w:lang w:bidi="ar"/>
              </w:rPr>
              <w:t>系统应支持调用云端大模型，不依赖于本地服务器，以节约资源。</w:t>
            </w:r>
          </w:p>
        </w:tc>
      </w:tr>
      <w:tr>
        <w:tblPrEx>
          <w:tblCellMar>
            <w:top w:w="0" w:type="dxa"/>
            <w:left w:w="108" w:type="dxa"/>
            <w:bottom w:w="0" w:type="dxa"/>
            <w:right w:w="108" w:type="dxa"/>
          </w:tblCellMar>
        </w:tblPrEx>
        <w:trPr>
          <w:trHeight w:val="459"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lef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（六））</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AI工具集成一</w:t>
            </w:r>
            <w:r>
              <w:rPr>
                <w:rFonts w:hint="eastAsia" w:ascii="宋体" w:hAnsi="宋体" w:eastAsia="宋体" w:cs="宋体"/>
                <w:b/>
                <w:bCs/>
                <w:color w:val="000000"/>
                <w:kern w:val="0"/>
                <w:szCs w:val="21"/>
                <w:lang w:bidi="ar"/>
              </w:rPr>
              <w:br w:type="textWrapping"/>
            </w:r>
            <w:r>
              <w:rPr>
                <w:rFonts w:hint="eastAsia" w:ascii="宋体" w:hAnsi="宋体" w:eastAsia="宋体" w:cs="宋体"/>
                <w:b/>
                <w:bCs/>
                <w:color w:val="000000"/>
                <w:kern w:val="0"/>
                <w:szCs w:val="21"/>
                <w:lang w:bidi="ar"/>
              </w:rPr>
              <w:t>AI资源库服务系统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w:t>
            </w:r>
            <w:r>
              <w:rPr>
                <w:rFonts w:hint="eastAsia" w:ascii="宋体" w:hAnsi="宋体" w:eastAsia="宋体" w:cs="宋体"/>
                <w:color w:val="000000"/>
                <w:kern w:val="0"/>
                <w:szCs w:val="21"/>
                <w:lang w:bidi="ar"/>
              </w:rPr>
              <w:t>系统需支持接入AI大模型对图片、文档进行解析，自动标注并构建动态编目体系</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2.</w:t>
            </w:r>
            <w:r>
              <w:rPr>
                <w:rFonts w:hint="eastAsia" w:ascii="宋体" w:hAnsi="宋体" w:eastAsia="宋体" w:cs="宋体"/>
                <w:color w:val="000000"/>
                <w:kern w:val="0"/>
                <w:szCs w:val="21"/>
                <w:lang w:bidi="ar"/>
              </w:rPr>
              <w:t>系统需支持通过AI对话模式对资源进行查找和使用，通过自然语言即可找到目标资源</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3.</w:t>
            </w:r>
            <w:r>
              <w:rPr>
                <w:rFonts w:hint="eastAsia" w:ascii="宋体" w:hAnsi="宋体" w:eastAsia="宋体" w:cs="宋体"/>
                <w:color w:val="000000"/>
                <w:kern w:val="0"/>
                <w:szCs w:val="21"/>
                <w:lang w:bidi="ar"/>
              </w:rPr>
              <w:t>系统需支持通过智能体快速查找如会议、美食、风景等资源素材</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4.</w:t>
            </w:r>
            <w:r>
              <w:rPr>
                <w:rFonts w:hint="eastAsia" w:ascii="宋体" w:hAnsi="宋体" w:eastAsia="宋体" w:cs="宋体"/>
                <w:color w:val="000000"/>
                <w:kern w:val="0"/>
                <w:szCs w:val="21"/>
                <w:lang w:bidi="ar"/>
              </w:rPr>
              <w:t>系统需支持对于智能查找的图片以图片集合的方式呈现，能够快速浏览，并对各个资源进行查看和使用</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5.</w:t>
            </w:r>
            <w:r>
              <w:rPr>
                <w:rFonts w:hint="eastAsia" w:ascii="宋体" w:hAnsi="宋体" w:eastAsia="宋体" w:cs="宋体"/>
                <w:color w:val="000000"/>
                <w:kern w:val="0"/>
                <w:szCs w:val="21"/>
                <w:lang w:bidi="ar"/>
              </w:rPr>
              <w:t>系统需支持对各个资源进行AI解析，能够对资源进行AI描述，以更好地对资源进行检索和分析</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6.</w:t>
            </w:r>
            <w:r>
              <w:rPr>
                <w:rFonts w:hint="eastAsia" w:ascii="宋体" w:hAnsi="宋体" w:eastAsia="宋体" w:cs="宋体"/>
                <w:color w:val="000000"/>
                <w:kern w:val="0"/>
                <w:szCs w:val="21"/>
                <w:lang w:bidi="ar"/>
              </w:rPr>
              <w:t>系统需支持上传图片，并对图片的图像视觉特征进行提取分析，通过图片比对，寻找相似图、原图、人物图等</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7.</w:t>
            </w:r>
            <w:r>
              <w:rPr>
                <w:rFonts w:hint="eastAsia" w:ascii="宋体" w:hAnsi="宋体" w:eastAsia="宋体" w:cs="宋体"/>
                <w:color w:val="000000"/>
                <w:kern w:val="0"/>
                <w:szCs w:val="21"/>
                <w:lang w:bidi="ar"/>
              </w:rPr>
              <w:t>系统需支持自动检测资源库中图片的人物面部信息，形成人脸聚合清单，供管理人员进行人物标记，建立人脸信息库</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8.</w:t>
            </w:r>
            <w:r>
              <w:rPr>
                <w:rFonts w:hint="eastAsia" w:ascii="宋体" w:hAnsi="宋体" w:eastAsia="宋体" w:cs="宋体"/>
                <w:color w:val="000000"/>
                <w:kern w:val="0"/>
                <w:szCs w:val="21"/>
                <w:lang w:bidi="ar"/>
              </w:rPr>
              <w:t>系统需支持通过大模型对资源进行深度理解，通过自然语言从多维度对资源进行查找和筛选过滤。</w:t>
            </w:r>
          </w:p>
        </w:tc>
      </w:tr>
      <w:tr>
        <w:tblPrEx>
          <w:tblCellMar>
            <w:top w:w="0" w:type="dxa"/>
            <w:left w:w="108" w:type="dxa"/>
            <w:bottom w:w="0" w:type="dxa"/>
            <w:right w:w="108" w:type="dxa"/>
          </w:tblCellMar>
        </w:tblPrEx>
        <w:trPr>
          <w:trHeight w:val="5124"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lef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（七）</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color w:val="000000"/>
                <w:kern w:val="0"/>
                <w:szCs w:val="21"/>
                <w:lang w:bidi="ar"/>
              </w:rPr>
            </w:pPr>
            <w:r>
              <w:rPr>
                <w:rFonts w:hint="eastAsia" w:ascii="宋体" w:hAnsi="宋体" w:eastAsia="宋体" w:cs="Times New Roman"/>
                <w:b/>
                <w:bCs/>
                <w:szCs w:val="21"/>
              </w:rPr>
              <w:t>文化驾驶舱可视化大屏系统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w:t>
            </w:r>
            <w:r>
              <w:rPr>
                <w:rFonts w:hint="eastAsia" w:ascii="宋体" w:hAnsi="宋体" w:eastAsia="宋体" w:cs="宋体"/>
                <w:color w:val="000000"/>
                <w:kern w:val="0"/>
                <w:szCs w:val="21"/>
                <w:lang w:bidi="ar"/>
              </w:rPr>
              <w:t>系统需支持以1920×1080的高清分辨率设计，支持在各种普通显示屏中很好地兼容展现</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2.</w:t>
            </w:r>
            <w:r>
              <w:rPr>
                <w:rFonts w:hint="eastAsia" w:ascii="宋体" w:hAnsi="宋体" w:eastAsia="宋体" w:cs="宋体"/>
                <w:color w:val="000000"/>
                <w:kern w:val="0"/>
                <w:szCs w:val="21"/>
                <w:lang w:bidi="ar"/>
              </w:rPr>
              <w:t>系统需支持提供整体的数据汇总展示，显示媒体发文量</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3.</w:t>
            </w:r>
            <w:r>
              <w:rPr>
                <w:rFonts w:hint="eastAsia" w:ascii="宋体" w:hAnsi="宋体" w:eastAsia="宋体" w:cs="宋体"/>
                <w:color w:val="000000"/>
                <w:kern w:val="0"/>
                <w:szCs w:val="21"/>
                <w:lang w:bidi="ar"/>
              </w:rPr>
              <w:t>系统需支持指定的宣传视频资源在大屏进行动态可视化播放，提升展现效果</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4.</w:t>
            </w:r>
            <w:r>
              <w:rPr>
                <w:rFonts w:hint="eastAsia" w:ascii="宋体" w:hAnsi="宋体" w:eastAsia="宋体" w:cs="宋体"/>
                <w:color w:val="000000"/>
                <w:kern w:val="0"/>
                <w:szCs w:val="21"/>
                <w:lang w:bidi="ar"/>
              </w:rPr>
              <w:t>系统需支持展示公众号、微博、抖音阅读量，发稿量、传播指数等数据，可以展示热文的排行，可用趋势图，展示访问量趋势</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5.</w:t>
            </w:r>
            <w:r>
              <w:rPr>
                <w:rFonts w:hint="eastAsia" w:ascii="宋体" w:hAnsi="宋体" w:eastAsia="宋体" w:cs="宋体"/>
                <w:color w:val="000000"/>
                <w:kern w:val="0"/>
                <w:szCs w:val="21"/>
                <w:lang w:bidi="ar"/>
              </w:rPr>
              <w:t>系统需支持根据传播数据，将媒体热文进行排行展示</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6.</w:t>
            </w:r>
            <w:r>
              <w:rPr>
                <w:rFonts w:hint="eastAsia" w:ascii="宋体" w:hAnsi="宋体" w:eastAsia="宋体" w:cs="宋体"/>
                <w:color w:val="000000"/>
                <w:kern w:val="0"/>
                <w:szCs w:val="21"/>
                <w:lang w:bidi="ar"/>
              </w:rPr>
              <w:t>系统需支持对公众号、微博、抖音媒体数据的采集、展示</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7.</w:t>
            </w:r>
            <w:r>
              <w:rPr>
                <w:rFonts w:hint="eastAsia" w:ascii="宋体" w:hAnsi="宋体" w:eastAsia="宋体" w:cs="宋体"/>
                <w:color w:val="000000"/>
                <w:kern w:val="0"/>
                <w:szCs w:val="21"/>
                <w:lang w:bidi="ar"/>
              </w:rPr>
              <w:t>系统需支持对数据利用曲线图或折线图等形式进行表现，达到更为直观的数据及数据趋势展现效果</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8.</w:t>
            </w:r>
            <w:r>
              <w:rPr>
                <w:rFonts w:hint="eastAsia" w:ascii="宋体" w:hAnsi="宋体" w:eastAsia="宋体" w:cs="宋体"/>
                <w:color w:val="000000"/>
                <w:kern w:val="0"/>
                <w:szCs w:val="21"/>
                <w:lang w:bidi="ar"/>
              </w:rPr>
              <w:t>系统需支持对学校官网指定栏目文章进行采集，并在大屏进行数据展示</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9.</w:t>
            </w:r>
            <w:r>
              <w:rPr>
                <w:rFonts w:hint="eastAsia" w:ascii="宋体" w:hAnsi="宋体" w:eastAsia="宋体" w:cs="宋体"/>
                <w:color w:val="000000"/>
                <w:kern w:val="0"/>
                <w:szCs w:val="21"/>
                <w:lang w:bidi="ar"/>
              </w:rPr>
              <w:t>系统需支持对学校微信公众号发布的文章及互动数据进行采集，并在系统进行数据展示</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10.</w:t>
            </w:r>
            <w:r>
              <w:rPr>
                <w:rFonts w:hint="eastAsia" w:ascii="宋体" w:hAnsi="宋体" w:eastAsia="宋体" w:cs="宋体"/>
                <w:color w:val="000000"/>
                <w:kern w:val="0"/>
                <w:szCs w:val="21"/>
                <w:lang w:bidi="ar"/>
              </w:rPr>
              <w:t>系统需支持对学校官方微博发布的内容及互动数据进行采集，并在系统进行数据展示</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11.</w:t>
            </w:r>
            <w:r>
              <w:rPr>
                <w:rFonts w:hint="eastAsia" w:ascii="宋体" w:hAnsi="宋体" w:eastAsia="宋体" w:cs="宋体"/>
                <w:color w:val="000000"/>
                <w:kern w:val="0"/>
                <w:szCs w:val="21"/>
                <w:lang w:bidi="ar"/>
              </w:rPr>
              <w:t>系统支持对学校官方抖音账号内容及互动数据进行采集，并在系统进行数据展示</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12.</w:t>
            </w:r>
            <w:r>
              <w:rPr>
                <w:rFonts w:hint="eastAsia" w:ascii="宋体" w:hAnsi="宋体" w:eastAsia="宋体" w:cs="宋体"/>
                <w:color w:val="000000"/>
                <w:kern w:val="0"/>
                <w:szCs w:val="21"/>
                <w:lang w:bidi="ar"/>
              </w:rPr>
              <w:t>系统需支持在大屏上展示采集到的网站文章的标题及封面图，并可点击打开文章查看内容</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13.</w:t>
            </w:r>
            <w:r>
              <w:rPr>
                <w:rFonts w:hint="eastAsia" w:ascii="宋体" w:hAnsi="宋体" w:eastAsia="宋体" w:cs="宋体"/>
                <w:color w:val="000000"/>
                <w:kern w:val="0"/>
                <w:szCs w:val="21"/>
                <w:lang w:bidi="ar"/>
              </w:rPr>
              <w:t>系统需支持在大屏上展示采集到的公众号文章的标题、阅读数、点赞数、在看数，并可打开文章查看内容</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14.</w:t>
            </w:r>
            <w:r>
              <w:rPr>
                <w:rFonts w:hint="eastAsia" w:ascii="宋体" w:hAnsi="宋体" w:eastAsia="宋体" w:cs="宋体"/>
                <w:color w:val="000000"/>
                <w:kern w:val="0"/>
                <w:szCs w:val="21"/>
                <w:lang w:bidi="ar"/>
              </w:rPr>
              <w:t>系统需支持在大屏上展示采集到的微博内容及点赞数、转发数、评论数，并可打开内容进行查看</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15.</w:t>
            </w:r>
            <w:r>
              <w:rPr>
                <w:rFonts w:hint="eastAsia" w:ascii="宋体" w:hAnsi="宋体" w:eastAsia="宋体" w:cs="宋体"/>
                <w:color w:val="000000"/>
                <w:kern w:val="0"/>
                <w:szCs w:val="21"/>
                <w:lang w:bidi="ar"/>
              </w:rPr>
              <w:t>系统需支持在大屏上展示采集的抖音的视频，并且可以进行滚动播放</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16.</w:t>
            </w:r>
            <w:r>
              <w:rPr>
                <w:rFonts w:hint="eastAsia" w:ascii="宋体" w:hAnsi="宋体" w:eastAsia="宋体" w:cs="宋体"/>
                <w:color w:val="000000"/>
                <w:kern w:val="0"/>
                <w:szCs w:val="21"/>
                <w:lang w:bidi="ar"/>
              </w:rPr>
              <w:t>系统需支持采集微信公众号、微博、抖音的粉丝数量，并在大屏上展示。</w:t>
            </w:r>
          </w:p>
        </w:tc>
      </w:tr>
      <w:tr>
        <w:tblPrEx>
          <w:tblCellMar>
            <w:top w:w="0" w:type="dxa"/>
            <w:left w:w="108" w:type="dxa"/>
            <w:bottom w:w="0" w:type="dxa"/>
            <w:right w:w="108" w:type="dxa"/>
          </w:tblCellMar>
        </w:tblPrEx>
        <w:trPr>
          <w:trHeight w:val="90" w:hRule="atLeast"/>
        </w:trPr>
        <w:tc>
          <w:tcPr>
            <w:tcW w:w="2270" w:type="dxa"/>
            <w:gridSpan w:val="2"/>
            <w:tcBorders>
              <w:top w:val="single" w:color="000000" w:sz="4" w:space="0"/>
              <w:left w:val="single" w:color="000000" w:sz="4" w:space="0"/>
              <w:bottom w:val="single" w:color="auto" w:sz="4" w:space="0"/>
              <w:right w:val="single" w:color="000000" w:sz="4" w:space="0"/>
            </w:tcBorders>
            <w:vAlign w:val="center"/>
          </w:tcPr>
          <w:p>
            <w:pPr>
              <w:widowControl/>
              <w:spacing w:line="360" w:lineRule="auto"/>
              <w:jc w:val="center"/>
              <w:rPr>
                <w:rFonts w:ascii="宋体" w:hAnsi="宋体" w:eastAsia="宋体" w:cs="Times New Roman"/>
                <w:b/>
                <w:bCs/>
                <w:szCs w:val="21"/>
              </w:rPr>
            </w:pPr>
            <w:r>
              <w:rPr>
                <w:rFonts w:hint="eastAsia" w:ascii="宋体" w:hAnsi="宋体" w:eastAsia="宋体" w:cs="宋体"/>
                <w:b/>
                <w:bCs/>
                <w:color w:val="000000"/>
                <w:kern w:val="0"/>
                <w:szCs w:val="21"/>
                <w:lang w:bidi="ar"/>
              </w:rPr>
              <w:t>八</w:t>
            </w:r>
          </w:p>
        </w:tc>
        <w:tc>
          <w:tcPr>
            <w:tcW w:w="6671"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舆情监测、分析、统计系统</w:t>
            </w:r>
          </w:p>
        </w:tc>
      </w:tr>
      <w:tr>
        <w:tblPrEx>
          <w:tblCellMar>
            <w:top w:w="0" w:type="dxa"/>
            <w:left w:w="108" w:type="dxa"/>
            <w:bottom w:w="0" w:type="dxa"/>
            <w:right w:w="108" w:type="dxa"/>
          </w:tblCellMar>
        </w:tblPrEx>
        <w:trPr>
          <w:trHeight w:val="1095" w:hRule="atLeast"/>
        </w:trPr>
        <w:tc>
          <w:tcPr>
            <w:tcW w:w="9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bCs/>
                <w:color w:val="000000"/>
                <w:kern w:val="0"/>
                <w:szCs w:val="21"/>
                <w:lang w:bidi="ar"/>
              </w:rPr>
            </w:pPr>
            <w:r>
              <w:rPr>
                <w:rFonts w:hint="eastAsia" w:ascii="宋体" w:hAnsi="宋体" w:eastAsia="宋体" w:cs="Times New Roman"/>
                <w:sz w:val="24"/>
                <w:szCs w:val="24"/>
              </w:rPr>
              <w:t>1</w:t>
            </w:r>
          </w:p>
        </w:tc>
        <w:tc>
          <w:tcPr>
            <w:tcW w:w="135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Times New Roman"/>
                <w:szCs w:val="21"/>
              </w:rPr>
            </w:pPr>
            <w:r>
              <w:rPr>
                <w:rFonts w:hint="eastAsia" w:ascii="宋体" w:hAnsi="宋体" w:eastAsia="宋体" w:cs="宋体"/>
                <w:color w:val="000000"/>
                <w:kern w:val="0"/>
                <w:szCs w:val="21"/>
                <w:lang w:bidi="ar"/>
              </w:rPr>
              <w:t>全网信息采集</w:t>
            </w:r>
          </w:p>
        </w:tc>
        <w:tc>
          <w:tcPr>
            <w:tcW w:w="66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覆盖社交媒体（如微博、微信、抖音、快手等）、新闻网站、论坛、博客、视频平台等主流渠道</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实现7×24小时不间断采集文本、图片、音视频等多模态数据</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color w:val="000000"/>
                <w:kern w:val="0"/>
                <w:szCs w:val="21"/>
                <w:lang w:eastAsia="zh-CN" w:bidi="ar"/>
              </w:rPr>
            </w:pPr>
            <w:r>
              <w:rPr>
                <w:rFonts w:hint="eastAsia" w:ascii="宋体" w:hAnsi="宋体" w:eastAsia="宋体" w:cs="宋体"/>
                <w:szCs w:val="21"/>
                <w:lang w:val="en-US" w:eastAsia="zh-CN"/>
              </w:rPr>
              <w:t>3.</w:t>
            </w:r>
            <w:r>
              <w:rPr>
                <w:rFonts w:hint="eastAsia" w:ascii="宋体" w:hAnsi="宋体" w:eastAsia="宋体" w:cs="宋体"/>
                <w:szCs w:val="21"/>
              </w:rPr>
              <w:t>支持定向监测指定信源（如特定账号、网站、地域范围），无需手动设置关键词即可获取最新信息</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90" w:hRule="atLeast"/>
        </w:trPr>
        <w:tc>
          <w:tcPr>
            <w:tcW w:w="9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bCs/>
                <w:color w:val="000000"/>
                <w:kern w:val="0"/>
                <w:szCs w:val="21"/>
                <w:lang w:bidi="ar"/>
              </w:rPr>
            </w:pPr>
            <w:r>
              <w:rPr>
                <w:rFonts w:hint="eastAsia" w:ascii="宋体" w:hAnsi="宋体" w:eastAsia="宋体" w:cs="Times New Roman"/>
                <w:sz w:val="24"/>
                <w:szCs w:val="24"/>
              </w:rPr>
              <w:t>2</w:t>
            </w:r>
          </w:p>
        </w:tc>
        <w:tc>
          <w:tcPr>
            <w:tcW w:w="135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Times New Roman"/>
                <w:szCs w:val="21"/>
              </w:rPr>
            </w:pPr>
            <w:r>
              <w:rPr>
                <w:rFonts w:hint="eastAsia" w:ascii="宋体" w:hAnsi="宋体" w:eastAsia="宋体" w:cs="宋体"/>
                <w:color w:val="000000"/>
                <w:kern w:val="0"/>
                <w:szCs w:val="21"/>
                <w:lang w:bidi="ar"/>
              </w:rPr>
              <w:t>敏感信息识别与预警</w:t>
            </w:r>
          </w:p>
        </w:tc>
        <w:tc>
          <w:tcPr>
            <w:tcW w:w="66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内置敏感词库，支持自定义关键词、短语及语义规则，实时检测敏感内容（如涉政、涉黄、涉暴、侵权等）</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color w:val="000000"/>
                <w:kern w:val="0"/>
                <w:szCs w:val="21"/>
                <w:lang w:bidi="ar"/>
              </w:rPr>
            </w:pPr>
            <w:r>
              <w:rPr>
                <w:rFonts w:hint="eastAsia" w:ascii="宋体" w:hAnsi="宋体" w:eastAsia="宋体" w:cs="宋体"/>
                <w:szCs w:val="21"/>
                <w:lang w:val="en-US" w:eastAsia="zh-CN"/>
              </w:rPr>
              <w:t>2.</w:t>
            </w:r>
            <w:r>
              <w:rPr>
                <w:rFonts w:hint="eastAsia" w:ascii="宋体" w:hAnsi="宋体" w:eastAsia="宋体" w:cs="宋体"/>
                <w:szCs w:val="21"/>
              </w:rPr>
              <w:t>分析内容情感倾向、风险等级，触发预警时通过微信、短信、邮件、弹窗等多渠道实时通知用户。</w:t>
            </w:r>
          </w:p>
        </w:tc>
      </w:tr>
      <w:tr>
        <w:tblPrEx>
          <w:tblCellMar>
            <w:top w:w="0" w:type="dxa"/>
            <w:left w:w="108" w:type="dxa"/>
            <w:bottom w:w="0" w:type="dxa"/>
            <w:right w:w="108" w:type="dxa"/>
          </w:tblCellMar>
        </w:tblPrEx>
        <w:trPr>
          <w:trHeight w:val="1179" w:hRule="atLeast"/>
        </w:trPr>
        <w:tc>
          <w:tcPr>
            <w:tcW w:w="9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bCs/>
                <w:color w:val="000000"/>
                <w:kern w:val="0"/>
                <w:szCs w:val="21"/>
                <w:lang w:bidi="ar"/>
              </w:rPr>
            </w:pPr>
            <w:r>
              <w:rPr>
                <w:rFonts w:hint="eastAsia" w:ascii="宋体" w:hAnsi="宋体" w:eastAsia="宋体" w:cs="Times New Roman"/>
                <w:sz w:val="24"/>
                <w:szCs w:val="24"/>
              </w:rPr>
              <w:t>3</w:t>
            </w:r>
          </w:p>
        </w:tc>
        <w:tc>
          <w:tcPr>
            <w:tcW w:w="135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Times New Roman"/>
                <w:szCs w:val="21"/>
              </w:rPr>
            </w:pPr>
            <w:r>
              <w:rPr>
                <w:rFonts w:hint="eastAsia" w:ascii="宋体" w:hAnsi="宋体" w:eastAsia="宋体" w:cs="宋体"/>
                <w:color w:val="000000"/>
                <w:kern w:val="0"/>
                <w:szCs w:val="21"/>
                <w:lang w:bidi="ar"/>
              </w:rPr>
              <w:t>舆情分析与统计</w:t>
            </w:r>
          </w:p>
        </w:tc>
        <w:tc>
          <w:tcPr>
            <w:tcW w:w="66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提供多维数据分析，包括舆情热度、传播路径、媒体分布、情感倾向占比、热点事件趋势等</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color w:val="000000"/>
                <w:kern w:val="0"/>
                <w:szCs w:val="21"/>
                <w:lang w:bidi="ar"/>
              </w:rPr>
            </w:pPr>
            <w:r>
              <w:rPr>
                <w:rFonts w:hint="eastAsia" w:ascii="宋体" w:hAnsi="宋体" w:eastAsia="宋体" w:cs="宋体"/>
                <w:szCs w:val="21"/>
                <w:lang w:val="en-US" w:eastAsia="zh-CN"/>
              </w:rPr>
              <w:t>2.</w:t>
            </w:r>
            <w:r>
              <w:rPr>
                <w:rFonts w:hint="eastAsia" w:ascii="宋体" w:hAnsi="宋体" w:eastAsia="宋体" w:cs="宋体"/>
                <w:szCs w:val="21"/>
              </w:rPr>
              <w:t>支持全网事件分析、</w:t>
            </w:r>
            <w:r>
              <w:rPr>
                <w:rFonts w:hint="eastAsia" w:ascii="宋体" w:hAnsi="宋体" w:eastAsia="宋体" w:cs="宋体"/>
                <w:szCs w:val="21"/>
                <w:lang w:val="en-US" w:eastAsia="zh-CN"/>
              </w:rPr>
              <w:t>传播分析</w:t>
            </w:r>
            <w:r>
              <w:rPr>
                <w:rFonts w:hint="eastAsia" w:ascii="宋体" w:hAnsi="宋体" w:eastAsia="宋体" w:cs="宋体"/>
                <w:szCs w:val="21"/>
              </w:rPr>
              <w:t>、评论分析等，生成可视化图表（如饼图、柱状图、折线图）辅助决策。</w:t>
            </w:r>
          </w:p>
        </w:tc>
      </w:tr>
    </w:tbl>
    <w:p>
      <w:pPr>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hint="default" w:ascii="微软雅黑" w:hAnsi="微软雅黑" w:eastAsia="微软雅黑" w:cs="微软雅黑"/>
          <w:b/>
          <w:bCs/>
          <w:color w:val="000000"/>
          <w:kern w:val="44"/>
          <w:sz w:val="27"/>
          <w:szCs w:val="44"/>
          <w:shd w:val="clear" w:color="auto" w:fill="FFFFFF"/>
          <w:lang w:val="en-US" w:eastAsia="zh-CN" w:bidi="ar-SA"/>
        </w:rPr>
      </w:pPr>
      <w:bookmarkStart w:id="564" w:name="_Toc32181"/>
      <w:r>
        <w:rPr>
          <w:rFonts w:hint="eastAsia" w:ascii="Times New Roman" w:hAnsi="Times New Roman" w:eastAsia="宋体" w:cs="Times New Roman"/>
          <w:b/>
          <w:bCs/>
          <w:color w:val="auto"/>
          <w:szCs w:val="24"/>
          <w:highlight w:val="none"/>
          <w:lang w:val="en-US" w:eastAsia="zh-CN"/>
        </w:rPr>
        <w:t>六、中南民族大学融媒中心装修部分要求</w:t>
      </w:r>
      <w:bookmarkEnd w:id="564"/>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default"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1.装修内容详见</w:t>
      </w:r>
      <w:r>
        <w:rPr>
          <w:rFonts w:hint="eastAsia" w:ascii="宋体" w:hAnsi="Courier New" w:eastAsia="宋体" w:cs="Times New Roman"/>
          <w:b/>
          <w:bCs/>
          <w:color w:val="auto"/>
          <w:kern w:val="2"/>
          <w:sz w:val="21"/>
          <w:szCs w:val="20"/>
          <w:highlight w:val="none"/>
          <w:lang w:val="en-US" w:eastAsia="zh-CN" w:bidi="ar-SA"/>
        </w:rPr>
        <w:t>“附件工程量清单”</w:t>
      </w:r>
    </w:p>
    <w:bookmarkEnd w:id="533"/>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2.工程部分分包及要求</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eastAsia" w:ascii="宋体" w:hAnsi="Courier New" w:eastAsia="宋体" w:cs="Times New Roman"/>
          <w:b/>
          <w:bCs/>
          <w:color w:val="auto"/>
          <w:kern w:val="2"/>
          <w:sz w:val="21"/>
          <w:szCs w:val="20"/>
          <w:highlight w:val="none"/>
          <w:lang w:val="en-US" w:eastAsia="zh-CN" w:bidi="ar-SA"/>
        </w:rPr>
      </w:pPr>
      <w:r>
        <w:rPr>
          <w:rFonts w:hint="eastAsia" w:ascii="宋体" w:hAnsi="Courier New" w:eastAsia="宋体" w:cs="Times New Roman"/>
          <w:b/>
          <w:bCs/>
          <w:color w:val="auto"/>
          <w:kern w:val="2"/>
          <w:sz w:val="21"/>
          <w:szCs w:val="20"/>
          <w:highlight w:val="none"/>
          <w:lang w:val="en-US" w:eastAsia="zh-CN" w:bidi="ar-SA"/>
        </w:rPr>
        <w:t>（1）投标人自行承担“中南民族大学融媒中心建设项目装饰部分”的，投标人必须具备有效的国家建设行政主管部门颁发的建筑装修装饰工程专业承包二级或以上资质和安全生产许可证。（提供相关证明材料）；投标人将“中南民族大学融媒中心建设项目装饰部分”分包给其它投标人承担的（即分包人或合作单位，全文同），分包人应具备有效的国家建设行政主管部门颁发的建筑装修装饰工程专业承包二级或以上资质和安全生产许可证。（提供相关证明材料），该投标人须同时提供分包意向协议（内容必须详细列明针对本项目相关合作内容与责任划分）加盖双方公章；否则，其投标作无效处理。</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2）中标人、分包人及分包事项均视为中标人及中标人应完成事项，如分包人出现安全、质量、工期延误均由中标人承担。本项目采购合同中对中标人工作、项目质量、安全文明与环境保护施工要求、人员、保险等相关约定同样适用于分包人、分包事项及其人员。</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3）工程分包不减轻或免除中标人的责任和义务，中标人和分包人就分包工程向采购人承担连带责任。中标人应在分包合同签订后7天内，且不得晚于开工前3天，向采购人和监理人（如本项目未委托第三方监理人的，则监理人职责由采购人履行）提交分包合同副本。</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3.中南民族大学融媒中心建设项目装饰部分竣工验收</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①工程质量应达到本项目施工合同书约定的质量标准，工程验收及质量标准的评定以国家或行业的质量检验评定标准为依据，并满足本项目招标文件（含工程量清单、设计文件（或设计说明，如有）、图纸、技术答疑文件（如有））及采购合同要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②工程完工后，由中标人向采购人提出书面验收申请，并附验收所需要的全部材料。采购人将组织相关人员对采购项目进行验收，验收意见作为验收书的参考资料存档备查；</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③工程完工后，采购人有权根据工程建设实际情况，聘请双方认可的有独立检测资质的第三方单位对工程质量进行检测，包括但不限于对装饰场所进行建筑工程室内环境污染物浓度限量检测；工程检测不合格的，相关检测费用由中标人承担，采购人有权拒绝对中标人交付工程的验收，所造成的一切后果由中标人自行承担。</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4.中南民族大学融媒中心建设项目装饰部分报价要求：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（1）投标报价应根据招标文件中的有关计价要求，并按照下列依据自主报价。</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1) 《建设工程工程量清单计价规范》（GB50500-2013）；</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2)  国家或省级、行业建设主管部门颁发的计价办法；</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3)  企业定额，国家或省级、行业建设主管部门颁发的计价定额和计价办法；</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4)  招标文件（包括工程量清单、图纸及要求）及其澄清、修改文件；</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5)  建设工程设计文件及相关资料；</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6)  施工现场情况、工程特点及响应时拟定的施工组织设计或施工方案；</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7)  与建设项目相关的标准、规范等技术资料；</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8)  市场价格信息或工程造价管理机构发布的工程造价信息；</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9)  其他的相关资料。</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default" w:ascii="宋体" w:hAnsi="Courier New" w:eastAsia="宋体" w:cs="Times New Roman"/>
          <w:b/>
          <w:bCs/>
          <w:color w:val="auto"/>
          <w:kern w:val="2"/>
          <w:sz w:val="21"/>
          <w:szCs w:val="20"/>
          <w:highlight w:val="none"/>
          <w:lang w:val="en-US" w:eastAsia="zh-CN" w:bidi="ar-SA"/>
        </w:rPr>
      </w:pPr>
      <w:r>
        <w:rPr>
          <w:rFonts w:hint="eastAsia" w:ascii="宋体" w:hAnsi="宋体" w:eastAsia="宋体" w:cs="宋体"/>
          <w:b/>
          <w:bCs/>
          <w:snapToGrid w:val="0"/>
          <w:kern w:val="0"/>
          <w:sz w:val="21"/>
          <w:szCs w:val="21"/>
          <w:lang w:val="zh-CN" w:eastAsia="zh-CN" w:bidi="ar-SA"/>
        </w:rPr>
        <w:t>★</w:t>
      </w:r>
      <w:r>
        <w:rPr>
          <w:rFonts w:hint="eastAsia" w:ascii="宋体" w:hAnsi="Courier New" w:eastAsia="宋体" w:cs="Times New Roman"/>
          <w:b/>
          <w:bCs/>
          <w:color w:val="auto"/>
          <w:kern w:val="2"/>
          <w:sz w:val="21"/>
          <w:szCs w:val="20"/>
          <w:highlight w:val="none"/>
          <w:lang w:val="en-US" w:eastAsia="zh-CN" w:bidi="ar-SA"/>
        </w:rPr>
        <w:t>（2）投标人必须按工程量清单填报价格。项目编码、项目名称、项目特征、计量单位必须与工程量清单一致。不能直接修改本清单的工程量，不能直接删除或在中间插入清单项目。否则按无效投标处理</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3）工程量清单应采用综合单价计价。综合单价中应包括招标文件中划分的应由投标人承担的风险范围及其费用，招标文件中没有明确的，应提请采购人明确。即工程量清单成交价的单价或金额，应包括所需人工费、材料费、施工机械使用费和企业管理费及利润，以及一定范围内的风险费用。所谓“一定范围内的风险”是指合同约定的风险。</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4）工程量清单与计价表中列明的所有需要填写单价和合价的项目，投标人均应填写且只允许有一个报价。未填写单价和合价的项目，可视为此项费用已经包含在已标价工程量清单中其他项目的单价或合价之中。当竣工结算时，此项目不得重新组价予以调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hint="eastAsia" w:ascii="Times New Roman" w:hAnsi="Times New Roman" w:eastAsia="宋体" w:cs="Times New Roman"/>
          <w:b/>
          <w:bCs/>
          <w:color w:val="auto"/>
          <w:szCs w:val="24"/>
          <w:highlight w:val="none"/>
          <w:lang w:val="en-US" w:eastAsia="zh-CN"/>
        </w:rPr>
      </w:pPr>
      <w:bookmarkStart w:id="565" w:name="_Toc969"/>
      <w:r>
        <w:rPr>
          <w:rFonts w:hint="eastAsia" w:ascii="Times New Roman" w:hAnsi="Times New Roman" w:eastAsia="宋体" w:cs="Times New Roman"/>
          <w:b/>
          <w:bCs/>
          <w:color w:val="auto"/>
          <w:szCs w:val="24"/>
          <w:highlight w:val="none"/>
          <w:lang w:val="en-US" w:eastAsia="zh-CN"/>
        </w:rPr>
        <w:t>七、</w:t>
      </w:r>
      <w:r>
        <w:rPr>
          <w:rFonts w:hint="eastAsia" w:ascii="宋体" w:hAnsi="宋体" w:eastAsia="宋体" w:cs="Times New Roman"/>
          <w:b/>
          <w:color w:val="auto"/>
          <w:szCs w:val="21"/>
          <w:highlight w:val="none"/>
          <w:lang w:val="en-US" w:eastAsia="zh-CN"/>
        </w:rPr>
        <w:t>商务</w:t>
      </w:r>
      <w:r>
        <w:rPr>
          <w:rFonts w:hint="eastAsia" w:ascii="Times New Roman" w:hAnsi="Times New Roman" w:eastAsia="宋体" w:cs="Times New Roman"/>
          <w:b/>
          <w:bCs/>
          <w:color w:val="auto"/>
          <w:szCs w:val="24"/>
          <w:highlight w:val="none"/>
          <w:lang w:val="en-US" w:eastAsia="zh-CN"/>
        </w:rPr>
        <w:t>要求</w:t>
      </w:r>
      <w:bookmarkEnd w:id="565"/>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default" w:ascii="宋体" w:hAnsi="Courier New" w:eastAsia="宋体" w:cs="Times New Roman"/>
          <w:b/>
          <w:bCs/>
          <w:color w:val="auto"/>
          <w:kern w:val="2"/>
          <w:sz w:val="21"/>
          <w:szCs w:val="20"/>
          <w:highlight w:val="none"/>
          <w:lang w:val="en-US" w:eastAsia="zh-CN" w:bidi="ar-SA"/>
        </w:rPr>
      </w:pPr>
      <w:bookmarkStart w:id="566" w:name="OLE_LINK26"/>
      <w:r>
        <w:rPr>
          <w:rFonts w:hint="eastAsia" w:ascii="宋体" w:hAnsi="宋体" w:eastAsia="宋体" w:cs="宋体"/>
          <w:b/>
          <w:bCs/>
          <w:snapToGrid w:val="0"/>
          <w:kern w:val="0"/>
          <w:sz w:val="21"/>
          <w:szCs w:val="21"/>
          <w:lang w:val="zh-CN" w:eastAsia="zh-CN" w:bidi="ar-SA"/>
        </w:rPr>
        <w:t>★</w:t>
      </w:r>
      <w:bookmarkEnd w:id="566"/>
      <w:r>
        <w:rPr>
          <w:rFonts w:hint="eastAsia" w:ascii="宋体" w:hAnsi="Courier New" w:eastAsia="宋体" w:cs="Times New Roman"/>
          <w:b/>
          <w:bCs/>
          <w:color w:val="auto"/>
          <w:kern w:val="2"/>
          <w:sz w:val="21"/>
          <w:szCs w:val="20"/>
          <w:highlight w:val="none"/>
          <w:lang w:val="en-US" w:eastAsia="zh-CN" w:bidi="ar-SA"/>
        </w:rPr>
        <w:t>1.服务期：</w:t>
      </w:r>
      <w:bookmarkStart w:id="567" w:name="OLE_LINK68"/>
      <w:r>
        <w:rPr>
          <w:rFonts w:hint="eastAsia" w:ascii="宋体" w:hAnsi="Courier New" w:eastAsia="宋体" w:cs="Times New Roman"/>
          <w:b/>
          <w:bCs/>
          <w:color w:val="auto"/>
          <w:kern w:val="2"/>
          <w:sz w:val="21"/>
          <w:szCs w:val="20"/>
          <w:highlight w:val="none"/>
          <w:lang w:val="en-US" w:eastAsia="zh-CN" w:bidi="ar-SA"/>
        </w:rPr>
        <w:t>自合同签订之日起20日内完成总体设计方案；设计方案通过采购人书面认可后，60天内完成装修部分建设；其他功能要求服务自合同签订之日起半年内建设完成并交付使用，并验收合格。融媒体中心人员委培及品牌推广服务期为合同签订后一年。</w:t>
      </w:r>
      <w:bookmarkEnd w:id="567"/>
      <w:bookmarkStart w:id="568" w:name="OLE_LINK47"/>
      <w:r>
        <w:rPr>
          <w:rFonts w:hint="eastAsia" w:ascii="宋体" w:hAnsi="Courier New" w:eastAsia="宋体" w:cs="Times New Roman"/>
          <w:b/>
          <w:bCs/>
          <w:color w:val="auto"/>
          <w:kern w:val="2"/>
          <w:sz w:val="21"/>
          <w:szCs w:val="20"/>
          <w:highlight w:val="none"/>
          <w:lang w:val="en-US" w:eastAsia="zh-CN" w:bidi="ar-SA"/>
        </w:rPr>
        <w:t>（提供承诺函并加盖公章，未按要求提供视为无效投标）</w:t>
      </w:r>
      <w:bookmarkEnd w:id="568"/>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eastAsia" w:ascii="宋体" w:hAnsi="Courier New" w:eastAsia="宋体" w:cs="Times New Roman"/>
          <w:b/>
          <w:bCs/>
          <w:color w:val="auto"/>
          <w:kern w:val="2"/>
          <w:sz w:val="21"/>
          <w:szCs w:val="20"/>
          <w:highlight w:val="none"/>
          <w:lang w:val="en-US" w:eastAsia="zh-CN" w:bidi="ar-SA"/>
        </w:rPr>
      </w:pPr>
      <w:r>
        <w:rPr>
          <w:rFonts w:hint="eastAsia" w:ascii="宋体" w:hAnsi="宋体" w:eastAsia="宋体" w:cs="宋体"/>
          <w:b/>
          <w:bCs/>
          <w:snapToGrid w:val="0"/>
          <w:kern w:val="0"/>
          <w:sz w:val="21"/>
          <w:szCs w:val="21"/>
          <w:lang w:val="zh-CN" w:eastAsia="zh-CN" w:bidi="ar-SA"/>
        </w:rPr>
        <w:t>★</w:t>
      </w:r>
      <w:r>
        <w:rPr>
          <w:rFonts w:hint="eastAsia" w:ascii="宋体" w:hAnsi="宋体" w:eastAsia="宋体" w:cs="宋体"/>
          <w:b/>
          <w:bCs/>
          <w:snapToGrid w:val="0"/>
          <w:kern w:val="0"/>
          <w:sz w:val="21"/>
          <w:szCs w:val="21"/>
          <w:lang w:val="en-US" w:eastAsia="zh-CN" w:bidi="ar-SA"/>
        </w:rPr>
        <w:t>2.</w:t>
      </w:r>
      <w:r>
        <w:rPr>
          <w:rFonts w:hint="eastAsia" w:ascii="宋体" w:hAnsi="Courier New" w:eastAsia="宋体" w:cs="Times New Roman"/>
          <w:b/>
          <w:bCs/>
          <w:color w:val="auto"/>
          <w:kern w:val="2"/>
          <w:sz w:val="21"/>
          <w:szCs w:val="20"/>
          <w:highlight w:val="none"/>
          <w:lang w:val="en-US" w:eastAsia="zh-CN" w:bidi="ar-SA"/>
        </w:rPr>
        <w:t>项目涉及的硬件及软件质保期：自项目整体验收合格后3年。（提供承诺函并加盖公章，未按要求提供视为无效投标）</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eastAsia" w:ascii="宋体" w:hAnsi="宋体" w:eastAsia="宋体" w:cs="宋体"/>
          <w:b/>
          <w:bCs/>
          <w:color w:val="000000"/>
          <w:kern w:val="2"/>
          <w:sz w:val="21"/>
          <w:szCs w:val="21"/>
          <w:highlight w:val="none"/>
          <w:lang w:val="en-US" w:eastAsia="zh-CN" w:bidi="ar-SA"/>
        </w:rPr>
      </w:pPr>
      <w:bookmarkStart w:id="569" w:name="OLE_LINK21"/>
      <w:r>
        <w:rPr>
          <w:rFonts w:hint="eastAsia" w:ascii="宋体" w:hAnsi="宋体" w:eastAsia="宋体" w:cs="宋体"/>
          <w:b/>
          <w:bCs/>
          <w:snapToGrid w:val="0"/>
          <w:kern w:val="0"/>
          <w:sz w:val="21"/>
          <w:szCs w:val="21"/>
          <w:lang w:val="zh-CN" w:eastAsia="zh-CN" w:bidi="ar-SA"/>
        </w:rPr>
        <w:t>★</w:t>
      </w:r>
      <w:bookmarkEnd w:id="569"/>
      <w:r>
        <w:rPr>
          <w:rFonts w:hint="eastAsia" w:ascii="宋体" w:hAnsi="宋体" w:eastAsia="宋体" w:cs="宋体"/>
          <w:b/>
          <w:bCs/>
          <w:snapToGrid w:val="0"/>
          <w:kern w:val="0"/>
          <w:sz w:val="21"/>
          <w:szCs w:val="21"/>
          <w:lang w:val="en-US" w:eastAsia="zh-CN" w:bidi="ar-SA"/>
        </w:rPr>
        <w:t>3.</w:t>
      </w:r>
      <w:r>
        <w:rPr>
          <w:rFonts w:hint="eastAsia" w:ascii="宋体" w:hAnsi="Courier New" w:eastAsia="宋体" w:cs="Times New Roman"/>
          <w:b/>
          <w:bCs/>
          <w:color w:val="auto"/>
          <w:kern w:val="2"/>
          <w:sz w:val="21"/>
          <w:szCs w:val="20"/>
          <w:highlight w:val="none"/>
          <w:lang w:val="en-US" w:eastAsia="zh-CN" w:bidi="ar-SA"/>
        </w:rPr>
        <w:t>工程部分质保期：</w:t>
      </w:r>
      <w:bookmarkStart w:id="570" w:name="OLE_LINK39"/>
      <w:r>
        <w:rPr>
          <w:rFonts w:hint="eastAsia" w:ascii="宋体" w:hAnsi="宋体" w:eastAsia="宋体" w:cs="宋体"/>
          <w:b/>
          <w:bCs/>
          <w:color w:val="000000"/>
          <w:kern w:val="2"/>
          <w:sz w:val="21"/>
          <w:szCs w:val="21"/>
          <w:highlight w:val="none"/>
          <w:lang w:val="en-US" w:eastAsia="zh-CN" w:bidi="ar-SA"/>
        </w:rPr>
        <w:t>质量保修期从项目经采购人验收合格时间起算，保修期2年；屋面防水工程、有防水要求的卫生间、房间和外墙面的防渗漏5年（其他质保期限按国家规定标准要求执行）。保修期满后中标人仍须对项目故障承担维修义务，维修仅收取必要材料成本费用，双方对于保修期后维修服务另有约定的，按约定处理。</w:t>
      </w:r>
      <w:r>
        <w:rPr>
          <w:rFonts w:hint="eastAsia" w:ascii="宋体" w:hAnsi="Courier New" w:eastAsia="宋体" w:cs="Times New Roman"/>
          <w:b/>
          <w:bCs/>
          <w:color w:val="auto"/>
          <w:kern w:val="2"/>
          <w:sz w:val="21"/>
          <w:szCs w:val="20"/>
          <w:highlight w:val="none"/>
          <w:lang w:val="en-US" w:eastAsia="zh-CN" w:bidi="ar-SA"/>
        </w:rPr>
        <w:t>（提供承诺函并加盖公章，未按要求提供视为无效投标）</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color w:val="000000"/>
          <w:kern w:val="2"/>
          <w:sz w:val="21"/>
          <w:szCs w:val="21"/>
          <w:highlight w:val="none"/>
          <w:lang w:val="en-US" w:eastAsia="zh-CN" w:bidi="ar-SA"/>
        </w:rPr>
        <w:t>4.包装和运输：</w:t>
      </w:r>
      <w:r>
        <w:rPr>
          <w:rFonts w:hint="eastAsia" w:ascii="宋体" w:hAnsi="宋体" w:eastAsia="宋体" w:cs="宋体"/>
          <w:b w:val="0"/>
          <w:bCs w:val="0"/>
          <w:snapToGrid w:val="0"/>
          <w:kern w:val="0"/>
          <w:sz w:val="21"/>
          <w:szCs w:val="21"/>
          <w:lang w:val="en-US" w:eastAsia="zh-CN" w:bidi="ar-SA"/>
        </w:rPr>
        <w:t>由投标人提供</w:t>
      </w:r>
      <w:r>
        <w:rPr>
          <w:rFonts w:hint="eastAsia" w:ascii="宋体" w:hAnsi="宋体" w:eastAsia="宋体" w:cs="宋体"/>
          <w:b w:val="0"/>
          <w:bCs w:val="0"/>
          <w:color w:val="000000"/>
          <w:kern w:val="2"/>
          <w:sz w:val="21"/>
          <w:szCs w:val="21"/>
          <w:highlight w:val="none"/>
          <w:lang w:val="en-US" w:eastAsia="zh-CN" w:bidi="ar-SA"/>
        </w:rPr>
        <w:t>。</w:t>
      </w:r>
      <w:bookmarkEnd w:id="570"/>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b w:val="0"/>
          <w:bCs w:val="0"/>
          <w:snapToGrid w:val="0"/>
          <w:kern w:val="0"/>
          <w:sz w:val="21"/>
          <w:szCs w:val="21"/>
          <w:lang w:val="en-US" w:eastAsia="zh-CN" w:bidi="ar-SA"/>
        </w:rPr>
      </w:pPr>
      <w:r>
        <w:rPr>
          <w:rFonts w:hint="eastAsia" w:ascii="宋体" w:hAnsi="宋体" w:eastAsia="宋体" w:cs="宋体"/>
          <w:b w:val="0"/>
          <w:bCs w:val="0"/>
          <w:color w:val="000000"/>
          <w:kern w:val="2"/>
          <w:sz w:val="21"/>
          <w:szCs w:val="21"/>
          <w:highlight w:val="none"/>
          <w:lang w:val="en-US" w:eastAsia="zh-CN" w:bidi="ar-SA"/>
        </w:rPr>
        <w:t>5.售后服务要求：软件报修响应为现场驻场方式，故障修复或更换时间不大于24小时。质保期后，中标人提供终身有偿维修服务（含硬件及软件），价格按届时市场公允的配件成本加合理人工费计算，且不高于同期市场平均价格。</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default" w:ascii="宋体" w:hAnsi="宋体" w:eastAsia="宋体" w:cs="宋体"/>
          <w:b w:val="0"/>
          <w:bCs w:val="0"/>
          <w:snapToGrid w:val="0"/>
          <w:kern w:val="0"/>
          <w:sz w:val="21"/>
          <w:szCs w:val="21"/>
          <w:lang w:val="en-US" w:eastAsia="zh-CN" w:bidi="ar-SA"/>
        </w:rPr>
      </w:pPr>
      <w:r>
        <w:rPr>
          <w:rFonts w:hint="eastAsia" w:ascii="宋体" w:hAnsi="宋体" w:eastAsia="宋体" w:cs="宋体"/>
          <w:b w:val="0"/>
          <w:bCs w:val="0"/>
          <w:snapToGrid w:val="0"/>
          <w:kern w:val="0"/>
          <w:sz w:val="21"/>
          <w:szCs w:val="21"/>
          <w:lang w:val="en-US" w:eastAsia="zh-CN" w:bidi="ar-SA"/>
        </w:rPr>
        <w:t>6.</w:t>
      </w:r>
      <w:r>
        <w:rPr>
          <w:rFonts w:hint="default" w:ascii="宋体" w:hAnsi="宋体" w:eastAsia="宋体" w:cs="宋体"/>
          <w:b w:val="0"/>
          <w:bCs w:val="0"/>
          <w:snapToGrid w:val="0"/>
          <w:kern w:val="0"/>
          <w:sz w:val="21"/>
          <w:szCs w:val="21"/>
          <w:lang w:val="en-US" w:eastAsia="zh-CN" w:bidi="ar-SA"/>
        </w:rPr>
        <w:t>培训要求</w:t>
      </w:r>
      <w:r>
        <w:rPr>
          <w:rFonts w:hint="eastAsia" w:ascii="宋体" w:hAnsi="宋体" w:eastAsia="宋体" w:cs="宋体"/>
          <w:b w:val="0"/>
          <w:bCs w:val="0"/>
          <w:snapToGrid w:val="0"/>
          <w:kern w:val="0"/>
          <w:sz w:val="21"/>
          <w:szCs w:val="21"/>
          <w:lang w:val="en-US" w:eastAsia="zh-CN" w:bidi="ar-SA"/>
        </w:rPr>
        <w:t>：</w:t>
      </w:r>
      <w:r>
        <w:rPr>
          <w:rFonts w:hint="default" w:ascii="宋体" w:hAnsi="宋体" w:eastAsia="宋体" w:cs="宋体"/>
          <w:b w:val="0"/>
          <w:bCs w:val="0"/>
          <w:snapToGrid w:val="0"/>
          <w:kern w:val="0"/>
          <w:sz w:val="21"/>
          <w:szCs w:val="21"/>
          <w:lang w:val="en-US" w:eastAsia="zh-CN" w:bidi="ar-SA"/>
        </w:rPr>
        <w:t>产品验收交付后，提供培训计划和方案，提供不少于2次培训。</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default" w:ascii="宋体" w:hAnsi="Courier New" w:eastAsia="宋体" w:cs="Times New Roman"/>
          <w:b/>
          <w:bCs/>
          <w:color w:val="auto"/>
          <w:kern w:val="2"/>
          <w:sz w:val="21"/>
          <w:szCs w:val="20"/>
          <w:highlight w:val="none"/>
          <w:lang w:val="en-US" w:eastAsia="zh-CN" w:bidi="ar-SA"/>
        </w:rPr>
      </w:pPr>
      <w:r>
        <w:rPr>
          <w:rFonts w:hint="eastAsia" w:ascii="宋体" w:hAnsi="宋体" w:eastAsia="宋体" w:cs="宋体"/>
          <w:b/>
          <w:bCs/>
          <w:snapToGrid w:val="0"/>
          <w:kern w:val="0"/>
          <w:sz w:val="21"/>
          <w:szCs w:val="21"/>
          <w:lang w:val="zh-CN" w:eastAsia="zh-CN" w:bidi="ar-SA"/>
        </w:rPr>
        <w:t>★</w:t>
      </w:r>
      <w:r>
        <w:rPr>
          <w:rFonts w:hint="eastAsia" w:ascii="宋体" w:hAnsi="宋体" w:eastAsia="宋体" w:cs="宋体"/>
          <w:b/>
          <w:bCs/>
          <w:snapToGrid w:val="0"/>
          <w:kern w:val="0"/>
          <w:sz w:val="21"/>
          <w:szCs w:val="21"/>
          <w:lang w:val="en-US" w:eastAsia="zh-CN" w:bidi="ar-SA"/>
        </w:rPr>
        <w:t>7.付款条件：</w:t>
      </w:r>
      <w:bookmarkStart w:id="571" w:name="OLE_LINK69"/>
      <w:bookmarkStart w:id="572" w:name="OLE_LINK70"/>
      <w:r>
        <w:rPr>
          <w:rFonts w:hint="eastAsia" w:ascii="宋体" w:hAnsi="宋体" w:eastAsia="宋体" w:cs="宋体"/>
          <w:b/>
          <w:bCs/>
          <w:snapToGrid w:val="0"/>
          <w:kern w:val="0"/>
          <w:sz w:val="21"/>
          <w:szCs w:val="21"/>
          <w:lang w:val="en-US" w:eastAsia="zh-CN" w:bidi="ar-SA"/>
        </w:rPr>
        <w:t>投标人完成总体项目服务方</w:t>
      </w:r>
      <w:r>
        <w:rPr>
          <w:rFonts w:hint="eastAsia" w:ascii="宋体" w:hAnsi="宋体" w:eastAsia="宋体" w:cs="宋体"/>
          <w:b/>
          <w:bCs/>
          <w:snapToGrid w:val="0"/>
          <w:kern w:val="0"/>
          <w:sz w:val="21"/>
          <w:szCs w:val="21"/>
          <w:highlight w:val="none"/>
          <w:lang w:val="en-US" w:eastAsia="zh-CN" w:bidi="ar-SA"/>
        </w:rPr>
        <w:t>案，并得到采购人书面认可，支付首笔项目进度款，支付金额不超过项目总金额的15%；完成基础办公环境部署（其中装饰装修施工的费用需经过审计单位审核），支付第二笔项目进度款，累计支付金额不超过项目总金额的50%；完成</w:t>
      </w:r>
      <w:r>
        <w:rPr>
          <w:rFonts w:hint="eastAsia" w:ascii="宋体" w:hAnsi="宋体" w:eastAsia="宋体" w:cs="宋体"/>
          <w:b/>
          <w:bCs/>
          <w:snapToGrid w:val="0"/>
          <w:kern w:val="0"/>
          <w:sz w:val="21"/>
          <w:szCs w:val="21"/>
          <w:lang w:val="en-US" w:eastAsia="zh-CN" w:bidi="ar-SA"/>
        </w:rPr>
        <w:t>各系统现场部署及初步调试试运行，并得到采购人书面认可，支付第三笔项目进度款，累计支付金额不超过项目总金额的80%；总体建设完成并交付</w:t>
      </w:r>
      <w:r>
        <w:rPr>
          <w:rFonts w:hint="eastAsia" w:ascii="宋体" w:hAnsi="Courier New" w:eastAsia="宋体" w:cs="Times New Roman"/>
          <w:b/>
          <w:bCs/>
          <w:color w:val="auto"/>
          <w:kern w:val="2"/>
          <w:sz w:val="21"/>
          <w:szCs w:val="20"/>
          <w:highlight w:val="none"/>
          <w:lang w:val="en-US" w:eastAsia="zh-CN" w:bidi="ar-SA"/>
        </w:rPr>
        <w:t>后，支付项目金额剩余部分。</w:t>
      </w:r>
      <w:bookmarkEnd w:id="571"/>
      <w:r>
        <w:rPr>
          <w:rFonts w:hint="eastAsia" w:ascii="宋体" w:hAnsi="Courier New" w:eastAsia="宋体" w:cs="Times New Roman"/>
          <w:b/>
          <w:bCs/>
          <w:color w:val="auto"/>
          <w:kern w:val="2"/>
          <w:sz w:val="21"/>
          <w:szCs w:val="20"/>
          <w:highlight w:val="none"/>
          <w:lang w:val="en-US" w:eastAsia="zh-CN" w:bidi="ar-SA"/>
        </w:rPr>
        <w:t>（以合同签订为准）。</w:t>
      </w:r>
      <w:bookmarkEnd w:id="572"/>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default"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8.投标人应具有类似项目经验且获得过业主的正面反馈，拟派的项目项目负责人具有高级信息系统项目管理师证书，拟投入本项目的驻场工程师不少于2人且具有高级信息系统项目管理师证或广播电视相关专业高级工程师职称证书。</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default" w:ascii="宋体" w:hAnsi="宋体" w:eastAsia="宋体" w:cs="宋体"/>
          <w:b/>
          <w:bCs/>
          <w:snapToGrid w:val="0"/>
          <w:kern w:val="0"/>
          <w:sz w:val="21"/>
          <w:szCs w:val="21"/>
          <w:lang w:val="en-US" w:eastAsia="zh-CN" w:bidi="ar-SA"/>
        </w:rPr>
      </w:pPr>
      <w:r>
        <w:rPr>
          <w:rFonts w:hint="eastAsia" w:ascii="宋体" w:hAnsi="宋体" w:eastAsia="宋体" w:cs="宋体"/>
          <w:b/>
          <w:bCs/>
          <w:snapToGrid w:val="0"/>
          <w:kern w:val="0"/>
          <w:sz w:val="21"/>
          <w:szCs w:val="21"/>
          <w:lang w:val="en-US" w:eastAsia="zh-CN" w:bidi="ar-SA"/>
        </w:rPr>
        <w:t>9.报价要求：本次采购包括了为实现本项目采购服务、货物（设备或系统、软件、平台）及其相关服务的全部性能（功能）、技术指标、安全性等正常运行（或正常表达）并达到质量要求所需的全部配件、辅材、安装、施工、服务等已列明或未列明的全部内容，投标人应在其总报价中充分予以考虑。在本项目采购合同实施中，采购人将不予支付其他任何费用，并认为此类费用已包含在签约合同总金额中。</w:t>
      </w:r>
    </w:p>
    <w:p>
      <w:pPr>
        <w:rPr>
          <w:rFonts w:hint="eastAsia" w:ascii="Times New Roman" w:hAnsi="Times New Roman" w:eastAsia="宋体" w:cs="Times New Roman"/>
          <w:b w:val="0"/>
          <w:bCs w:val="0"/>
          <w:color w:val="auto"/>
          <w:szCs w:val="24"/>
          <w:highlight w:val="none"/>
          <w:lang w:val="en-US" w:eastAsia="zh-CN"/>
        </w:rPr>
      </w:pPr>
      <w:r>
        <w:rPr>
          <w:rFonts w:hint="eastAsia" w:ascii="Times New Roman" w:hAnsi="Times New Roman" w:eastAsia="宋体" w:cs="Times New Roman"/>
          <w:b w:val="0"/>
          <w:bCs w:val="0"/>
          <w:color w:val="auto"/>
          <w:szCs w:val="24"/>
          <w:highlight w:val="none"/>
          <w:lang w:val="en-US" w:eastAsia="zh-CN"/>
        </w:rPr>
        <w:br w:type="page"/>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附件：整个空间的平面图</w:t>
      </w:r>
    </w:p>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napToGrid w:val="0"/>
          <w:color w:val="auto"/>
          <w:kern w:val="0"/>
          <w:sz w:val="24"/>
          <w:szCs w:val="24"/>
          <w:highlight w:val="none"/>
          <w:lang w:eastAsia="zh-CN" w:bidi="ar"/>
        </w:rPr>
      </w:pPr>
      <w:r>
        <w:rPr>
          <w:rFonts w:hint="eastAsia" w:ascii="宋体" w:hAnsi="宋体" w:eastAsia="宋体" w:cs="宋体"/>
          <w:snapToGrid w:val="0"/>
          <w:color w:val="auto"/>
          <w:kern w:val="0"/>
          <w:sz w:val="24"/>
          <w:szCs w:val="24"/>
          <w:highlight w:val="none"/>
          <w:lang w:eastAsia="zh-CN" w:bidi="ar"/>
        </w:rPr>
        <w:drawing>
          <wp:inline distT="0" distB="0" distL="114300" distR="114300">
            <wp:extent cx="6162040" cy="4348480"/>
            <wp:effectExtent l="0" t="0" r="10160" b="10160"/>
            <wp:docPr id="2" name="图片 2" descr="fd5658ac2c0f089e60098d56e5c74f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d5658ac2c0f089e60098d56e5c74fed"/>
                    <pic:cNvPicPr>
                      <a:picLocks noChangeAspect="1"/>
                    </pic:cNvPicPr>
                  </pic:nvPicPr>
                  <pic:blipFill>
                    <a:blip r:embed="rId15"/>
                    <a:stretch>
                      <a:fillRect/>
                    </a:stretch>
                  </pic:blipFill>
                  <pic:spPr>
                    <a:xfrm>
                      <a:off x="0" y="0"/>
                      <a:ext cx="6162040" cy="4348480"/>
                    </a:xfrm>
                    <a:prstGeom prst="rect">
                      <a:avLst/>
                    </a:prstGeom>
                  </pic:spPr>
                </pic:pic>
              </a:graphicData>
            </a:graphic>
          </wp:inline>
        </w:drawing>
      </w:r>
    </w:p>
    <w:p>
      <w:pPr>
        <w:widowControl w:val="0"/>
        <w:jc w:val="both"/>
        <w:rPr>
          <w:rFonts w:hint="default" w:ascii="宋体" w:hAnsi="宋体" w:eastAsia="宋体" w:cs="宋体"/>
          <w:kern w:val="2"/>
          <w:sz w:val="21"/>
          <w:szCs w:val="22"/>
          <w:lang w:val="en-US" w:eastAsia="zh-CN" w:bidi="ar-SA"/>
        </w:rPr>
      </w:pPr>
      <w:r>
        <w:rPr>
          <w:rFonts w:hint="eastAsia" w:ascii="宋体" w:hAnsi="宋体" w:eastAsia="宋体" w:cs="宋体"/>
          <w:snapToGrid w:val="0"/>
          <w:color w:val="auto"/>
          <w:kern w:val="0"/>
          <w:sz w:val="24"/>
          <w:szCs w:val="24"/>
          <w:highlight w:val="none"/>
          <w:lang w:val="en-US" w:eastAsia="zh-CN" w:bidi="ar"/>
        </w:rPr>
        <w:t>备注：绿色区域属于建设区域</w:t>
      </w:r>
    </w:p>
    <w:p>
      <w:pPr>
        <w:rPr>
          <w:rFonts w:ascii="宋体" w:hAnsi="宋体" w:cs="宋体"/>
          <w:b/>
          <w:bCs/>
          <w:sz w:val="32"/>
          <w:szCs w:val="32"/>
          <w:highlight w:val="none"/>
        </w:rPr>
      </w:pPr>
      <w:r>
        <w:rPr>
          <w:rFonts w:ascii="宋体" w:hAnsi="宋体" w:cs="宋体"/>
          <w:b/>
          <w:bCs/>
          <w:sz w:val="32"/>
          <w:szCs w:val="32"/>
          <w:highlight w:val="none"/>
        </w:rPr>
        <w:br w:type="page"/>
      </w:r>
    </w:p>
    <w:p>
      <w:pPr>
        <w:pStyle w:val="4"/>
        <w:numPr>
          <w:ilvl w:val="0"/>
          <w:numId w:val="3"/>
        </w:numPr>
        <w:spacing w:before="120" w:after="120" w:line="300" w:lineRule="auto"/>
        <w:rPr>
          <w:rFonts w:hAnsi="宋体" w:cs="宋体"/>
          <w:sz w:val="24"/>
          <w:szCs w:val="24"/>
          <w:highlight w:val="none"/>
        </w:rPr>
      </w:pPr>
      <w:bookmarkStart w:id="573" w:name="_Toc131491110"/>
      <w:bookmarkStart w:id="574" w:name="_Toc130283090"/>
      <w:bookmarkStart w:id="575" w:name="_Toc24197"/>
      <w:r>
        <w:rPr>
          <w:rFonts w:hint="eastAsia" w:hAnsi="宋体" w:cs="宋体"/>
          <w:sz w:val="32"/>
          <w:szCs w:val="32"/>
          <w:highlight w:val="none"/>
        </w:rPr>
        <w:t>评标方法、步骤及标准</w:t>
      </w:r>
      <w:bookmarkEnd w:id="573"/>
      <w:bookmarkEnd w:id="574"/>
      <w:bookmarkEnd w:id="575"/>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根据《中华人民共和国政府采购法》、《中华人民共和国政府采购法实施条例》、《政府采购货物和服务招标投标管理办法》（财政部令第87号）等有关法律、法规和规章的规定，确定以下评标方法、步骤及标准。</w:t>
      </w:r>
    </w:p>
    <w:p>
      <w:pPr>
        <w:snapToGrid w:val="0"/>
        <w:spacing w:line="360" w:lineRule="auto"/>
        <w:outlineLvl w:val="1"/>
        <w:rPr>
          <w:rFonts w:hint="eastAsia" w:ascii="宋体" w:hAnsi="宋体"/>
          <w:b/>
          <w:szCs w:val="21"/>
          <w:highlight w:val="none"/>
        </w:rPr>
      </w:pPr>
      <w:bookmarkStart w:id="576" w:name="_Toc9747"/>
      <w:bookmarkStart w:id="577" w:name="_Toc11096"/>
      <w:bookmarkStart w:id="578" w:name="_Toc492403833"/>
      <w:r>
        <w:rPr>
          <w:rFonts w:hint="eastAsia" w:ascii="宋体" w:hAnsi="宋体"/>
          <w:b/>
          <w:szCs w:val="21"/>
          <w:highlight w:val="none"/>
        </w:rPr>
        <w:t>一、评标方法</w:t>
      </w:r>
      <w:bookmarkEnd w:id="576"/>
      <w:bookmarkEnd w:id="577"/>
      <w:bookmarkEnd w:id="578"/>
    </w:p>
    <w:p>
      <w:pPr>
        <w:pStyle w:val="6"/>
        <w:snapToGrid w:val="0"/>
        <w:spacing w:line="360" w:lineRule="auto"/>
        <w:ind w:firstLine="411" w:firstLineChars="196"/>
        <w:rPr>
          <w:rFonts w:hint="eastAsia" w:ascii="宋体" w:hAnsi="宋体"/>
          <w:bCs/>
          <w:szCs w:val="21"/>
          <w:highlight w:val="none"/>
        </w:rPr>
      </w:pPr>
      <w:r>
        <w:rPr>
          <w:rFonts w:ascii="宋体" w:hAnsi="宋体"/>
          <w:bCs/>
          <w:szCs w:val="21"/>
          <w:highlight w:val="none"/>
        </w:rPr>
        <w:t>本次评标采用</w:t>
      </w:r>
      <w:r>
        <w:rPr>
          <w:rFonts w:hint="eastAsia" w:ascii="宋体" w:hAnsi="宋体"/>
          <w:bCs/>
          <w:szCs w:val="21"/>
          <w:highlight w:val="none"/>
        </w:rPr>
        <w:t>综合评分法（百分制），即 在最大限度地满足招标文件实质性要求前提下，按照招标文件规定的各项因素进行综合评审后，以得分高低依次排序</w:t>
      </w:r>
      <w:r>
        <w:rPr>
          <w:rFonts w:ascii="宋体" w:hAnsi="宋体"/>
          <w:bCs/>
          <w:szCs w:val="21"/>
          <w:highlight w:val="none"/>
        </w:rPr>
        <w:t>。</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其中：满足招标文件要求且投标价格最低的投标报价为评标基准价，其价格分为满分。其他投标人的价格分统一按照下列公式计算：</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投标报价得分=(评标基准价／投标报价)×价格权值×100</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其他分值按打分表计算。</w:t>
      </w:r>
    </w:p>
    <w:p>
      <w:pPr>
        <w:snapToGrid w:val="0"/>
        <w:spacing w:line="360" w:lineRule="auto"/>
        <w:outlineLvl w:val="1"/>
        <w:rPr>
          <w:rFonts w:hint="eastAsia" w:ascii="宋体" w:hAnsi="宋体"/>
          <w:b/>
          <w:szCs w:val="21"/>
          <w:highlight w:val="none"/>
        </w:rPr>
      </w:pPr>
      <w:bookmarkStart w:id="579" w:name="_Toc26120"/>
      <w:bookmarkStart w:id="580" w:name="_Toc492403834"/>
      <w:bookmarkStart w:id="581" w:name="_Toc505"/>
      <w:r>
        <w:rPr>
          <w:rFonts w:hint="eastAsia" w:ascii="宋体" w:hAnsi="宋体"/>
          <w:b/>
          <w:szCs w:val="21"/>
          <w:highlight w:val="none"/>
        </w:rPr>
        <w:t>二、评标步骤</w:t>
      </w:r>
      <w:bookmarkEnd w:id="579"/>
      <w:bookmarkEnd w:id="580"/>
      <w:bookmarkEnd w:id="581"/>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采购人或采购代理机构依据法律法规和招标文件的规定对投标人进行资格审查。评标委员会对投标文件的评审分为符合性检查、商务评议、技术评议和价格评议。</w:t>
      </w:r>
    </w:p>
    <w:p>
      <w:pPr>
        <w:pStyle w:val="6"/>
        <w:snapToGrid w:val="0"/>
        <w:spacing w:line="360" w:lineRule="auto"/>
        <w:ind w:firstLine="413" w:firstLineChars="196"/>
        <w:outlineLvl w:val="2"/>
        <w:rPr>
          <w:rFonts w:hint="eastAsia" w:ascii="宋体" w:hAnsi="宋体"/>
          <w:b/>
          <w:bCs/>
          <w:szCs w:val="21"/>
          <w:highlight w:val="none"/>
        </w:rPr>
      </w:pPr>
      <w:bookmarkStart w:id="582" w:name="_Toc15560"/>
      <w:bookmarkStart w:id="583" w:name="_Toc492403835"/>
      <w:bookmarkStart w:id="584" w:name="_Toc2615"/>
      <w:r>
        <w:rPr>
          <w:rFonts w:hint="eastAsia" w:ascii="宋体" w:hAnsi="宋体"/>
          <w:b/>
          <w:bCs/>
          <w:szCs w:val="21"/>
          <w:highlight w:val="none"/>
        </w:rPr>
        <w:t>（一）投标文件初审</w:t>
      </w:r>
      <w:bookmarkEnd w:id="582"/>
      <w:bookmarkEnd w:id="583"/>
      <w:bookmarkEnd w:id="584"/>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1、资格审查</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采购人或采购代理机构依据法律法规和招标文件的规定，对投标文件中的资格证明材料等进行审查，以确定投标人是否具备投标资格，具体评审因素详见《资格审查表》。</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2、符合性检查</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评标委员会依据招标文件的规定，从投标文件的有效性、完整性和对投标文件的响应程度进行审查，以确定是否对招标文件的实质性要求作出响应，具体评审因素详见《符合性检查表》。</w:t>
      </w:r>
    </w:p>
    <w:p>
      <w:pPr>
        <w:pStyle w:val="6"/>
        <w:snapToGrid w:val="0"/>
        <w:spacing w:line="360" w:lineRule="auto"/>
        <w:ind w:firstLine="413" w:firstLineChars="196"/>
        <w:outlineLvl w:val="2"/>
        <w:rPr>
          <w:rFonts w:ascii="宋体" w:hAnsi="宋体"/>
          <w:b/>
          <w:bCs/>
          <w:szCs w:val="21"/>
          <w:highlight w:val="none"/>
        </w:rPr>
      </w:pPr>
      <w:bookmarkStart w:id="585" w:name="_Toc492403836"/>
      <w:bookmarkStart w:id="586" w:name="_Toc31838"/>
      <w:bookmarkStart w:id="587" w:name="_Toc17097"/>
      <w:r>
        <w:rPr>
          <w:rFonts w:hint="eastAsia" w:ascii="宋体" w:hAnsi="宋体"/>
          <w:b/>
          <w:bCs/>
          <w:szCs w:val="21"/>
          <w:highlight w:val="none"/>
        </w:rPr>
        <w:t>（二）澄清有关问题</w:t>
      </w:r>
      <w:bookmarkEnd w:id="585"/>
      <w:bookmarkEnd w:id="586"/>
      <w:bookmarkEnd w:id="587"/>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评标委员会</w:t>
      </w:r>
      <w:r>
        <w:rPr>
          <w:rFonts w:ascii="宋体" w:hAnsi="宋体"/>
          <w:bCs/>
          <w:szCs w:val="21"/>
          <w:highlight w:val="none"/>
        </w:rPr>
        <w:t>对</w:t>
      </w:r>
      <w:r>
        <w:rPr>
          <w:rFonts w:hint="eastAsia" w:ascii="宋体" w:hAnsi="宋体"/>
          <w:bCs/>
          <w:szCs w:val="21"/>
          <w:highlight w:val="none"/>
        </w:rPr>
        <w:t>投标文件</w:t>
      </w:r>
      <w:r>
        <w:rPr>
          <w:rFonts w:ascii="宋体" w:hAnsi="宋体"/>
          <w:bCs/>
          <w:szCs w:val="21"/>
          <w:highlight w:val="none"/>
        </w:rPr>
        <w:t>中含义不明确、同类问题表述不一致或者有明显文字和计算错误的内容，</w:t>
      </w:r>
      <w:r>
        <w:rPr>
          <w:rFonts w:hint="eastAsia" w:ascii="宋体" w:hAnsi="宋体"/>
          <w:bCs/>
          <w:szCs w:val="21"/>
          <w:highlight w:val="none"/>
        </w:rPr>
        <w:t>以</w:t>
      </w:r>
      <w:r>
        <w:rPr>
          <w:rFonts w:ascii="宋体" w:hAnsi="宋体"/>
          <w:bCs/>
          <w:szCs w:val="21"/>
          <w:highlight w:val="none"/>
        </w:rPr>
        <w:t>书面形式（应当由评标委员会专家签字）要求投标人做出必要的澄清、说明或者纠正。投标人的澄清、说明或者补正应当采用书面形式，由其授权的代表签字，并不得超出</w:t>
      </w:r>
      <w:r>
        <w:rPr>
          <w:rFonts w:hint="eastAsia" w:ascii="宋体" w:hAnsi="宋体"/>
          <w:bCs/>
          <w:szCs w:val="21"/>
          <w:highlight w:val="none"/>
        </w:rPr>
        <w:t>投标文件</w:t>
      </w:r>
      <w:r>
        <w:rPr>
          <w:rFonts w:ascii="宋体" w:hAnsi="宋体"/>
          <w:bCs/>
          <w:szCs w:val="21"/>
          <w:highlight w:val="none"/>
        </w:rPr>
        <w:t>的范围或者改变</w:t>
      </w:r>
      <w:r>
        <w:rPr>
          <w:rFonts w:hint="eastAsia" w:ascii="宋体" w:hAnsi="宋体"/>
          <w:bCs/>
          <w:szCs w:val="21"/>
          <w:highlight w:val="none"/>
        </w:rPr>
        <w:t>投标文件</w:t>
      </w:r>
      <w:r>
        <w:rPr>
          <w:rFonts w:ascii="宋体" w:hAnsi="宋体"/>
          <w:bCs/>
          <w:szCs w:val="21"/>
          <w:highlight w:val="none"/>
        </w:rPr>
        <w:t>的实质性内容。</w:t>
      </w:r>
    </w:p>
    <w:p>
      <w:pPr>
        <w:snapToGrid w:val="0"/>
        <w:spacing w:line="360" w:lineRule="auto"/>
        <w:ind w:firstLine="361" w:firstLineChars="171"/>
        <w:rPr>
          <w:rFonts w:hint="eastAsia" w:ascii="宋体" w:hAnsi="宋体" w:eastAsia="宋体" w:cs="宋体"/>
          <w:b/>
          <w:bCs/>
          <w:highlight w:val="none"/>
        </w:rPr>
      </w:pPr>
      <w:r>
        <w:rPr>
          <w:rFonts w:hint="eastAsia" w:ascii="宋体" w:hAnsi="宋体" w:eastAsia="宋体" w:cs="宋体"/>
          <w:b/>
          <w:bCs/>
          <w:highlight w:val="none"/>
        </w:rPr>
        <w:t>按照《关于推动解决政府采购异常低价问题的通知》（财库[2026]2号）规定，自2026年2月1日起，政府采购评审中出现异常低价情形，评审委员会应当启动异常低价投标审查程序。适用情形：（1）投标报价低于全部通过符合性审查供应商投标报价平均值 65 %的；（2）投标报价低于通过符合性审查的次低报价供应商投标报价 65 %的；（3）投标报价低于采购项目最高限价 65 %的；（4）评审委员会基于专业判断，认为供应商报价过低，有可能影响产品质量或者不能诚信履约的其他情形。相关法律法规对供应商报价有规定的，从其规定。</w:t>
      </w:r>
    </w:p>
    <w:p>
      <w:pPr>
        <w:pStyle w:val="6"/>
        <w:snapToGrid w:val="0"/>
        <w:spacing w:line="360" w:lineRule="auto"/>
        <w:ind w:firstLine="413" w:firstLineChars="196"/>
        <w:rPr>
          <w:rFonts w:hint="eastAsia" w:ascii="宋体" w:hAnsi="宋体"/>
          <w:b/>
          <w:bCs/>
          <w:szCs w:val="21"/>
          <w:highlight w:val="none"/>
        </w:rPr>
      </w:pPr>
      <w:r>
        <w:rPr>
          <w:rFonts w:hint="eastAsia" w:ascii="宋体" w:hAnsi="宋体" w:eastAsia="宋体" w:cs="宋体"/>
          <w:b/>
          <w:bCs/>
          <w:highlight w:val="none"/>
        </w:rPr>
        <w:t>评审委员会启动异常低价投标审查后，属于上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pPr>
        <w:pStyle w:val="6"/>
        <w:snapToGrid w:val="0"/>
        <w:spacing w:line="360" w:lineRule="auto"/>
        <w:ind w:firstLine="413" w:firstLineChars="196"/>
        <w:outlineLvl w:val="2"/>
        <w:rPr>
          <w:rFonts w:hint="eastAsia" w:ascii="宋体" w:hAnsi="宋体"/>
          <w:b/>
          <w:bCs/>
          <w:szCs w:val="21"/>
          <w:highlight w:val="none"/>
        </w:rPr>
      </w:pPr>
      <w:bookmarkStart w:id="588" w:name="_Toc492403837"/>
      <w:bookmarkStart w:id="589" w:name="_Toc6922"/>
      <w:bookmarkStart w:id="590" w:name="_Toc1057"/>
      <w:r>
        <w:rPr>
          <w:rFonts w:hint="eastAsia" w:ascii="宋体" w:hAnsi="宋体"/>
          <w:b/>
          <w:bCs/>
          <w:szCs w:val="21"/>
          <w:highlight w:val="none"/>
        </w:rPr>
        <w:t>（三）投标报价修正（如有）</w:t>
      </w:r>
      <w:bookmarkEnd w:id="588"/>
      <w:bookmarkEnd w:id="589"/>
      <w:bookmarkEnd w:id="590"/>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投标文件报价出现前后不一致的，除招标文件另有规定外，按照下列规定修正：</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1、投标文件中开标一览表（报价表）内容与投标文件中相应内容不一致的，以开标一览表（报价表）为准；</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2、大写金额和小写金额不一致的，以大写金额为准；</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3、单价金额小数点或者百分比有明显错位的，以开标一览表的总价为准，并修改单价；</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4、总价金额与按单价汇总金额不一致的，以单价金额计算结果为准。</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pPr>
        <w:pStyle w:val="6"/>
        <w:snapToGrid w:val="0"/>
        <w:spacing w:line="360" w:lineRule="auto"/>
        <w:ind w:firstLine="413" w:firstLineChars="196"/>
        <w:outlineLvl w:val="2"/>
        <w:rPr>
          <w:rFonts w:hint="eastAsia" w:ascii="宋体" w:hAnsi="宋体"/>
          <w:b/>
          <w:bCs/>
          <w:szCs w:val="21"/>
          <w:highlight w:val="none"/>
        </w:rPr>
      </w:pPr>
      <w:bookmarkStart w:id="591" w:name="_Toc8733"/>
      <w:bookmarkStart w:id="592" w:name="_Toc27624"/>
      <w:bookmarkStart w:id="593" w:name="_Toc492403838"/>
      <w:r>
        <w:rPr>
          <w:rFonts w:ascii="宋体" w:hAnsi="宋体"/>
          <w:b/>
          <w:bCs/>
          <w:szCs w:val="21"/>
          <w:highlight w:val="none"/>
        </w:rPr>
        <w:t>（</w:t>
      </w:r>
      <w:r>
        <w:rPr>
          <w:rFonts w:hint="eastAsia" w:ascii="宋体" w:hAnsi="宋体"/>
          <w:b/>
          <w:bCs/>
          <w:szCs w:val="21"/>
          <w:highlight w:val="none"/>
        </w:rPr>
        <w:t>四</w:t>
      </w:r>
      <w:r>
        <w:rPr>
          <w:rFonts w:ascii="宋体" w:hAnsi="宋体"/>
          <w:b/>
          <w:bCs/>
          <w:szCs w:val="21"/>
          <w:highlight w:val="none"/>
        </w:rPr>
        <w:t>）比较与评价</w:t>
      </w:r>
      <w:bookmarkEnd w:id="591"/>
      <w:bookmarkEnd w:id="592"/>
      <w:bookmarkEnd w:id="593"/>
    </w:p>
    <w:p>
      <w:pPr>
        <w:pStyle w:val="6"/>
        <w:snapToGrid w:val="0"/>
        <w:spacing w:line="360" w:lineRule="auto"/>
        <w:ind w:firstLine="411" w:firstLineChars="196"/>
        <w:rPr>
          <w:rFonts w:hint="eastAsia" w:ascii="宋体" w:hAnsi="宋体" w:cs="宋体"/>
          <w:kern w:val="0"/>
          <w:szCs w:val="21"/>
          <w:highlight w:val="none"/>
        </w:rPr>
      </w:pPr>
      <w:r>
        <w:rPr>
          <w:rFonts w:hint="eastAsia" w:ascii="宋体" w:hAnsi="宋体" w:cs="宋体"/>
          <w:kern w:val="0"/>
          <w:szCs w:val="21"/>
          <w:highlight w:val="none"/>
        </w:rPr>
        <w:t>评标委员会</w:t>
      </w:r>
      <w:r>
        <w:rPr>
          <w:rFonts w:ascii="宋体" w:hAnsi="宋体" w:cs="宋体"/>
          <w:kern w:val="0"/>
          <w:szCs w:val="21"/>
          <w:highlight w:val="none"/>
        </w:rPr>
        <w:t>按招标文件中规定的评标方法和标准，对资格性检查和符合性检查合格的</w:t>
      </w:r>
      <w:r>
        <w:rPr>
          <w:rFonts w:hint="eastAsia" w:ascii="宋体" w:hAnsi="宋体" w:cs="宋体"/>
          <w:kern w:val="0"/>
          <w:szCs w:val="21"/>
          <w:highlight w:val="none"/>
        </w:rPr>
        <w:t>投标文件</w:t>
      </w:r>
      <w:r>
        <w:rPr>
          <w:rFonts w:ascii="宋体" w:hAnsi="宋体" w:cs="宋体"/>
          <w:kern w:val="0"/>
          <w:szCs w:val="21"/>
          <w:highlight w:val="none"/>
        </w:rPr>
        <w:t>进行商务和技术评估，综合比较与评价。</w:t>
      </w:r>
      <w:r>
        <w:rPr>
          <w:rFonts w:hint="eastAsia" w:ascii="宋体" w:hAnsi="宋体" w:cs="宋体"/>
          <w:kern w:val="0"/>
          <w:szCs w:val="21"/>
          <w:highlight w:val="none"/>
        </w:rPr>
        <w:t>具体评审因素详见《评分标准》,</w:t>
      </w:r>
      <w:r>
        <w:rPr>
          <w:rFonts w:hint="eastAsia" w:ascii="宋体" w:hAnsi="宋体"/>
          <w:bCs/>
          <w:szCs w:val="21"/>
          <w:highlight w:val="none"/>
        </w:rPr>
        <w:t>本项目评分保留小数点后两位。</w:t>
      </w:r>
    </w:p>
    <w:p>
      <w:pPr>
        <w:pStyle w:val="6"/>
        <w:snapToGrid w:val="0"/>
        <w:spacing w:line="360" w:lineRule="auto"/>
        <w:ind w:firstLine="413" w:firstLineChars="196"/>
        <w:outlineLvl w:val="2"/>
        <w:rPr>
          <w:rFonts w:hint="eastAsia" w:ascii="宋体" w:hAnsi="宋体"/>
          <w:b/>
          <w:bCs/>
          <w:szCs w:val="21"/>
          <w:highlight w:val="none"/>
        </w:rPr>
      </w:pPr>
      <w:bookmarkStart w:id="594" w:name="_Toc492403839"/>
      <w:bookmarkStart w:id="595" w:name="_Toc30864"/>
      <w:bookmarkStart w:id="596" w:name="_Toc25369"/>
      <w:r>
        <w:rPr>
          <w:rFonts w:ascii="宋体" w:hAnsi="宋体"/>
          <w:b/>
          <w:bCs/>
          <w:szCs w:val="21"/>
          <w:highlight w:val="none"/>
        </w:rPr>
        <w:t>（</w:t>
      </w:r>
      <w:r>
        <w:rPr>
          <w:rFonts w:hint="eastAsia" w:ascii="宋体" w:hAnsi="宋体"/>
          <w:b/>
          <w:bCs/>
          <w:szCs w:val="21"/>
          <w:highlight w:val="none"/>
        </w:rPr>
        <w:t>五</w:t>
      </w:r>
      <w:r>
        <w:rPr>
          <w:rFonts w:ascii="宋体" w:hAnsi="宋体"/>
          <w:b/>
          <w:bCs/>
          <w:szCs w:val="21"/>
          <w:highlight w:val="none"/>
        </w:rPr>
        <w:t>）推荐中标候选</w:t>
      </w:r>
      <w:r>
        <w:rPr>
          <w:rFonts w:hint="eastAsia" w:ascii="宋体" w:hAnsi="宋体"/>
          <w:b/>
          <w:bCs/>
          <w:szCs w:val="21"/>
          <w:highlight w:val="none"/>
        </w:rPr>
        <w:t>人</w:t>
      </w:r>
      <w:r>
        <w:rPr>
          <w:rFonts w:ascii="宋体" w:hAnsi="宋体"/>
          <w:b/>
          <w:bCs/>
          <w:szCs w:val="21"/>
          <w:highlight w:val="none"/>
        </w:rPr>
        <w:t>名单</w:t>
      </w:r>
      <w:bookmarkEnd w:id="594"/>
      <w:bookmarkEnd w:id="595"/>
      <w:bookmarkEnd w:id="596"/>
    </w:p>
    <w:p>
      <w:pPr>
        <w:pStyle w:val="6"/>
        <w:snapToGrid w:val="0"/>
        <w:spacing w:line="360" w:lineRule="auto"/>
        <w:ind w:firstLine="411" w:firstLineChars="196"/>
        <w:rPr>
          <w:rFonts w:ascii="宋体" w:hAnsi="宋体" w:cs="宋体"/>
          <w:kern w:val="0"/>
          <w:szCs w:val="21"/>
          <w:highlight w:val="none"/>
        </w:rPr>
      </w:pPr>
      <w:r>
        <w:rPr>
          <w:rFonts w:ascii="宋体" w:hAnsi="宋体" w:cs="宋体"/>
          <w:kern w:val="0"/>
          <w:szCs w:val="21"/>
          <w:highlight w:val="none"/>
        </w:rPr>
        <w:t>中标候选</w:t>
      </w:r>
      <w:r>
        <w:rPr>
          <w:rFonts w:hint="eastAsia" w:ascii="宋体" w:hAnsi="宋体" w:cs="宋体"/>
          <w:kern w:val="0"/>
          <w:szCs w:val="21"/>
          <w:highlight w:val="none"/>
        </w:rPr>
        <w:t>人</w:t>
      </w:r>
      <w:r>
        <w:rPr>
          <w:rFonts w:ascii="宋体" w:hAnsi="宋体" w:cs="宋体"/>
          <w:kern w:val="0"/>
          <w:szCs w:val="21"/>
          <w:highlight w:val="none"/>
        </w:rPr>
        <w:t>数量</w:t>
      </w:r>
      <w:r>
        <w:rPr>
          <w:rFonts w:hint="eastAsia" w:ascii="宋体" w:hAnsi="宋体" w:cs="宋体"/>
          <w:kern w:val="0"/>
          <w:szCs w:val="21"/>
          <w:highlight w:val="none"/>
        </w:rPr>
        <w:t>详见《投标人须知前附表》</w:t>
      </w:r>
      <w:r>
        <w:rPr>
          <w:rFonts w:ascii="宋体" w:hAnsi="宋体" w:cs="宋体"/>
          <w:kern w:val="0"/>
          <w:szCs w:val="21"/>
          <w:highlight w:val="none"/>
        </w:rPr>
        <w:t>。</w:t>
      </w:r>
      <w:r>
        <w:rPr>
          <w:rFonts w:hint="eastAsia" w:ascii="宋体" w:hAnsi="宋体" w:cs="宋体"/>
          <w:kern w:val="0"/>
          <w:szCs w:val="21"/>
          <w:highlight w:val="none"/>
        </w:rPr>
        <w:t>评标委员会</w:t>
      </w:r>
      <w:r>
        <w:rPr>
          <w:rFonts w:ascii="宋体" w:hAnsi="宋体" w:cs="宋体"/>
          <w:kern w:val="0"/>
          <w:szCs w:val="21"/>
          <w:highlight w:val="none"/>
        </w:rPr>
        <w:t>按评审后得分由高到低顺序排列</w:t>
      </w:r>
      <w:r>
        <w:rPr>
          <w:rFonts w:hint="eastAsia" w:ascii="宋体" w:hAnsi="宋体" w:cs="宋体"/>
          <w:kern w:val="0"/>
          <w:szCs w:val="21"/>
          <w:highlight w:val="none"/>
        </w:rPr>
        <w:t>。</w:t>
      </w:r>
      <w:r>
        <w:rPr>
          <w:rFonts w:ascii="宋体" w:hAnsi="宋体" w:cs="宋体"/>
          <w:kern w:val="0"/>
          <w:szCs w:val="21"/>
          <w:highlight w:val="none"/>
        </w:rPr>
        <w:t>得分相同的，按投标报价由低到高顺序排列</w:t>
      </w:r>
      <w:r>
        <w:rPr>
          <w:rFonts w:hint="eastAsia" w:ascii="宋体" w:hAnsi="宋体" w:cs="宋体"/>
          <w:kern w:val="0"/>
          <w:szCs w:val="21"/>
          <w:highlight w:val="none"/>
        </w:rPr>
        <w:t>；</w:t>
      </w:r>
      <w:r>
        <w:rPr>
          <w:rFonts w:ascii="宋体" w:hAnsi="宋体" w:cs="宋体"/>
          <w:kern w:val="0"/>
          <w:szCs w:val="21"/>
          <w:highlight w:val="none"/>
        </w:rPr>
        <w:t>得分且投标报价相同的，按技术指标优劣顺序排列。</w:t>
      </w:r>
    </w:p>
    <w:p>
      <w:pPr>
        <w:pStyle w:val="6"/>
        <w:snapToGrid w:val="0"/>
        <w:spacing w:line="360" w:lineRule="auto"/>
        <w:ind w:firstLine="413" w:firstLineChars="196"/>
        <w:rPr>
          <w:rFonts w:hint="eastAsia" w:ascii="宋体" w:hAnsi="宋体"/>
          <w:b/>
          <w:bCs/>
          <w:szCs w:val="21"/>
          <w:highlight w:val="none"/>
        </w:rPr>
      </w:pPr>
      <w:r>
        <w:rPr>
          <w:rFonts w:hint="eastAsia" w:ascii="宋体" w:hAnsi="宋体" w:cs="宋体"/>
          <w:b/>
          <w:bCs/>
          <w:kern w:val="0"/>
          <w:szCs w:val="21"/>
          <w:highlight w:val="none"/>
        </w:rPr>
        <w:t>（六）</w:t>
      </w:r>
      <w:r>
        <w:rPr>
          <w:rFonts w:ascii="宋体" w:hAnsi="宋体"/>
          <w:b/>
          <w:bCs/>
          <w:szCs w:val="21"/>
          <w:highlight w:val="none"/>
        </w:rPr>
        <w:t>编写评标报告</w:t>
      </w:r>
    </w:p>
    <w:p>
      <w:pPr>
        <w:pStyle w:val="6"/>
        <w:snapToGrid w:val="0"/>
        <w:spacing w:line="360" w:lineRule="auto"/>
        <w:ind w:firstLine="411" w:firstLineChars="196"/>
        <w:rPr>
          <w:rFonts w:ascii="宋体" w:hAnsi="宋体" w:cs="宋体"/>
          <w:bCs/>
          <w:szCs w:val="21"/>
          <w:highlight w:val="none"/>
        </w:rPr>
      </w:pPr>
      <w:r>
        <w:rPr>
          <w:rFonts w:ascii="宋体" w:hAnsi="宋体" w:cs="宋体"/>
          <w:kern w:val="0"/>
          <w:szCs w:val="21"/>
          <w:highlight w:val="none"/>
        </w:rPr>
        <w:t>评标报告是评标委员会根据全体评标成员签字的原始评标记录和评标结果编写的报告</w:t>
      </w:r>
      <w:r>
        <w:rPr>
          <w:rFonts w:hint="eastAsia" w:ascii="宋体" w:hAnsi="宋体" w:cs="宋体"/>
          <w:kern w:val="0"/>
          <w:szCs w:val="21"/>
          <w:highlight w:val="none"/>
        </w:rPr>
        <w:t>。</w:t>
      </w:r>
    </w:p>
    <w:p>
      <w:pPr>
        <w:spacing w:line="300" w:lineRule="auto"/>
        <w:ind w:firstLine="413" w:firstLineChars="196"/>
        <w:outlineLvl w:val="3"/>
        <w:rPr>
          <w:rFonts w:ascii="宋体" w:hAnsi="宋体" w:cs="宋体"/>
          <w:b/>
          <w:szCs w:val="21"/>
          <w:highlight w:val="none"/>
        </w:rPr>
      </w:pPr>
      <w:r>
        <w:rPr>
          <w:rFonts w:hint="eastAsia" w:ascii="宋体" w:hAnsi="宋体" w:cs="宋体"/>
          <w:b/>
          <w:szCs w:val="21"/>
          <w:highlight w:val="none"/>
        </w:rPr>
        <w:br w:type="page"/>
      </w:r>
      <w:bookmarkStart w:id="597" w:name="_Toc121334909"/>
      <w:r>
        <w:rPr>
          <w:rFonts w:hint="eastAsia" w:ascii="宋体" w:hAnsi="宋体" w:cs="宋体"/>
          <w:b/>
          <w:bCs/>
          <w:szCs w:val="21"/>
          <w:highlight w:val="none"/>
        </w:rPr>
        <w:t>附表1：资格审查表</w:t>
      </w:r>
      <w:bookmarkEnd w:id="597"/>
    </w:p>
    <w:tbl>
      <w:tblPr>
        <w:tblStyle w:val="88"/>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74"/>
        <w:gridCol w:w="3686"/>
        <w:gridCol w:w="45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74" w:type="dxa"/>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序号</w:t>
            </w:r>
          </w:p>
        </w:tc>
        <w:tc>
          <w:tcPr>
            <w:tcW w:w="3686" w:type="dxa"/>
            <w:vAlign w:val="center"/>
          </w:tcPr>
          <w:p>
            <w:pPr>
              <w:adjustRightInd w:val="0"/>
              <w:snapToGrid w:val="0"/>
              <w:jc w:val="center"/>
              <w:rPr>
                <w:rFonts w:ascii="宋体" w:hAnsi="宋体" w:cs="宋体"/>
                <w:kern w:val="0"/>
                <w:szCs w:val="21"/>
                <w:highlight w:val="none"/>
              </w:rPr>
            </w:pPr>
            <w:r>
              <w:rPr>
                <w:rFonts w:hint="eastAsia" w:ascii="宋体" w:hAnsi="宋体" w:cs="宋体"/>
                <w:kern w:val="0"/>
                <w:szCs w:val="21"/>
                <w:highlight w:val="none"/>
              </w:rPr>
              <w:t>资格要求</w:t>
            </w:r>
          </w:p>
        </w:tc>
        <w:tc>
          <w:tcPr>
            <w:tcW w:w="4586" w:type="dxa"/>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须提供的资料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74" w:type="dxa"/>
            <w:vMerge w:val="restart"/>
            <w:vAlign w:val="center"/>
          </w:tcPr>
          <w:p>
            <w:pPr>
              <w:widowControl/>
              <w:numPr>
                <w:ilvl w:val="0"/>
                <w:numId w:val="9"/>
              </w:numPr>
              <w:adjustRightInd w:val="0"/>
              <w:snapToGrid w:val="0"/>
              <w:rPr>
                <w:rFonts w:ascii="宋体" w:hAnsi="宋体" w:cs="宋体"/>
                <w:kern w:val="0"/>
                <w:szCs w:val="21"/>
                <w:highlight w:val="none"/>
              </w:rPr>
            </w:pPr>
          </w:p>
        </w:tc>
        <w:tc>
          <w:tcPr>
            <w:tcW w:w="3686" w:type="dxa"/>
            <w:vAlign w:val="center"/>
          </w:tcPr>
          <w:p>
            <w:pPr>
              <w:snapToGrid w:val="0"/>
              <w:rPr>
                <w:rFonts w:ascii="宋体" w:hAnsi="宋体" w:cs="宋体"/>
                <w:szCs w:val="21"/>
                <w:highlight w:val="none"/>
                <w:lang w:val="hr-HR"/>
              </w:rPr>
            </w:pPr>
            <w:r>
              <w:rPr>
                <w:rFonts w:hint="eastAsia" w:ascii="宋体" w:hAnsi="宋体" w:cs="宋体"/>
                <w:szCs w:val="21"/>
                <w:highlight w:val="none"/>
                <w:lang w:val="hr-HR"/>
              </w:rPr>
              <w:t xml:space="preserve">具有独立承担民事责任的能力 </w:t>
            </w:r>
          </w:p>
        </w:tc>
        <w:tc>
          <w:tcPr>
            <w:tcW w:w="4586" w:type="dxa"/>
            <w:vAlign w:val="center"/>
          </w:tcPr>
          <w:p>
            <w:pPr>
              <w:snapToGrid w:val="0"/>
              <w:rPr>
                <w:rFonts w:ascii="宋体" w:hAnsi="宋体" w:cs="宋体"/>
                <w:bCs/>
                <w:szCs w:val="21"/>
                <w:highlight w:val="none"/>
              </w:rPr>
            </w:pPr>
            <w:r>
              <w:rPr>
                <w:rFonts w:hint="eastAsia" w:ascii="宋体" w:hAnsi="宋体" w:cs="宋体"/>
                <w:bCs/>
                <w:szCs w:val="21"/>
                <w:highlight w:val="none"/>
              </w:rPr>
              <w:t>如投标人是企业（包括合伙企业），应提供在工商部门注册的有效“企业法人营业执照”或“营业执照”；如投标人是事业单位，应提供有效的“事业单位法人证书”；投标人是非企业专业服务机构的，应提供执业许可证等证明文件；如投标人是个体工商户，应提供有效的“个体工商户营业执照”；如投标人是自然人，应提供有效的自然人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74" w:type="dxa"/>
            <w:vMerge w:val="continue"/>
            <w:vAlign w:val="center"/>
          </w:tcPr>
          <w:p>
            <w:pPr>
              <w:widowControl/>
              <w:numPr>
                <w:ilvl w:val="0"/>
                <w:numId w:val="9"/>
              </w:numPr>
              <w:adjustRightInd w:val="0"/>
              <w:snapToGrid w:val="0"/>
              <w:rPr>
                <w:rFonts w:ascii="宋体" w:hAnsi="宋体" w:cs="宋体"/>
                <w:kern w:val="0"/>
                <w:szCs w:val="21"/>
                <w:highlight w:val="none"/>
              </w:rPr>
            </w:pPr>
          </w:p>
        </w:tc>
        <w:tc>
          <w:tcPr>
            <w:tcW w:w="3686" w:type="dxa"/>
            <w:vAlign w:val="center"/>
          </w:tcPr>
          <w:p>
            <w:pPr>
              <w:widowControl/>
              <w:adjustRightInd w:val="0"/>
              <w:snapToGrid w:val="0"/>
              <w:rPr>
                <w:rFonts w:ascii="宋体" w:hAnsi="宋体" w:cs="宋体"/>
                <w:kern w:val="0"/>
                <w:szCs w:val="21"/>
                <w:highlight w:val="none"/>
              </w:rPr>
            </w:pPr>
            <w:r>
              <w:rPr>
                <w:rFonts w:hint="eastAsia" w:ascii="宋体" w:hAnsi="宋体" w:cs="宋体"/>
                <w:szCs w:val="21"/>
                <w:highlight w:val="none"/>
                <w:lang w:val="hr-HR"/>
              </w:rPr>
              <w:t>具有良好的商业信誉和健全的财务会计制度</w:t>
            </w:r>
          </w:p>
        </w:tc>
        <w:tc>
          <w:tcPr>
            <w:tcW w:w="4586" w:type="dxa"/>
            <w:vAlign w:val="center"/>
          </w:tcPr>
          <w:p>
            <w:pPr>
              <w:adjustRightInd w:val="0"/>
              <w:snapToGrid w:val="0"/>
              <w:rPr>
                <w:rFonts w:ascii="宋体" w:hAnsi="宋体" w:cs="宋体"/>
                <w:b/>
                <w:bCs/>
                <w:szCs w:val="21"/>
                <w:highlight w:val="none"/>
              </w:rPr>
            </w:pPr>
            <w:r>
              <w:rPr>
                <w:rFonts w:hint="eastAsia" w:ascii="宋体" w:hAnsi="宋体" w:cs="宋体"/>
                <w:b/>
                <w:szCs w:val="21"/>
                <w:highlight w:val="none"/>
              </w:rPr>
              <w:t>由投标人对以下内容提供书面承诺及声明，或提供相应证明材料。</w:t>
            </w:r>
          </w:p>
          <w:p>
            <w:pPr>
              <w:adjustRightInd w:val="0"/>
              <w:snapToGrid w:val="0"/>
              <w:rPr>
                <w:rFonts w:ascii="宋体" w:hAnsi="宋体" w:cs="宋体"/>
                <w:bCs/>
                <w:szCs w:val="21"/>
                <w:highlight w:val="none"/>
              </w:rPr>
            </w:pPr>
            <w:r>
              <w:rPr>
                <w:rFonts w:hint="eastAsia" w:ascii="宋体" w:hAnsi="宋体" w:cs="宋体"/>
                <w:bCs/>
                <w:szCs w:val="21"/>
                <w:highlight w:val="none"/>
              </w:rPr>
              <w:t>投标人是法人的，应具有上一年度（202</w:t>
            </w:r>
            <w:r>
              <w:rPr>
                <w:rFonts w:hint="eastAsia" w:ascii="宋体" w:hAnsi="宋体" w:cs="宋体"/>
                <w:bCs/>
                <w:szCs w:val="21"/>
                <w:highlight w:val="none"/>
                <w:lang w:val="en-US" w:eastAsia="zh-CN"/>
              </w:rPr>
              <w:t>4</w:t>
            </w:r>
            <w:r>
              <w:rPr>
                <w:rFonts w:hint="eastAsia" w:ascii="宋体" w:hAnsi="宋体" w:cs="宋体"/>
                <w:bCs/>
                <w:szCs w:val="21"/>
                <w:highlight w:val="none"/>
              </w:rPr>
              <w:t>年度或202</w:t>
            </w:r>
            <w:r>
              <w:rPr>
                <w:rFonts w:hint="eastAsia" w:ascii="宋体" w:hAnsi="宋体" w:cs="宋体"/>
                <w:bCs/>
                <w:szCs w:val="21"/>
                <w:highlight w:val="none"/>
                <w:lang w:val="en-US" w:eastAsia="zh-CN"/>
              </w:rPr>
              <w:t>5</w:t>
            </w:r>
            <w:r>
              <w:rPr>
                <w:rFonts w:hint="eastAsia" w:ascii="宋体" w:hAnsi="宋体" w:cs="宋体"/>
                <w:bCs/>
                <w:szCs w:val="21"/>
                <w:highlight w:val="none"/>
              </w:rPr>
              <w:t>年度）经审计的财务报告，或其基本开户银行出具的资信证明。其他组织和自然人，没有经审计的财务报告，应具有银行出具的资信证明。</w:t>
            </w:r>
          </w:p>
          <w:p>
            <w:pPr>
              <w:adjustRightInd w:val="0"/>
              <w:snapToGrid w:val="0"/>
              <w:rPr>
                <w:rFonts w:ascii="宋体" w:hAnsi="宋体" w:cs="宋体"/>
                <w:bCs/>
                <w:szCs w:val="21"/>
                <w:highlight w:val="none"/>
              </w:rPr>
            </w:pPr>
            <w:r>
              <w:rPr>
                <w:rFonts w:hint="eastAsia" w:ascii="宋体" w:hAnsi="宋体" w:cs="宋体"/>
                <w:bCs/>
                <w:szCs w:val="21"/>
                <w:highlight w:val="none"/>
              </w:rPr>
              <w:t>有专业担保机构对投标人进行资信审查后出具投标担保函的，可以不用具备经审计的财务报告和银行资信证明文件。</w:t>
            </w:r>
          </w:p>
          <w:p>
            <w:pPr>
              <w:adjustRightInd w:val="0"/>
              <w:snapToGrid w:val="0"/>
              <w:rPr>
                <w:rFonts w:ascii="宋体" w:hAnsi="宋体" w:cs="宋体"/>
                <w:b/>
                <w:highlight w:val="none"/>
              </w:rPr>
            </w:pPr>
            <w:r>
              <w:rPr>
                <w:rFonts w:hint="eastAsia" w:ascii="宋体" w:hAnsi="宋体" w:cs="宋体"/>
                <w:b/>
                <w:highlight w:val="none"/>
              </w:rPr>
              <w:t>备注：如果投标人同时提供了1）书面承诺及声明、2）相应证明材料，且二者内容不一致的，</w:t>
            </w:r>
            <w:r>
              <w:rPr>
                <w:rFonts w:hint="eastAsia" w:ascii="宋体" w:hAnsi="宋体" w:cs="宋体"/>
                <w:b/>
                <w:szCs w:val="21"/>
                <w:highlight w:val="none"/>
                <w:lang w:val="hr-HR"/>
              </w:rPr>
              <w:t>采购人或者采购代理机构</w:t>
            </w:r>
            <w:r>
              <w:rPr>
                <w:rFonts w:hint="eastAsia" w:ascii="宋体" w:hAnsi="宋体" w:cs="宋体"/>
                <w:b/>
                <w:highlight w:val="none"/>
              </w:rPr>
              <w:t>有权任选其中一种进行评审，由投标人自行承担一切后果。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74" w:type="dxa"/>
            <w:vMerge w:val="continue"/>
            <w:vAlign w:val="center"/>
          </w:tcPr>
          <w:p>
            <w:pPr>
              <w:widowControl/>
              <w:numPr>
                <w:ilvl w:val="0"/>
                <w:numId w:val="9"/>
              </w:numPr>
              <w:adjustRightInd w:val="0"/>
              <w:snapToGrid w:val="0"/>
              <w:rPr>
                <w:rFonts w:ascii="宋体" w:hAnsi="宋体" w:cs="宋体"/>
                <w:kern w:val="0"/>
                <w:szCs w:val="21"/>
                <w:highlight w:val="none"/>
              </w:rPr>
            </w:pPr>
          </w:p>
        </w:tc>
        <w:tc>
          <w:tcPr>
            <w:tcW w:w="3686" w:type="dxa"/>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具有履行合同所必需的设备和专业技术能力</w:t>
            </w:r>
          </w:p>
        </w:tc>
        <w:tc>
          <w:tcPr>
            <w:tcW w:w="4586" w:type="dxa"/>
            <w:vAlign w:val="center"/>
          </w:tcPr>
          <w:p>
            <w:pPr>
              <w:adjustRightInd w:val="0"/>
              <w:snapToGrid w:val="0"/>
              <w:rPr>
                <w:rFonts w:ascii="宋体" w:hAnsi="宋体" w:cs="宋体"/>
                <w:bCs/>
                <w:szCs w:val="21"/>
                <w:highlight w:val="none"/>
              </w:rPr>
            </w:pPr>
            <w:r>
              <w:rPr>
                <w:rFonts w:hint="eastAsia" w:ascii="宋体" w:hAnsi="宋体" w:cs="宋体"/>
                <w:bCs/>
                <w:szCs w:val="21"/>
                <w:highlight w:val="none"/>
              </w:rPr>
              <w:t>由投标人提供书面承诺及声明</w:t>
            </w:r>
            <w:r>
              <w:rPr>
                <w:rFonts w:hint="eastAsia" w:ascii="宋体" w:hAnsi="宋体" w:cs="宋体"/>
                <w:highlight w:val="none"/>
              </w:rPr>
              <w:t>，或提供相应证明材料。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74" w:type="dxa"/>
            <w:vMerge w:val="continue"/>
            <w:vAlign w:val="center"/>
          </w:tcPr>
          <w:p>
            <w:pPr>
              <w:widowControl/>
              <w:numPr>
                <w:ilvl w:val="0"/>
                <w:numId w:val="9"/>
              </w:numPr>
              <w:adjustRightInd w:val="0"/>
              <w:snapToGrid w:val="0"/>
              <w:rPr>
                <w:rFonts w:ascii="宋体" w:hAnsi="宋体" w:cs="宋体"/>
                <w:kern w:val="0"/>
                <w:szCs w:val="21"/>
                <w:highlight w:val="none"/>
              </w:rPr>
            </w:pPr>
          </w:p>
        </w:tc>
        <w:tc>
          <w:tcPr>
            <w:tcW w:w="3686" w:type="dxa"/>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有依法缴纳税收和社会保障资金的良好记录</w:t>
            </w:r>
          </w:p>
        </w:tc>
        <w:tc>
          <w:tcPr>
            <w:tcW w:w="4586" w:type="dxa"/>
            <w:vAlign w:val="center"/>
          </w:tcPr>
          <w:p>
            <w:pPr>
              <w:adjustRightInd w:val="0"/>
              <w:snapToGrid w:val="0"/>
              <w:rPr>
                <w:rFonts w:ascii="宋体" w:hAnsi="宋体" w:cs="宋体"/>
                <w:b/>
                <w:bCs/>
                <w:szCs w:val="21"/>
                <w:highlight w:val="none"/>
              </w:rPr>
            </w:pPr>
            <w:r>
              <w:rPr>
                <w:rFonts w:hint="eastAsia" w:ascii="宋体" w:hAnsi="宋体" w:cs="宋体"/>
                <w:b/>
                <w:szCs w:val="21"/>
                <w:highlight w:val="none"/>
              </w:rPr>
              <w:t>由投标人对以下内容提供书面承诺及声明，或提供相应证明材料。</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投标人依法缴纳税收：本项目公告发布时间前</w:t>
            </w:r>
            <w:r>
              <w:rPr>
                <w:rFonts w:hint="eastAsia" w:ascii="宋体" w:hAnsi="宋体" w:cs="宋体"/>
                <w:szCs w:val="21"/>
                <w:highlight w:val="none"/>
              </w:rPr>
              <w:t>12个月内</w:t>
            </w:r>
            <w:r>
              <w:rPr>
                <w:rFonts w:hint="eastAsia" w:ascii="宋体" w:hAnsi="宋体" w:cs="宋体"/>
                <w:szCs w:val="21"/>
                <w:highlight w:val="none"/>
                <w:lang w:val="hr-HR"/>
              </w:rPr>
              <w:t>（至少有1个月）缴纳税收的凭据（完税证、缴款书、印花税票、银行代扣（代缴）转账凭证等均可）；</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投标人依法缴纳社会保障资金：本项目公告发布时间前</w:t>
            </w:r>
            <w:r>
              <w:rPr>
                <w:rFonts w:hint="eastAsia" w:ascii="宋体" w:hAnsi="宋体" w:cs="宋体"/>
                <w:szCs w:val="21"/>
                <w:highlight w:val="none"/>
              </w:rPr>
              <w:t>12个月内</w:t>
            </w:r>
            <w:r>
              <w:rPr>
                <w:rFonts w:hint="eastAsia" w:ascii="宋体" w:hAnsi="宋体" w:cs="宋体"/>
                <w:szCs w:val="21"/>
                <w:highlight w:val="none"/>
                <w:lang w:val="hr-HR"/>
              </w:rPr>
              <w:t>（至少有1个月）缴纳社会保险的凭据（专用收据或社会保险交纳清单）；</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投标人为其他组织或自然人的，也应满足以上要求；</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递交投标文件截止时间的当月成立但因税务机关原因导致其尚未依法缴纳税收的投标人，提供将依法缴纳税收承诺书原件（格式自拟），该承诺书视同税收缴纳凭据。</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递交投标文件截止时间的当月成立但因社会保障资金管理机关原因导致其尚未依法缴纳社会保障资金的投标人，提供将依法缴纳社会保障资金承诺书原件（格式自拟），该承诺书视同社会保险凭据。</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依法免税或不需要缴纳社会保障资金的投标人，具有相应文件证明其依法免税或不需要交纳社会保障资金。</w:t>
            </w:r>
          </w:p>
          <w:p>
            <w:pPr>
              <w:adjustRightInd w:val="0"/>
              <w:snapToGrid w:val="0"/>
              <w:rPr>
                <w:rFonts w:ascii="宋体" w:hAnsi="宋体" w:cs="宋体"/>
                <w:b/>
                <w:highlight w:val="none"/>
                <w:lang w:val="hr-HR"/>
              </w:rPr>
            </w:pPr>
            <w:r>
              <w:rPr>
                <w:rFonts w:hint="eastAsia" w:ascii="宋体" w:hAnsi="宋体" w:cs="宋体"/>
                <w:b/>
                <w:szCs w:val="21"/>
                <w:highlight w:val="none"/>
                <w:lang w:val="hr-HR"/>
              </w:rPr>
              <w:t>备注：如果投标人同时提供了1）书面承诺及声明、2）相应证明材料，且二者内容不一致的，采购人或者采购代理机构有权任选其中一种进行评审，由投标人自行承担一切后果。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74" w:type="dxa"/>
            <w:vMerge w:val="continue"/>
            <w:vAlign w:val="center"/>
          </w:tcPr>
          <w:p>
            <w:pPr>
              <w:widowControl/>
              <w:numPr>
                <w:ilvl w:val="0"/>
                <w:numId w:val="9"/>
              </w:numPr>
              <w:adjustRightInd w:val="0"/>
              <w:snapToGrid w:val="0"/>
              <w:rPr>
                <w:rFonts w:ascii="宋体" w:hAnsi="宋体" w:cs="宋体"/>
                <w:kern w:val="0"/>
                <w:szCs w:val="21"/>
                <w:highlight w:val="none"/>
              </w:rPr>
            </w:pPr>
          </w:p>
        </w:tc>
        <w:tc>
          <w:tcPr>
            <w:tcW w:w="3686" w:type="dxa"/>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参加政府采购活动前三年内，在经营活动中没有重大违法记录</w:t>
            </w:r>
          </w:p>
        </w:tc>
        <w:tc>
          <w:tcPr>
            <w:tcW w:w="4586" w:type="dxa"/>
            <w:vAlign w:val="center"/>
          </w:tcPr>
          <w:p>
            <w:pPr>
              <w:widowControl/>
              <w:adjustRightInd w:val="0"/>
              <w:snapToGrid w:val="0"/>
              <w:rPr>
                <w:rFonts w:ascii="宋体" w:hAnsi="宋体" w:cs="宋体"/>
                <w:szCs w:val="21"/>
                <w:highlight w:val="none"/>
                <w:lang w:val="hr-HR"/>
              </w:rPr>
            </w:pPr>
            <w:r>
              <w:rPr>
                <w:rFonts w:hint="eastAsia" w:ascii="宋体" w:hAnsi="宋体" w:cs="宋体"/>
                <w:bCs/>
                <w:szCs w:val="21"/>
                <w:highlight w:val="none"/>
              </w:rPr>
              <w:t>由投标人提供书面承诺及声明</w:t>
            </w:r>
            <w:r>
              <w:rPr>
                <w:rFonts w:hint="eastAsia" w:ascii="宋体" w:hAnsi="宋体" w:cs="宋体"/>
                <w:highlight w:val="none"/>
              </w:rPr>
              <w:t>，或提供相应证明材料。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74" w:type="dxa"/>
            <w:vMerge w:val="continue"/>
            <w:vAlign w:val="center"/>
          </w:tcPr>
          <w:p>
            <w:pPr>
              <w:widowControl/>
              <w:numPr>
                <w:ilvl w:val="0"/>
                <w:numId w:val="9"/>
              </w:numPr>
              <w:adjustRightInd w:val="0"/>
              <w:snapToGrid w:val="0"/>
              <w:rPr>
                <w:rFonts w:ascii="宋体" w:hAnsi="宋体" w:cs="宋体"/>
                <w:kern w:val="0"/>
                <w:szCs w:val="21"/>
                <w:highlight w:val="none"/>
              </w:rPr>
            </w:pPr>
          </w:p>
        </w:tc>
        <w:tc>
          <w:tcPr>
            <w:tcW w:w="3686" w:type="dxa"/>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法律、行政法规规定的其他条件</w:t>
            </w:r>
          </w:p>
        </w:tc>
        <w:tc>
          <w:tcPr>
            <w:tcW w:w="4586" w:type="dxa"/>
            <w:vAlign w:val="center"/>
          </w:tcPr>
          <w:p>
            <w:pPr>
              <w:adjustRightInd w:val="0"/>
              <w:snapToGrid w:val="0"/>
              <w:rPr>
                <w:rFonts w:ascii="宋体" w:hAnsi="宋体" w:cs="宋体"/>
                <w:bCs/>
                <w:szCs w:val="21"/>
                <w:highlight w:val="none"/>
              </w:rPr>
            </w:pPr>
            <w:r>
              <w:rPr>
                <w:rFonts w:hint="eastAsia" w:ascii="宋体" w:hAnsi="宋体" w:cs="宋体"/>
                <w:bCs/>
                <w:szCs w:val="21"/>
                <w:highlight w:val="none"/>
              </w:rPr>
              <w:t>由投标人提供书面承诺及声明</w:t>
            </w:r>
            <w:r>
              <w:rPr>
                <w:rFonts w:hint="eastAsia" w:ascii="宋体" w:hAnsi="宋体" w:cs="宋体"/>
                <w:highlight w:val="none"/>
              </w:rPr>
              <w:t>，或提供相应证明材料。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74" w:type="dxa"/>
            <w:vAlign w:val="center"/>
          </w:tcPr>
          <w:p>
            <w:pPr>
              <w:widowControl/>
              <w:numPr>
                <w:ilvl w:val="0"/>
                <w:numId w:val="9"/>
              </w:numPr>
              <w:adjustRightInd w:val="0"/>
              <w:snapToGrid w:val="0"/>
              <w:rPr>
                <w:rFonts w:ascii="宋体" w:hAnsi="宋体" w:cs="宋体"/>
                <w:kern w:val="0"/>
                <w:szCs w:val="21"/>
                <w:highlight w:val="none"/>
              </w:rPr>
            </w:pPr>
          </w:p>
        </w:tc>
        <w:tc>
          <w:tcPr>
            <w:tcW w:w="3686" w:type="dxa"/>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rPr>
              <w:t>单位负责人为同一人或者存在直接控股、管理关系的不同投标人，不得参加本项目同一合同项下的政府采购活动</w:t>
            </w:r>
          </w:p>
        </w:tc>
        <w:tc>
          <w:tcPr>
            <w:tcW w:w="4586" w:type="dxa"/>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由投标人在《投标函》中声明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74" w:type="dxa"/>
            <w:vAlign w:val="center"/>
          </w:tcPr>
          <w:p>
            <w:pPr>
              <w:widowControl/>
              <w:numPr>
                <w:ilvl w:val="0"/>
                <w:numId w:val="9"/>
              </w:numPr>
              <w:adjustRightInd w:val="0"/>
              <w:snapToGrid w:val="0"/>
              <w:rPr>
                <w:rFonts w:ascii="宋体" w:hAnsi="宋体" w:cs="宋体"/>
                <w:kern w:val="0"/>
                <w:szCs w:val="21"/>
                <w:highlight w:val="none"/>
              </w:rPr>
            </w:pPr>
          </w:p>
        </w:tc>
        <w:tc>
          <w:tcPr>
            <w:tcW w:w="3686" w:type="dxa"/>
            <w:vAlign w:val="center"/>
          </w:tcPr>
          <w:p>
            <w:pPr>
              <w:widowControl/>
              <w:adjustRightInd w:val="0"/>
              <w:snapToGrid w:val="0"/>
              <w:rPr>
                <w:rFonts w:ascii="宋体" w:hAnsi="宋体" w:cs="宋体"/>
                <w:szCs w:val="21"/>
                <w:highlight w:val="none"/>
              </w:rPr>
            </w:pPr>
            <w:r>
              <w:rPr>
                <w:rFonts w:hint="eastAsia" w:ascii="宋体" w:hAnsi="宋体" w:cs="宋体"/>
                <w:szCs w:val="21"/>
                <w:highlight w:val="none"/>
              </w:rPr>
              <w:t>为本采购项目提供整体设计、规范编制或者项目管理、监理、检测等服务的，不得再参加本项目的其他招标采购活动。</w:t>
            </w:r>
          </w:p>
        </w:tc>
        <w:tc>
          <w:tcPr>
            <w:tcW w:w="4586" w:type="dxa"/>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由投标人在《投标函》中声明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74" w:type="dxa"/>
            <w:vAlign w:val="center"/>
          </w:tcPr>
          <w:p>
            <w:pPr>
              <w:widowControl/>
              <w:numPr>
                <w:ilvl w:val="0"/>
                <w:numId w:val="9"/>
              </w:numPr>
              <w:adjustRightInd w:val="0"/>
              <w:snapToGrid w:val="0"/>
              <w:rPr>
                <w:rFonts w:ascii="宋体" w:hAnsi="宋体" w:cs="宋体"/>
                <w:kern w:val="0"/>
                <w:szCs w:val="21"/>
                <w:highlight w:val="none"/>
              </w:rPr>
            </w:pPr>
          </w:p>
        </w:tc>
        <w:tc>
          <w:tcPr>
            <w:tcW w:w="3686" w:type="dxa"/>
            <w:vAlign w:val="center"/>
          </w:tcPr>
          <w:p>
            <w:pPr>
              <w:widowControl/>
              <w:adjustRightInd w:val="0"/>
              <w:snapToGrid w:val="0"/>
              <w:rPr>
                <w:rFonts w:ascii="宋体" w:hAnsi="宋体" w:cs="宋体"/>
                <w:szCs w:val="21"/>
                <w:highlight w:val="none"/>
              </w:rPr>
            </w:pPr>
            <w:r>
              <w:rPr>
                <w:rFonts w:hint="eastAsia" w:ascii="宋体" w:hAnsi="宋体" w:cs="宋体"/>
                <w:szCs w:val="21"/>
                <w:highlight w:val="none"/>
              </w:rPr>
              <w:t>未被列入失信被执行人、重大税收违法失信主体，未被列入政府采购严重违法失信行为记录名单。</w:t>
            </w:r>
          </w:p>
        </w:tc>
        <w:tc>
          <w:tcPr>
            <w:tcW w:w="4586" w:type="dxa"/>
            <w:vAlign w:val="center"/>
          </w:tcPr>
          <w:p>
            <w:pPr>
              <w:widowControl/>
              <w:adjustRightInd w:val="0"/>
              <w:snapToGrid w:val="0"/>
              <w:rPr>
                <w:rFonts w:ascii="宋体" w:hAnsi="宋体" w:cs="宋体"/>
                <w:highlight w:val="none"/>
                <w:lang w:val="hr-HR"/>
              </w:rPr>
            </w:pPr>
            <w:r>
              <w:rPr>
                <w:rFonts w:hint="eastAsia" w:ascii="宋体" w:hAnsi="宋体" w:cs="宋体"/>
                <w:szCs w:val="21"/>
                <w:highlight w:val="none"/>
                <w:lang w:val="hr-HR"/>
              </w:rPr>
              <w:t>以采购人和采购代理机构在投标截止日在“信用中国”网站（www.creditchina.gov.cn）及中国政府采购网(www.ccgp.gov.cn)查询的投标人参加政府采购活动前三年内的结果为准（采购人和采购代理机构对信用信息查询记录和证据截图或下载存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74" w:type="dxa"/>
            <w:vAlign w:val="center"/>
          </w:tcPr>
          <w:p>
            <w:pPr>
              <w:widowControl/>
              <w:numPr>
                <w:ilvl w:val="0"/>
                <w:numId w:val="9"/>
              </w:numPr>
              <w:adjustRightInd w:val="0"/>
              <w:snapToGrid w:val="0"/>
              <w:rPr>
                <w:rFonts w:ascii="宋体" w:hAnsi="宋体" w:cs="宋体"/>
                <w:color w:val="FF0000"/>
                <w:kern w:val="0"/>
                <w:szCs w:val="21"/>
                <w:highlight w:val="none"/>
              </w:rPr>
            </w:pPr>
          </w:p>
        </w:tc>
        <w:tc>
          <w:tcPr>
            <w:tcW w:w="3686" w:type="dxa"/>
          </w:tcPr>
          <w:p>
            <w:pPr>
              <w:widowControl/>
              <w:adjustRightInd w:val="0"/>
              <w:snapToGrid w:val="0"/>
              <w:rPr>
                <w:rFonts w:ascii="宋体" w:hAnsi="宋体" w:cs="宋体"/>
                <w:highlight w:val="none"/>
              </w:rPr>
            </w:pPr>
            <w:r>
              <w:rPr>
                <w:rFonts w:hint="eastAsia" w:ascii="宋体" w:hAnsi="宋体" w:cs="宋体"/>
                <w:szCs w:val="21"/>
                <w:highlight w:val="none"/>
              </w:rPr>
              <w:t xml:space="preserve">落实政府采购政策需满足的资格要求： </w:t>
            </w:r>
          </w:p>
        </w:tc>
        <w:tc>
          <w:tcPr>
            <w:tcW w:w="4586" w:type="dxa"/>
            <w:vAlign w:val="center"/>
          </w:tcPr>
          <w:p>
            <w:pPr>
              <w:jc w:val="left"/>
              <w:rPr>
                <w:rFonts w:ascii="宋体" w:hAnsi="宋体" w:cs="宋体"/>
                <w:szCs w:val="21"/>
                <w:highlight w:val="none"/>
              </w:rPr>
            </w:pPr>
            <w:bookmarkStart w:id="598" w:name="OLE_LINK12"/>
            <w:r>
              <w:rPr>
                <w:rFonts w:hint="eastAsia" w:ascii="宋体" w:hAnsi="宋体" w:cs="宋体"/>
                <w:szCs w:val="21"/>
                <w:highlight w:val="none"/>
              </w:rPr>
              <w:t>/</w:t>
            </w:r>
            <w:bookmarkEnd w:id="5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74" w:type="dxa"/>
            <w:vAlign w:val="center"/>
          </w:tcPr>
          <w:p>
            <w:pPr>
              <w:widowControl/>
              <w:numPr>
                <w:ilvl w:val="0"/>
                <w:numId w:val="9"/>
              </w:numPr>
              <w:adjustRightInd w:val="0"/>
              <w:snapToGrid w:val="0"/>
              <w:rPr>
                <w:rFonts w:ascii="宋体" w:hAnsi="宋体" w:cs="宋体"/>
                <w:kern w:val="0"/>
                <w:szCs w:val="21"/>
                <w:highlight w:val="none"/>
              </w:rPr>
            </w:pPr>
          </w:p>
        </w:tc>
        <w:tc>
          <w:tcPr>
            <w:tcW w:w="3686" w:type="dxa"/>
            <w:vAlign w:val="center"/>
          </w:tcPr>
          <w:p>
            <w:pPr>
              <w:widowControl/>
              <w:adjustRightInd w:val="0"/>
              <w:snapToGrid w:val="0"/>
              <w:jc w:val="left"/>
              <w:rPr>
                <w:rFonts w:ascii="宋体" w:hAnsi="宋体" w:cs="宋体"/>
                <w:szCs w:val="21"/>
                <w:highlight w:val="none"/>
              </w:rPr>
            </w:pPr>
            <w:r>
              <w:rPr>
                <w:rFonts w:hint="eastAsia" w:ascii="宋体" w:hAnsi="宋体" w:cs="宋体"/>
                <w:szCs w:val="21"/>
                <w:highlight w:val="none"/>
                <w:lang w:val="hr-HR"/>
              </w:rPr>
              <w:t>本项目的特定资格要求：</w:t>
            </w:r>
            <w:r>
              <w:rPr>
                <w:rFonts w:hint="eastAsia" w:ascii="宋体" w:hAnsi="宋体" w:cs="宋体"/>
                <w:szCs w:val="21"/>
                <w:highlight w:val="none"/>
              </w:rPr>
              <w:t>/</w:t>
            </w:r>
          </w:p>
        </w:tc>
        <w:tc>
          <w:tcPr>
            <w:tcW w:w="4586" w:type="dxa"/>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rPr>
              <w:t>/</w:t>
            </w:r>
          </w:p>
        </w:tc>
      </w:tr>
    </w:tbl>
    <w:p>
      <w:pPr>
        <w:rPr>
          <w:rFonts w:ascii="宋体" w:hAnsi="宋体" w:cs="宋体"/>
          <w:kern w:val="0"/>
          <w:szCs w:val="21"/>
          <w:highlight w:val="none"/>
        </w:rPr>
      </w:pPr>
      <w:r>
        <w:rPr>
          <w:rFonts w:hint="eastAsia" w:ascii="宋体" w:hAnsi="宋体" w:cs="宋体"/>
          <w:kern w:val="0"/>
          <w:szCs w:val="21"/>
          <w:highlight w:val="none"/>
        </w:rPr>
        <w:t>备注：</w:t>
      </w:r>
    </w:p>
    <w:p>
      <w:pPr>
        <w:snapToGrid w:val="0"/>
        <w:spacing w:line="300" w:lineRule="auto"/>
        <w:ind w:firstLine="420" w:firstLineChars="200"/>
        <w:rPr>
          <w:rFonts w:ascii="宋体" w:hAnsi="宋体" w:cs="宋体"/>
          <w:kern w:val="0"/>
          <w:szCs w:val="21"/>
          <w:highlight w:val="none"/>
        </w:rPr>
      </w:pPr>
      <w:r>
        <w:rPr>
          <w:rFonts w:hint="eastAsia" w:ascii="宋体" w:hAnsi="宋体" w:cs="宋体"/>
          <w:kern w:val="0"/>
          <w:szCs w:val="21"/>
          <w:highlight w:val="none"/>
        </w:rPr>
        <w:t>（1）所有证书、证明文件包括按要求提供的官网截图必须是真实可查证的，须注明资料来源。资格证明文件应为原件的扫描件或复印件，投标文件中须编入清晰的扫描件或复印件。所有证明材料须清晰可辨认，如因证明材料模糊无法辨认，缺页、漏页导致无法进行评审认定的责任由投标人自负。如发现弄虚作假将按照有关规定严肃处理。</w:t>
      </w:r>
    </w:p>
    <w:p>
      <w:pPr>
        <w:snapToGrid w:val="0"/>
        <w:spacing w:line="300" w:lineRule="auto"/>
        <w:ind w:firstLine="420" w:firstLineChars="200"/>
        <w:rPr>
          <w:rFonts w:ascii="宋体" w:hAnsi="宋体" w:cs="宋体"/>
          <w:kern w:val="0"/>
          <w:szCs w:val="21"/>
          <w:highlight w:val="none"/>
        </w:rPr>
      </w:pPr>
      <w:r>
        <w:rPr>
          <w:rFonts w:hint="eastAsia" w:ascii="宋体" w:hAnsi="宋体" w:cs="宋体"/>
          <w:kern w:val="0"/>
          <w:szCs w:val="21"/>
          <w:highlight w:val="none"/>
        </w:rPr>
        <w:t>证明材料仅限于投标单位本身，参股或控股单位及独立法人子公司的材料不能作为证明材料，但投标单位兼并的企业的材料可作为证明材料。</w:t>
      </w:r>
    </w:p>
    <w:p>
      <w:pPr>
        <w:snapToGrid w:val="0"/>
        <w:spacing w:line="300" w:lineRule="auto"/>
        <w:ind w:firstLine="420" w:firstLineChars="200"/>
        <w:rPr>
          <w:rFonts w:ascii="宋体" w:hAnsi="宋体" w:cs="宋体"/>
          <w:kern w:val="0"/>
          <w:szCs w:val="21"/>
          <w:highlight w:val="none"/>
        </w:rPr>
      </w:pPr>
      <w:r>
        <w:rPr>
          <w:rFonts w:hint="eastAsia" w:ascii="宋体" w:hAnsi="宋体" w:cs="宋体"/>
          <w:kern w:val="0"/>
          <w:szCs w:val="21"/>
          <w:highlight w:val="none"/>
        </w:rPr>
        <w:t>（2）对于投标文件中有任意一条不满足上表要求的将导致其投标无效，不进入下一项评审。</w:t>
      </w:r>
    </w:p>
    <w:p>
      <w:pPr>
        <w:spacing w:line="300" w:lineRule="auto"/>
        <w:ind w:firstLine="411" w:firstLineChars="196"/>
        <w:outlineLvl w:val="3"/>
        <w:rPr>
          <w:rFonts w:ascii="宋体" w:hAnsi="宋体" w:cs="宋体"/>
          <w:b/>
          <w:szCs w:val="21"/>
          <w:highlight w:val="none"/>
        </w:rPr>
      </w:pPr>
      <w:r>
        <w:rPr>
          <w:rFonts w:hint="eastAsia" w:ascii="宋体" w:hAnsi="宋体" w:cs="宋体"/>
          <w:bCs/>
          <w:szCs w:val="21"/>
          <w:highlight w:val="none"/>
        </w:rPr>
        <w:br w:type="page"/>
      </w:r>
      <w:bookmarkStart w:id="599" w:name="_Toc121334910"/>
      <w:r>
        <w:rPr>
          <w:rFonts w:hint="eastAsia" w:ascii="宋体" w:hAnsi="宋体" w:cs="宋体"/>
          <w:b/>
          <w:bCs/>
          <w:szCs w:val="21"/>
          <w:highlight w:val="none"/>
        </w:rPr>
        <w:t>附表2：符合性检查表</w:t>
      </w:r>
      <w:bookmarkEnd w:id="599"/>
    </w:p>
    <w:tbl>
      <w:tblPr>
        <w:tblStyle w:val="88"/>
        <w:tblW w:w="8946" w:type="dxa"/>
        <w:jc w:val="center"/>
        <w:tblLayout w:type="fixed"/>
        <w:tblCellMar>
          <w:top w:w="0" w:type="dxa"/>
          <w:left w:w="108" w:type="dxa"/>
          <w:bottom w:w="0" w:type="dxa"/>
          <w:right w:w="108" w:type="dxa"/>
        </w:tblCellMar>
      </w:tblPr>
      <w:tblGrid>
        <w:gridCol w:w="675"/>
        <w:gridCol w:w="8271"/>
      </w:tblGrid>
      <w:tr>
        <w:tblPrEx>
          <w:tblCellMar>
            <w:top w:w="0" w:type="dxa"/>
            <w:left w:w="108" w:type="dxa"/>
            <w:bottom w:w="0" w:type="dxa"/>
            <w:right w:w="108" w:type="dxa"/>
          </w:tblCellMar>
        </w:tblPrEx>
        <w:trPr>
          <w:trHeight w:val="454"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序号</w:t>
            </w:r>
          </w:p>
        </w:tc>
        <w:tc>
          <w:tcPr>
            <w:tcW w:w="827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审核内容</w:t>
            </w:r>
          </w:p>
        </w:tc>
      </w:tr>
      <w:tr>
        <w:tblPrEx>
          <w:tblCellMar>
            <w:top w:w="0" w:type="dxa"/>
            <w:left w:w="108" w:type="dxa"/>
            <w:bottom w:w="0" w:type="dxa"/>
            <w:right w:w="108" w:type="dxa"/>
          </w:tblCellMar>
        </w:tblPrEx>
        <w:trPr>
          <w:trHeight w:val="454"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widowControl/>
              <w:numPr>
                <w:ilvl w:val="0"/>
                <w:numId w:val="10"/>
              </w:numPr>
              <w:adjustRightInd w:val="0"/>
              <w:snapToGrid w:val="0"/>
              <w:jc w:val="center"/>
              <w:rPr>
                <w:rFonts w:ascii="宋体" w:hAnsi="宋体" w:cs="宋体"/>
                <w:kern w:val="0"/>
                <w:szCs w:val="21"/>
                <w:highlight w:val="none"/>
              </w:rPr>
            </w:pPr>
          </w:p>
        </w:tc>
        <w:tc>
          <w:tcPr>
            <w:tcW w:w="8271" w:type="dxa"/>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按照招标文件规定要求签署、盖章；</w:t>
            </w:r>
          </w:p>
        </w:tc>
      </w:tr>
      <w:tr>
        <w:tblPrEx>
          <w:tblCellMar>
            <w:top w:w="0" w:type="dxa"/>
            <w:left w:w="108" w:type="dxa"/>
            <w:bottom w:w="0" w:type="dxa"/>
            <w:right w:w="108" w:type="dxa"/>
          </w:tblCellMar>
        </w:tblPrEx>
        <w:trPr>
          <w:trHeight w:val="454"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widowControl/>
              <w:numPr>
                <w:ilvl w:val="0"/>
                <w:numId w:val="10"/>
              </w:numPr>
              <w:adjustRightInd w:val="0"/>
              <w:snapToGrid w:val="0"/>
              <w:jc w:val="center"/>
              <w:rPr>
                <w:rFonts w:ascii="宋体" w:hAnsi="宋体" w:cs="宋体"/>
                <w:kern w:val="0"/>
                <w:szCs w:val="21"/>
                <w:highlight w:val="none"/>
              </w:rPr>
            </w:pPr>
          </w:p>
        </w:tc>
        <w:tc>
          <w:tcPr>
            <w:tcW w:w="8271" w:type="dxa"/>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按招标文件要求进行报价；</w:t>
            </w:r>
          </w:p>
        </w:tc>
      </w:tr>
      <w:tr>
        <w:tblPrEx>
          <w:tblCellMar>
            <w:top w:w="0" w:type="dxa"/>
            <w:left w:w="108" w:type="dxa"/>
            <w:bottom w:w="0" w:type="dxa"/>
            <w:right w:w="108" w:type="dxa"/>
          </w:tblCellMar>
        </w:tblPrEx>
        <w:trPr>
          <w:trHeight w:val="454"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widowControl/>
              <w:numPr>
                <w:ilvl w:val="0"/>
                <w:numId w:val="10"/>
              </w:numPr>
              <w:adjustRightInd w:val="0"/>
              <w:snapToGrid w:val="0"/>
              <w:jc w:val="center"/>
              <w:rPr>
                <w:rFonts w:ascii="宋体" w:hAnsi="宋体" w:cs="宋体"/>
                <w:kern w:val="0"/>
                <w:szCs w:val="21"/>
                <w:highlight w:val="none"/>
              </w:rPr>
            </w:pPr>
          </w:p>
        </w:tc>
        <w:tc>
          <w:tcPr>
            <w:tcW w:w="8271" w:type="dxa"/>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投标有效期满足招标文件规定；</w:t>
            </w:r>
          </w:p>
        </w:tc>
      </w:tr>
      <w:tr>
        <w:tblPrEx>
          <w:tblCellMar>
            <w:top w:w="0" w:type="dxa"/>
            <w:left w:w="108" w:type="dxa"/>
            <w:bottom w:w="0" w:type="dxa"/>
            <w:right w:w="108" w:type="dxa"/>
          </w:tblCellMar>
        </w:tblPrEx>
        <w:trPr>
          <w:trHeight w:val="454"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widowControl/>
              <w:numPr>
                <w:ilvl w:val="0"/>
                <w:numId w:val="10"/>
              </w:numPr>
              <w:adjustRightInd w:val="0"/>
              <w:snapToGrid w:val="0"/>
              <w:jc w:val="center"/>
              <w:rPr>
                <w:rFonts w:ascii="宋体" w:hAnsi="宋体" w:cs="宋体"/>
                <w:kern w:val="0"/>
                <w:szCs w:val="21"/>
                <w:highlight w:val="none"/>
              </w:rPr>
            </w:pPr>
          </w:p>
        </w:tc>
        <w:tc>
          <w:tcPr>
            <w:tcW w:w="8271" w:type="dxa"/>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投标文件中未附有采购人不能接受条件；</w:t>
            </w:r>
          </w:p>
        </w:tc>
      </w:tr>
      <w:tr>
        <w:tblPrEx>
          <w:tblCellMar>
            <w:top w:w="0" w:type="dxa"/>
            <w:left w:w="108" w:type="dxa"/>
            <w:bottom w:w="0" w:type="dxa"/>
            <w:right w:w="108" w:type="dxa"/>
          </w:tblCellMar>
        </w:tblPrEx>
        <w:trPr>
          <w:trHeight w:val="454"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widowControl/>
              <w:numPr>
                <w:ilvl w:val="0"/>
                <w:numId w:val="10"/>
              </w:numPr>
              <w:adjustRightInd w:val="0"/>
              <w:snapToGrid w:val="0"/>
              <w:jc w:val="center"/>
              <w:rPr>
                <w:rFonts w:ascii="宋体" w:hAnsi="宋体" w:cs="宋体"/>
                <w:kern w:val="0"/>
                <w:szCs w:val="21"/>
                <w:highlight w:val="none"/>
              </w:rPr>
            </w:pPr>
          </w:p>
        </w:tc>
        <w:tc>
          <w:tcPr>
            <w:tcW w:w="8271" w:type="dxa"/>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投标文件满足招标文件商务、技术等实质性要求（包括标记</w:t>
            </w:r>
            <w:r>
              <w:rPr>
                <w:rFonts w:hint="eastAsia" w:ascii="宋体" w:hAnsi="宋体" w:cs="宋体"/>
                <w:bCs/>
                <w:highlight w:val="none"/>
              </w:rPr>
              <w:t>★的条款</w:t>
            </w:r>
            <w:r>
              <w:rPr>
                <w:rFonts w:hint="eastAsia" w:ascii="宋体" w:hAnsi="宋体" w:cs="宋体"/>
                <w:kern w:val="0"/>
                <w:szCs w:val="21"/>
                <w:highlight w:val="none"/>
              </w:rPr>
              <w:t>）；</w:t>
            </w:r>
          </w:p>
        </w:tc>
      </w:tr>
      <w:tr>
        <w:tblPrEx>
          <w:tblCellMar>
            <w:top w:w="0" w:type="dxa"/>
            <w:left w:w="108" w:type="dxa"/>
            <w:bottom w:w="0" w:type="dxa"/>
            <w:right w:w="108" w:type="dxa"/>
          </w:tblCellMar>
        </w:tblPrEx>
        <w:trPr>
          <w:trHeight w:val="454" w:hRule="atLeast"/>
          <w:jc w:val="center"/>
        </w:trPr>
        <w:tc>
          <w:tcPr>
            <w:tcW w:w="675" w:type="dxa"/>
            <w:tcBorders>
              <w:top w:val="single" w:color="auto" w:sz="4" w:space="0"/>
              <w:left w:val="single" w:color="auto" w:sz="4" w:space="0"/>
              <w:right w:val="single" w:color="auto" w:sz="4" w:space="0"/>
            </w:tcBorders>
            <w:vAlign w:val="center"/>
          </w:tcPr>
          <w:p>
            <w:pPr>
              <w:widowControl/>
              <w:numPr>
                <w:ilvl w:val="0"/>
                <w:numId w:val="10"/>
              </w:numPr>
              <w:adjustRightInd w:val="0"/>
              <w:snapToGrid w:val="0"/>
              <w:jc w:val="center"/>
              <w:rPr>
                <w:rFonts w:ascii="宋体" w:hAnsi="宋体" w:cs="宋体"/>
                <w:kern w:val="0"/>
                <w:szCs w:val="21"/>
                <w:highlight w:val="none"/>
              </w:rPr>
            </w:pPr>
          </w:p>
        </w:tc>
        <w:tc>
          <w:tcPr>
            <w:tcW w:w="8271" w:type="dxa"/>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投标人未出现招标文件中规定无效投标的其它条款；</w:t>
            </w:r>
          </w:p>
        </w:tc>
      </w:tr>
      <w:tr>
        <w:tblPrEx>
          <w:tblCellMar>
            <w:top w:w="0" w:type="dxa"/>
            <w:left w:w="108" w:type="dxa"/>
            <w:bottom w:w="0" w:type="dxa"/>
            <w:right w:w="108" w:type="dxa"/>
          </w:tblCellMar>
        </w:tblPrEx>
        <w:trPr>
          <w:trHeight w:val="454"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widowControl/>
              <w:numPr>
                <w:ilvl w:val="0"/>
                <w:numId w:val="10"/>
              </w:numPr>
              <w:adjustRightInd w:val="0"/>
              <w:snapToGrid w:val="0"/>
              <w:jc w:val="center"/>
              <w:rPr>
                <w:rFonts w:ascii="宋体" w:hAnsi="宋体" w:cs="宋体"/>
                <w:kern w:val="0"/>
                <w:szCs w:val="21"/>
                <w:highlight w:val="none"/>
              </w:rPr>
            </w:pPr>
          </w:p>
        </w:tc>
        <w:tc>
          <w:tcPr>
            <w:tcW w:w="8271" w:type="dxa"/>
            <w:tcBorders>
              <w:top w:val="nil"/>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投标人未有下列任一情形：</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（1）不同投标人的投标文件由同一单位或者个人编制；</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（2）不同投标人委托同一单位或者个人办理投标事宜；</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（3）不同投标人的投标文件载明的项目管理成员或者联系人员为同一人；</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（4）不同投标人的投标文件异常一致或者投标报价呈规律性差异；</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（5）不同投标人的投标文件相互混装。</w:t>
            </w:r>
          </w:p>
        </w:tc>
      </w:tr>
      <w:tr>
        <w:tblPrEx>
          <w:tblCellMar>
            <w:top w:w="0" w:type="dxa"/>
            <w:left w:w="108" w:type="dxa"/>
            <w:bottom w:w="0" w:type="dxa"/>
            <w:right w:w="108" w:type="dxa"/>
          </w:tblCellMar>
        </w:tblPrEx>
        <w:trPr>
          <w:trHeight w:val="454" w:hRule="atLeast"/>
          <w:jc w:val="center"/>
        </w:trPr>
        <w:tc>
          <w:tcPr>
            <w:tcW w:w="8946" w:type="dxa"/>
            <w:gridSpan w:val="2"/>
            <w:tcBorders>
              <w:top w:val="single" w:color="auto" w:sz="4" w:space="0"/>
              <w:left w:val="single" w:color="auto" w:sz="4" w:space="0"/>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审核结论</w:t>
            </w:r>
          </w:p>
        </w:tc>
      </w:tr>
      <w:tr>
        <w:tblPrEx>
          <w:tblCellMar>
            <w:top w:w="0" w:type="dxa"/>
            <w:left w:w="108" w:type="dxa"/>
            <w:bottom w:w="0" w:type="dxa"/>
            <w:right w:w="108" w:type="dxa"/>
          </w:tblCellMar>
        </w:tblPrEx>
        <w:trPr>
          <w:trHeight w:val="454" w:hRule="atLeast"/>
          <w:jc w:val="center"/>
        </w:trPr>
        <w:tc>
          <w:tcPr>
            <w:tcW w:w="8946" w:type="dxa"/>
            <w:gridSpan w:val="2"/>
            <w:tcBorders>
              <w:top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说明：</w:t>
            </w:r>
          </w:p>
        </w:tc>
      </w:tr>
      <w:tr>
        <w:tblPrEx>
          <w:tblCellMar>
            <w:top w:w="0" w:type="dxa"/>
            <w:left w:w="108" w:type="dxa"/>
            <w:bottom w:w="0" w:type="dxa"/>
            <w:right w:w="108" w:type="dxa"/>
          </w:tblCellMar>
        </w:tblPrEx>
        <w:trPr>
          <w:trHeight w:val="454" w:hRule="atLeast"/>
          <w:jc w:val="center"/>
        </w:trPr>
        <w:tc>
          <w:tcPr>
            <w:tcW w:w="8946" w:type="dxa"/>
            <w:gridSpan w:val="2"/>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1）评标委员会分别对每一投标文件依据上表进行检查。</w:t>
            </w:r>
          </w:p>
        </w:tc>
      </w:tr>
      <w:tr>
        <w:tblPrEx>
          <w:tblCellMar>
            <w:top w:w="0" w:type="dxa"/>
            <w:left w:w="108" w:type="dxa"/>
            <w:bottom w:w="0" w:type="dxa"/>
            <w:right w:w="108" w:type="dxa"/>
          </w:tblCellMar>
        </w:tblPrEx>
        <w:trPr>
          <w:trHeight w:val="454" w:hRule="atLeast"/>
          <w:jc w:val="center"/>
        </w:trPr>
        <w:tc>
          <w:tcPr>
            <w:tcW w:w="8946" w:type="dxa"/>
            <w:gridSpan w:val="2"/>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2）评标委员会决定投标的响应性只根据投标文件本身的真实无误的内容，而不依据外部的证据，但投标文件有不真实不正确的内容时除外。</w:t>
            </w:r>
          </w:p>
        </w:tc>
      </w:tr>
      <w:tr>
        <w:tblPrEx>
          <w:tblCellMar>
            <w:top w:w="0" w:type="dxa"/>
            <w:left w:w="108" w:type="dxa"/>
            <w:bottom w:w="0" w:type="dxa"/>
            <w:right w:w="108" w:type="dxa"/>
          </w:tblCellMar>
        </w:tblPrEx>
        <w:trPr>
          <w:trHeight w:val="454" w:hRule="atLeast"/>
          <w:jc w:val="center"/>
        </w:trPr>
        <w:tc>
          <w:tcPr>
            <w:tcW w:w="8946" w:type="dxa"/>
            <w:gridSpan w:val="2"/>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3）满足要求的条款打“√”，否则为“×”。</w:t>
            </w:r>
          </w:p>
        </w:tc>
      </w:tr>
      <w:tr>
        <w:tblPrEx>
          <w:tblCellMar>
            <w:top w:w="0" w:type="dxa"/>
            <w:left w:w="108" w:type="dxa"/>
            <w:bottom w:w="0" w:type="dxa"/>
            <w:right w:w="108" w:type="dxa"/>
          </w:tblCellMar>
        </w:tblPrEx>
        <w:trPr>
          <w:trHeight w:val="454" w:hRule="atLeast"/>
          <w:jc w:val="center"/>
        </w:trPr>
        <w:tc>
          <w:tcPr>
            <w:tcW w:w="8946" w:type="dxa"/>
            <w:gridSpan w:val="2"/>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4）对于投标文件中有任意一条不满足要求将导致其投标无效，不进入下一项评审。</w:t>
            </w:r>
          </w:p>
        </w:tc>
      </w:tr>
    </w:tbl>
    <w:p>
      <w:pPr>
        <w:rPr>
          <w:rFonts w:ascii="宋体" w:hAnsi="宋体" w:cs="宋体"/>
          <w:highlight w:val="none"/>
        </w:rPr>
      </w:pPr>
    </w:p>
    <w:p>
      <w:pPr>
        <w:widowControl/>
        <w:jc w:val="left"/>
        <w:rPr>
          <w:rFonts w:ascii="宋体" w:hAnsi="宋体" w:cs="宋体"/>
          <w:szCs w:val="20"/>
          <w:highlight w:val="none"/>
        </w:rPr>
      </w:pPr>
      <w:r>
        <w:rPr>
          <w:rFonts w:hint="eastAsia" w:ascii="宋体" w:hAnsi="宋体" w:cs="宋体"/>
          <w:highlight w:val="none"/>
        </w:rPr>
        <w:br w:type="page"/>
      </w:r>
    </w:p>
    <w:p>
      <w:pPr>
        <w:spacing w:line="300" w:lineRule="auto"/>
        <w:ind w:firstLine="413" w:firstLineChars="196"/>
        <w:outlineLvl w:val="3"/>
        <w:rPr>
          <w:rFonts w:ascii="宋体" w:hAnsi="宋体" w:cs="宋体"/>
          <w:b/>
          <w:bCs/>
          <w:szCs w:val="21"/>
          <w:highlight w:val="none"/>
        </w:rPr>
      </w:pPr>
      <w:bookmarkStart w:id="600" w:name="_Toc121334911"/>
      <w:bookmarkStart w:id="601" w:name="_Toc111542945"/>
      <w:r>
        <w:rPr>
          <w:rFonts w:hint="eastAsia" w:ascii="宋体" w:hAnsi="宋体" w:cs="宋体"/>
          <w:b/>
          <w:bCs/>
          <w:szCs w:val="21"/>
          <w:highlight w:val="none"/>
        </w:rPr>
        <w:t>附表3：评分标准</w:t>
      </w:r>
      <w:bookmarkEnd w:id="600"/>
      <w:bookmarkEnd w:id="601"/>
    </w:p>
    <w:tbl>
      <w:tblPr>
        <w:tblStyle w:val="88"/>
        <w:tblW w:w="9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843"/>
        <w:gridCol w:w="707"/>
        <w:gridCol w:w="663"/>
        <w:gridCol w:w="5"/>
        <w:gridCol w:w="65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11" w:type="dxa"/>
            <w:vAlign w:val="center"/>
          </w:tcPr>
          <w:p>
            <w:pPr>
              <w:keepNext w:val="0"/>
              <w:keepLines w:val="0"/>
              <w:pageBreakBefore w:val="0"/>
              <w:widowControl w:val="0"/>
              <w:numPr>
                <w:ilvl w:val="0"/>
                <w:numId w:val="0"/>
              </w:numPr>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bookmarkStart w:id="602" w:name="_Hlk173939033"/>
            <w:r>
              <w:rPr>
                <w:rFonts w:hint="eastAsia" w:ascii="Times New Roman" w:hAnsi="Times New Roman" w:eastAsia="宋体" w:cs="Times New Roman"/>
                <w:b/>
                <w:bCs/>
                <w:color w:val="auto"/>
                <w:kern w:val="2"/>
                <w:sz w:val="21"/>
                <w:szCs w:val="21"/>
                <w:highlight w:val="none"/>
                <w:lang w:val="en-US" w:eastAsia="zh-CN" w:bidi="ar-SA"/>
              </w:rPr>
              <w:t>评标项目</w:t>
            </w:r>
          </w:p>
        </w:tc>
        <w:tc>
          <w:tcPr>
            <w:tcW w:w="843" w:type="dxa"/>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评审因素</w:t>
            </w:r>
          </w:p>
        </w:tc>
        <w:tc>
          <w:tcPr>
            <w:tcW w:w="707" w:type="dxa"/>
            <w:noWrap/>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分值</w:t>
            </w:r>
          </w:p>
        </w:tc>
        <w:tc>
          <w:tcPr>
            <w:tcW w:w="663" w:type="dxa"/>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分值类型</w:t>
            </w:r>
          </w:p>
        </w:tc>
        <w:tc>
          <w:tcPr>
            <w:tcW w:w="6540" w:type="dxa"/>
            <w:gridSpan w:val="2"/>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11" w:type="dxa"/>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价格评分</w:t>
            </w:r>
          </w:p>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20</w:t>
            </w:r>
            <w:r>
              <w:rPr>
                <w:rFonts w:hint="eastAsia" w:ascii="Times New Roman" w:hAnsi="Times New Roman" w:eastAsia="宋体" w:cs="Times New Roman"/>
                <w:color w:val="auto"/>
                <w:sz w:val="21"/>
                <w:szCs w:val="21"/>
                <w:highlight w:val="none"/>
              </w:rPr>
              <w:t>分</w:t>
            </w:r>
          </w:p>
        </w:tc>
        <w:tc>
          <w:tcPr>
            <w:tcW w:w="843" w:type="dxa"/>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b/>
                <w:bCs/>
                <w:color w:val="auto"/>
                <w:sz w:val="21"/>
                <w:szCs w:val="21"/>
                <w:highlight w:val="none"/>
              </w:rPr>
            </w:pPr>
            <w:bookmarkStart w:id="603" w:name="OLE_LINK75"/>
            <w:r>
              <w:rPr>
                <w:rFonts w:hint="eastAsia" w:ascii="Times New Roman" w:hAnsi="Times New Roman" w:eastAsia="宋体" w:cs="Times New Roman"/>
                <w:color w:val="auto"/>
                <w:sz w:val="21"/>
                <w:szCs w:val="21"/>
                <w:highlight w:val="none"/>
              </w:rPr>
              <w:t>价格评议</w:t>
            </w:r>
            <w:bookmarkEnd w:id="603"/>
          </w:p>
        </w:tc>
        <w:tc>
          <w:tcPr>
            <w:tcW w:w="707" w:type="dxa"/>
            <w:noWrap/>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663" w:type="dxa"/>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客观分</w:t>
            </w:r>
          </w:p>
        </w:tc>
        <w:tc>
          <w:tcPr>
            <w:tcW w:w="6540" w:type="dxa"/>
            <w:gridSpan w:val="2"/>
            <w:vAlign w:val="center"/>
          </w:tcPr>
          <w:p>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满足招标文件要求且投标价格最低的投标报价为评标基准价，其价格分为满分。其他投标人的价格分统一按照下列公式计算：</w:t>
            </w:r>
          </w:p>
          <w:p>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投标报价得分=（评标基准价／投标报价)×价格权值×100</w:t>
            </w:r>
          </w:p>
          <w:p>
            <w:pPr>
              <w:keepNext w:val="0"/>
              <w:keepLines w:val="0"/>
              <w:pageBreakBefore w:val="0"/>
              <w:widowControl w:val="0"/>
              <w:shd w:val="clear"/>
              <w:kinsoku/>
              <w:wordWrap/>
              <w:overflowPunct/>
              <w:topLinePunct w:val="0"/>
              <w:autoSpaceDE/>
              <w:autoSpaceDN/>
              <w:bidi w:val="0"/>
              <w:spacing w:line="300" w:lineRule="auto"/>
              <w:jc w:val="both"/>
              <w:textAlignment w:val="auto"/>
              <w:rPr>
                <w:rFonts w:hint="eastAsia" w:ascii="Times New Roman" w:hAnsi="Times New Roman" w:eastAsia="宋体" w:cs="Times New Roman"/>
                <w:b/>
                <w:bCs/>
                <w:color w:val="auto"/>
                <w:sz w:val="21"/>
                <w:szCs w:val="21"/>
                <w:highlight w:val="none"/>
              </w:rPr>
            </w:pPr>
            <w:r>
              <w:rPr>
                <w:rFonts w:hint="eastAsia" w:ascii="宋体" w:hAnsi="宋体" w:eastAsia="宋体" w:cs="宋体"/>
                <w:color w:val="auto"/>
                <w:sz w:val="21"/>
                <w:szCs w:val="21"/>
                <w:highlight w:val="none"/>
              </w:rPr>
              <w:t>价格权值=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0 </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11" w:type="dxa"/>
            <w:vMerge w:val="restart"/>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商务评分</w:t>
            </w:r>
          </w:p>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20</w:t>
            </w:r>
            <w:r>
              <w:rPr>
                <w:rFonts w:hint="eastAsia" w:ascii="Times New Roman" w:hAnsi="Times New Roman" w:eastAsia="宋体" w:cs="Times New Roman"/>
                <w:color w:val="auto"/>
                <w:sz w:val="21"/>
                <w:szCs w:val="21"/>
                <w:highlight w:val="none"/>
              </w:rPr>
              <w:t>分</w:t>
            </w:r>
          </w:p>
        </w:tc>
        <w:tc>
          <w:tcPr>
            <w:tcW w:w="843" w:type="dxa"/>
            <w:vAlign w:val="center"/>
          </w:tcPr>
          <w:p>
            <w:pPr>
              <w:widowControl w:val="0"/>
              <w:bidi w:val="0"/>
              <w:spacing w:line="320" w:lineRule="exact"/>
              <w:ind w:firstLine="0" w:firstLineChars="0"/>
              <w:jc w:val="center"/>
              <w:rPr>
                <w:rFonts w:hint="eastAsia"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kern w:val="2"/>
                <w:sz w:val="21"/>
                <w:szCs w:val="21"/>
                <w:highlight w:val="none"/>
                <w:lang w:val="en-US" w:eastAsia="zh-CN" w:bidi="ar-SA"/>
              </w:rPr>
              <w:t>公司资质</w:t>
            </w:r>
          </w:p>
        </w:tc>
        <w:tc>
          <w:tcPr>
            <w:tcW w:w="707" w:type="dxa"/>
            <w:noWrap/>
            <w:vAlign w:val="center"/>
          </w:tcPr>
          <w:p>
            <w:pPr>
              <w:widowControl w:val="0"/>
              <w:bidi w:val="0"/>
              <w:spacing w:line="320" w:lineRule="exact"/>
              <w:ind w:firstLine="0" w:firstLineChars="0"/>
              <w:jc w:val="center"/>
              <w:rPr>
                <w:rFonts w:hint="default" w:ascii="宋体" w:hAnsi="宋体" w:eastAsia="宋体" w:cs="宋体"/>
                <w:bCs w:val="0"/>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val="en-US" w:eastAsia="zh-CN" w:bidi="ar-SA"/>
              </w:rPr>
              <w:t>3</w:t>
            </w:r>
          </w:p>
        </w:tc>
        <w:tc>
          <w:tcPr>
            <w:tcW w:w="663" w:type="dxa"/>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客观分</w:t>
            </w:r>
          </w:p>
        </w:tc>
        <w:tc>
          <w:tcPr>
            <w:tcW w:w="6540" w:type="dxa"/>
            <w:gridSpan w:val="2"/>
            <w:vAlign w:val="center"/>
          </w:tcPr>
          <w:p>
            <w:pPr>
              <w:adjustRightInd w:val="0"/>
              <w:snapToGrid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投标人具有</w:t>
            </w:r>
            <w:bookmarkStart w:id="604" w:name="OLE_LINK35"/>
            <w:r>
              <w:rPr>
                <w:rFonts w:hint="eastAsia" w:ascii="宋体" w:hAnsi="宋体" w:eastAsia="宋体" w:cs="宋体"/>
                <w:color w:val="auto"/>
                <w:sz w:val="21"/>
                <w:szCs w:val="21"/>
                <w:highlight w:val="none"/>
                <w:lang w:val="en-US" w:eastAsia="zh-CN"/>
              </w:rPr>
              <w:t>有效的</w:t>
            </w:r>
            <w:bookmarkEnd w:id="604"/>
            <w:r>
              <w:rPr>
                <w:rFonts w:hint="eastAsia" w:ascii="宋体" w:hAnsi="宋体" w:eastAsia="宋体" w:cs="宋体"/>
                <w:color w:val="auto"/>
                <w:sz w:val="21"/>
                <w:szCs w:val="21"/>
                <w:highlight w:val="none"/>
                <w:lang w:val="en-US" w:eastAsia="zh-CN"/>
              </w:rPr>
              <w:t>信息技术服务管理体系认证证书得1分；</w:t>
            </w:r>
          </w:p>
          <w:p>
            <w:pPr>
              <w:adjustRightInd w:val="0"/>
              <w:snapToGrid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投标人具有有效的质量管理体系认证证书得1分；</w:t>
            </w:r>
          </w:p>
          <w:p>
            <w:pPr>
              <w:widowControl w:val="0"/>
              <w:ind w:left="0" w:leftChars="0" w:firstLine="0"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投标人具有有效的</w:t>
            </w:r>
            <w:r>
              <w:rPr>
                <w:rFonts w:hint="eastAsia" w:ascii="Times New Roman" w:hAnsi="Times New Roman" w:eastAsia="宋体" w:cs="Times New Roman"/>
                <w:kern w:val="2"/>
                <w:sz w:val="21"/>
                <w:szCs w:val="28"/>
                <w:lang w:val="en-US" w:eastAsia="zh-CN" w:bidi="ar-SA"/>
              </w:rPr>
              <w:t>信息安全管理体系认证</w:t>
            </w:r>
            <w:r>
              <w:rPr>
                <w:rFonts w:hint="eastAsia" w:ascii="宋体" w:hAnsi="宋体" w:eastAsia="宋体" w:cs="宋体"/>
                <w:color w:val="auto"/>
                <w:kern w:val="2"/>
                <w:sz w:val="21"/>
                <w:szCs w:val="21"/>
                <w:highlight w:val="none"/>
                <w:lang w:val="en-US" w:eastAsia="zh-CN" w:bidi="ar-SA"/>
              </w:rPr>
              <w:t>证书得1分；</w:t>
            </w:r>
          </w:p>
          <w:p>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注：须提供认证证书扫描件及“全国认证认可信息公共服务平台”http://cx.cnca.cn/）等级证书官网查询结果截图及相关证明材料并加盖投标人公章，未提供或未按要求提供不得分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811" w:type="dxa"/>
            <w:vMerge w:val="continue"/>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p>
        </w:tc>
        <w:tc>
          <w:tcPr>
            <w:tcW w:w="843" w:type="dxa"/>
            <w:shd w:val="clear" w:color="auto" w:fill="auto"/>
            <w:vAlign w:val="center"/>
          </w:tcPr>
          <w:p>
            <w:pPr>
              <w:widowControl w:val="0"/>
              <w:bidi w:val="0"/>
              <w:spacing w:line="320" w:lineRule="exact"/>
              <w:ind w:firstLine="0" w:firstLineChars="0"/>
              <w:jc w:val="center"/>
              <w:rPr>
                <w:rFonts w:hint="eastAsia"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kern w:val="2"/>
                <w:sz w:val="21"/>
                <w:szCs w:val="21"/>
                <w:highlight w:val="none"/>
                <w:lang w:val="en-US" w:eastAsia="zh-CN" w:bidi="ar-SA"/>
              </w:rPr>
              <w:t>业绩要求</w:t>
            </w:r>
          </w:p>
        </w:tc>
        <w:tc>
          <w:tcPr>
            <w:tcW w:w="707" w:type="dxa"/>
            <w:shd w:val="clear" w:color="auto" w:fill="auto"/>
            <w:vAlign w:val="center"/>
          </w:tcPr>
          <w:p>
            <w:pPr>
              <w:widowControl w:val="0"/>
              <w:bidi w:val="0"/>
              <w:spacing w:line="320" w:lineRule="exact"/>
              <w:ind w:firstLine="0" w:firstLineChars="0"/>
              <w:jc w:val="center"/>
              <w:rPr>
                <w:rFonts w:hint="eastAsia" w:ascii="宋体" w:hAnsi="宋体" w:eastAsia="宋体" w:cs="宋体"/>
                <w:bCs w:val="0"/>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val="en-US" w:eastAsia="zh-CN" w:bidi="ar-SA"/>
              </w:rPr>
              <w:t>6</w:t>
            </w:r>
          </w:p>
        </w:tc>
        <w:tc>
          <w:tcPr>
            <w:tcW w:w="663" w:type="dxa"/>
            <w:shd w:val="clear" w:color="auto" w:fill="auto"/>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客观分</w:t>
            </w:r>
          </w:p>
        </w:tc>
        <w:tc>
          <w:tcPr>
            <w:tcW w:w="6540" w:type="dxa"/>
            <w:gridSpan w:val="2"/>
            <w:shd w:val="clear" w:color="auto" w:fill="auto"/>
            <w:vAlign w:val="center"/>
          </w:tcPr>
          <w:p>
            <w:pPr>
              <w:adjustRightInd w:val="0"/>
              <w:snapToGrid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zCs w:val="21"/>
                <w:highlight w:val="none"/>
                <w:lang w:val="en-US" w:eastAsia="zh-CN"/>
              </w:rPr>
              <w:t>投标人2023年1月1日至今（以合同签订时间为准）具有类似项目业绩，每提供一个得2分，最高得6分。</w:t>
            </w:r>
            <w:r>
              <w:rPr>
                <w:rFonts w:hint="eastAsia" w:ascii="宋体" w:hAnsi="宋体" w:eastAsia="宋体" w:cs="宋体"/>
                <w:b/>
                <w:bCs/>
                <w:szCs w:val="21"/>
                <w:highlight w:val="none"/>
                <w:lang w:val="en-US" w:eastAsia="zh-CN"/>
              </w:rPr>
              <w:t>（提供合同关键页：包括但不限于合同首页、双方签字盖章页、合同金额、合同内容等作为证明材料，未提供或未按要求提供不得分）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11" w:type="dxa"/>
            <w:vMerge w:val="continue"/>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bookmarkStart w:id="605" w:name="OLE_LINK43" w:colFirst="4" w:colLast="4"/>
          </w:p>
        </w:tc>
        <w:tc>
          <w:tcPr>
            <w:tcW w:w="843" w:type="dxa"/>
            <w:shd w:val="clear" w:color="auto" w:fill="auto"/>
            <w:vAlign w:val="center"/>
          </w:tcPr>
          <w:p>
            <w:pPr>
              <w:widowControl w:val="0"/>
              <w:bidi w:val="0"/>
              <w:spacing w:line="320" w:lineRule="exact"/>
              <w:ind w:firstLine="0" w:firstLineChars="0"/>
              <w:jc w:val="center"/>
              <w:rPr>
                <w:rFonts w:hint="default"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kern w:val="2"/>
                <w:sz w:val="21"/>
                <w:szCs w:val="21"/>
                <w:highlight w:val="none"/>
                <w:lang w:val="en-US" w:eastAsia="zh-CN" w:bidi="ar-SA"/>
              </w:rPr>
              <w:t>用户评议</w:t>
            </w:r>
          </w:p>
        </w:tc>
        <w:tc>
          <w:tcPr>
            <w:tcW w:w="707" w:type="dxa"/>
            <w:shd w:val="clear" w:color="auto" w:fill="auto"/>
            <w:vAlign w:val="center"/>
          </w:tcPr>
          <w:p>
            <w:pPr>
              <w:widowControl w:val="0"/>
              <w:bidi w:val="0"/>
              <w:spacing w:line="320" w:lineRule="exact"/>
              <w:ind w:firstLine="0" w:firstLineChars="0"/>
              <w:jc w:val="center"/>
              <w:rPr>
                <w:rFonts w:hint="eastAsia" w:ascii="宋体" w:hAnsi="宋体" w:eastAsia="宋体" w:cs="宋体"/>
                <w:bCs w:val="0"/>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val="en-US" w:eastAsia="zh-CN" w:bidi="ar-SA"/>
              </w:rPr>
              <w:t>6</w:t>
            </w:r>
          </w:p>
        </w:tc>
        <w:tc>
          <w:tcPr>
            <w:tcW w:w="663" w:type="dxa"/>
            <w:shd w:val="clear" w:color="auto" w:fill="auto"/>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客观分</w:t>
            </w:r>
          </w:p>
        </w:tc>
        <w:tc>
          <w:tcPr>
            <w:tcW w:w="6540" w:type="dxa"/>
            <w:gridSpan w:val="2"/>
            <w:shd w:val="clear" w:color="auto" w:fill="auto"/>
            <w:vAlign w:val="center"/>
          </w:tcPr>
          <w:p>
            <w:pPr>
              <w:adjustRightInd w:val="0"/>
              <w:snapToGrid w:val="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szCs w:val="21"/>
                <w:highlight w:val="none"/>
                <w:lang w:val="en-US" w:eastAsia="zh-CN"/>
              </w:rPr>
              <w:t>投标人2023年1月1日至今的类似项目，获得用户“好或满意或优秀”及以上评价的，每提供一份得2分，本项最多得6分。</w:t>
            </w:r>
            <w:r>
              <w:rPr>
                <w:rFonts w:hint="eastAsia" w:ascii="宋体" w:hAnsi="宋体" w:eastAsia="宋体" w:cs="宋体"/>
                <w:b/>
                <w:bCs w:val="0"/>
                <w:color w:val="000000"/>
                <w:kern w:val="0"/>
                <w:sz w:val="21"/>
                <w:szCs w:val="21"/>
                <w:highlight w:val="none"/>
                <w:lang w:val="en-US" w:eastAsia="zh-CN" w:bidi="ar-SA"/>
              </w:rPr>
              <w:t>（提供用户加盖公章的书面评议及用户联系方式及联系人，复印件加盖公章，提供不全不得分）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11" w:type="dxa"/>
            <w:vMerge w:val="continue"/>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p>
        </w:tc>
        <w:tc>
          <w:tcPr>
            <w:tcW w:w="843" w:type="dxa"/>
            <w:vMerge w:val="restart"/>
            <w:vAlign w:val="center"/>
          </w:tcPr>
          <w:p>
            <w:pPr>
              <w:widowControl w:val="0"/>
              <w:bidi w:val="0"/>
              <w:spacing w:line="320" w:lineRule="exact"/>
              <w:ind w:firstLine="0" w:firstLineChars="0"/>
              <w:jc w:val="center"/>
              <w:rPr>
                <w:rFonts w:hint="eastAsia"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kern w:val="2"/>
                <w:sz w:val="21"/>
                <w:szCs w:val="21"/>
                <w:highlight w:val="none"/>
                <w:lang w:val="en-US" w:eastAsia="zh-CN" w:bidi="ar-SA"/>
              </w:rPr>
              <w:t>项目人员要求</w:t>
            </w:r>
          </w:p>
        </w:tc>
        <w:tc>
          <w:tcPr>
            <w:tcW w:w="707" w:type="dxa"/>
            <w:vAlign w:val="center"/>
          </w:tcPr>
          <w:p>
            <w:pPr>
              <w:widowControl w:val="0"/>
              <w:bidi w:val="0"/>
              <w:spacing w:line="320" w:lineRule="exact"/>
              <w:ind w:firstLine="0" w:firstLineChars="0"/>
              <w:jc w:val="center"/>
              <w:rPr>
                <w:rFonts w:hint="eastAsia" w:ascii="宋体" w:hAnsi="宋体" w:eastAsia="宋体" w:cs="宋体"/>
                <w:bCs w:val="0"/>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val="en-US" w:eastAsia="zh-CN" w:bidi="ar-SA"/>
              </w:rPr>
              <w:t>2</w:t>
            </w:r>
          </w:p>
        </w:tc>
        <w:tc>
          <w:tcPr>
            <w:tcW w:w="663" w:type="dxa"/>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客观分</w:t>
            </w:r>
          </w:p>
        </w:tc>
        <w:tc>
          <w:tcPr>
            <w:tcW w:w="6540" w:type="dxa"/>
            <w:gridSpan w:val="2"/>
            <w:vAlign w:val="center"/>
          </w:tcPr>
          <w:p>
            <w:pPr>
              <w:widowControl w:val="0"/>
              <w:bidi w:val="0"/>
              <w:spacing w:line="320" w:lineRule="exact"/>
              <w:ind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bCs/>
                <w:color w:val="000000"/>
                <w:kern w:val="0"/>
                <w:sz w:val="21"/>
                <w:szCs w:val="21"/>
                <w:highlight w:val="none"/>
                <w:lang w:val="en-US" w:eastAsia="zh-CN" w:bidi="ar-SA"/>
              </w:rPr>
              <w:t>投标人拟派项目负责人具有高级信息系统项目管理师证得2分。</w:t>
            </w:r>
            <w:bookmarkStart w:id="606" w:name="OLE_LINK32"/>
            <w:r>
              <w:rPr>
                <w:rFonts w:hint="eastAsia" w:ascii="宋体" w:hAnsi="宋体" w:eastAsia="宋体" w:cs="宋体"/>
                <w:b/>
                <w:bCs w:val="0"/>
                <w:color w:val="000000"/>
                <w:kern w:val="0"/>
                <w:sz w:val="21"/>
                <w:szCs w:val="21"/>
                <w:highlight w:val="none"/>
                <w:lang w:val="en-US" w:eastAsia="zh-CN" w:bidi="ar-SA"/>
              </w:rPr>
              <w:t>（提供证书复印件、劳动合同复印件并加盖公章）</w:t>
            </w:r>
            <w:bookmarkEnd w:id="60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11" w:type="dxa"/>
            <w:vMerge w:val="continue"/>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p>
        </w:tc>
        <w:tc>
          <w:tcPr>
            <w:tcW w:w="843" w:type="dxa"/>
            <w:vMerge w:val="continue"/>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bCs w:val="0"/>
                <w:color w:val="auto"/>
                <w:kern w:val="2"/>
                <w:sz w:val="21"/>
                <w:szCs w:val="21"/>
                <w:highlight w:val="none"/>
                <w:lang w:val="en-US" w:eastAsia="zh-CN" w:bidi="ar-SA"/>
              </w:rPr>
            </w:pPr>
          </w:p>
        </w:tc>
        <w:tc>
          <w:tcPr>
            <w:tcW w:w="707" w:type="dxa"/>
            <w:vAlign w:val="center"/>
          </w:tcPr>
          <w:p>
            <w:pPr>
              <w:widowControl w:val="0"/>
              <w:bidi w:val="0"/>
              <w:spacing w:line="320" w:lineRule="exact"/>
              <w:ind w:firstLine="0" w:firstLineChars="0"/>
              <w:jc w:val="center"/>
              <w:rPr>
                <w:rFonts w:hint="eastAsia" w:ascii="宋体" w:hAnsi="宋体" w:eastAsia="宋体" w:cs="宋体"/>
                <w:bCs w:val="0"/>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val="en-US" w:eastAsia="zh-CN" w:bidi="ar-SA"/>
              </w:rPr>
              <w:t>3</w:t>
            </w:r>
          </w:p>
        </w:tc>
        <w:tc>
          <w:tcPr>
            <w:tcW w:w="663" w:type="dxa"/>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客观分</w:t>
            </w:r>
          </w:p>
        </w:tc>
        <w:tc>
          <w:tcPr>
            <w:tcW w:w="6540" w:type="dxa"/>
            <w:gridSpan w:val="2"/>
            <w:vAlign w:val="center"/>
          </w:tcPr>
          <w:p>
            <w:pPr>
              <w:widowControl w:val="0"/>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000000"/>
                <w:kern w:val="0"/>
                <w:sz w:val="21"/>
                <w:szCs w:val="21"/>
                <w:highlight w:val="none"/>
                <w:lang w:val="en-US" w:eastAsia="zh-CN" w:bidi="ar-SA"/>
              </w:rPr>
              <w:t>投标人投入本项目的驻场工程师不少于2人的得3分，驻场工程师具有高级信息系统项目管理师证或</w:t>
            </w:r>
            <w:bookmarkStart w:id="607" w:name="OLE_LINK48"/>
            <w:r>
              <w:rPr>
                <w:rFonts w:hint="eastAsia" w:ascii="宋体" w:hAnsi="宋体" w:eastAsia="宋体" w:cs="宋体"/>
                <w:bCs/>
                <w:color w:val="000000"/>
                <w:kern w:val="0"/>
                <w:sz w:val="21"/>
                <w:szCs w:val="21"/>
                <w:highlight w:val="none"/>
                <w:lang w:val="en-US" w:eastAsia="zh-CN" w:bidi="ar-SA"/>
              </w:rPr>
              <w:t>广播电视</w:t>
            </w:r>
            <w:bookmarkEnd w:id="607"/>
            <w:r>
              <w:rPr>
                <w:rFonts w:hint="eastAsia" w:ascii="宋体" w:hAnsi="宋体" w:eastAsia="宋体" w:cs="宋体"/>
                <w:bCs/>
                <w:color w:val="000000"/>
                <w:kern w:val="0"/>
                <w:sz w:val="21"/>
                <w:szCs w:val="21"/>
                <w:highlight w:val="none"/>
                <w:lang w:val="en-US" w:eastAsia="zh-CN" w:bidi="ar-SA"/>
              </w:rPr>
              <w:t>相关专业高级工程师职称证，并提供承诺函，未提供承诺函或人数少于2人不得分。</w:t>
            </w:r>
            <w:r>
              <w:rPr>
                <w:rFonts w:hint="eastAsia" w:ascii="宋体" w:hAnsi="宋体" w:eastAsia="宋体" w:cs="宋体"/>
                <w:b/>
                <w:bCs w:val="0"/>
                <w:color w:val="000000"/>
                <w:kern w:val="0"/>
                <w:sz w:val="21"/>
                <w:szCs w:val="21"/>
                <w:highlight w:val="none"/>
                <w:lang w:val="en-US" w:eastAsia="zh-CN" w:bidi="ar-SA"/>
              </w:rPr>
              <w:t>（提供证书复印件、劳动合同复印件并加盖公章）</w:t>
            </w:r>
          </w:p>
        </w:tc>
      </w:tr>
      <w:bookmarkEnd w:id="60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1" w:type="dxa"/>
            <w:vMerge w:val="restart"/>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技术评分</w:t>
            </w:r>
          </w:p>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60</w:t>
            </w:r>
            <w:r>
              <w:rPr>
                <w:rFonts w:hint="eastAsia" w:ascii="Times New Roman" w:hAnsi="Times New Roman" w:eastAsia="宋体" w:cs="Times New Roman"/>
                <w:color w:val="auto"/>
                <w:sz w:val="21"/>
                <w:szCs w:val="21"/>
                <w:highlight w:val="none"/>
              </w:rPr>
              <w:t>分</w:t>
            </w:r>
          </w:p>
        </w:tc>
        <w:tc>
          <w:tcPr>
            <w:tcW w:w="843" w:type="dxa"/>
            <w:shd w:val="clear" w:color="auto" w:fill="auto"/>
            <w:vAlign w:val="center"/>
          </w:tcPr>
          <w:p>
            <w:pPr>
              <w:widowControl w:val="0"/>
              <w:bidi w:val="0"/>
              <w:spacing w:line="320" w:lineRule="exact"/>
              <w:ind w:firstLine="0" w:firstLineChars="0"/>
              <w:jc w:val="center"/>
              <w:rPr>
                <w:rFonts w:hint="eastAsia"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eastAsia="宋体" w:cs="Times New Roman"/>
                <w:bCs w:val="0"/>
                <w:color w:val="auto"/>
                <w:kern w:val="2"/>
                <w:sz w:val="21"/>
                <w:szCs w:val="21"/>
                <w:highlight w:val="none"/>
                <w:lang w:val="en-US" w:eastAsia="zh-CN" w:bidi="ar-SA"/>
              </w:rPr>
              <w:t>技术响应</w:t>
            </w:r>
          </w:p>
        </w:tc>
        <w:tc>
          <w:tcPr>
            <w:tcW w:w="707" w:type="dxa"/>
            <w:shd w:val="clear" w:color="auto" w:fill="auto"/>
            <w:vAlign w:val="center"/>
          </w:tcPr>
          <w:p>
            <w:pPr>
              <w:widowControl w:val="0"/>
              <w:bidi w:val="0"/>
              <w:spacing w:line="320" w:lineRule="exact"/>
              <w:ind w:firstLine="0" w:firstLineChars="0"/>
              <w:jc w:val="center"/>
              <w:rPr>
                <w:rFonts w:hint="default" w:ascii="宋体" w:hAnsi="宋体" w:eastAsia="宋体" w:cs="宋体"/>
                <w:bCs w:val="0"/>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val="en-US" w:eastAsia="zh-CN" w:bidi="ar-SA"/>
              </w:rPr>
              <w:t>18</w:t>
            </w:r>
          </w:p>
        </w:tc>
        <w:tc>
          <w:tcPr>
            <w:tcW w:w="663" w:type="dxa"/>
            <w:shd w:val="clear" w:color="auto" w:fill="auto"/>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客观分</w:t>
            </w:r>
          </w:p>
        </w:tc>
        <w:tc>
          <w:tcPr>
            <w:tcW w:w="6540" w:type="dxa"/>
            <w:gridSpan w:val="2"/>
            <w:shd w:val="clear" w:color="auto" w:fill="auto"/>
            <w:vAlign w:val="center"/>
          </w:tcPr>
          <w:p>
            <w:pPr>
              <w:widowControl w:val="0"/>
              <w:bidi w:val="0"/>
              <w:spacing w:line="320" w:lineRule="exact"/>
              <w:ind w:firstLine="0" w:firstLineChars="0"/>
              <w:jc w:val="left"/>
              <w:rPr>
                <w:rFonts w:hint="eastAsia" w:ascii="宋体" w:hAnsi="宋体" w:eastAsia="宋体" w:cs="宋体"/>
                <w:bCs w:val="0"/>
                <w:color w:val="auto"/>
                <w:kern w:val="2"/>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投标人对标注“▲”参数（共计18个）完全响应得18分，每满足1项得1分，满分18分。（投标人须提供包含相关指标项的证明材料。该参数如未要求提供证明材料的，则以使用生产厂家官方网站截图或产品白皮书或第三方机构检验报告或其他第三方佐证材料，未提供有效证明材料或证明材料中内容与所填报指标不一致的，该指标按负偏离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1" w:type="dxa"/>
            <w:vMerge w:val="continue"/>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843" w:type="dxa"/>
            <w:shd w:val="clear" w:color="auto" w:fill="auto"/>
            <w:vAlign w:val="center"/>
          </w:tcPr>
          <w:p>
            <w:pPr>
              <w:widowControl w:val="0"/>
              <w:bidi w:val="0"/>
              <w:spacing w:line="320" w:lineRule="exact"/>
              <w:ind w:firstLine="0" w:firstLineChars="0"/>
              <w:jc w:val="center"/>
              <w:rPr>
                <w:rFonts w:hint="default" w:ascii="Times New Roman" w:hAnsi="Times New Roman" w:eastAsia="宋体" w:cs="Times New Roman"/>
                <w:bCs w:val="0"/>
                <w:color w:val="auto"/>
                <w:kern w:val="2"/>
                <w:sz w:val="21"/>
                <w:szCs w:val="21"/>
                <w:highlight w:val="none"/>
                <w:lang w:val="en-US" w:eastAsia="zh-CN" w:bidi="ar-SA"/>
              </w:rPr>
            </w:pPr>
            <w:bookmarkStart w:id="608" w:name="OLE_LINK41"/>
            <w:r>
              <w:rPr>
                <w:rFonts w:hint="eastAsia" w:ascii="Times New Roman" w:hAnsi="Times New Roman" w:eastAsia="宋体" w:cs="Times New Roman"/>
                <w:bCs w:val="0"/>
                <w:color w:val="auto"/>
                <w:kern w:val="2"/>
                <w:sz w:val="21"/>
                <w:szCs w:val="21"/>
                <w:highlight w:val="none"/>
                <w:lang w:val="en-US" w:eastAsia="zh-CN" w:bidi="ar-SA"/>
              </w:rPr>
              <w:t>总体实施方案</w:t>
            </w:r>
            <w:bookmarkEnd w:id="608"/>
          </w:p>
        </w:tc>
        <w:tc>
          <w:tcPr>
            <w:tcW w:w="707" w:type="dxa"/>
            <w:shd w:val="clear" w:color="auto" w:fill="auto"/>
            <w:vAlign w:val="center"/>
          </w:tcPr>
          <w:p>
            <w:pPr>
              <w:widowControl w:val="0"/>
              <w:bidi w:val="0"/>
              <w:spacing w:line="320" w:lineRule="exact"/>
              <w:ind w:firstLine="0" w:firstLineChars="0"/>
              <w:jc w:val="center"/>
              <w:rPr>
                <w:rFonts w:hint="default" w:ascii="宋体" w:hAnsi="宋体" w:eastAsia="宋体" w:cs="宋体"/>
                <w:bCs w:val="0"/>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val="en-US" w:eastAsia="zh-CN" w:bidi="ar-SA"/>
              </w:rPr>
              <w:t>6</w:t>
            </w:r>
          </w:p>
        </w:tc>
        <w:tc>
          <w:tcPr>
            <w:tcW w:w="663" w:type="dxa"/>
            <w:shd w:val="clear" w:color="auto" w:fill="auto"/>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主观分</w:t>
            </w:r>
          </w:p>
        </w:tc>
        <w:tc>
          <w:tcPr>
            <w:tcW w:w="6540" w:type="dxa"/>
            <w:gridSpan w:val="2"/>
            <w:shd w:val="clear" w:color="auto" w:fill="auto"/>
            <w:vAlign w:val="center"/>
          </w:tcPr>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bookmarkStart w:id="609" w:name="OLE_LINK54"/>
            <w:r>
              <w:rPr>
                <w:rFonts w:hint="eastAsia" w:ascii="宋体" w:hAnsi="宋体" w:eastAsia="宋体" w:cs="宋体"/>
                <w:bCs/>
                <w:color w:val="auto"/>
                <w:kern w:val="0"/>
                <w:sz w:val="21"/>
                <w:szCs w:val="21"/>
                <w:highlight w:val="none"/>
                <w:lang w:val="en-US" w:eastAsia="zh-CN" w:bidi="ar-SA"/>
              </w:rPr>
              <w:t>根据投标人编制的</w:t>
            </w:r>
            <w:r>
              <w:rPr>
                <w:rFonts w:hint="eastAsia" w:ascii="Times New Roman" w:hAnsi="Times New Roman" w:eastAsia="宋体" w:cs="Times New Roman"/>
                <w:bCs w:val="0"/>
                <w:color w:val="auto"/>
                <w:kern w:val="2"/>
                <w:sz w:val="21"/>
                <w:szCs w:val="21"/>
                <w:highlight w:val="none"/>
                <w:lang w:val="en-US" w:eastAsia="zh-CN" w:bidi="ar-SA"/>
              </w:rPr>
              <w:t>总体实施方案</w:t>
            </w:r>
            <w:r>
              <w:rPr>
                <w:rFonts w:hint="eastAsia" w:ascii="宋体" w:hAnsi="宋体" w:eastAsia="宋体" w:cs="宋体"/>
                <w:bCs/>
                <w:color w:val="auto"/>
                <w:kern w:val="0"/>
                <w:sz w:val="21"/>
                <w:szCs w:val="21"/>
                <w:highlight w:val="none"/>
                <w:lang w:val="en-US" w:eastAsia="zh-CN" w:bidi="ar-SA"/>
              </w:rPr>
              <w:t>进行评审，主要从以下方面：</w:t>
            </w:r>
            <w:r>
              <w:rPr>
                <w:rFonts w:hint="eastAsia" w:ascii="宋体" w:hAnsi="宋体" w:eastAsia="宋体" w:cs="宋体"/>
                <w:bCs/>
                <w:color w:val="auto"/>
                <w:kern w:val="0"/>
                <w:sz w:val="21"/>
                <w:szCs w:val="21"/>
                <w:highlight w:val="none"/>
                <w:lang w:val="en-US" w:eastAsia="zh-CN" w:bidi="ar-SA"/>
              </w:rPr>
              <w:br w:type="textWrapping"/>
            </w:r>
            <w:r>
              <w:rPr>
                <w:rFonts w:hint="eastAsia" w:ascii="宋体" w:hAnsi="宋体" w:eastAsia="宋体" w:cs="宋体"/>
                <w:bCs/>
                <w:color w:val="auto"/>
                <w:kern w:val="0"/>
                <w:sz w:val="21"/>
                <w:szCs w:val="21"/>
                <w:highlight w:val="none"/>
                <w:lang w:val="en-US" w:eastAsia="zh-CN" w:bidi="ar-SA"/>
              </w:rPr>
              <w:t>一、评审内容：</w:t>
            </w:r>
            <w:r>
              <w:rPr>
                <w:rFonts w:hint="eastAsia" w:ascii="宋体" w:hAnsi="宋体" w:eastAsia="宋体" w:cs="宋体"/>
                <w:bCs/>
                <w:color w:val="auto"/>
                <w:kern w:val="0"/>
                <w:sz w:val="21"/>
                <w:szCs w:val="21"/>
                <w:highlight w:val="none"/>
                <w:lang w:val="en-US" w:eastAsia="zh-CN" w:bidi="ar-SA"/>
              </w:rPr>
              <w:br w:type="textWrapping"/>
            </w:r>
            <w:r>
              <w:rPr>
                <w:rFonts w:hint="eastAsia" w:ascii="宋体" w:hAnsi="宋体" w:eastAsia="宋体" w:cs="宋体"/>
                <w:bCs/>
                <w:color w:val="auto"/>
                <w:kern w:val="0"/>
                <w:sz w:val="21"/>
                <w:szCs w:val="21"/>
                <w:highlight w:val="none"/>
                <w:lang w:val="en-US" w:eastAsia="zh-CN" w:bidi="ar-SA"/>
              </w:rPr>
              <w:t>1、项目</w:t>
            </w:r>
            <w:bookmarkStart w:id="610" w:name="OLE_LINK49"/>
            <w:r>
              <w:rPr>
                <w:rFonts w:hint="eastAsia" w:ascii="宋体" w:hAnsi="宋体" w:eastAsia="宋体" w:cs="宋体"/>
                <w:bCs/>
                <w:color w:val="auto"/>
                <w:kern w:val="0"/>
                <w:sz w:val="21"/>
                <w:szCs w:val="21"/>
                <w:highlight w:val="none"/>
                <w:lang w:val="en-US" w:eastAsia="zh-CN" w:bidi="ar-SA"/>
              </w:rPr>
              <w:t>总体</w:t>
            </w:r>
            <w:bookmarkEnd w:id="610"/>
            <w:r>
              <w:rPr>
                <w:rFonts w:hint="eastAsia" w:ascii="宋体" w:hAnsi="宋体" w:eastAsia="宋体" w:cs="宋体"/>
                <w:bCs/>
                <w:color w:val="auto"/>
                <w:kern w:val="0"/>
                <w:sz w:val="21"/>
                <w:szCs w:val="21"/>
                <w:highlight w:val="none"/>
                <w:lang w:val="en-US" w:eastAsia="zh-CN" w:bidi="ar-SA"/>
              </w:rPr>
              <w:t>实施计划；</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2、项目总体进度控制方案；</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3、项目总体质量控制方案。</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二、评审考核标准：</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（1）科学性：切合采购人及本项目实际情况，叙述清楚、符合本项目客观实际；</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（2）合理性：方案合理、恰当，遵循客观规律，满足本项目客观实际，符合法律法规要求；</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（3）针对性：方案必须契合本项目实际情况。</w:t>
            </w:r>
          </w:p>
          <w:p>
            <w:pPr>
              <w:widowControl w:val="0"/>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对上述3项评审内容进行打分，每项评审内容完全满足（1）－（3）项评审标准的得2分，满足2项的得1分，满足1项的得0.5分，其他情况不得分。满分6分。</w:t>
            </w:r>
            <w:bookmarkEnd w:id="6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1" w:type="dxa"/>
            <w:vMerge w:val="continue"/>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843" w:type="dxa"/>
            <w:shd w:val="clear" w:color="auto" w:fill="auto"/>
            <w:vAlign w:val="center"/>
          </w:tcPr>
          <w:p>
            <w:pPr>
              <w:widowControl w:val="0"/>
              <w:bidi w:val="0"/>
              <w:spacing w:line="320" w:lineRule="exact"/>
              <w:ind w:firstLine="0" w:firstLineChars="0"/>
              <w:jc w:val="center"/>
              <w:rPr>
                <w:rFonts w:hint="default"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kern w:val="2"/>
                <w:sz w:val="21"/>
                <w:szCs w:val="21"/>
                <w:highlight w:val="none"/>
                <w:lang w:val="en-US" w:eastAsia="zh-CN" w:bidi="ar-SA"/>
              </w:rPr>
              <w:t>各分项实施方案</w:t>
            </w:r>
          </w:p>
        </w:tc>
        <w:tc>
          <w:tcPr>
            <w:tcW w:w="707" w:type="dxa"/>
            <w:shd w:val="clear" w:color="auto" w:fill="auto"/>
            <w:vAlign w:val="center"/>
          </w:tcPr>
          <w:p>
            <w:pPr>
              <w:widowControl w:val="0"/>
              <w:bidi w:val="0"/>
              <w:spacing w:line="320" w:lineRule="exact"/>
              <w:ind w:firstLine="0" w:firstLineChars="0"/>
              <w:jc w:val="center"/>
              <w:rPr>
                <w:rFonts w:hint="default" w:ascii="宋体" w:hAnsi="宋体" w:eastAsia="宋体" w:cs="宋体"/>
                <w:bCs w:val="0"/>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val="en-US" w:eastAsia="zh-CN" w:bidi="ar-SA"/>
              </w:rPr>
              <w:t>18</w:t>
            </w:r>
          </w:p>
        </w:tc>
        <w:tc>
          <w:tcPr>
            <w:tcW w:w="663" w:type="dxa"/>
            <w:shd w:val="clear" w:color="auto" w:fill="auto"/>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主观分</w:t>
            </w:r>
          </w:p>
        </w:tc>
        <w:tc>
          <w:tcPr>
            <w:tcW w:w="6540" w:type="dxa"/>
            <w:gridSpan w:val="2"/>
            <w:shd w:val="clear" w:color="auto" w:fill="auto"/>
            <w:vAlign w:val="center"/>
          </w:tcPr>
          <w:p>
            <w:pPr>
              <w:widowControl w:val="0"/>
              <w:numPr>
                <w:ilvl w:val="-1"/>
                <w:numId w:val="0"/>
              </w:numPr>
              <w:bidi w:val="0"/>
              <w:spacing w:line="320" w:lineRule="exact"/>
              <w:ind w:firstLine="0" w:firstLineChars="0"/>
              <w:jc w:val="left"/>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根据投标人编制的</w:t>
            </w:r>
            <w:r>
              <w:rPr>
                <w:rFonts w:hint="eastAsia" w:ascii="Times New Roman" w:hAnsi="Times New Roman" w:eastAsia="宋体" w:cs="Times New Roman"/>
                <w:bCs w:val="0"/>
                <w:color w:val="auto"/>
                <w:kern w:val="2"/>
                <w:sz w:val="21"/>
                <w:szCs w:val="21"/>
                <w:highlight w:val="none"/>
                <w:lang w:val="en-US" w:eastAsia="zh-CN" w:bidi="ar-SA"/>
              </w:rPr>
              <w:t>总体实施方案</w:t>
            </w:r>
            <w:r>
              <w:rPr>
                <w:rFonts w:hint="eastAsia" w:ascii="宋体" w:hAnsi="宋体" w:eastAsia="宋体" w:cs="宋体"/>
                <w:bCs/>
                <w:color w:val="auto"/>
                <w:kern w:val="0"/>
                <w:sz w:val="21"/>
                <w:szCs w:val="21"/>
                <w:highlight w:val="none"/>
                <w:lang w:val="en-US" w:eastAsia="zh-CN" w:bidi="ar-SA"/>
              </w:rPr>
              <w:t>进行评审，主要从以下方面：</w:t>
            </w:r>
            <w:r>
              <w:rPr>
                <w:rFonts w:hint="eastAsia" w:ascii="宋体" w:hAnsi="宋体" w:eastAsia="宋体" w:cs="宋体"/>
                <w:bCs/>
                <w:color w:val="auto"/>
                <w:kern w:val="0"/>
                <w:sz w:val="21"/>
                <w:szCs w:val="21"/>
                <w:highlight w:val="none"/>
                <w:lang w:val="en-US" w:eastAsia="zh-CN" w:bidi="ar-SA"/>
              </w:rPr>
              <w:br w:type="textWrapping"/>
            </w:r>
            <w:r>
              <w:rPr>
                <w:rFonts w:hint="eastAsia" w:ascii="宋体" w:hAnsi="宋体" w:eastAsia="宋体" w:cs="宋体"/>
                <w:bCs/>
                <w:color w:val="auto"/>
                <w:kern w:val="0"/>
                <w:sz w:val="21"/>
                <w:szCs w:val="21"/>
                <w:highlight w:val="none"/>
                <w:lang w:val="en-US" w:eastAsia="zh-CN" w:bidi="ar-SA"/>
              </w:rPr>
              <w:t>一、评审内容：</w:t>
            </w:r>
            <w:r>
              <w:rPr>
                <w:rFonts w:hint="eastAsia" w:ascii="宋体" w:hAnsi="宋体" w:eastAsia="宋体" w:cs="宋体"/>
                <w:bCs/>
                <w:color w:val="auto"/>
                <w:kern w:val="0"/>
                <w:sz w:val="21"/>
                <w:szCs w:val="21"/>
                <w:highlight w:val="none"/>
                <w:lang w:val="en-US" w:eastAsia="zh-CN" w:bidi="ar-SA"/>
              </w:rPr>
              <w:br w:type="textWrapping"/>
            </w:r>
            <w:r>
              <w:rPr>
                <w:rFonts w:hint="eastAsia" w:ascii="宋体" w:hAnsi="宋体" w:eastAsia="宋体" w:cs="宋体"/>
                <w:bCs/>
                <w:color w:val="auto"/>
                <w:kern w:val="0"/>
                <w:sz w:val="21"/>
                <w:szCs w:val="21"/>
                <w:highlight w:val="none"/>
                <w:lang w:val="en-US" w:eastAsia="zh-CN" w:bidi="ar-SA"/>
              </w:rPr>
              <w:t>1、整体空间设计及实施方案</w:t>
            </w:r>
          </w:p>
          <w:p>
            <w:pPr>
              <w:widowControl w:val="0"/>
              <w:numPr>
                <w:ilvl w:val="-1"/>
                <w:numId w:val="0"/>
              </w:numPr>
              <w:bidi w:val="0"/>
              <w:spacing w:line="320" w:lineRule="exact"/>
              <w:ind w:firstLine="0" w:firstLineChars="0"/>
              <w:jc w:val="left"/>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2、融媒体中心装修部分的实施方案</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3、全景演播实训系统</w:t>
            </w:r>
            <w:bookmarkStart w:id="611" w:name="OLE_LINK56"/>
            <w:r>
              <w:rPr>
                <w:rFonts w:hint="eastAsia" w:ascii="宋体" w:hAnsi="宋体" w:eastAsia="宋体" w:cs="宋体"/>
                <w:bCs/>
                <w:color w:val="auto"/>
                <w:kern w:val="0"/>
                <w:sz w:val="21"/>
                <w:szCs w:val="21"/>
                <w:highlight w:val="none"/>
                <w:lang w:val="en-US" w:eastAsia="zh-CN" w:bidi="ar-SA"/>
              </w:rPr>
              <w:t>设计和实施方案；</w:t>
            </w:r>
            <w:bookmarkEnd w:id="611"/>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4、含融媒体采编基础支撑系统</w:t>
            </w:r>
            <w:bookmarkStart w:id="612" w:name="OLE_LINK57"/>
            <w:r>
              <w:rPr>
                <w:rFonts w:hint="eastAsia" w:ascii="宋体" w:hAnsi="宋体" w:eastAsia="宋体" w:cs="宋体"/>
                <w:bCs/>
                <w:color w:val="auto"/>
                <w:kern w:val="0"/>
                <w:sz w:val="21"/>
                <w:szCs w:val="21"/>
                <w:highlight w:val="none"/>
                <w:lang w:val="en-US" w:eastAsia="zh-CN" w:bidi="ar-SA"/>
              </w:rPr>
              <w:t>设计和实施方案；</w:t>
            </w:r>
            <w:bookmarkEnd w:id="612"/>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5、融媒体中心融媒体管理平台系统</w:t>
            </w:r>
            <w:bookmarkStart w:id="613" w:name="OLE_LINK58"/>
            <w:r>
              <w:rPr>
                <w:rFonts w:hint="eastAsia" w:ascii="宋体" w:hAnsi="宋体" w:eastAsia="宋体" w:cs="宋体"/>
                <w:bCs/>
                <w:color w:val="auto"/>
                <w:kern w:val="0"/>
                <w:sz w:val="21"/>
                <w:szCs w:val="21"/>
                <w:highlight w:val="none"/>
                <w:lang w:val="en-US" w:eastAsia="zh-CN" w:bidi="ar-SA"/>
              </w:rPr>
              <w:t>设计和实施方案；</w:t>
            </w:r>
            <w:bookmarkEnd w:id="613"/>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6、舆情监测、分析、统计系统设计和实施方案；</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二、评审考核标准：</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（1）科学性：切合采购人及本项目实际情况，叙述清楚、符合本项目客观实际；</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（2）合理性：方案合理、恰当，遵循客观规律，满足本项目客观实际，符合法律法规要求；</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（3）针对性：方案必须契合本项目实际情况。</w:t>
            </w:r>
          </w:p>
          <w:p>
            <w:pPr>
              <w:widowControl w:val="0"/>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对上述6项评审内容进行打分，每项评审内容完全满足（1）－（3）项评审标准的得3分，满足2项的得2分，满足1项的得1分，其他情况不得分。满分18分。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811" w:type="dxa"/>
            <w:vMerge w:val="continue"/>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843" w:type="dxa"/>
            <w:vAlign w:val="center"/>
          </w:tcPr>
          <w:p>
            <w:pPr>
              <w:widowControl w:val="0"/>
              <w:bidi w:val="0"/>
              <w:spacing w:line="320" w:lineRule="exact"/>
              <w:ind w:firstLine="0" w:firstLineChars="0"/>
              <w:jc w:val="center"/>
              <w:rPr>
                <w:rFonts w:hint="eastAsia"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kern w:val="2"/>
                <w:sz w:val="21"/>
                <w:szCs w:val="21"/>
                <w:highlight w:val="none"/>
                <w:lang w:val="en-US" w:eastAsia="zh-CN" w:bidi="ar-SA"/>
              </w:rPr>
              <w:t>售后服务方案</w:t>
            </w:r>
          </w:p>
        </w:tc>
        <w:tc>
          <w:tcPr>
            <w:tcW w:w="707" w:type="dxa"/>
            <w:vAlign w:val="center"/>
          </w:tcPr>
          <w:p>
            <w:pPr>
              <w:widowControl w:val="0"/>
              <w:bidi w:val="0"/>
              <w:spacing w:line="320" w:lineRule="exact"/>
              <w:ind w:firstLine="0" w:firstLineChars="0"/>
              <w:jc w:val="center"/>
              <w:rPr>
                <w:rFonts w:hint="default" w:ascii="宋体" w:hAnsi="宋体" w:eastAsia="宋体" w:cs="宋体"/>
                <w:bCs w:val="0"/>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val="en-US" w:eastAsia="zh-CN" w:bidi="ar-SA"/>
              </w:rPr>
              <w:t>3</w:t>
            </w:r>
          </w:p>
        </w:tc>
        <w:tc>
          <w:tcPr>
            <w:tcW w:w="663" w:type="dxa"/>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主观分</w:t>
            </w:r>
          </w:p>
        </w:tc>
        <w:tc>
          <w:tcPr>
            <w:tcW w:w="6540" w:type="dxa"/>
            <w:gridSpan w:val="2"/>
            <w:vAlign w:val="center"/>
          </w:tcPr>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根据投标人编制的</w:t>
            </w:r>
            <w:r>
              <w:rPr>
                <w:rFonts w:hint="eastAsia" w:ascii="Times New Roman" w:hAnsi="Times New Roman" w:eastAsia="宋体" w:cs="Times New Roman"/>
                <w:bCs w:val="0"/>
                <w:color w:val="auto"/>
                <w:kern w:val="2"/>
                <w:sz w:val="21"/>
                <w:szCs w:val="21"/>
                <w:highlight w:val="none"/>
                <w:lang w:val="en-US" w:eastAsia="zh-CN" w:bidi="ar-SA"/>
              </w:rPr>
              <w:t>售后服务方案</w:t>
            </w:r>
            <w:r>
              <w:rPr>
                <w:rFonts w:hint="eastAsia" w:ascii="宋体" w:hAnsi="宋体" w:eastAsia="宋体" w:cs="宋体"/>
                <w:bCs/>
                <w:color w:val="auto"/>
                <w:kern w:val="0"/>
                <w:sz w:val="21"/>
                <w:szCs w:val="21"/>
                <w:highlight w:val="none"/>
                <w:lang w:val="en-US" w:eastAsia="zh-CN" w:bidi="ar-SA"/>
              </w:rPr>
              <w:t>进行评审，主要从以下方面：</w:t>
            </w:r>
            <w:r>
              <w:rPr>
                <w:rFonts w:hint="eastAsia" w:ascii="宋体" w:hAnsi="宋体" w:eastAsia="宋体" w:cs="宋体"/>
                <w:bCs/>
                <w:color w:val="auto"/>
                <w:kern w:val="0"/>
                <w:sz w:val="21"/>
                <w:szCs w:val="21"/>
                <w:highlight w:val="none"/>
                <w:lang w:val="en-US" w:eastAsia="zh-CN" w:bidi="ar-SA"/>
              </w:rPr>
              <w:br w:type="textWrapping"/>
            </w:r>
            <w:r>
              <w:rPr>
                <w:rFonts w:hint="eastAsia" w:ascii="宋体" w:hAnsi="宋体" w:eastAsia="宋体" w:cs="宋体"/>
                <w:bCs/>
                <w:color w:val="auto"/>
                <w:kern w:val="0"/>
                <w:sz w:val="21"/>
                <w:szCs w:val="21"/>
                <w:highlight w:val="none"/>
                <w:lang w:val="en-US" w:eastAsia="zh-CN" w:bidi="ar-SA"/>
              </w:rPr>
              <w:t>一、评审内容：</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1、售后服务人员的配备、紧急故障处理预案、维修处理方案；</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2、及时响应保障及质保期（内）外服务方案；</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3、修复时间及违约处罚。</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bCs/>
                <w:color w:val="auto"/>
                <w:kern w:val="0"/>
                <w:sz w:val="21"/>
                <w:szCs w:val="21"/>
                <w:highlight w:val="none"/>
                <w:lang w:val="en-US" w:eastAsia="zh-CN" w:bidi="ar-SA"/>
              </w:rPr>
              <w:t>二、评审考核标准：</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（1）科学性：切合采购人及本项目实际情况，叙述清楚、符合本项目客观实际；</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（2）合理性：方案合理、恰当，遵循客观规律，满足本项目客观实际，符合法律法规要求；</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（3）针对性：方案必须契合本项目实际情况。</w:t>
            </w:r>
          </w:p>
          <w:p>
            <w:pPr>
              <w:widowControl w:val="0"/>
              <w:bidi w:val="0"/>
              <w:spacing w:line="320" w:lineRule="exact"/>
              <w:ind w:firstLine="0" w:firstLineChars="0"/>
              <w:jc w:val="left"/>
              <w:rPr>
                <w:rFonts w:hint="eastAsia" w:ascii="宋体" w:hAnsi="宋体" w:eastAsia="宋体" w:cs="宋体"/>
                <w:bCs w:val="0"/>
                <w:color w:val="auto"/>
                <w:kern w:val="2"/>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对上述3项评审内容进行打分，每项评审内容完全满足（1）－（3）项评审标准的得1分，满足2项的得0.5分，满足1项得0.2分，其他情况不得分。满分3分。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811" w:type="dxa"/>
            <w:vMerge w:val="continue"/>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843" w:type="dxa"/>
            <w:vAlign w:val="center"/>
          </w:tcPr>
          <w:p>
            <w:pPr>
              <w:widowControl w:val="0"/>
              <w:bidi w:val="0"/>
              <w:spacing w:line="320" w:lineRule="exact"/>
              <w:ind w:firstLine="0" w:firstLineChars="0"/>
              <w:jc w:val="center"/>
              <w:rPr>
                <w:rFonts w:hint="eastAsia" w:ascii="Times New Roman" w:hAnsi="Times New Roman" w:eastAsia="宋体" w:cs="Times New Roman"/>
                <w:bCs w:val="0"/>
                <w:color w:val="auto"/>
                <w:kern w:val="2"/>
                <w:sz w:val="21"/>
                <w:szCs w:val="21"/>
                <w:highlight w:val="none"/>
                <w:lang w:val="en-US" w:eastAsia="zh-CN" w:bidi="ar-SA"/>
              </w:rPr>
            </w:pPr>
            <w:bookmarkStart w:id="614" w:name="OLE_LINK40"/>
            <w:r>
              <w:rPr>
                <w:rFonts w:hint="eastAsia" w:ascii="Times New Roman" w:hAnsi="Times New Roman" w:eastAsia="宋体" w:cs="Times New Roman"/>
                <w:bCs w:val="0"/>
                <w:color w:val="auto"/>
                <w:kern w:val="2"/>
                <w:sz w:val="21"/>
                <w:szCs w:val="21"/>
                <w:highlight w:val="none"/>
                <w:lang w:val="en-US" w:eastAsia="zh-CN" w:bidi="ar-SA"/>
              </w:rPr>
              <w:t>融媒体中心人员委培及品牌推广服务</w:t>
            </w:r>
            <w:bookmarkEnd w:id="614"/>
          </w:p>
        </w:tc>
        <w:tc>
          <w:tcPr>
            <w:tcW w:w="707" w:type="dxa"/>
            <w:vAlign w:val="center"/>
          </w:tcPr>
          <w:p>
            <w:pPr>
              <w:widowControl w:val="0"/>
              <w:bidi w:val="0"/>
              <w:spacing w:line="320" w:lineRule="exact"/>
              <w:ind w:firstLine="0" w:firstLineChars="0"/>
              <w:jc w:val="center"/>
              <w:rPr>
                <w:rFonts w:hint="default" w:ascii="宋体" w:hAnsi="宋体" w:eastAsia="宋体" w:cs="宋体"/>
                <w:bCs w:val="0"/>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val="en-US" w:eastAsia="zh-CN" w:bidi="ar-SA"/>
              </w:rPr>
              <w:t>9</w:t>
            </w:r>
          </w:p>
        </w:tc>
        <w:tc>
          <w:tcPr>
            <w:tcW w:w="663" w:type="dxa"/>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主观分</w:t>
            </w:r>
          </w:p>
        </w:tc>
        <w:tc>
          <w:tcPr>
            <w:tcW w:w="6540" w:type="dxa"/>
            <w:gridSpan w:val="2"/>
            <w:vAlign w:val="center"/>
          </w:tcPr>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根据投标人编制的</w:t>
            </w:r>
            <w:r>
              <w:rPr>
                <w:rFonts w:hint="eastAsia" w:ascii="Times New Roman" w:hAnsi="Times New Roman" w:eastAsia="宋体" w:cs="Times New Roman"/>
                <w:bCs w:val="0"/>
                <w:color w:val="auto"/>
                <w:kern w:val="2"/>
                <w:sz w:val="21"/>
                <w:szCs w:val="21"/>
                <w:highlight w:val="none"/>
                <w:lang w:val="en-US" w:eastAsia="zh-CN" w:bidi="ar-SA"/>
              </w:rPr>
              <w:t>融媒体中心人员委培及品牌推广服务方案</w:t>
            </w:r>
            <w:r>
              <w:rPr>
                <w:rFonts w:hint="eastAsia" w:ascii="宋体" w:hAnsi="宋体" w:eastAsia="宋体" w:cs="宋体"/>
                <w:bCs/>
                <w:color w:val="auto"/>
                <w:kern w:val="0"/>
                <w:sz w:val="21"/>
                <w:szCs w:val="21"/>
                <w:highlight w:val="none"/>
                <w:lang w:val="en-US" w:eastAsia="zh-CN" w:bidi="ar-SA"/>
              </w:rPr>
              <w:t>进行评审，主要从以下方面：</w:t>
            </w:r>
            <w:r>
              <w:rPr>
                <w:rFonts w:hint="eastAsia" w:ascii="宋体" w:hAnsi="宋体" w:eastAsia="宋体" w:cs="宋体"/>
                <w:bCs/>
                <w:color w:val="auto"/>
                <w:kern w:val="0"/>
                <w:sz w:val="21"/>
                <w:szCs w:val="21"/>
                <w:highlight w:val="none"/>
                <w:lang w:val="en-US" w:eastAsia="zh-CN" w:bidi="ar-SA"/>
              </w:rPr>
              <w:br w:type="textWrapping"/>
            </w:r>
            <w:r>
              <w:rPr>
                <w:rFonts w:hint="eastAsia" w:ascii="宋体" w:hAnsi="宋体" w:eastAsia="宋体" w:cs="宋体"/>
                <w:bCs/>
                <w:color w:val="auto"/>
                <w:kern w:val="0"/>
                <w:sz w:val="21"/>
                <w:szCs w:val="21"/>
                <w:highlight w:val="none"/>
                <w:lang w:val="en-US" w:eastAsia="zh-CN" w:bidi="ar-SA"/>
              </w:rPr>
              <w:t>一、评审内容：</w:t>
            </w:r>
            <w:r>
              <w:rPr>
                <w:rFonts w:hint="eastAsia" w:ascii="宋体" w:hAnsi="宋体" w:eastAsia="宋体" w:cs="宋体"/>
                <w:bCs/>
                <w:color w:val="auto"/>
                <w:kern w:val="0"/>
                <w:sz w:val="21"/>
                <w:szCs w:val="21"/>
                <w:highlight w:val="none"/>
                <w:lang w:val="en-US" w:eastAsia="zh-CN" w:bidi="ar-SA"/>
              </w:rPr>
              <w:br w:type="textWrapping"/>
            </w:r>
            <w:r>
              <w:rPr>
                <w:rFonts w:hint="eastAsia" w:ascii="宋体" w:hAnsi="宋体" w:eastAsia="宋体" w:cs="宋体"/>
                <w:bCs/>
                <w:color w:val="auto"/>
                <w:kern w:val="0"/>
                <w:sz w:val="21"/>
                <w:szCs w:val="21"/>
                <w:highlight w:val="none"/>
                <w:lang w:val="en-US" w:eastAsia="zh-CN" w:bidi="ar-SA"/>
              </w:rPr>
              <w:t>1、融媒体中心日常工作提供图文、视频、新媒体产品等内容的策划服务方案；</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2、融媒体中心师生提供人员委培服务方案；</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3、融媒体中心人员提供实训服务方案。</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二、评审考核标准：</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（1）科学性：切合采购人及本项目实际情况，叙述清楚、符合本项目客观实际；</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（2）合理性：方案合理、恰当，遵循客观规律，满足本项目客观实际，符合法律法规要求；</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（3）针对性：方案必须契合本项目实际情况。</w:t>
            </w:r>
          </w:p>
          <w:p>
            <w:pPr>
              <w:widowControl w:val="0"/>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对上述3项评审内容进行打分，每项评审内容完全满足（1）－（3）项评审标准的得3分，满足2项的得2分，满足1项的得1分，其他情况不得分。满分9分。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811" w:type="dxa"/>
            <w:vMerge w:val="continue"/>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843" w:type="dxa"/>
            <w:vAlign w:val="center"/>
          </w:tcPr>
          <w:p>
            <w:pPr>
              <w:widowControl w:val="0"/>
              <w:bidi w:val="0"/>
              <w:spacing w:line="320" w:lineRule="exact"/>
              <w:ind w:firstLine="0" w:firstLineChars="0"/>
              <w:jc w:val="center"/>
              <w:rPr>
                <w:rFonts w:hint="default"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kern w:val="2"/>
                <w:sz w:val="21"/>
                <w:szCs w:val="21"/>
                <w:highlight w:val="none"/>
                <w:lang w:val="en-US" w:eastAsia="zh-CN" w:bidi="ar-SA"/>
              </w:rPr>
              <w:t>人员培训方案</w:t>
            </w:r>
          </w:p>
        </w:tc>
        <w:tc>
          <w:tcPr>
            <w:tcW w:w="707" w:type="dxa"/>
            <w:vAlign w:val="center"/>
          </w:tcPr>
          <w:p>
            <w:pPr>
              <w:widowControl w:val="0"/>
              <w:bidi w:val="0"/>
              <w:spacing w:line="320" w:lineRule="exact"/>
              <w:ind w:firstLine="0" w:firstLineChars="0"/>
              <w:jc w:val="center"/>
              <w:rPr>
                <w:rFonts w:hint="default" w:ascii="宋体" w:hAnsi="宋体" w:eastAsia="宋体" w:cs="宋体"/>
                <w:bCs w:val="0"/>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val="en-US" w:eastAsia="zh-CN" w:bidi="ar-SA"/>
              </w:rPr>
              <w:t>6</w:t>
            </w:r>
          </w:p>
        </w:tc>
        <w:tc>
          <w:tcPr>
            <w:tcW w:w="663" w:type="dxa"/>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eastAsia" w:ascii="Times New Roman" w:hAnsi="Times New Roman" w:eastAsia="宋体" w:cs="Times New Roman"/>
                <w:color w:val="auto"/>
                <w:sz w:val="21"/>
                <w:szCs w:val="21"/>
                <w:highlight w:val="none"/>
                <w:lang w:val="en-US" w:eastAsia="zh-CN"/>
              </w:rPr>
            </w:pPr>
            <w:bookmarkStart w:id="615" w:name="OLE_LINK37"/>
            <w:r>
              <w:rPr>
                <w:rFonts w:hint="eastAsia" w:ascii="Times New Roman" w:hAnsi="Times New Roman" w:eastAsia="宋体" w:cs="Times New Roman"/>
                <w:color w:val="auto"/>
                <w:sz w:val="21"/>
                <w:szCs w:val="21"/>
                <w:highlight w:val="none"/>
                <w:lang w:val="en-US" w:eastAsia="zh-CN"/>
              </w:rPr>
              <w:t>主观分</w:t>
            </w:r>
            <w:bookmarkEnd w:id="615"/>
          </w:p>
        </w:tc>
        <w:tc>
          <w:tcPr>
            <w:tcW w:w="6540" w:type="dxa"/>
            <w:gridSpan w:val="2"/>
            <w:vAlign w:val="center"/>
          </w:tcPr>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bookmarkStart w:id="616" w:name="OLE_LINK36"/>
            <w:r>
              <w:rPr>
                <w:rFonts w:hint="eastAsia" w:ascii="宋体" w:hAnsi="宋体" w:eastAsia="宋体" w:cs="宋体"/>
                <w:bCs/>
                <w:color w:val="auto"/>
                <w:kern w:val="0"/>
                <w:sz w:val="21"/>
                <w:szCs w:val="21"/>
                <w:highlight w:val="none"/>
                <w:lang w:val="en-US" w:eastAsia="zh-CN" w:bidi="ar-SA"/>
              </w:rPr>
              <w:t>根据投标人编制的人员培训方案进行评审，主要从以下方面：</w:t>
            </w:r>
            <w:r>
              <w:rPr>
                <w:rFonts w:hint="eastAsia" w:ascii="宋体" w:hAnsi="宋体" w:eastAsia="宋体" w:cs="宋体"/>
                <w:bCs/>
                <w:color w:val="auto"/>
                <w:kern w:val="0"/>
                <w:sz w:val="21"/>
                <w:szCs w:val="21"/>
                <w:highlight w:val="none"/>
                <w:lang w:val="en-US" w:eastAsia="zh-CN" w:bidi="ar-SA"/>
              </w:rPr>
              <w:br w:type="textWrapping"/>
            </w:r>
            <w:r>
              <w:rPr>
                <w:rFonts w:hint="eastAsia" w:ascii="宋体" w:hAnsi="宋体" w:eastAsia="宋体" w:cs="宋体"/>
                <w:bCs/>
                <w:color w:val="auto"/>
                <w:kern w:val="0"/>
                <w:sz w:val="21"/>
                <w:szCs w:val="21"/>
                <w:highlight w:val="none"/>
                <w:lang w:val="en-US" w:eastAsia="zh-CN" w:bidi="ar-SA"/>
              </w:rPr>
              <w:t>一、评审内容：</w:t>
            </w:r>
            <w:r>
              <w:rPr>
                <w:rFonts w:hint="eastAsia" w:ascii="宋体" w:hAnsi="宋体" w:eastAsia="宋体" w:cs="宋体"/>
                <w:bCs/>
                <w:color w:val="auto"/>
                <w:kern w:val="0"/>
                <w:sz w:val="21"/>
                <w:szCs w:val="21"/>
                <w:highlight w:val="none"/>
                <w:lang w:val="en-US" w:eastAsia="zh-CN" w:bidi="ar-SA"/>
              </w:rPr>
              <w:br w:type="textWrapping"/>
            </w:r>
            <w:r>
              <w:rPr>
                <w:rFonts w:hint="eastAsia" w:ascii="宋体" w:hAnsi="宋体" w:eastAsia="宋体" w:cs="宋体"/>
                <w:bCs/>
                <w:color w:val="auto"/>
                <w:kern w:val="0"/>
                <w:sz w:val="21"/>
                <w:szCs w:val="21"/>
                <w:highlight w:val="none"/>
                <w:lang w:val="en-US" w:eastAsia="zh-CN" w:bidi="ar-SA"/>
              </w:rPr>
              <w:t>1、培训计划；</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2、培训人员配置；</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3、培训考核方案。</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二、评审考核标准：</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（1）科学性：切合采购人及本项目实际情况，叙述清楚、符合本项目客观实际；</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（2）合理性：方案合理、恰当，遵循客观规律，满足本项目客观实际，符合法律法规要求；</w:t>
            </w:r>
          </w:p>
          <w:p>
            <w:pPr>
              <w:widowControl w:val="0"/>
              <w:numPr>
                <w:ilvl w:val="-1"/>
                <w:numId w:val="0"/>
              </w:numPr>
              <w:bidi w:val="0"/>
              <w:spacing w:line="320" w:lineRule="exact"/>
              <w:ind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（3）针对性：方案必须契合本项目实际情况。</w:t>
            </w:r>
          </w:p>
          <w:p>
            <w:pPr>
              <w:widowControl w:val="0"/>
              <w:bidi w:val="0"/>
              <w:spacing w:line="320" w:lineRule="exact"/>
              <w:ind w:firstLine="0" w:firstLineChars="0"/>
              <w:jc w:val="left"/>
              <w:rPr>
                <w:rFonts w:hint="eastAsia" w:ascii="宋体" w:hAnsi="宋体" w:eastAsia="宋体" w:cs="宋体"/>
                <w:bCs w:val="0"/>
                <w:color w:val="auto"/>
                <w:kern w:val="2"/>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对上述3项评审内容进行打分，每项评审内容完全满足（1）－（3）项评审标准的得2分，满足2项的得1分，满足1项的得0.5分，其他情况不得分。满分6分。</w:t>
            </w:r>
            <w:bookmarkEnd w:id="6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54" w:type="dxa"/>
            <w:gridSpan w:val="2"/>
            <w:vAlign w:val="center"/>
          </w:tcPr>
          <w:p>
            <w:pPr>
              <w:keepNext w:val="0"/>
              <w:keepLines w:val="0"/>
              <w:pageBreakBefore w:val="0"/>
              <w:widowControl w:val="0"/>
              <w:shd w:val="clear"/>
              <w:kinsoku/>
              <w:wordWrap/>
              <w:overflowPunct/>
              <w:topLinePunct w:val="0"/>
              <w:autoSpaceDE/>
              <w:autoSpaceDN/>
              <w:bidi w:val="0"/>
              <w:spacing w:line="300" w:lineRule="auto"/>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总分</w:t>
            </w:r>
          </w:p>
        </w:tc>
        <w:tc>
          <w:tcPr>
            <w:tcW w:w="1375" w:type="dxa"/>
            <w:gridSpan w:val="3"/>
            <w:vAlign w:val="center"/>
          </w:tcPr>
          <w:p>
            <w:pPr>
              <w:keepNext w:val="0"/>
              <w:keepLines w:val="0"/>
              <w:pageBreakBefore w:val="0"/>
              <w:widowControl w:val="0"/>
              <w:shd w:val="clear"/>
              <w:kinsoku/>
              <w:wordWrap/>
              <w:overflowPunct/>
              <w:topLinePunct w:val="0"/>
              <w:autoSpaceDE/>
              <w:autoSpaceDN/>
              <w:bidi w:val="0"/>
              <w:spacing w:line="30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100</w:t>
            </w:r>
          </w:p>
        </w:tc>
        <w:tc>
          <w:tcPr>
            <w:tcW w:w="6535" w:type="dxa"/>
            <w:vAlign w:val="center"/>
          </w:tcPr>
          <w:p>
            <w:pPr>
              <w:keepNext w:val="0"/>
              <w:keepLines w:val="0"/>
              <w:pageBreakBefore w:val="0"/>
              <w:widowControl w:val="0"/>
              <w:shd w:val="clear"/>
              <w:kinsoku/>
              <w:wordWrap/>
              <w:overflowPunct/>
              <w:topLinePunct w:val="0"/>
              <w:autoSpaceDE/>
              <w:autoSpaceDN/>
              <w:bidi w:val="0"/>
              <w:spacing w:line="300" w:lineRule="auto"/>
              <w:textAlignment w:val="auto"/>
              <w:rPr>
                <w:rFonts w:hint="eastAsia" w:ascii="Times New Roman" w:hAnsi="Times New Roman" w:eastAsia="宋体" w:cs="Times New Roman"/>
                <w:color w:val="auto"/>
                <w:sz w:val="21"/>
                <w:szCs w:val="21"/>
                <w:highlight w:val="none"/>
              </w:rPr>
            </w:pPr>
          </w:p>
        </w:tc>
      </w:tr>
      <w:bookmarkEnd w:id="602"/>
    </w:tbl>
    <w:p>
      <w:pPr>
        <w:adjustRightInd w:val="0"/>
        <w:spacing w:line="360" w:lineRule="atLeast"/>
        <w:rPr>
          <w:rFonts w:ascii="宋体" w:hAnsi="宋体" w:cs="宋体"/>
          <w:sz w:val="34"/>
          <w:highlight w:val="none"/>
        </w:rPr>
      </w:pPr>
    </w:p>
    <w:p>
      <w:pPr>
        <w:rPr>
          <w:rFonts w:ascii="宋体" w:hAnsi="宋体" w:cs="宋体"/>
          <w:highlight w:val="none"/>
        </w:rPr>
      </w:pPr>
      <w:r>
        <w:rPr>
          <w:rFonts w:hint="eastAsia" w:ascii="宋体" w:hAnsi="宋体" w:cs="宋体"/>
          <w:highlight w:val="none"/>
        </w:rPr>
        <w:br w:type="page"/>
      </w:r>
    </w:p>
    <w:p>
      <w:pPr>
        <w:pStyle w:val="4"/>
        <w:numPr>
          <w:ilvl w:val="0"/>
          <w:numId w:val="3"/>
        </w:numPr>
        <w:spacing w:before="120" w:beforeLines="50" w:after="120" w:afterLines="50" w:line="300" w:lineRule="auto"/>
        <w:rPr>
          <w:rFonts w:hAnsi="宋体" w:cs="宋体"/>
          <w:sz w:val="32"/>
          <w:szCs w:val="32"/>
          <w:highlight w:val="none"/>
        </w:rPr>
      </w:pPr>
      <w:bookmarkStart w:id="617" w:name="_Toc280346851"/>
      <w:bookmarkEnd w:id="617"/>
      <w:bookmarkStart w:id="618" w:name="_Toc280275329"/>
      <w:bookmarkEnd w:id="618"/>
      <w:bookmarkStart w:id="619" w:name="_Toc280346141"/>
      <w:bookmarkEnd w:id="619"/>
      <w:bookmarkStart w:id="620" w:name="_Toc280275021"/>
      <w:bookmarkEnd w:id="620"/>
      <w:bookmarkStart w:id="621" w:name="_Toc280274946"/>
      <w:bookmarkEnd w:id="621"/>
      <w:bookmarkStart w:id="622" w:name="_Toc280274568"/>
      <w:bookmarkEnd w:id="622"/>
      <w:bookmarkStart w:id="623" w:name="_Toc280274725"/>
      <w:bookmarkEnd w:id="623"/>
      <w:bookmarkStart w:id="624" w:name="_Toc280274748"/>
      <w:bookmarkEnd w:id="624"/>
      <w:bookmarkStart w:id="625" w:name="_Toc280346564"/>
      <w:bookmarkEnd w:id="625"/>
      <w:bookmarkStart w:id="626" w:name="_Toc280274460"/>
      <w:bookmarkEnd w:id="626"/>
      <w:bookmarkStart w:id="627" w:name="_Toc280346914"/>
      <w:bookmarkEnd w:id="627"/>
      <w:bookmarkStart w:id="628" w:name="_Toc280275102"/>
      <w:bookmarkEnd w:id="628"/>
      <w:bookmarkStart w:id="629" w:name="_Toc280274210"/>
      <w:bookmarkEnd w:id="629"/>
      <w:bookmarkStart w:id="630" w:name="_Toc280274964"/>
      <w:bookmarkEnd w:id="630"/>
      <w:bookmarkStart w:id="631" w:name="_Toc280274554"/>
      <w:bookmarkEnd w:id="631"/>
      <w:bookmarkStart w:id="632" w:name="_Toc280274689"/>
      <w:bookmarkEnd w:id="632"/>
      <w:bookmarkStart w:id="633" w:name="_Toc280346557"/>
      <w:bookmarkEnd w:id="633"/>
      <w:bookmarkStart w:id="634" w:name="_Toc280274611"/>
      <w:bookmarkEnd w:id="634"/>
      <w:bookmarkStart w:id="635" w:name="_Toc280274858"/>
      <w:bookmarkEnd w:id="635"/>
      <w:bookmarkStart w:id="636" w:name="_Toc280274292"/>
      <w:bookmarkEnd w:id="636"/>
      <w:bookmarkStart w:id="637" w:name="_Toc280274909"/>
      <w:bookmarkEnd w:id="637"/>
      <w:bookmarkStart w:id="638" w:name="_Toc280274349"/>
      <w:bookmarkEnd w:id="638"/>
      <w:bookmarkStart w:id="639" w:name="_Toc280347228"/>
      <w:bookmarkEnd w:id="639"/>
      <w:bookmarkStart w:id="640" w:name="_Toc280346732"/>
      <w:bookmarkEnd w:id="640"/>
      <w:bookmarkStart w:id="641" w:name="_Toc280347247"/>
      <w:bookmarkEnd w:id="641"/>
      <w:bookmarkStart w:id="642" w:name="_Toc280274373"/>
      <w:bookmarkEnd w:id="642"/>
      <w:bookmarkStart w:id="643" w:name="_Toc280346485"/>
      <w:bookmarkEnd w:id="643"/>
      <w:bookmarkStart w:id="644" w:name="_Toc280275311"/>
      <w:bookmarkEnd w:id="644"/>
      <w:bookmarkStart w:id="645" w:name="_Toc280274649"/>
      <w:bookmarkEnd w:id="645"/>
      <w:bookmarkStart w:id="646" w:name="_Toc280274586"/>
      <w:bookmarkEnd w:id="646"/>
      <w:bookmarkStart w:id="647" w:name="_Toc280274641"/>
      <w:bookmarkEnd w:id="647"/>
      <w:bookmarkStart w:id="648" w:name="_Toc280275114"/>
      <w:bookmarkEnd w:id="648"/>
      <w:bookmarkStart w:id="649" w:name="_Toc280347267"/>
      <w:bookmarkEnd w:id="649"/>
      <w:bookmarkStart w:id="650" w:name="_Toc280346091"/>
      <w:bookmarkEnd w:id="650"/>
      <w:bookmarkStart w:id="651" w:name="_Toc280275216"/>
      <w:bookmarkEnd w:id="651"/>
      <w:bookmarkStart w:id="652" w:name="_Toc280275053"/>
      <w:bookmarkEnd w:id="652"/>
      <w:bookmarkStart w:id="653" w:name="_Toc280274776"/>
      <w:bookmarkEnd w:id="653"/>
      <w:bookmarkStart w:id="654" w:name="_Toc280346867"/>
      <w:bookmarkEnd w:id="654"/>
      <w:bookmarkStart w:id="655" w:name="_Toc280274958"/>
      <w:bookmarkEnd w:id="655"/>
      <w:bookmarkStart w:id="656" w:name="_Toc280347321"/>
      <w:bookmarkEnd w:id="656"/>
      <w:bookmarkStart w:id="657" w:name="_Toc280346757"/>
      <w:bookmarkEnd w:id="657"/>
      <w:bookmarkStart w:id="658" w:name="_Toc280347198"/>
      <w:bookmarkEnd w:id="658"/>
      <w:bookmarkStart w:id="659" w:name="_Toc280275386"/>
      <w:bookmarkEnd w:id="659"/>
      <w:bookmarkStart w:id="660" w:name="_Toc280347328"/>
      <w:bookmarkEnd w:id="660"/>
      <w:bookmarkStart w:id="661" w:name="_Toc280274552"/>
      <w:bookmarkEnd w:id="661"/>
      <w:bookmarkStart w:id="662" w:name="_Toc280275283"/>
      <w:bookmarkEnd w:id="662"/>
      <w:bookmarkStart w:id="663" w:name="_Toc280274304"/>
      <w:bookmarkEnd w:id="663"/>
      <w:bookmarkStart w:id="664" w:name="_Toc280346333"/>
      <w:bookmarkEnd w:id="664"/>
      <w:bookmarkStart w:id="665" w:name="_Toc280275277"/>
      <w:bookmarkEnd w:id="665"/>
      <w:bookmarkStart w:id="666" w:name="_Toc280346908"/>
      <w:bookmarkEnd w:id="666"/>
      <w:bookmarkStart w:id="667" w:name="_Toc280346796"/>
      <w:bookmarkEnd w:id="667"/>
      <w:bookmarkStart w:id="668" w:name="_Toc280347103"/>
      <w:bookmarkEnd w:id="668"/>
      <w:bookmarkStart w:id="669" w:name="_Toc280275398"/>
      <w:bookmarkEnd w:id="669"/>
      <w:bookmarkStart w:id="670" w:name="_Toc280346783"/>
      <w:bookmarkEnd w:id="670"/>
      <w:bookmarkStart w:id="671" w:name="_Toc280346927"/>
      <w:bookmarkEnd w:id="671"/>
      <w:bookmarkStart w:id="672" w:name="_Toc280346594"/>
      <w:bookmarkEnd w:id="672"/>
      <w:bookmarkStart w:id="673" w:name="_Toc280347140"/>
      <w:bookmarkEnd w:id="673"/>
      <w:bookmarkStart w:id="674" w:name="_Toc280274385"/>
      <w:bookmarkEnd w:id="674"/>
      <w:bookmarkStart w:id="675" w:name="_Toc280275127"/>
      <w:bookmarkEnd w:id="675"/>
      <w:bookmarkStart w:id="676" w:name="_Toc280274234"/>
      <w:bookmarkEnd w:id="676"/>
      <w:bookmarkStart w:id="677" w:name="_Toc280274934"/>
      <w:bookmarkEnd w:id="677"/>
      <w:bookmarkStart w:id="678" w:name="_Toc280274434"/>
      <w:bookmarkEnd w:id="678"/>
      <w:bookmarkStart w:id="679" w:name="_Toc280346377"/>
      <w:bookmarkEnd w:id="679"/>
      <w:bookmarkStart w:id="680" w:name="_Toc280346656"/>
      <w:bookmarkEnd w:id="680"/>
      <w:bookmarkStart w:id="681" w:name="_Toc280274732"/>
      <w:bookmarkEnd w:id="681"/>
      <w:bookmarkStart w:id="682" w:name="_Toc280275422"/>
      <w:bookmarkEnd w:id="682"/>
      <w:bookmarkStart w:id="683" w:name="_Toc280346440"/>
      <w:bookmarkEnd w:id="683"/>
      <w:bookmarkStart w:id="684" w:name="_Toc280346833"/>
      <w:bookmarkEnd w:id="684"/>
      <w:bookmarkStart w:id="685" w:name="_Toc280275090"/>
      <w:bookmarkEnd w:id="685"/>
      <w:bookmarkStart w:id="686" w:name="_Toc280275265"/>
      <w:bookmarkEnd w:id="686"/>
      <w:bookmarkStart w:id="687" w:name="_Toc280274755"/>
      <w:bookmarkEnd w:id="687"/>
      <w:bookmarkStart w:id="688" w:name="_Toc280274598"/>
      <w:bookmarkEnd w:id="688"/>
      <w:bookmarkStart w:id="689" w:name="_Toc280274361"/>
      <w:bookmarkEnd w:id="689"/>
      <w:bookmarkStart w:id="690" w:name="_Toc280346290"/>
      <w:bookmarkEnd w:id="690"/>
      <w:bookmarkStart w:id="691" w:name="_Toc280346179"/>
      <w:bookmarkEnd w:id="691"/>
      <w:bookmarkStart w:id="692" w:name="_Toc280275428"/>
      <w:bookmarkEnd w:id="692"/>
      <w:bookmarkStart w:id="693" w:name="_Toc280347279"/>
      <w:bookmarkEnd w:id="693"/>
      <w:bookmarkStart w:id="694" w:name="_Toc280346971"/>
      <w:bookmarkEnd w:id="694"/>
      <w:bookmarkStart w:id="695" w:name="_Toc280346461"/>
      <w:bookmarkEnd w:id="695"/>
      <w:bookmarkStart w:id="696" w:name="_Toc280274617"/>
      <w:bookmarkEnd w:id="696"/>
      <w:bookmarkStart w:id="697" w:name="_Toc280274695"/>
      <w:bookmarkEnd w:id="697"/>
      <w:bookmarkStart w:id="698" w:name="_Toc280346802"/>
      <w:bookmarkEnd w:id="698"/>
      <w:bookmarkStart w:id="699" w:name="_Toc280274839"/>
      <w:bookmarkEnd w:id="699"/>
      <w:bookmarkStart w:id="700" w:name="_Toc280347327"/>
      <w:bookmarkEnd w:id="700"/>
      <w:bookmarkStart w:id="701" w:name="_Toc280274580"/>
      <w:bookmarkEnd w:id="701"/>
      <w:bookmarkStart w:id="702" w:name="_Toc280274509"/>
      <w:bookmarkEnd w:id="702"/>
      <w:bookmarkStart w:id="703" w:name="_Toc280274801"/>
      <w:bookmarkEnd w:id="703"/>
      <w:bookmarkStart w:id="704" w:name="_Toc280347091"/>
      <w:bookmarkEnd w:id="704"/>
      <w:bookmarkStart w:id="705" w:name="_Toc280346204"/>
      <w:bookmarkEnd w:id="705"/>
      <w:bookmarkStart w:id="706" w:name="_Toc280346439"/>
      <w:bookmarkEnd w:id="706"/>
      <w:bookmarkStart w:id="707" w:name="_Toc280274734"/>
      <w:bookmarkEnd w:id="707"/>
      <w:bookmarkStart w:id="708" w:name="_Toc280274446"/>
      <w:bookmarkEnd w:id="708"/>
      <w:bookmarkStart w:id="709" w:name="_Toc280346234"/>
      <w:bookmarkEnd w:id="709"/>
      <w:bookmarkStart w:id="710" w:name="_Toc280346696"/>
      <w:bookmarkEnd w:id="710"/>
      <w:bookmarkStart w:id="711" w:name="_Toc280346079"/>
      <w:bookmarkEnd w:id="711"/>
      <w:bookmarkStart w:id="712" w:name="_Toc280347071"/>
      <w:bookmarkEnd w:id="712"/>
      <w:bookmarkStart w:id="713" w:name="_Toc280346534"/>
      <w:bookmarkEnd w:id="713"/>
      <w:bookmarkStart w:id="714" w:name="_Toc280274713"/>
      <w:bookmarkEnd w:id="714"/>
      <w:bookmarkStart w:id="715" w:name="_Toc280346920"/>
      <w:bookmarkEnd w:id="715"/>
      <w:bookmarkStart w:id="716" w:name="_Toc280346538"/>
      <w:bookmarkEnd w:id="716"/>
      <w:bookmarkStart w:id="717" w:name="_Toc280275434"/>
      <w:bookmarkEnd w:id="717"/>
      <w:bookmarkStart w:id="718" w:name="_Toc280274348"/>
      <w:bookmarkEnd w:id="718"/>
      <w:bookmarkStart w:id="719" w:name="_Toc280346235"/>
      <w:bookmarkEnd w:id="719"/>
      <w:bookmarkStart w:id="720" w:name="_Toc280346402"/>
      <w:bookmarkEnd w:id="720"/>
      <w:bookmarkStart w:id="721" w:name="_Toc280274670"/>
      <w:bookmarkEnd w:id="721"/>
      <w:bookmarkStart w:id="722" w:name="_Toc280275305"/>
      <w:bookmarkEnd w:id="722"/>
      <w:bookmarkStart w:id="723" w:name="_Toc280346432"/>
      <w:bookmarkEnd w:id="723"/>
      <w:bookmarkStart w:id="724" w:name="_Toc280346284"/>
      <w:bookmarkEnd w:id="724"/>
      <w:bookmarkStart w:id="725" w:name="_Toc280346216"/>
      <w:bookmarkEnd w:id="725"/>
      <w:bookmarkStart w:id="726" w:name="_Toc280274192"/>
      <w:bookmarkEnd w:id="726"/>
      <w:bookmarkStart w:id="727" w:name="_Toc280346940"/>
      <w:bookmarkEnd w:id="727"/>
      <w:bookmarkStart w:id="728" w:name="_Toc280274827"/>
      <w:bookmarkEnd w:id="728"/>
      <w:bookmarkStart w:id="729" w:name="_Toc280346303"/>
      <w:bookmarkEnd w:id="729"/>
      <w:bookmarkStart w:id="730" w:name="_Toc280274719"/>
      <w:bookmarkEnd w:id="730"/>
      <w:bookmarkStart w:id="731" w:name="_Toc280347051"/>
      <w:bookmarkEnd w:id="731"/>
      <w:bookmarkStart w:id="732" w:name="_Toc280346808"/>
      <w:bookmarkEnd w:id="732"/>
      <w:bookmarkStart w:id="733" w:name="_Toc280274466"/>
      <w:bookmarkEnd w:id="733"/>
      <w:bookmarkStart w:id="734" w:name="_Toc280347007"/>
      <w:bookmarkEnd w:id="734"/>
      <w:bookmarkStart w:id="735" w:name="_Toc280274987"/>
      <w:bookmarkEnd w:id="735"/>
      <w:bookmarkStart w:id="736" w:name="_Toc280275143"/>
      <w:bookmarkEnd w:id="736"/>
      <w:bookmarkStart w:id="737" w:name="_Toc280346254"/>
      <w:bookmarkEnd w:id="737"/>
      <w:bookmarkStart w:id="738" w:name="_Toc280275204"/>
      <w:bookmarkEnd w:id="738"/>
      <w:bookmarkStart w:id="739" w:name="_Toc280274629"/>
      <w:bookmarkEnd w:id="739"/>
      <w:bookmarkStart w:id="740" w:name="_Toc280346537"/>
      <w:bookmarkEnd w:id="740"/>
      <w:bookmarkStart w:id="741" w:name="_Toc280275271"/>
      <w:bookmarkEnd w:id="741"/>
      <w:bookmarkStart w:id="742" w:name="_Toc280275041"/>
      <w:bookmarkEnd w:id="742"/>
      <w:bookmarkStart w:id="743" w:name="_Toc280346479"/>
      <w:bookmarkEnd w:id="743"/>
      <w:bookmarkStart w:id="744" w:name="_Toc280346173"/>
      <w:bookmarkEnd w:id="744"/>
      <w:bookmarkStart w:id="745" w:name="_Toc280275196"/>
      <w:bookmarkEnd w:id="745"/>
      <w:bookmarkStart w:id="746" w:name="_Toc280347210"/>
      <w:bookmarkEnd w:id="746"/>
      <w:bookmarkStart w:id="747" w:name="_Toc280346814"/>
      <w:bookmarkEnd w:id="747"/>
      <w:bookmarkStart w:id="748" w:name="_Toc280275441"/>
      <w:bookmarkEnd w:id="748"/>
      <w:bookmarkStart w:id="749" w:name="_Toc280274921"/>
      <w:bookmarkEnd w:id="749"/>
      <w:bookmarkStart w:id="750" w:name="_Toc280347309"/>
      <w:bookmarkEnd w:id="750"/>
      <w:bookmarkStart w:id="751" w:name="_Toc280346635"/>
      <w:bookmarkEnd w:id="751"/>
      <w:bookmarkStart w:id="752" w:name="_Toc280346881"/>
      <w:bookmarkEnd w:id="752"/>
      <w:bookmarkStart w:id="753" w:name="_Toc280274795"/>
      <w:bookmarkEnd w:id="753"/>
      <w:bookmarkStart w:id="754" w:name="_Toc280346143"/>
      <w:bookmarkEnd w:id="754"/>
      <w:bookmarkStart w:id="755" w:name="_Toc280274478"/>
      <w:bookmarkEnd w:id="755"/>
      <w:bookmarkStart w:id="756" w:name="_Toc280275001"/>
      <w:bookmarkEnd w:id="756"/>
      <w:bookmarkStart w:id="757" w:name="_Toc280275008"/>
      <w:bookmarkEnd w:id="757"/>
      <w:bookmarkStart w:id="758" w:name="_Toc280347216"/>
      <w:bookmarkEnd w:id="758"/>
      <w:bookmarkStart w:id="759" w:name="_Toc280346167"/>
      <w:bookmarkEnd w:id="759"/>
      <w:bookmarkStart w:id="760" w:name="_Toc280346852"/>
      <w:bookmarkEnd w:id="760"/>
      <w:bookmarkStart w:id="761" w:name="_Toc280274651"/>
      <w:bookmarkEnd w:id="761"/>
      <w:bookmarkStart w:id="762" w:name="_Toc280275190"/>
      <w:bookmarkEnd w:id="762"/>
      <w:bookmarkStart w:id="763" w:name="_Toc280346606"/>
      <w:bookmarkEnd w:id="763"/>
      <w:bookmarkStart w:id="764" w:name="_Toc280346248"/>
      <w:bookmarkEnd w:id="764"/>
      <w:bookmarkStart w:id="765" w:name="_Toc280346191"/>
      <w:bookmarkEnd w:id="765"/>
      <w:bookmarkStart w:id="766" w:name="_Toc280275341"/>
      <w:bookmarkEnd w:id="766"/>
      <w:bookmarkStart w:id="767" w:name="_Toc280346536"/>
      <w:bookmarkEnd w:id="767"/>
      <w:bookmarkStart w:id="768" w:name="_Toc280274707"/>
      <w:bookmarkEnd w:id="768"/>
      <w:bookmarkStart w:id="769" w:name="_Toc280347014"/>
      <w:bookmarkEnd w:id="769"/>
      <w:bookmarkStart w:id="770" w:name="_Toc280347152"/>
      <w:bookmarkEnd w:id="770"/>
      <w:bookmarkStart w:id="771" w:name="_Toc280275065"/>
      <w:bookmarkEnd w:id="771"/>
      <w:bookmarkStart w:id="772" w:name="_Toc280275361"/>
      <w:bookmarkEnd w:id="772"/>
      <w:bookmarkStart w:id="773" w:name="_Toc280274994"/>
      <w:bookmarkEnd w:id="773"/>
      <w:bookmarkStart w:id="774" w:name="_Toc280346121"/>
      <w:bookmarkEnd w:id="774"/>
      <w:bookmarkStart w:id="775" w:name="_Toc280346140"/>
      <w:bookmarkEnd w:id="775"/>
      <w:bookmarkStart w:id="776" w:name="_Toc280346535"/>
      <w:bookmarkEnd w:id="776"/>
      <w:bookmarkStart w:id="777" w:name="_Toc280346278"/>
      <w:bookmarkEnd w:id="777"/>
      <w:bookmarkStart w:id="778" w:name="_Toc280346676"/>
      <w:bookmarkEnd w:id="778"/>
      <w:bookmarkStart w:id="779" w:name="_Toc280346619"/>
      <w:bookmarkEnd w:id="779"/>
      <w:bookmarkStart w:id="780" w:name="_Toc280274367"/>
      <w:bookmarkEnd w:id="780"/>
      <w:bookmarkStart w:id="781" w:name="_Toc280274683"/>
      <w:bookmarkEnd w:id="781"/>
      <w:bookmarkStart w:id="782" w:name="_Toc280275084"/>
      <w:bookmarkEnd w:id="782"/>
      <w:bookmarkStart w:id="783" w:name="_Toc280347115"/>
      <w:bookmarkEnd w:id="783"/>
      <w:bookmarkStart w:id="784" w:name="_Toc280346426"/>
      <w:bookmarkEnd w:id="784"/>
      <w:bookmarkStart w:id="785" w:name="_Toc280346492"/>
      <w:bookmarkEnd w:id="785"/>
      <w:bookmarkStart w:id="786" w:name="_Toc280346888"/>
      <w:bookmarkEnd w:id="786"/>
      <w:bookmarkStart w:id="787" w:name="_Toc280346845"/>
      <w:bookmarkEnd w:id="787"/>
      <w:bookmarkStart w:id="788" w:name="_Toc280347315"/>
      <w:bookmarkEnd w:id="788"/>
      <w:bookmarkStart w:id="789" w:name="_Toc280346570"/>
      <w:bookmarkEnd w:id="789"/>
      <w:bookmarkStart w:id="790" w:name="_Toc280275171"/>
      <w:bookmarkEnd w:id="790"/>
      <w:bookmarkStart w:id="791" w:name="_Toc280274253"/>
      <w:bookmarkEnd w:id="791"/>
      <w:bookmarkStart w:id="792" w:name="_Toc280347164"/>
      <w:bookmarkEnd w:id="792"/>
      <w:bookmarkStart w:id="793" w:name="_Toc280347127"/>
      <w:bookmarkEnd w:id="793"/>
      <w:bookmarkStart w:id="794" w:name="_Toc280346266"/>
      <w:bookmarkEnd w:id="794"/>
      <w:bookmarkStart w:id="795" w:name="_Toc280346396"/>
      <w:bookmarkEnd w:id="795"/>
      <w:bookmarkStart w:id="796" w:name="_Toc280346694"/>
      <w:bookmarkEnd w:id="796"/>
      <w:bookmarkStart w:id="797" w:name="_Toc280347090"/>
      <w:bookmarkEnd w:id="797"/>
      <w:bookmarkStart w:id="798" w:name="_Toc280274789"/>
      <w:bookmarkEnd w:id="798"/>
      <w:bookmarkStart w:id="799" w:name="_Toc280275440"/>
      <w:bookmarkEnd w:id="799"/>
      <w:bookmarkStart w:id="800" w:name="_Toc280346688"/>
      <w:bookmarkEnd w:id="800"/>
      <w:bookmarkStart w:id="801" w:name="_Toc280275059"/>
      <w:bookmarkEnd w:id="801"/>
      <w:bookmarkStart w:id="802" w:name="_Toc280347134"/>
      <w:bookmarkEnd w:id="802"/>
      <w:bookmarkStart w:id="803" w:name="_Toc280274896"/>
      <w:bookmarkEnd w:id="803"/>
      <w:bookmarkStart w:id="804" w:name="_Toc280347246"/>
      <w:bookmarkEnd w:id="804"/>
      <w:bookmarkStart w:id="805" w:name="_Toc280346763"/>
      <w:bookmarkEnd w:id="805"/>
      <w:bookmarkStart w:id="806" w:name="_Toc280347234"/>
      <w:bookmarkEnd w:id="806"/>
      <w:bookmarkStart w:id="807" w:name="_Toc280346714"/>
      <w:bookmarkEnd w:id="807"/>
      <w:bookmarkStart w:id="808" w:name="_Toc280274204"/>
      <w:bookmarkEnd w:id="808"/>
      <w:bookmarkStart w:id="809" w:name="_Toc280275164"/>
      <w:bookmarkEnd w:id="809"/>
      <w:bookmarkStart w:id="810" w:name="_Toc280275033"/>
      <w:bookmarkEnd w:id="810"/>
      <w:bookmarkStart w:id="811" w:name="_Toc280275039"/>
      <w:bookmarkEnd w:id="811"/>
      <w:bookmarkStart w:id="812" w:name="_Toc280346745"/>
      <w:bookmarkEnd w:id="812"/>
      <w:bookmarkStart w:id="813" w:name="_Toc280346228"/>
      <w:bookmarkEnd w:id="813"/>
      <w:bookmarkStart w:id="814" w:name="_Toc280347178"/>
      <w:bookmarkEnd w:id="814"/>
      <w:bookmarkStart w:id="815" w:name="_Toc280274876"/>
      <w:bookmarkEnd w:id="815"/>
      <w:bookmarkStart w:id="816" w:name="_Toc280346946"/>
      <w:bookmarkEnd w:id="816"/>
      <w:bookmarkStart w:id="817" w:name="_Toc280347083"/>
      <w:bookmarkEnd w:id="817"/>
      <w:bookmarkStart w:id="818" w:name="_Toc280274286"/>
      <w:bookmarkEnd w:id="818"/>
      <w:bookmarkStart w:id="819" w:name="_Toc280346620"/>
      <w:bookmarkEnd w:id="819"/>
      <w:bookmarkStart w:id="820" w:name="_Toc280274545"/>
      <w:bookmarkEnd w:id="820"/>
      <w:bookmarkStart w:id="821" w:name="_Toc280346952"/>
      <w:bookmarkEnd w:id="821"/>
      <w:bookmarkStart w:id="822" w:name="_Toc280346473"/>
      <w:bookmarkEnd w:id="822"/>
      <w:bookmarkStart w:id="823" w:name="_Toc280274397"/>
      <w:bookmarkEnd w:id="823"/>
      <w:bookmarkStart w:id="824" w:name="_Toc280275203"/>
      <w:bookmarkEnd w:id="824"/>
      <w:bookmarkStart w:id="825" w:name="_Toc280274664"/>
      <w:bookmarkEnd w:id="825"/>
      <w:bookmarkStart w:id="826" w:name="_Toc280346839"/>
      <w:bookmarkEnd w:id="826"/>
      <w:bookmarkStart w:id="827" w:name="_Toc280274484"/>
      <w:bookmarkEnd w:id="827"/>
      <w:bookmarkStart w:id="828" w:name="_Toc280274527"/>
      <w:bookmarkEnd w:id="828"/>
      <w:bookmarkStart w:id="829" w:name="_Toc280346198"/>
      <w:bookmarkEnd w:id="829"/>
      <w:bookmarkStart w:id="830" w:name="_Toc280274533"/>
      <w:bookmarkEnd w:id="830"/>
      <w:bookmarkStart w:id="831" w:name="_Toc280347044"/>
      <w:bookmarkEnd w:id="831"/>
      <w:bookmarkStart w:id="832" w:name="_Toc280275359"/>
      <w:bookmarkEnd w:id="832"/>
      <w:bookmarkStart w:id="833" w:name="_Toc280346455"/>
      <w:bookmarkEnd w:id="833"/>
      <w:bookmarkStart w:id="834" w:name="_Toc280274317"/>
      <w:bookmarkEnd w:id="834"/>
      <w:bookmarkStart w:id="835" w:name="_Toc280275292"/>
      <w:bookmarkEnd w:id="835"/>
      <w:bookmarkStart w:id="836" w:name="_Toc280347077"/>
      <w:bookmarkEnd w:id="836"/>
      <w:bookmarkStart w:id="837" w:name="_Toc280274882"/>
      <w:bookmarkEnd w:id="837"/>
      <w:bookmarkStart w:id="838" w:name="_Toc280274515"/>
      <w:bookmarkEnd w:id="838"/>
      <w:bookmarkStart w:id="839" w:name="_Toc280274833"/>
      <w:bookmarkEnd w:id="839"/>
      <w:bookmarkStart w:id="840" w:name="_Toc280274428"/>
      <w:bookmarkEnd w:id="840"/>
      <w:bookmarkStart w:id="841" w:name="_Toc280346895"/>
      <w:bookmarkEnd w:id="841"/>
      <w:bookmarkStart w:id="842" w:name="_Toc280347192"/>
      <w:bookmarkEnd w:id="842"/>
      <w:bookmarkStart w:id="843" w:name="_Toc280274733"/>
      <w:bookmarkEnd w:id="843"/>
      <w:bookmarkStart w:id="844" w:name="_Toc280347240"/>
      <w:bookmarkEnd w:id="844"/>
      <w:bookmarkStart w:id="845" w:name="_Toc280346359"/>
      <w:bookmarkEnd w:id="845"/>
      <w:bookmarkStart w:id="846" w:name="_Toc280346695"/>
      <w:bookmarkEnd w:id="846"/>
      <w:bookmarkStart w:id="847" w:name="_Toc280346371"/>
      <w:bookmarkEnd w:id="847"/>
      <w:bookmarkStart w:id="848" w:name="_Toc280346582"/>
      <w:bookmarkEnd w:id="848"/>
      <w:bookmarkStart w:id="849" w:name="_Toc280274808"/>
      <w:bookmarkEnd w:id="849"/>
      <w:bookmarkStart w:id="850" w:name="_Toc280347058"/>
      <w:bookmarkEnd w:id="850"/>
      <w:bookmarkStart w:id="851" w:name="_Toc280346649"/>
      <w:bookmarkEnd w:id="851"/>
      <w:bookmarkStart w:id="852" w:name="_Toc280275108"/>
      <w:bookmarkEnd w:id="852"/>
      <w:bookmarkStart w:id="853" w:name="_Toc280274895"/>
      <w:bookmarkEnd w:id="853"/>
      <w:bookmarkStart w:id="854" w:name="_Toc280274605"/>
      <w:bookmarkEnd w:id="854"/>
      <w:bookmarkStart w:id="855" w:name="_Toc280274255"/>
      <w:bookmarkEnd w:id="855"/>
      <w:bookmarkStart w:id="856" w:name="_Toc280346720"/>
      <w:bookmarkEnd w:id="856"/>
      <w:bookmarkStart w:id="857" w:name="_Toc280275027"/>
      <w:bookmarkEnd w:id="857"/>
      <w:bookmarkStart w:id="858" w:name="_Toc280346600"/>
      <w:bookmarkEnd w:id="858"/>
      <w:bookmarkStart w:id="859" w:name="_Toc280346989"/>
      <w:bookmarkEnd w:id="859"/>
      <w:bookmarkStart w:id="860" w:name="_Toc280346551"/>
      <w:bookmarkEnd w:id="860"/>
      <w:bookmarkStart w:id="861" w:name="_Toc280274496"/>
      <w:bookmarkEnd w:id="861"/>
      <w:bookmarkStart w:id="862" w:name="_Toc280274762"/>
      <w:bookmarkEnd w:id="862"/>
      <w:bookmarkStart w:id="863" w:name="_Toc280347170"/>
      <w:bookmarkEnd w:id="863"/>
      <w:bookmarkStart w:id="864" w:name="_Toc280275120"/>
      <w:bookmarkEnd w:id="864"/>
      <w:bookmarkStart w:id="865" w:name="_Toc280274807"/>
      <w:bookmarkEnd w:id="865"/>
      <w:bookmarkStart w:id="866" w:name="_Toc280274915"/>
      <w:bookmarkEnd w:id="866"/>
      <w:bookmarkStart w:id="867" w:name="_Toc280275374"/>
      <w:bookmarkEnd w:id="867"/>
      <w:bookmarkStart w:id="868" w:name="_Toc280274391"/>
      <w:bookmarkEnd w:id="868"/>
      <w:bookmarkStart w:id="869" w:name="_Toc280274216"/>
      <w:bookmarkEnd w:id="869"/>
      <w:bookmarkStart w:id="870" w:name="_Toc280346621"/>
      <w:bookmarkEnd w:id="870"/>
      <w:bookmarkStart w:id="871" w:name="_Toc280274574"/>
      <w:bookmarkEnd w:id="871"/>
      <w:bookmarkStart w:id="872" w:name="_Toc280346576"/>
      <w:bookmarkEnd w:id="872"/>
      <w:bookmarkStart w:id="873" w:name="_Toc280274280"/>
      <w:bookmarkEnd w:id="873"/>
      <w:bookmarkStart w:id="874" w:name="_Toc280346504"/>
      <w:bookmarkEnd w:id="874"/>
      <w:bookmarkStart w:id="875" w:name="_Toc280275410"/>
      <w:bookmarkEnd w:id="875"/>
      <w:bookmarkStart w:id="876" w:name="_Toc280346642"/>
      <w:bookmarkEnd w:id="876"/>
      <w:bookmarkStart w:id="877" w:name="_Toc280346260"/>
      <w:bookmarkEnd w:id="877"/>
      <w:bookmarkStart w:id="878" w:name="_Toc280346103"/>
      <w:bookmarkEnd w:id="878"/>
      <w:bookmarkStart w:id="879" w:name="_Toc280274410"/>
      <w:bookmarkEnd w:id="879"/>
      <w:bookmarkStart w:id="880" w:name="_Toc280274965"/>
      <w:bookmarkEnd w:id="880"/>
      <w:bookmarkStart w:id="881" w:name="_Toc280274635"/>
      <w:bookmarkEnd w:id="881"/>
      <w:bookmarkStart w:id="882" w:name="_Toc280274403"/>
      <w:bookmarkEnd w:id="882"/>
      <w:bookmarkStart w:id="883" w:name="_Toc280346347"/>
      <w:bookmarkEnd w:id="883"/>
      <w:bookmarkStart w:id="884" w:name="_Toc280346134"/>
      <w:bookmarkEnd w:id="884"/>
      <w:bookmarkStart w:id="885" w:name="_Toc280275416"/>
      <w:bookmarkEnd w:id="885"/>
      <w:bookmarkStart w:id="886" w:name="_Toc280346236"/>
      <w:bookmarkEnd w:id="886"/>
      <w:bookmarkStart w:id="887" w:name="_Toc280346977"/>
      <w:bookmarkEnd w:id="887"/>
      <w:bookmarkStart w:id="888" w:name="_Toc280346222"/>
      <w:bookmarkEnd w:id="888"/>
      <w:bookmarkStart w:id="889" w:name="_Toc280274592"/>
      <w:bookmarkEnd w:id="889"/>
      <w:bookmarkStart w:id="890" w:name="_Toc280346769"/>
      <w:bookmarkEnd w:id="890"/>
      <w:bookmarkStart w:id="891" w:name="_Toc280274268"/>
      <w:bookmarkEnd w:id="891"/>
      <w:bookmarkStart w:id="892" w:name="_Toc280346926"/>
      <w:bookmarkEnd w:id="892"/>
      <w:bookmarkStart w:id="893" w:name="_Toc280346321"/>
      <w:bookmarkEnd w:id="893"/>
      <w:bookmarkStart w:id="894" w:name="_Toc280274447"/>
      <w:bookmarkEnd w:id="894"/>
      <w:bookmarkStart w:id="895" w:name="_Toc280346874"/>
      <w:bookmarkEnd w:id="895"/>
      <w:bookmarkStart w:id="896" w:name="_Toc280346958"/>
      <w:bookmarkEnd w:id="896"/>
      <w:bookmarkStart w:id="897" w:name="_Toc280346821"/>
      <w:bookmarkEnd w:id="897"/>
      <w:bookmarkStart w:id="898" w:name="_Toc280347261"/>
      <w:bookmarkEnd w:id="898"/>
      <w:bookmarkStart w:id="899" w:name="_Toc280346315"/>
      <w:bookmarkEnd w:id="899"/>
      <w:bookmarkStart w:id="900" w:name="_Toc280274870"/>
      <w:bookmarkEnd w:id="900"/>
      <w:bookmarkStart w:id="901" w:name="_Toc280275240"/>
      <w:bookmarkEnd w:id="901"/>
      <w:bookmarkStart w:id="902" w:name="_Toc280346782"/>
      <w:bookmarkEnd w:id="902"/>
      <w:bookmarkStart w:id="903" w:name="_Toc280346272"/>
      <w:bookmarkEnd w:id="903"/>
      <w:bookmarkStart w:id="904" w:name="_Toc280274845"/>
      <w:bookmarkEnd w:id="904"/>
      <w:bookmarkStart w:id="905" w:name="_Toc280275071"/>
      <w:bookmarkEnd w:id="905"/>
      <w:bookmarkStart w:id="906" w:name="_Toc280346964"/>
      <w:bookmarkEnd w:id="906"/>
      <w:bookmarkStart w:id="907" w:name="_Toc280346498"/>
      <w:bookmarkEnd w:id="907"/>
      <w:bookmarkStart w:id="908" w:name="_Toc280347016"/>
      <w:bookmarkEnd w:id="908"/>
      <w:bookmarkStart w:id="909" w:name="_Toc280274503"/>
      <w:bookmarkEnd w:id="909"/>
      <w:bookmarkStart w:id="910" w:name="_Toc280274648"/>
      <w:bookmarkEnd w:id="910"/>
      <w:bookmarkStart w:id="911" w:name="_Toc280346775"/>
      <w:bookmarkEnd w:id="911"/>
      <w:bookmarkStart w:id="912" w:name="_Toc280346161"/>
      <w:bookmarkEnd w:id="912"/>
      <w:bookmarkStart w:id="913" w:name="_Toc280274472"/>
      <w:bookmarkEnd w:id="913"/>
      <w:bookmarkStart w:id="914" w:name="_Toc280347158"/>
      <w:bookmarkEnd w:id="914"/>
      <w:bookmarkStart w:id="915" w:name="_Toc280346467"/>
      <w:bookmarkEnd w:id="915"/>
      <w:bookmarkStart w:id="916" w:name="_Toc280347015"/>
      <w:bookmarkEnd w:id="916"/>
      <w:bookmarkStart w:id="917" w:name="_Toc280347089"/>
      <w:bookmarkEnd w:id="917"/>
      <w:bookmarkStart w:id="918" w:name="_Toc280346353"/>
      <w:bookmarkEnd w:id="918"/>
      <w:bookmarkStart w:id="919" w:name="_Toc280346109"/>
      <w:bookmarkEnd w:id="919"/>
      <w:bookmarkStart w:id="920" w:name="_Toc280275222"/>
      <w:bookmarkEnd w:id="920"/>
      <w:bookmarkStart w:id="921" w:name="_Toc280275353"/>
      <w:bookmarkEnd w:id="921"/>
      <w:bookmarkStart w:id="922" w:name="_Toc280347204"/>
      <w:bookmarkEnd w:id="922"/>
      <w:bookmarkStart w:id="923" w:name="_Toc280275202"/>
      <w:bookmarkEnd w:id="923"/>
      <w:bookmarkStart w:id="924" w:name="_Toc280274256"/>
      <w:bookmarkEnd w:id="924"/>
      <w:bookmarkStart w:id="925" w:name="_Toc280275128"/>
      <w:bookmarkEnd w:id="925"/>
      <w:bookmarkStart w:id="926" w:name="_Toc280274927"/>
      <w:bookmarkEnd w:id="926"/>
      <w:bookmarkStart w:id="927" w:name="_Toc280347030"/>
      <w:bookmarkEnd w:id="927"/>
      <w:bookmarkStart w:id="928" w:name="_Toc280275291"/>
      <w:bookmarkEnd w:id="928"/>
      <w:bookmarkStart w:id="929" w:name="_Toc280346739"/>
      <w:bookmarkEnd w:id="929"/>
      <w:bookmarkStart w:id="930" w:name="_Toc280346097"/>
      <w:bookmarkEnd w:id="930"/>
      <w:bookmarkStart w:id="931" w:name="_Toc280346142"/>
      <w:bookmarkEnd w:id="931"/>
      <w:bookmarkStart w:id="932" w:name="_Toc280346726"/>
      <w:bookmarkEnd w:id="932"/>
      <w:bookmarkStart w:id="933" w:name="_Toc280275077"/>
      <w:bookmarkEnd w:id="933"/>
      <w:bookmarkStart w:id="934" w:name="_Toc280347001"/>
      <w:bookmarkEnd w:id="934"/>
      <w:bookmarkStart w:id="935" w:name="_Toc280275323"/>
      <w:bookmarkEnd w:id="935"/>
      <w:bookmarkStart w:id="936" w:name="_Toc280274347"/>
      <w:bookmarkEnd w:id="936"/>
      <w:bookmarkStart w:id="937" w:name="_Toc280274809"/>
      <w:bookmarkEnd w:id="937"/>
      <w:bookmarkStart w:id="938" w:name="_Toc280346441"/>
      <w:bookmarkEnd w:id="938"/>
      <w:bookmarkStart w:id="939" w:name="_Toc280347121"/>
      <w:bookmarkEnd w:id="939"/>
      <w:bookmarkStart w:id="940" w:name="_Toc280275360"/>
      <w:bookmarkEnd w:id="940"/>
      <w:bookmarkStart w:id="941" w:name="_Toc280346522"/>
      <w:bookmarkEnd w:id="941"/>
      <w:bookmarkStart w:id="942" w:name="_Toc280275317"/>
      <w:bookmarkEnd w:id="942"/>
      <w:bookmarkStart w:id="943" w:name="_Toc280274222"/>
      <w:bookmarkEnd w:id="943"/>
      <w:bookmarkStart w:id="944" w:name="_Toc280274247"/>
      <w:bookmarkEnd w:id="944"/>
      <w:bookmarkStart w:id="945" w:name="_Toc280275392"/>
      <w:bookmarkEnd w:id="945"/>
      <w:bookmarkStart w:id="946" w:name="_Toc280274335"/>
      <w:bookmarkEnd w:id="946"/>
      <w:bookmarkStart w:id="947" w:name="_Toc280347285"/>
      <w:bookmarkEnd w:id="947"/>
      <w:bookmarkStart w:id="948" w:name="_Toc280347297"/>
      <w:bookmarkEnd w:id="948"/>
      <w:bookmarkStart w:id="949" w:name="_Toc280275347"/>
      <w:bookmarkEnd w:id="949"/>
      <w:bookmarkStart w:id="950" w:name="_Toc280346297"/>
      <w:bookmarkEnd w:id="950"/>
      <w:bookmarkStart w:id="951" w:name="_Toc280275184"/>
      <w:bookmarkEnd w:id="951"/>
      <w:bookmarkStart w:id="952" w:name="_Toc280274329"/>
      <w:bookmarkEnd w:id="952"/>
      <w:bookmarkStart w:id="953" w:name="_Toc280275253"/>
      <w:bookmarkEnd w:id="953"/>
      <w:bookmarkStart w:id="954" w:name="_Toc280275157"/>
      <w:bookmarkEnd w:id="954"/>
      <w:bookmarkStart w:id="955" w:name="_Toc280346390"/>
      <w:bookmarkEnd w:id="955"/>
      <w:bookmarkStart w:id="956" w:name="_Toc280347248"/>
      <w:bookmarkEnd w:id="956"/>
      <w:bookmarkStart w:id="957" w:name="_Toc280274311"/>
      <w:bookmarkEnd w:id="957"/>
      <w:bookmarkStart w:id="958" w:name="_Toc280274298"/>
      <w:bookmarkEnd w:id="958"/>
      <w:bookmarkStart w:id="959" w:name="_Toc280274539"/>
      <w:bookmarkEnd w:id="959"/>
      <w:bookmarkStart w:id="960" w:name="_Toc280347179"/>
      <w:bookmarkEnd w:id="960"/>
      <w:bookmarkStart w:id="961" w:name="_Toc280347109"/>
      <w:bookmarkEnd w:id="961"/>
      <w:bookmarkStart w:id="962" w:name="_Toc280274952"/>
      <w:bookmarkEnd w:id="962"/>
      <w:bookmarkStart w:id="963" w:name="_Toc280274650"/>
      <w:bookmarkEnd w:id="963"/>
      <w:bookmarkStart w:id="964" w:name="_Toc280347177"/>
      <w:bookmarkEnd w:id="964"/>
      <w:bookmarkStart w:id="965" w:name="_Toc280346528"/>
      <w:bookmarkEnd w:id="965"/>
      <w:bookmarkStart w:id="966" w:name="_Toc280275380"/>
      <w:bookmarkEnd w:id="966"/>
      <w:bookmarkStart w:id="967" w:name="_Toc280274274"/>
      <w:bookmarkEnd w:id="967"/>
      <w:bookmarkStart w:id="968" w:name="_Toc280346853"/>
      <w:bookmarkEnd w:id="968"/>
      <w:bookmarkStart w:id="969" w:name="_Toc280274966"/>
      <w:bookmarkEnd w:id="969"/>
      <w:bookmarkStart w:id="970" w:name="_Toc280275234"/>
      <w:bookmarkEnd w:id="970"/>
      <w:bookmarkStart w:id="971" w:name="_Toc280275129"/>
      <w:bookmarkEnd w:id="971"/>
      <w:bookmarkStart w:id="972" w:name="_Toc280346420"/>
      <w:bookmarkEnd w:id="972"/>
      <w:bookmarkStart w:id="973" w:name="_Toc280346682"/>
      <w:bookmarkEnd w:id="973"/>
      <w:bookmarkStart w:id="974" w:name="_Toc280275247"/>
      <w:bookmarkEnd w:id="974"/>
      <w:bookmarkStart w:id="975" w:name="_Toc280274440"/>
      <w:bookmarkEnd w:id="975"/>
      <w:bookmarkStart w:id="976" w:name="_Toc280346155"/>
      <w:bookmarkEnd w:id="976"/>
      <w:bookmarkStart w:id="977" w:name="_Toc280274647"/>
      <w:bookmarkEnd w:id="977"/>
      <w:bookmarkStart w:id="978" w:name="_Toc280274379"/>
      <w:bookmarkEnd w:id="978"/>
      <w:bookmarkStart w:id="979" w:name="_Toc280346128"/>
      <w:bookmarkEnd w:id="979"/>
      <w:bookmarkStart w:id="980" w:name="_Toc280275040"/>
      <w:bookmarkEnd w:id="980"/>
      <w:bookmarkStart w:id="981" w:name="_Toc280346334"/>
      <w:bookmarkEnd w:id="981"/>
      <w:bookmarkStart w:id="982" w:name="_Toc280346928"/>
      <w:bookmarkEnd w:id="982"/>
      <w:bookmarkStart w:id="983" w:name="_Toc280275150"/>
      <w:bookmarkEnd w:id="983"/>
      <w:bookmarkStart w:id="984" w:name="_Toc280274677"/>
      <w:bookmarkEnd w:id="984"/>
      <w:bookmarkStart w:id="985" w:name="_Toc280346612"/>
      <w:bookmarkEnd w:id="985"/>
      <w:bookmarkStart w:id="986" w:name="_Toc280346327"/>
      <w:bookmarkEnd w:id="986"/>
      <w:bookmarkStart w:id="987" w:name="_Toc280274980"/>
      <w:bookmarkEnd w:id="987"/>
      <w:bookmarkStart w:id="988" w:name="_Toc280274241"/>
      <w:bookmarkEnd w:id="988"/>
      <w:bookmarkStart w:id="989" w:name="_Toc280274888"/>
      <w:bookmarkEnd w:id="989"/>
      <w:bookmarkStart w:id="990" w:name="_Toc280346383"/>
      <w:bookmarkEnd w:id="990"/>
      <w:bookmarkStart w:id="991" w:name="_Toc280347273"/>
      <w:bookmarkEnd w:id="991"/>
      <w:bookmarkStart w:id="992" w:name="_Toc280274341"/>
      <w:bookmarkEnd w:id="992"/>
      <w:bookmarkStart w:id="993" w:name="_Toc280346185"/>
      <w:bookmarkEnd w:id="993"/>
      <w:bookmarkStart w:id="994" w:name="_Toc280346995"/>
      <w:bookmarkEnd w:id="994"/>
      <w:bookmarkStart w:id="995" w:name="_Toc280347037"/>
      <w:bookmarkEnd w:id="995"/>
      <w:bookmarkStart w:id="996" w:name="_Toc280346365"/>
      <w:bookmarkEnd w:id="996"/>
      <w:bookmarkStart w:id="997" w:name="_Toc280346708"/>
      <w:bookmarkEnd w:id="997"/>
      <w:bookmarkStart w:id="998" w:name="_Toc280346516"/>
      <w:bookmarkEnd w:id="998"/>
      <w:bookmarkStart w:id="999" w:name="_Toc280274254"/>
      <w:bookmarkEnd w:id="999"/>
      <w:bookmarkStart w:id="1000" w:name="_Toc280346414"/>
      <w:bookmarkEnd w:id="1000"/>
      <w:bookmarkStart w:id="1001" w:name="_Toc280347303"/>
      <w:bookmarkEnd w:id="1001"/>
      <w:bookmarkStart w:id="1002" w:name="_Toc280274852"/>
      <w:bookmarkEnd w:id="1002"/>
      <w:bookmarkStart w:id="1003" w:name="_Toc280274553"/>
      <w:bookmarkEnd w:id="1003"/>
      <w:bookmarkStart w:id="1004" w:name="_Toc280274769"/>
      <w:bookmarkEnd w:id="1004"/>
      <w:bookmarkStart w:id="1005" w:name="_Toc280346663"/>
      <w:bookmarkEnd w:id="1005"/>
      <w:bookmarkStart w:id="1006" w:name="_Toc280274490"/>
      <w:bookmarkEnd w:id="1006"/>
      <w:bookmarkStart w:id="1007" w:name="_Toc280274416"/>
      <w:bookmarkEnd w:id="1007"/>
      <w:bookmarkStart w:id="1008" w:name="_Toc280275228"/>
      <w:bookmarkEnd w:id="1008"/>
      <w:bookmarkStart w:id="1009" w:name="_Toc280275290"/>
      <w:bookmarkEnd w:id="1009"/>
      <w:bookmarkStart w:id="1010" w:name="_Toc280274821"/>
      <w:bookmarkEnd w:id="1010"/>
      <w:bookmarkStart w:id="1011" w:name="_Toc8369"/>
      <w:r>
        <w:rPr>
          <w:rFonts w:hint="eastAsia" w:hAnsi="宋体" w:cs="宋体"/>
          <w:sz w:val="32"/>
          <w:szCs w:val="32"/>
          <w:highlight w:val="none"/>
        </w:rPr>
        <w:t>合同主要条款</w:t>
      </w:r>
      <w:bookmarkEnd w:id="1011"/>
    </w:p>
    <w:p>
      <w:pPr>
        <w:spacing w:line="360" w:lineRule="auto"/>
        <w:ind w:right="420"/>
        <w:rPr>
          <w:rFonts w:ascii="宋体"/>
          <w:bCs/>
          <w:iCs/>
          <w:highlight w:val="none"/>
        </w:rPr>
      </w:pPr>
      <w:r>
        <w:rPr>
          <w:rFonts w:hint="eastAsia" w:ascii="宋体"/>
          <w:bCs/>
          <w:iCs/>
          <w:highlight w:val="none"/>
        </w:rPr>
        <w:t>合同编号：</w:t>
      </w:r>
    </w:p>
    <w:p>
      <w:pPr>
        <w:spacing w:line="360" w:lineRule="auto"/>
        <w:ind w:right="420"/>
        <w:rPr>
          <w:rFonts w:cs="Arial"/>
          <w:bCs/>
          <w:iCs/>
          <w:kern w:val="36"/>
          <w:szCs w:val="21"/>
          <w:highlight w:val="none"/>
        </w:rPr>
      </w:pPr>
      <w:r>
        <w:rPr>
          <w:rFonts w:hint="eastAsia" w:cs="Arial"/>
          <w:bCs/>
          <w:iCs/>
          <w:kern w:val="36"/>
          <w:szCs w:val="21"/>
          <w:highlight w:val="none"/>
        </w:rPr>
        <w:t>合同项目名称：</w:t>
      </w:r>
    </w:p>
    <w:p>
      <w:pPr>
        <w:spacing w:line="360" w:lineRule="auto"/>
        <w:ind w:right="420"/>
        <w:rPr>
          <w:rFonts w:ascii="宋体"/>
          <w:bCs/>
          <w:iCs/>
          <w:szCs w:val="21"/>
          <w:highlight w:val="none"/>
        </w:rPr>
      </w:pPr>
    </w:p>
    <w:p>
      <w:pPr>
        <w:spacing w:line="360" w:lineRule="auto"/>
        <w:rPr>
          <w:rFonts w:ascii="宋体"/>
          <w:szCs w:val="21"/>
          <w:highlight w:val="none"/>
        </w:rPr>
      </w:pPr>
      <w:r>
        <w:rPr>
          <w:rFonts w:hint="eastAsia" w:ascii="宋体"/>
          <w:szCs w:val="21"/>
          <w:highlight w:val="none"/>
        </w:rPr>
        <w:t>合同双方：</w:t>
      </w:r>
    </w:p>
    <w:p>
      <w:pPr>
        <w:spacing w:line="360" w:lineRule="auto"/>
        <w:rPr>
          <w:rFonts w:ascii="宋体"/>
          <w:szCs w:val="21"/>
          <w:highlight w:val="none"/>
        </w:rPr>
      </w:pPr>
    </w:p>
    <w:p>
      <w:pPr>
        <w:spacing w:line="360" w:lineRule="auto"/>
        <w:rPr>
          <w:rFonts w:ascii="宋体"/>
          <w:bCs/>
          <w:iCs/>
          <w:szCs w:val="21"/>
          <w:highlight w:val="none"/>
        </w:rPr>
      </w:pPr>
      <w:r>
        <w:rPr>
          <w:rFonts w:hint="eastAsia" w:ascii="宋体"/>
          <w:bCs/>
          <w:iCs/>
          <w:szCs w:val="21"/>
          <w:highlight w:val="none"/>
        </w:rPr>
        <w:t>甲方（委托人）：</w:t>
      </w:r>
    </w:p>
    <w:p>
      <w:pPr>
        <w:spacing w:line="360" w:lineRule="auto"/>
        <w:rPr>
          <w:rFonts w:ascii="宋体"/>
          <w:bCs/>
          <w:iCs/>
          <w:szCs w:val="21"/>
          <w:highlight w:val="none"/>
        </w:rPr>
      </w:pPr>
      <w:r>
        <w:rPr>
          <w:rFonts w:hint="eastAsia" w:ascii="宋体"/>
          <w:bCs/>
          <w:iCs/>
          <w:szCs w:val="21"/>
          <w:highlight w:val="none"/>
        </w:rPr>
        <w:t>地址：</w:t>
      </w:r>
    </w:p>
    <w:p>
      <w:pPr>
        <w:spacing w:line="360" w:lineRule="auto"/>
        <w:rPr>
          <w:rFonts w:ascii="宋体"/>
          <w:bCs/>
          <w:iCs/>
          <w:szCs w:val="21"/>
          <w:highlight w:val="none"/>
        </w:rPr>
      </w:pPr>
      <w:r>
        <w:rPr>
          <w:rFonts w:hint="eastAsia" w:ascii="宋体"/>
          <w:bCs/>
          <w:iCs/>
          <w:szCs w:val="21"/>
          <w:highlight w:val="none"/>
        </w:rPr>
        <w:t>邮政编码：</w:t>
      </w:r>
    </w:p>
    <w:p>
      <w:pPr>
        <w:spacing w:line="360" w:lineRule="auto"/>
        <w:rPr>
          <w:rFonts w:ascii="宋体"/>
          <w:bCs/>
          <w:iCs/>
          <w:szCs w:val="21"/>
          <w:highlight w:val="none"/>
        </w:rPr>
      </w:pPr>
      <w:r>
        <w:rPr>
          <w:rFonts w:hint="eastAsia" w:ascii="宋体"/>
          <w:bCs/>
          <w:iCs/>
          <w:szCs w:val="21"/>
          <w:highlight w:val="none"/>
        </w:rPr>
        <w:t>电话：</w:t>
      </w:r>
    </w:p>
    <w:p>
      <w:pPr>
        <w:spacing w:line="360" w:lineRule="auto"/>
        <w:rPr>
          <w:rFonts w:ascii="宋体"/>
          <w:bCs/>
          <w:iCs/>
          <w:szCs w:val="21"/>
          <w:highlight w:val="none"/>
        </w:rPr>
      </w:pPr>
      <w:r>
        <w:rPr>
          <w:rFonts w:hint="eastAsia" w:ascii="宋体"/>
          <w:bCs/>
          <w:iCs/>
          <w:szCs w:val="21"/>
          <w:highlight w:val="none"/>
        </w:rPr>
        <w:t>传真：</w:t>
      </w:r>
    </w:p>
    <w:p>
      <w:pPr>
        <w:spacing w:line="360" w:lineRule="auto"/>
        <w:rPr>
          <w:rFonts w:ascii="宋体"/>
          <w:b/>
          <w:szCs w:val="21"/>
          <w:highlight w:val="none"/>
        </w:rPr>
      </w:pPr>
      <w:r>
        <w:rPr>
          <w:rFonts w:hint="eastAsia" w:ascii="宋体"/>
          <w:bCs/>
          <w:iCs/>
          <w:szCs w:val="21"/>
          <w:highlight w:val="none"/>
        </w:rPr>
        <w:t>联系人</w:t>
      </w:r>
      <w:r>
        <w:rPr>
          <w:rFonts w:hint="eastAsia" w:ascii="宋体"/>
          <w:b/>
          <w:szCs w:val="21"/>
          <w:highlight w:val="none"/>
        </w:rPr>
        <w:t>：</w:t>
      </w:r>
    </w:p>
    <w:p>
      <w:pPr>
        <w:spacing w:line="360" w:lineRule="auto"/>
        <w:rPr>
          <w:rFonts w:ascii="宋体"/>
          <w:b/>
          <w:szCs w:val="21"/>
          <w:highlight w:val="none"/>
        </w:rPr>
      </w:pPr>
    </w:p>
    <w:p>
      <w:pPr>
        <w:spacing w:line="360" w:lineRule="auto"/>
        <w:rPr>
          <w:rFonts w:ascii="宋体"/>
          <w:b/>
          <w:szCs w:val="21"/>
          <w:highlight w:val="none"/>
        </w:rPr>
      </w:pPr>
      <w:r>
        <w:rPr>
          <w:rFonts w:hint="eastAsia" w:ascii="宋体"/>
          <w:b/>
          <w:szCs w:val="21"/>
          <w:highlight w:val="none"/>
        </w:rPr>
        <w:t>乙方（受托人）：</w:t>
      </w:r>
    </w:p>
    <w:p>
      <w:pPr>
        <w:spacing w:line="360" w:lineRule="auto"/>
        <w:rPr>
          <w:rFonts w:ascii="宋体"/>
          <w:bCs/>
          <w:iCs/>
          <w:szCs w:val="21"/>
          <w:highlight w:val="none"/>
        </w:rPr>
      </w:pPr>
      <w:r>
        <w:rPr>
          <w:rFonts w:hint="eastAsia" w:ascii="宋体"/>
          <w:bCs/>
          <w:iCs/>
          <w:szCs w:val="21"/>
          <w:highlight w:val="none"/>
        </w:rPr>
        <w:t>地址：</w:t>
      </w:r>
    </w:p>
    <w:p>
      <w:pPr>
        <w:spacing w:line="360" w:lineRule="auto"/>
        <w:rPr>
          <w:rFonts w:ascii="宋体"/>
          <w:bCs/>
          <w:iCs/>
          <w:szCs w:val="21"/>
          <w:highlight w:val="none"/>
        </w:rPr>
      </w:pPr>
      <w:r>
        <w:rPr>
          <w:rFonts w:hint="eastAsia" w:ascii="宋体"/>
          <w:bCs/>
          <w:iCs/>
          <w:szCs w:val="21"/>
          <w:highlight w:val="none"/>
        </w:rPr>
        <w:t>邮政编码：</w:t>
      </w:r>
    </w:p>
    <w:p>
      <w:pPr>
        <w:spacing w:line="360" w:lineRule="auto"/>
        <w:rPr>
          <w:rFonts w:ascii="宋体"/>
          <w:bCs/>
          <w:iCs/>
          <w:szCs w:val="21"/>
          <w:highlight w:val="none"/>
        </w:rPr>
      </w:pPr>
      <w:r>
        <w:rPr>
          <w:rFonts w:hint="eastAsia" w:ascii="宋体"/>
          <w:bCs/>
          <w:iCs/>
          <w:szCs w:val="21"/>
          <w:highlight w:val="none"/>
        </w:rPr>
        <w:t>电话：</w:t>
      </w:r>
    </w:p>
    <w:p>
      <w:pPr>
        <w:spacing w:line="360" w:lineRule="auto"/>
        <w:rPr>
          <w:rFonts w:ascii="宋体"/>
          <w:bCs/>
          <w:iCs/>
          <w:szCs w:val="21"/>
          <w:highlight w:val="none"/>
        </w:rPr>
      </w:pPr>
      <w:r>
        <w:rPr>
          <w:rFonts w:hint="eastAsia" w:ascii="宋体"/>
          <w:bCs/>
          <w:iCs/>
          <w:szCs w:val="21"/>
          <w:highlight w:val="none"/>
        </w:rPr>
        <w:t>传真：</w:t>
      </w:r>
    </w:p>
    <w:p>
      <w:pPr>
        <w:spacing w:line="360" w:lineRule="auto"/>
        <w:rPr>
          <w:rFonts w:ascii="宋体"/>
          <w:b/>
          <w:szCs w:val="21"/>
          <w:highlight w:val="none"/>
        </w:rPr>
      </w:pPr>
      <w:r>
        <w:rPr>
          <w:rFonts w:hint="eastAsia" w:ascii="宋体"/>
          <w:bCs/>
          <w:iCs/>
          <w:szCs w:val="21"/>
          <w:highlight w:val="none"/>
        </w:rPr>
        <w:t>联系人</w:t>
      </w:r>
      <w:r>
        <w:rPr>
          <w:rFonts w:hint="eastAsia" w:ascii="宋体"/>
          <w:b/>
          <w:szCs w:val="21"/>
          <w:highlight w:val="none"/>
        </w:rPr>
        <w:t>：</w:t>
      </w:r>
    </w:p>
    <w:p>
      <w:pPr>
        <w:spacing w:line="360" w:lineRule="auto"/>
        <w:rPr>
          <w:rFonts w:ascii="宋体"/>
          <w:bCs/>
          <w:iCs/>
          <w:szCs w:val="21"/>
          <w:highlight w:val="none"/>
        </w:rPr>
      </w:pPr>
      <w:r>
        <w:rPr>
          <w:rFonts w:hint="eastAsia" w:ascii="宋体"/>
          <w:bCs/>
          <w:iCs/>
          <w:szCs w:val="21"/>
          <w:highlight w:val="none"/>
        </w:rPr>
        <w:t>开户银行：</w:t>
      </w:r>
    </w:p>
    <w:p>
      <w:pPr>
        <w:spacing w:line="360" w:lineRule="auto"/>
        <w:rPr>
          <w:rFonts w:ascii="宋体"/>
          <w:bCs/>
          <w:iCs/>
          <w:szCs w:val="21"/>
          <w:highlight w:val="none"/>
        </w:rPr>
      </w:pPr>
      <w:r>
        <w:rPr>
          <w:rFonts w:hint="eastAsia" w:ascii="宋体"/>
          <w:bCs/>
          <w:iCs/>
          <w:szCs w:val="21"/>
          <w:highlight w:val="none"/>
        </w:rPr>
        <w:t>帐号：</w:t>
      </w:r>
    </w:p>
    <w:p>
      <w:pPr>
        <w:spacing w:line="360" w:lineRule="auto"/>
        <w:rPr>
          <w:rFonts w:ascii="宋体"/>
          <w:szCs w:val="21"/>
          <w:highlight w:val="none"/>
        </w:rPr>
      </w:pPr>
    </w:p>
    <w:p>
      <w:pPr>
        <w:spacing w:line="360" w:lineRule="auto"/>
        <w:ind w:firstLine="420" w:firstLineChars="200"/>
        <w:rPr>
          <w:rFonts w:cs="Arial"/>
          <w:bCs/>
          <w:iCs/>
          <w:kern w:val="36"/>
          <w:highlight w:val="none"/>
        </w:rPr>
      </w:pPr>
      <w:r>
        <w:rPr>
          <w:rFonts w:hint="eastAsia" w:cs="Arial"/>
          <w:bCs/>
          <w:iCs/>
          <w:kern w:val="36"/>
          <w:highlight w:val="none"/>
        </w:rPr>
        <w:t>根据国家有关法律、行政法规，本合同当事人遵循平等、自愿、公平和诚实信用的原则，经协商一致，同意按下述条款和条件签署本合同：</w:t>
      </w:r>
    </w:p>
    <w:p>
      <w:pPr>
        <w:spacing w:line="360" w:lineRule="auto"/>
        <w:rPr>
          <w:rFonts w:cs="Arial"/>
          <w:bCs/>
          <w:iCs/>
          <w:kern w:val="36"/>
          <w:highlight w:val="none"/>
        </w:rPr>
      </w:pPr>
      <w:r>
        <w:rPr>
          <w:rFonts w:hint="eastAsia" w:cs="Arial"/>
          <w:bCs/>
          <w:iCs/>
          <w:kern w:val="36"/>
          <w:highlight w:val="none"/>
        </w:rPr>
        <w:t>一、合同主要条件要素：</w:t>
      </w:r>
    </w:p>
    <w:p>
      <w:pPr>
        <w:spacing w:line="360" w:lineRule="auto"/>
        <w:rPr>
          <w:rFonts w:cs="Arial"/>
          <w:bCs/>
          <w:iCs/>
          <w:kern w:val="36"/>
          <w:highlight w:val="none"/>
        </w:rPr>
      </w:pPr>
      <w:r>
        <w:rPr>
          <w:rFonts w:hint="eastAsia" w:cs="Arial"/>
          <w:bCs/>
          <w:iCs/>
          <w:kern w:val="36"/>
          <w:highlight w:val="none"/>
        </w:rPr>
        <w:t>1、乙方根据本合同的规定向甲方提供以下服务：</w:t>
      </w:r>
    </w:p>
    <w:p>
      <w:pPr>
        <w:spacing w:line="360" w:lineRule="auto"/>
        <w:rPr>
          <w:rFonts w:cs="Arial"/>
          <w:bCs/>
          <w:iCs/>
          <w:kern w:val="36"/>
          <w:highlight w:val="none"/>
        </w:rPr>
      </w:pPr>
      <w:r>
        <w:rPr>
          <w:rFonts w:hint="eastAsia" w:cs="Arial"/>
          <w:bCs/>
          <w:iCs/>
          <w:kern w:val="36"/>
          <w:highlight w:val="none"/>
        </w:rPr>
        <w:t>按照本项目合同文件服务内容与要求，完成本项目各项服务内容。</w:t>
      </w:r>
    </w:p>
    <w:p>
      <w:pPr>
        <w:spacing w:line="360" w:lineRule="auto"/>
        <w:rPr>
          <w:rFonts w:cs="Arial"/>
          <w:bCs/>
          <w:iCs/>
          <w:kern w:val="36"/>
          <w:highlight w:val="none"/>
        </w:rPr>
      </w:pPr>
      <w:r>
        <w:rPr>
          <w:rFonts w:hint="eastAsia" w:cs="Arial"/>
          <w:bCs/>
          <w:iCs/>
          <w:kern w:val="36"/>
          <w:highlight w:val="none"/>
        </w:rPr>
        <w:t>2、合同金额：本合同项目服务费用金额为人民币    元整（￥      元整），乙方完成及达到本合同文件规定的要求与标准完成与本服务项目有关的所有费用均包含在合同金额中，委托人不再另行支付任何费用。</w:t>
      </w:r>
    </w:p>
    <w:p>
      <w:pPr>
        <w:spacing w:line="360" w:lineRule="auto"/>
        <w:rPr>
          <w:rFonts w:cs="Arial"/>
          <w:bCs/>
          <w:iCs/>
          <w:kern w:val="36"/>
          <w:highlight w:val="none"/>
        </w:rPr>
      </w:pPr>
      <w:r>
        <w:rPr>
          <w:rFonts w:hint="eastAsia" w:cs="Arial"/>
          <w:bCs/>
          <w:iCs/>
          <w:kern w:val="36"/>
          <w:highlight w:val="none"/>
        </w:rPr>
        <w:t>3、服务时间：</w:t>
      </w:r>
    </w:p>
    <w:p>
      <w:pPr>
        <w:spacing w:line="360" w:lineRule="auto"/>
        <w:rPr>
          <w:rFonts w:cs="Arial"/>
          <w:bCs/>
          <w:iCs/>
          <w:kern w:val="36"/>
          <w:highlight w:val="none"/>
        </w:rPr>
      </w:pPr>
      <w:r>
        <w:rPr>
          <w:rFonts w:hint="eastAsia" w:cs="Arial"/>
          <w:bCs/>
          <w:iCs/>
          <w:kern w:val="36"/>
          <w:highlight w:val="none"/>
        </w:rPr>
        <w:t>4、服务地点：</w:t>
      </w:r>
    </w:p>
    <w:p>
      <w:pPr>
        <w:spacing w:line="360" w:lineRule="auto"/>
        <w:rPr>
          <w:rFonts w:cs="Arial"/>
          <w:bCs/>
          <w:iCs/>
          <w:kern w:val="36"/>
          <w:highlight w:val="none"/>
        </w:rPr>
      </w:pPr>
      <w:r>
        <w:rPr>
          <w:rFonts w:hint="eastAsia" w:cs="Arial"/>
          <w:bCs/>
          <w:iCs/>
          <w:kern w:val="36"/>
          <w:highlight w:val="none"/>
        </w:rPr>
        <w:t>5、付款方式：</w:t>
      </w:r>
    </w:p>
    <w:p>
      <w:pPr>
        <w:spacing w:line="360" w:lineRule="auto"/>
        <w:rPr>
          <w:rFonts w:cs="Arial"/>
          <w:bCs/>
          <w:iCs/>
          <w:kern w:val="36"/>
          <w:highlight w:val="none"/>
        </w:rPr>
      </w:pPr>
      <w:r>
        <w:rPr>
          <w:rFonts w:hint="eastAsia" w:cs="Arial"/>
          <w:bCs/>
          <w:iCs/>
          <w:kern w:val="36"/>
          <w:highlight w:val="none"/>
        </w:rPr>
        <w:t xml:space="preserve">6、履约保证金： </w:t>
      </w:r>
    </w:p>
    <w:p>
      <w:pPr>
        <w:spacing w:line="360" w:lineRule="auto"/>
        <w:rPr>
          <w:rFonts w:cs="Arial"/>
          <w:bCs/>
          <w:iCs/>
          <w:kern w:val="36"/>
          <w:highlight w:val="none"/>
        </w:rPr>
      </w:pPr>
      <w:r>
        <w:rPr>
          <w:rFonts w:hint="eastAsia" w:cs="Arial"/>
          <w:bCs/>
          <w:iCs/>
          <w:kern w:val="36"/>
          <w:highlight w:val="none"/>
        </w:rPr>
        <w:t>7、其它：</w:t>
      </w:r>
    </w:p>
    <w:p>
      <w:pPr>
        <w:spacing w:line="360" w:lineRule="auto"/>
        <w:rPr>
          <w:rFonts w:cs="Arial"/>
          <w:bCs/>
          <w:iCs/>
          <w:kern w:val="36"/>
          <w:highlight w:val="none"/>
        </w:rPr>
      </w:pPr>
    </w:p>
    <w:p>
      <w:pPr>
        <w:spacing w:line="360" w:lineRule="auto"/>
        <w:rPr>
          <w:rFonts w:cs="Arial"/>
          <w:bCs/>
          <w:iCs/>
          <w:kern w:val="36"/>
          <w:highlight w:val="none"/>
        </w:rPr>
      </w:pPr>
      <w:r>
        <w:rPr>
          <w:rFonts w:hint="eastAsia" w:cs="Arial"/>
          <w:bCs/>
          <w:iCs/>
          <w:kern w:val="36"/>
          <w:highlight w:val="none"/>
        </w:rPr>
        <w:t>二、合同文件的组成和解释顺序如下：</w:t>
      </w:r>
    </w:p>
    <w:p>
      <w:pPr>
        <w:spacing w:line="360" w:lineRule="auto"/>
        <w:rPr>
          <w:rFonts w:cs="Arial"/>
          <w:bCs/>
          <w:iCs/>
          <w:kern w:val="36"/>
          <w:highlight w:val="none"/>
        </w:rPr>
      </w:pPr>
      <w:r>
        <w:rPr>
          <w:rFonts w:hint="eastAsia" w:cs="Arial"/>
          <w:bCs/>
          <w:iCs/>
          <w:kern w:val="36"/>
          <w:highlight w:val="none"/>
        </w:rPr>
        <w:t>1.本合同执行中双方共同签署的补充与修正文件及双方确认的明确双方权利、义务的会谈纪要；</w:t>
      </w:r>
    </w:p>
    <w:p>
      <w:pPr>
        <w:spacing w:line="360" w:lineRule="auto"/>
        <w:rPr>
          <w:rFonts w:cs="Arial"/>
          <w:bCs/>
          <w:iCs/>
          <w:kern w:val="36"/>
          <w:highlight w:val="none"/>
        </w:rPr>
      </w:pPr>
      <w:r>
        <w:rPr>
          <w:rFonts w:hint="eastAsia" w:cs="Arial"/>
          <w:bCs/>
          <w:iCs/>
          <w:kern w:val="36"/>
          <w:highlight w:val="none"/>
        </w:rPr>
        <w:t>2.本合同书</w:t>
      </w:r>
    </w:p>
    <w:p>
      <w:pPr>
        <w:spacing w:line="360" w:lineRule="auto"/>
        <w:rPr>
          <w:rFonts w:cs="Arial"/>
          <w:bCs/>
          <w:iCs/>
          <w:kern w:val="36"/>
          <w:highlight w:val="none"/>
        </w:rPr>
      </w:pPr>
      <w:r>
        <w:rPr>
          <w:rFonts w:hint="eastAsia" w:cs="Arial"/>
          <w:bCs/>
          <w:iCs/>
          <w:kern w:val="36"/>
          <w:highlight w:val="none"/>
        </w:rPr>
        <w:t>3.本项目中标或成交通知书</w:t>
      </w:r>
    </w:p>
    <w:p>
      <w:pPr>
        <w:spacing w:line="360" w:lineRule="auto"/>
        <w:rPr>
          <w:rFonts w:cs="Arial"/>
          <w:bCs/>
          <w:iCs/>
          <w:kern w:val="36"/>
          <w:highlight w:val="none"/>
        </w:rPr>
      </w:pPr>
      <w:r>
        <w:rPr>
          <w:rFonts w:hint="eastAsia" w:cs="Arial"/>
          <w:bCs/>
          <w:iCs/>
          <w:kern w:val="36"/>
          <w:highlight w:val="none"/>
        </w:rPr>
        <w:t>3.乙方的本项目响应文件或响应文件</w:t>
      </w:r>
    </w:p>
    <w:p>
      <w:pPr>
        <w:spacing w:line="360" w:lineRule="auto"/>
        <w:rPr>
          <w:rFonts w:cs="Arial"/>
          <w:bCs/>
          <w:iCs/>
          <w:kern w:val="36"/>
          <w:highlight w:val="none"/>
        </w:rPr>
      </w:pPr>
      <w:r>
        <w:rPr>
          <w:rFonts w:hint="eastAsia" w:cs="Arial"/>
          <w:bCs/>
          <w:iCs/>
          <w:kern w:val="36"/>
          <w:highlight w:val="none"/>
        </w:rPr>
        <w:t>4.本项目采购文件或采购文件中的合同条款</w:t>
      </w:r>
    </w:p>
    <w:p>
      <w:pPr>
        <w:spacing w:line="360" w:lineRule="auto"/>
        <w:rPr>
          <w:rFonts w:cs="Arial"/>
          <w:bCs/>
          <w:iCs/>
          <w:kern w:val="36"/>
          <w:highlight w:val="none"/>
        </w:rPr>
      </w:pPr>
      <w:r>
        <w:rPr>
          <w:rFonts w:hint="eastAsia" w:cs="Arial"/>
          <w:bCs/>
          <w:iCs/>
          <w:kern w:val="36"/>
          <w:highlight w:val="none"/>
        </w:rPr>
        <w:t>5.本项目采购文件或采购文件中的采购需求</w:t>
      </w:r>
    </w:p>
    <w:p>
      <w:pPr>
        <w:spacing w:line="360" w:lineRule="auto"/>
        <w:rPr>
          <w:rFonts w:cs="Arial"/>
          <w:bCs/>
          <w:iCs/>
          <w:kern w:val="36"/>
          <w:highlight w:val="none"/>
        </w:rPr>
      </w:pPr>
      <w:r>
        <w:rPr>
          <w:rFonts w:hint="eastAsia" w:cs="Arial"/>
          <w:bCs/>
          <w:iCs/>
          <w:kern w:val="36"/>
          <w:highlight w:val="none"/>
        </w:rPr>
        <w:t>6.其他合同文件（需列明）</w:t>
      </w:r>
    </w:p>
    <w:p>
      <w:pPr>
        <w:spacing w:line="360" w:lineRule="auto"/>
        <w:rPr>
          <w:rFonts w:cs="Arial"/>
          <w:bCs/>
          <w:iCs/>
          <w:kern w:val="36"/>
          <w:highlight w:val="none"/>
        </w:rPr>
      </w:pPr>
      <w:r>
        <w:rPr>
          <w:rFonts w:hint="eastAsia" w:cs="Arial"/>
          <w:bCs/>
          <w:iCs/>
          <w:kern w:val="36"/>
          <w:highlight w:val="none"/>
        </w:rPr>
        <w:t>上述文件互相补充和解释，如有不明确或不一致之处，按照上述文件次序在先者为准。同一层次合同文件有矛盾的，以时间较后的为准。</w:t>
      </w:r>
    </w:p>
    <w:p>
      <w:pPr>
        <w:spacing w:line="360" w:lineRule="auto"/>
        <w:rPr>
          <w:rFonts w:cs="Arial"/>
          <w:bCs/>
          <w:iCs/>
          <w:kern w:val="36"/>
          <w:highlight w:val="none"/>
        </w:rPr>
      </w:pPr>
    </w:p>
    <w:p>
      <w:pPr>
        <w:spacing w:line="360" w:lineRule="auto"/>
        <w:rPr>
          <w:rFonts w:cs="Arial"/>
          <w:bCs/>
          <w:iCs/>
          <w:kern w:val="36"/>
          <w:highlight w:val="none"/>
        </w:rPr>
      </w:pPr>
      <w:r>
        <w:rPr>
          <w:rFonts w:hint="eastAsia" w:cs="Arial"/>
          <w:bCs/>
          <w:iCs/>
          <w:kern w:val="36"/>
          <w:highlight w:val="none"/>
        </w:rPr>
        <w:t>三、合同条款：</w:t>
      </w:r>
    </w:p>
    <w:p>
      <w:pPr>
        <w:spacing w:line="360" w:lineRule="auto"/>
        <w:rPr>
          <w:rFonts w:cs="Arial"/>
          <w:bCs/>
          <w:iCs/>
          <w:kern w:val="36"/>
          <w:highlight w:val="none"/>
        </w:rPr>
      </w:pPr>
      <w:r>
        <w:rPr>
          <w:rFonts w:hint="eastAsia" w:cs="Arial"/>
          <w:bCs/>
          <w:iCs/>
          <w:kern w:val="36"/>
          <w:highlight w:val="none"/>
        </w:rPr>
        <w:t>1. 权利瑕疵担保</w:t>
      </w:r>
    </w:p>
    <w:p>
      <w:pPr>
        <w:spacing w:line="360" w:lineRule="auto"/>
        <w:rPr>
          <w:rFonts w:cs="Arial"/>
          <w:bCs/>
          <w:iCs/>
          <w:kern w:val="36"/>
          <w:highlight w:val="none"/>
        </w:rPr>
      </w:pPr>
      <w:r>
        <w:rPr>
          <w:rFonts w:hint="eastAsia" w:cs="Arial"/>
          <w:bCs/>
          <w:iCs/>
          <w:kern w:val="36"/>
          <w:highlight w:val="none"/>
        </w:rPr>
        <w:t>1．1 乙方保证对其提供的服务享有合法的权利，甲方接受乙方服务不会因此而侵犯任何人的合法权益。</w:t>
      </w:r>
    </w:p>
    <w:p>
      <w:pPr>
        <w:spacing w:line="360" w:lineRule="auto"/>
        <w:rPr>
          <w:rFonts w:cs="Arial"/>
          <w:bCs/>
          <w:iCs/>
          <w:kern w:val="36"/>
          <w:highlight w:val="none"/>
        </w:rPr>
      </w:pPr>
      <w:r>
        <w:rPr>
          <w:rFonts w:hint="eastAsia" w:cs="Arial"/>
          <w:bCs/>
          <w:iCs/>
          <w:kern w:val="36"/>
          <w:highlight w:val="none"/>
        </w:rPr>
        <w:t>1．2 乙方保证在提供服务上不存在任何未曾向甲方透露的担保物权，如抵押权、质押权、留置权等。甲方接受乙方服务不会因此而存在合同外义务的负担。</w:t>
      </w:r>
    </w:p>
    <w:p>
      <w:pPr>
        <w:spacing w:line="360" w:lineRule="auto"/>
        <w:rPr>
          <w:rFonts w:cs="Arial"/>
          <w:bCs/>
          <w:iCs/>
          <w:kern w:val="36"/>
          <w:highlight w:val="none"/>
        </w:rPr>
      </w:pPr>
      <w:r>
        <w:rPr>
          <w:rFonts w:hint="eastAsia" w:cs="Arial"/>
          <w:bCs/>
          <w:iCs/>
          <w:kern w:val="36"/>
          <w:highlight w:val="none"/>
        </w:rPr>
        <w:t>1．3 乙方保证其提供服务没有侵犯任何第三人的知识产权和商业秘密等权利。</w:t>
      </w:r>
    </w:p>
    <w:p>
      <w:pPr>
        <w:spacing w:line="360" w:lineRule="auto"/>
        <w:rPr>
          <w:rFonts w:cs="Arial"/>
          <w:bCs/>
          <w:iCs/>
          <w:kern w:val="36"/>
          <w:highlight w:val="none"/>
        </w:rPr>
      </w:pPr>
      <w:r>
        <w:rPr>
          <w:rFonts w:hint="eastAsia" w:cs="Arial"/>
          <w:bCs/>
          <w:iCs/>
          <w:kern w:val="36"/>
          <w:highlight w:val="none"/>
        </w:rPr>
        <w:t>1．4 如所提供服务构成上述侵权的，则由乙方承担全部责任。</w:t>
      </w:r>
    </w:p>
    <w:p>
      <w:pPr>
        <w:spacing w:line="360" w:lineRule="auto"/>
        <w:rPr>
          <w:rFonts w:cs="Arial"/>
          <w:bCs/>
          <w:iCs/>
          <w:kern w:val="36"/>
          <w:highlight w:val="none"/>
        </w:rPr>
      </w:pPr>
      <w:r>
        <w:rPr>
          <w:rFonts w:hint="eastAsia" w:cs="Arial"/>
          <w:bCs/>
          <w:iCs/>
          <w:kern w:val="36"/>
          <w:highlight w:val="none"/>
        </w:rPr>
        <w:t>2．保密</w:t>
      </w:r>
    </w:p>
    <w:p>
      <w:pPr>
        <w:spacing w:line="360" w:lineRule="auto"/>
        <w:rPr>
          <w:rFonts w:cs="Arial"/>
          <w:bCs/>
          <w:iCs/>
          <w:kern w:val="36"/>
          <w:highlight w:val="none"/>
        </w:rPr>
      </w:pPr>
      <w:r>
        <w:rPr>
          <w:rFonts w:hint="eastAsia" w:cs="Arial"/>
          <w:bCs/>
          <w:iCs/>
          <w:kern w:val="36"/>
          <w:highlight w:val="none"/>
        </w:rPr>
        <w:t>2. 1在履行本合同的过程中，如果甲方或乙方提供、接触、知悉的内容属于保密的，应签订保密协议，甲乙双方均有保密义务。</w:t>
      </w:r>
    </w:p>
    <w:p>
      <w:pPr>
        <w:spacing w:line="360" w:lineRule="auto"/>
        <w:rPr>
          <w:rFonts w:cs="Arial"/>
          <w:bCs/>
          <w:iCs/>
          <w:kern w:val="36"/>
          <w:highlight w:val="none"/>
        </w:rPr>
      </w:pPr>
      <w:r>
        <w:rPr>
          <w:rFonts w:hint="eastAsia" w:cs="Arial"/>
          <w:bCs/>
          <w:iCs/>
          <w:kern w:val="36"/>
          <w:highlight w:val="none"/>
        </w:rPr>
        <w:t>2.2 保密的内容包括但不限于书面、电子数据等承载保密信息的各种形式。</w:t>
      </w:r>
    </w:p>
    <w:p>
      <w:pPr>
        <w:spacing w:line="360" w:lineRule="auto"/>
        <w:rPr>
          <w:rFonts w:cs="Arial"/>
          <w:bCs/>
          <w:iCs/>
          <w:kern w:val="36"/>
          <w:highlight w:val="none"/>
        </w:rPr>
      </w:pPr>
      <w:r>
        <w:rPr>
          <w:rFonts w:hint="eastAsia" w:cs="Arial"/>
          <w:bCs/>
          <w:iCs/>
          <w:kern w:val="36"/>
          <w:highlight w:val="none"/>
        </w:rPr>
        <w:t>3. 服务质量标准和要求</w:t>
      </w:r>
    </w:p>
    <w:p>
      <w:pPr>
        <w:spacing w:line="360" w:lineRule="auto"/>
        <w:rPr>
          <w:rFonts w:cs="Arial"/>
          <w:bCs/>
          <w:iCs/>
          <w:kern w:val="36"/>
          <w:highlight w:val="none"/>
        </w:rPr>
      </w:pPr>
      <w:r>
        <w:rPr>
          <w:rFonts w:hint="eastAsia" w:cs="Arial"/>
          <w:bCs/>
          <w:iCs/>
          <w:kern w:val="36"/>
          <w:highlight w:val="none"/>
        </w:rPr>
        <w:t>3．1乙方所提供的服务标准按照国家标准或行业标准或企业标准确定，均有标准的以高者（严格者）为准。没有国家标准、行业标准和企业标准的，按照通常标准或者符合合同目的的特定标准确定。</w:t>
      </w:r>
    </w:p>
    <w:p>
      <w:pPr>
        <w:spacing w:line="360" w:lineRule="auto"/>
        <w:rPr>
          <w:rFonts w:cs="Arial"/>
          <w:bCs/>
          <w:iCs/>
          <w:kern w:val="36"/>
          <w:highlight w:val="none"/>
        </w:rPr>
      </w:pPr>
      <w:r>
        <w:rPr>
          <w:rFonts w:hint="eastAsia" w:cs="Arial"/>
          <w:bCs/>
          <w:iCs/>
          <w:kern w:val="36"/>
          <w:highlight w:val="none"/>
        </w:rPr>
        <w:t>3．2 乙方所提供的服务还应符合国家和湖北省、武汉市之有关规定。</w:t>
      </w:r>
    </w:p>
    <w:p>
      <w:pPr>
        <w:spacing w:line="360" w:lineRule="auto"/>
        <w:rPr>
          <w:rFonts w:cs="Arial"/>
          <w:bCs/>
          <w:iCs/>
          <w:kern w:val="36"/>
          <w:highlight w:val="none"/>
        </w:rPr>
      </w:pPr>
      <w:r>
        <w:rPr>
          <w:rFonts w:hint="eastAsia" w:cs="Arial"/>
          <w:bCs/>
          <w:iCs/>
          <w:kern w:val="36"/>
          <w:highlight w:val="none"/>
        </w:rPr>
        <w:t>4. 乙方的权利和义务</w:t>
      </w:r>
    </w:p>
    <w:p>
      <w:pPr>
        <w:spacing w:line="360" w:lineRule="auto"/>
        <w:rPr>
          <w:rFonts w:cs="Arial"/>
          <w:bCs/>
          <w:iCs/>
          <w:kern w:val="36"/>
          <w:highlight w:val="none"/>
        </w:rPr>
      </w:pPr>
      <w:r>
        <w:rPr>
          <w:rFonts w:hint="eastAsia" w:cs="Arial"/>
          <w:bCs/>
          <w:iCs/>
          <w:kern w:val="36"/>
          <w:highlight w:val="none"/>
        </w:rPr>
        <w:t>4. 1乙方有权在履行合同期间内取得按合同约定应有的报酬。</w:t>
      </w:r>
    </w:p>
    <w:p>
      <w:pPr>
        <w:spacing w:line="360" w:lineRule="auto"/>
        <w:rPr>
          <w:rFonts w:cs="Arial"/>
          <w:bCs/>
          <w:iCs/>
          <w:kern w:val="36"/>
          <w:highlight w:val="none"/>
        </w:rPr>
      </w:pPr>
      <w:r>
        <w:rPr>
          <w:rFonts w:hint="eastAsia" w:cs="Arial"/>
          <w:bCs/>
          <w:iCs/>
          <w:kern w:val="36"/>
          <w:highlight w:val="none"/>
        </w:rPr>
        <w:t>4. 2乙方在项目服务过程中，如甲方提供的资料不明确时可向甲方提出书面报告。</w:t>
      </w:r>
    </w:p>
    <w:p>
      <w:pPr>
        <w:spacing w:line="360" w:lineRule="auto"/>
        <w:rPr>
          <w:rFonts w:cs="Arial"/>
          <w:bCs/>
          <w:iCs/>
          <w:kern w:val="36"/>
          <w:highlight w:val="none"/>
        </w:rPr>
      </w:pPr>
      <w:r>
        <w:rPr>
          <w:rFonts w:hint="eastAsia" w:cs="Arial"/>
          <w:bCs/>
          <w:iCs/>
          <w:kern w:val="36"/>
          <w:highlight w:val="none"/>
        </w:rPr>
        <w:t>4. 3乙方有权在合同履行期间得到甲方必要的支持，有权拒绝执行甲方任何不符合有关法律、法规规定的要求。</w:t>
      </w:r>
    </w:p>
    <w:p>
      <w:pPr>
        <w:spacing w:line="360" w:lineRule="auto"/>
        <w:rPr>
          <w:rFonts w:cs="Arial"/>
          <w:bCs/>
          <w:iCs/>
          <w:kern w:val="36"/>
          <w:highlight w:val="none"/>
        </w:rPr>
      </w:pPr>
      <w:r>
        <w:rPr>
          <w:rFonts w:hint="eastAsia" w:cs="Arial"/>
          <w:bCs/>
          <w:iCs/>
          <w:kern w:val="36"/>
          <w:highlight w:val="none"/>
        </w:rPr>
        <w:t>4. 4乙方应严格遵守国家、地方的法律、法规的规定，保证在合法且不侵犯他人利益的原则下进行所委托项目服务活动，并对其所进行的与委托有关的服务活动负责。</w:t>
      </w:r>
    </w:p>
    <w:p>
      <w:pPr>
        <w:spacing w:line="360" w:lineRule="auto"/>
        <w:rPr>
          <w:rFonts w:cs="Arial"/>
          <w:bCs/>
          <w:iCs/>
          <w:kern w:val="36"/>
          <w:highlight w:val="none"/>
        </w:rPr>
      </w:pPr>
      <w:r>
        <w:rPr>
          <w:rFonts w:hint="eastAsia" w:cs="Arial"/>
          <w:bCs/>
          <w:iCs/>
          <w:kern w:val="36"/>
          <w:highlight w:val="none"/>
        </w:rPr>
        <w:t>4. 5乙方应按本合同所述的时间、服务范围和内容,尽自己的一切努力,按行业通常接受的技术惯例和专业供应商承认的标准，高效地履行自己的义务。在项目执行过程中支持和维护国家和甲方的合法利益；</w:t>
      </w:r>
    </w:p>
    <w:p>
      <w:pPr>
        <w:spacing w:line="360" w:lineRule="auto"/>
        <w:rPr>
          <w:rFonts w:cs="Arial"/>
          <w:bCs/>
          <w:iCs/>
          <w:kern w:val="36"/>
          <w:highlight w:val="none"/>
        </w:rPr>
      </w:pPr>
      <w:r>
        <w:rPr>
          <w:rFonts w:hint="eastAsia" w:cs="Arial"/>
          <w:bCs/>
          <w:iCs/>
          <w:kern w:val="36"/>
          <w:highlight w:val="none"/>
        </w:rPr>
        <w:t>4. 6 向甲方提供与本项目服务有关的资料，包括项目服务单位、人员的资质证书及承担本合同业务的专业人员名单、项目服务工作计划等，并按合同约定的范围、时间工作依据、工作标准等，出具内容齐全、规范、准确的相关报告等。</w:t>
      </w:r>
    </w:p>
    <w:p>
      <w:pPr>
        <w:spacing w:line="360" w:lineRule="auto"/>
        <w:rPr>
          <w:rFonts w:cs="Arial"/>
          <w:bCs/>
          <w:iCs/>
          <w:kern w:val="36"/>
          <w:highlight w:val="none"/>
        </w:rPr>
      </w:pPr>
      <w:r>
        <w:rPr>
          <w:rFonts w:hint="eastAsia" w:cs="Arial"/>
          <w:bCs/>
          <w:iCs/>
          <w:kern w:val="36"/>
          <w:highlight w:val="none"/>
        </w:rPr>
        <w:t>4. 7 乙方应对履行本合同所规定的服务以及在履行中因自己违约而给甲方造成的损失承担责任并应当向甲方进行赔偿,累计赔偿总额不应超过酬金总额。但下例情况除外:</w:t>
      </w:r>
    </w:p>
    <w:p>
      <w:pPr>
        <w:spacing w:line="360" w:lineRule="auto"/>
        <w:rPr>
          <w:rFonts w:cs="Arial"/>
          <w:bCs/>
          <w:iCs/>
          <w:kern w:val="36"/>
          <w:highlight w:val="none"/>
        </w:rPr>
      </w:pPr>
      <w:r>
        <w:rPr>
          <w:rFonts w:hint="eastAsia" w:cs="Arial"/>
          <w:bCs/>
          <w:iCs/>
          <w:kern w:val="36"/>
          <w:highlight w:val="none"/>
        </w:rPr>
        <w:t xml:space="preserve">    （1）非乙方的行为、过失、违约或失职造成的损失或伤害；</w:t>
      </w:r>
    </w:p>
    <w:p>
      <w:pPr>
        <w:spacing w:line="360" w:lineRule="auto"/>
        <w:rPr>
          <w:rFonts w:cs="Arial"/>
          <w:bCs/>
          <w:iCs/>
          <w:kern w:val="36"/>
          <w:highlight w:val="none"/>
        </w:rPr>
      </w:pPr>
      <w:r>
        <w:rPr>
          <w:rFonts w:hint="eastAsia" w:cs="Arial"/>
          <w:bCs/>
          <w:iCs/>
          <w:kern w:val="36"/>
          <w:highlight w:val="none"/>
        </w:rPr>
        <w:t xml:space="preserve">    （2）不可抗力造成的损失。</w:t>
      </w:r>
    </w:p>
    <w:p>
      <w:pPr>
        <w:spacing w:line="360" w:lineRule="auto"/>
        <w:rPr>
          <w:rFonts w:cs="Arial"/>
          <w:bCs/>
          <w:iCs/>
          <w:kern w:val="36"/>
          <w:highlight w:val="none"/>
        </w:rPr>
      </w:pPr>
      <w:r>
        <w:rPr>
          <w:rFonts w:hint="eastAsia" w:cs="Arial"/>
          <w:bCs/>
          <w:iCs/>
          <w:kern w:val="36"/>
          <w:highlight w:val="none"/>
        </w:rPr>
        <w:t>4. 8乙方必须为本项目涉及的各种资料、数据和收据等保密。未经甲方书面同意,乙方及乙方员工不得泄露、遗失、复印与本合同规定业务活动有关的一切资料和内容。所有甲方或第三人（与合同业务有关相关单位）提供的与本合同规定业务活动有关的一切资料，在合同结束后均应归还。</w:t>
      </w:r>
    </w:p>
    <w:p>
      <w:pPr>
        <w:spacing w:line="360" w:lineRule="auto"/>
        <w:rPr>
          <w:rFonts w:cs="Arial"/>
          <w:bCs/>
          <w:iCs/>
          <w:kern w:val="36"/>
          <w:highlight w:val="none"/>
        </w:rPr>
      </w:pPr>
      <w:r>
        <w:rPr>
          <w:rFonts w:hint="eastAsia" w:cs="Arial"/>
          <w:bCs/>
          <w:iCs/>
          <w:kern w:val="36"/>
          <w:highlight w:val="none"/>
        </w:rPr>
        <w:t>4. 9乙方应对本项目所提供服务结果的可靠性、准确性、全面性向甲方负责，由于服务结果的可靠性、准确性、全面性不足而导致甲方工作偏差或失误，乙方应承担责任。</w:t>
      </w:r>
    </w:p>
    <w:p>
      <w:pPr>
        <w:spacing w:line="360" w:lineRule="auto"/>
        <w:rPr>
          <w:rFonts w:cs="Arial"/>
          <w:bCs/>
          <w:iCs/>
          <w:kern w:val="36"/>
          <w:highlight w:val="none"/>
        </w:rPr>
      </w:pPr>
      <w:r>
        <w:rPr>
          <w:rFonts w:hint="eastAsia" w:cs="Arial"/>
          <w:bCs/>
          <w:iCs/>
          <w:kern w:val="36"/>
          <w:highlight w:val="none"/>
        </w:rPr>
        <w:t>4. 10乙方在履行合同期间或合同规定期限内，履行本合同所确定的项目负责人及主要专业技术、管理人员等必须是本单位职工和该项目的实际操作者，未经甲方同意，乙方不得调换或撤离上述人员。</w:t>
      </w:r>
    </w:p>
    <w:p>
      <w:pPr>
        <w:spacing w:line="360" w:lineRule="auto"/>
        <w:rPr>
          <w:rFonts w:cs="Arial"/>
          <w:bCs/>
          <w:iCs/>
          <w:kern w:val="36"/>
          <w:highlight w:val="none"/>
        </w:rPr>
      </w:pPr>
      <w:r>
        <w:rPr>
          <w:rFonts w:hint="eastAsia" w:cs="Arial"/>
          <w:bCs/>
          <w:iCs/>
          <w:kern w:val="36"/>
          <w:highlight w:val="none"/>
        </w:rPr>
        <w:t>4.11按本合同支付给乙方的报酬应为本合同服务的唯一报酬。</w:t>
      </w:r>
    </w:p>
    <w:p>
      <w:pPr>
        <w:spacing w:line="360" w:lineRule="auto"/>
        <w:rPr>
          <w:rFonts w:cs="Arial"/>
          <w:bCs/>
          <w:iCs/>
          <w:kern w:val="36"/>
          <w:highlight w:val="none"/>
        </w:rPr>
      </w:pPr>
      <w:r>
        <w:rPr>
          <w:rFonts w:hint="eastAsia" w:cs="Arial"/>
          <w:bCs/>
          <w:iCs/>
          <w:kern w:val="36"/>
          <w:highlight w:val="none"/>
        </w:rPr>
        <w:t>4.12乙方在本合同履行期间均不能直接或间接从事与本合同中活动相冲突的商业或职业活动，不得以任何理由向甲方任何工作人员行贿或有类似的行为。</w:t>
      </w:r>
    </w:p>
    <w:p>
      <w:pPr>
        <w:spacing w:line="360" w:lineRule="auto"/>
        <w:rPr>
          <w:rFonts w:cs="Arial"/>
          <w:bCs/>
          <w:iCs/>
          <w:kern w:val="36"/>
          <w:highlight w:val="none"/>
        </w:rPr>
      </w:pPr>
      <w:r>
        <w:rPr>
          <w:rFonts w:hint="eastAsia" w:cs="Arial"/>
          <w:bCs/>
          <w:iCs/>
          <w:kern w:val="36"/>
          <w:highlight w:val="none"/>
        </w:rPr>
        <w:t>5. 甲方的权利和义务</w:t>
      </w:r>
    </w:p>
    <w:p>
      <w:pPr>
        <w:spacing w:line="360" w:lineRule="auto"/>
        <w:rPr>
          <w:rFonts w:cs="Arial"/>
          <w:bCs/>
          <w:iCs/>
          <w:kern w:val="36"/>
          <w:highlight w:val="none"/>
        </w:rPr>
      </w:pPr>
      <w:r>
        <w:rPr>
          <w:rFonts w:hint="eastAsia" w:cs="Arial"/>
          <w:bCs/>
          <w:iCs/>
          <w:kern w:val="36"/>
          <w:highlight w:val="none"/>
        </w:rPr>
        <w:t>5. 1甲方有权向乙方询问工作进展情况及相关的内容, 有权检查乙方的服务工作质量，有权要求乙方以书面形式就前述内容进行汇报。</w:t>
      </w:r>
    </w:p>
    <w:p>
      <w:pPr>
        <w:spacing w:line="360" w:lineRule="auto"/>
        <w:rPr>
          <w:rFonts w:cs="Arial"/>
          <w:bCs/>
          <w:iCs/>
          <w:kern w:val="36"/>
          <w:highlight w:val="none"/>
        </w:rPr>
      </w:pPr>
      <w:r>
        <w:rPr>
          <w:rFonts w:hint="eastAsia" w:cs="Arial"/>
          <w:bCs/>
          <w:iCs/>
          <w:kern w:val="36"/>
          <w:highlight w:val="none"/>
        </w:rPr>
        <w:t>5. 2甲方有权对具体的问题提出建议和意见。</w:t>
      </w:r>
    </w:p>
    <w:p>
      <w:pPr>
        <w:spacing w:line="360" w:lineRule="auto"/>
        <w:rPr>
          <w:rFonts w:cs="Arial"/>
          <w:bCs/>
          <w:iCs/>
          <w:kern w:val="36"/>
          <w:highlight w:val="none"/>
        </w:rPr>
      </w:pPr>
      <w:r>
        <w:rPr>
          <w:rFonts w:hint="eastAsia" w:cs="Arial"/>
          <w:bCs/>
          <w:iCs/>
          <w:kern w:val="36"/>
          <w:highlight w:val="none"/>
        </w:rPr>
        <w:t>5. 3当甲方认定项目服务专业人员不按项目服务合同履行其职责，或专业能力、管理能力、责任心较差，不能有效与甲方配合并履行其项目服务义务；或与第三人串通给甲方造与经济损失的，甲方有权要求更换项目服务专业人员，直至终止合同并要求乙方承担相应的赔偿责任。</w:t>
      </w:r>
    </w:p>
    <w:p>
      <w:pPr>
        <w:spacing w:line="360" w:lineRule="auto"/>
        <w:rPr>
          <w:rFonts w:cs="Arial"/>
          <w:bCs/>
          <w:iCs/>
          <w:kern w:val="36"/>
          <w:highlight w:val="none"/>
        </w:rPr>
      </w:pPr>
      <w:r>
        <w:rPr>
          <w:rFonts w:hint="eastAsia" w:cs="Arial"/>
          <w:bCs/>
          <w:iCs/>
          <w:kern w:val="36"/>
          <w:highlight w:val="none"/>
        </w:rPr>
        <w:t>5. 4甲方有权同意或不同意乙方因自身工作需要而更换合同约定的主要工作小组成员的要求。</w:t>
      </w:r>
    </w:p>
    <w:p>
      <w:pPr>
        <w:spacing w:line="360" w:lineRule="auto"/>
        <w:rPr>
          <w:rFonts w:cs="Arial"/>
          <w:bCs/>
          <w:iCs/>
          <w:kern w:val="36"/>
          <w:highlight w:val="none"/>
        </w:rPr>
      </w:pPr>
      <w:r>
        <w:rPr>
          <w:rFonts w:hint="eastAsia" w:cs="Arial"/>
          <w:bCs/>
          <w:iCs/>
          <w:kern w:val="36"/>
          <w:highlight w:val="none"/>
        </w:rPr>
        <w:t>5. 5甲方有权得到合同范围内乙方的服务和其服务成果。乙方提交的全部服务成果及相关资料，所具有的知识产权归甲方所有并使用（合同另有规定的除外），乙方就此不做任何的权利保留。</w:t>
      </w:r>
    </w:p>
    <w:p>
      <w:pPr>
        <w:spacing w:line="360" w:lineRule="auto"/>
        <w:rPr>
          <w:rFonts w:cs="Arial"/>
          <w:bCs/>
          <w:iCs/>
          <w:kern w:val="36"/>
          <w:highlight w:val="none"/>
        </w:rPr>
      </w:pPr>
      <w:r>
        <w:rPr>
          <w:rFonts w:hint="eastAsia" w:cs="Arial"/>
          <w:bCs/>
          <w:iCs/>
          <w:kern w:val="36"/>
          <w:highlight w:val="none"/>
        </w:rPr>
        <w:t>5. 6 甲方应当在合同履约中，督促、协调与本项目服务有关的第三人（与合同履行有关的相关单位）协同乙方办理有关服务事项。</w:t>
      </w:r>
    </w:p>
    <w:p>
      <w:pPr>
        <w:spacing w:line="360" w:lineRule="auto"/>
        <w:rPr>
          <w:rFonts w:cs="Arial"/>
          <w:bCs/>
          <w:iCs/>
          <w:kern w:val="36"/>
          <w:highlight w:val="none"/>
        </w:rPr>
      </w:pPr>
      <w:r>
        <w:rPr>
          <w:rFonts w:hint="eastAsia" w:cs="Arial"/>
          <w:bCs/>
          <w:iCs/>
          <w:kern w:val="36"/>
          <w:highlight w:val="none"/>
        </w:rPr>
        <w:t>5. 7甲方应当在7个工作日内就乙方书面提交并要求做出答复的事宜做出书面答复。乙方要求第三人提供有关资料时，甲方可根据自己的能力负责协调、转达及资料转送，但并不成为甲方当然的义务。</w:t>
      </w:r>
    </w:p>
    <w:p>
      <w:pPr>
        <w:spacing w:line="360" w:lineRule="auto"/>
        <w:rPr>
          <w:rFonts w:cs="Arial"/>
          <w:bCs/>
          <w:iCs/>
          <w:kern w:val="36"/>
          <w:highlight w:val="none"/>
        </w:rPr>
      </w:pPr>
      <w:r>
        <w:rPr>
          <w:rFonts w:hint="eastAsia" w:cs="Arial"/>
          <w:bCs/>
          <w:iCs/>
          <w:kern w:val="36"/>
          <w:highlight w:val="none"/>
        </w:rPr>
        <w:t>5. 8甲方应当履行本合同约定的义务，如有违反则应当承担违约责任，赔偿给乙方造成的直接经济损失。</w:t>
      </w:r>
    </w:p>
    <w:p>
      <w:pPr>
        <w:spacing w:line="360" w:lineRule="auto"/>
        <w:rPr>
          <w:rFonts w:cs="Arial"/>
          <w:bCs/>
          <w:iCs/>
          <w:kern w:val="36"/>
          <w:highlight w:val="none"/>
        </w:rPr>
      </w:pPr>
      <w:r>
        <w:rPr>
          <w:rFonts w:hint="eastAsia" w:cs="Arial"/>
          <w:bCs/>
          <w:iCs/>
          <w:kern w:val="36"/>
          <w:highlight w:val="none"/>
        </w:rPr>
        <w:t>6. 违约责任</w:t>
      </w:r>
    </w:p>
    <w:p>
      <w:pPr>
        <w:spacing w:line="360" w:lineRule="auto"/>
        <w:rPr>
          <w:rFonts w:cs="Arial"/>
          <w:bCs/>
          <w:iCs/>
          <w:kern w:val="36"/>
          <w:highlight w:val="none"/>
        </w:rPr>
      </w:pPr>
      <w:r>
        <w:rPr>
          <w:rFonts w:hint="eastAsia" w:cs="Arial"/>
          <w:bCs/>
          <w:iCs/>
          <w:kern w:val="36"/>
          <w:highlight w:val="none"/>
        </w:rPr>
        <w:t>6. 1乙方按合同约定的质量标准履行服务职责而甲方逾期支付服务费用的，应按银行同期贷款利息向乙方支付违约金，违约金最高为逾期支付服务费用的5%。</w:t>
      </w:r>
    </w:p>
    <w:p>
      <w:pPr>
        <w:spacing w:line="360" w:lineRule="auto"/>
        <w:rPr>
          <w:rFonts w:cs="Arial"/>
          <w:bCs/>
          <w:iCs/>
          <w:kern w:val="36"/>
          <w:highlight w:val="none"/>
        </w:rPr>
      </w:pPr>
      <w:r>
        <w:rPr>
          <w:rFonts w:hint="eastAsia" w:cs="Arial"/>
          <w:bCs/>
          <w:iCs/>
          <w:kern w:val="36"/>
          <w:highlight w:val="none"/>
        </w:rPr>
        <w:t>6. 2乙方未按合同约定的质量标准履行服务职责，但未给甲方造成损失的，甲方可要求乙方整改，乙方达到服务质量标准后，甲方应支付相应的服务费用。</w:t>
      </w:r>
    </w:p>
    <w:p>
      <w:pPr>
        <w:spacing w:line="360" w:lineRule="auto"/>
        <w:rPr>
          <w:rFonts w:cs="Arial"/>
          <w:bCs/>
          <w:iCs/>
          <w:kern w:val="36"/>
          <w:highlight w:val="none"/>
        </w:rPr>
      </w:pPr>
      <w:r>
        <w:rPr>
          <w:rFonts w:hint="eastAsia" w:cs="Arial"/>
          <w:bCs/>
          <w:iCs/>
          <w:kern w:val="36"/>
          <w:highlight w:val="none"/>
        </w:rPr>
        <w:t>6. 3乙方未按合同约定的质量标准履行服务职责，给甲方造成损失的，乙方应按实赔偿，并向甲方支付违约金，违约金最高为合同金额的5%。因乙方服务能力、服务质量问题导致甲方无法实现合同目的的，甲方有权单方解除合同并根据情况向乙方追回已付合同款项及追索最高为合同金额5%的违约金。</w:t>
      </w:r>
    </w:p>
    <w:p>
      <w:pPr>
        <w:spacing w:line="360" w:lineRule="auto"/>
        <w:rPr>
          <w:rFonts w:cs="Arial"/>
          <w:bCs/>
          <w:iCs/>
          <w:kern w:val="36"/>
          <w:highlight w:val="none"/>
        </w:rPr>
      </w:pPr>
      <w:r>
        <w:rPr>
          <w:rFonts w:hint="eastAsia" w:cs="Arial"/>
          <w:bCs/>
          <w:iCs/>
          <w:kern w:val="36"/>
          <w:highlight w:val="none"/>
        </w:rPr>
        <w:t>6. 4因乙方原因导致违反法律、法规和规章规定的行为的，甲方有权单方解除合同，并要求乙方按合同6.3条承担违约金并赔偿相关损失。</w:t>
      </w:r>
    </w:p>
    <w:p>
      <w:pPr>
        <w:spacing w:line="360" w:lineRule="auto"/>
        <w:rPr>
          <w:rFonts w:cs="Arial"/>
          <w:bCs/>
          <w:iCs/>
          <w:kern w:val="36"/>
          <w:highlight w:val="none"/>
        </w:rPr>
      </w:pPr>
      <w:r>
        <w:rPr>
          <w:rFonts w:hint="eastAsia" w:cs="Arial"/>
          <w:bCs/>
          <w:iCs/>
          <w:kern w:val="36"/>
          <w:highlight w:val="none"/>
        </w:rPr>
        <w:t>6 .5合同履约过程中，若乙方在合同中承诺的主要服务人员安排情况自行变动而未经甲方同意的，将按照合同6.3条的违约责任处理，情况严重者，甲方有权终止合同。</w:t>
      </w:r>
    </w:p>
    <w:p>
      <w:pPr>
        <w:spacing w:line="360" w:lineRule="auto"/>
        <w:rPr>
          <w:rFonts w:cs="Arial"/>
          <w:bCs/>
          <w:iCs/>
          <w:kern w:val="36"/>
          <w:highlight w:val="none"/>
        </w:rPr>
      </w:pPr>
      <w:r>
        <w:rPr>
          <w:rFonts w:hint="eastAsia" w:cs="Arial"/>
          <w:bCs/>
          <w:iCs/>
          <w:kern w:val="36"/>
          <w:highlight w:val="none"/>
        </w:rPr>
        <w:t>7. 争议解决方式</w:t>
      </w:r>
    </w:p>
    <w:p>
      <w:pPr>
        <w:spacing w:line="360" w:lineRule="auto"/>
        <w:rPr>
          <w:rFonts w:cs="Arial"/>
          <w:bCs/>
          <w:iCs/>
          <w:kern w:val="36"/>
          <w:highlight w:val="none"/>
        </w:rPr>
      </w:pPr>
      <w:r>
        <w:rPr>
          <w:rFonts w:hint="eastAsia" w:cs="Arial"/>
          <w:bCs/>
          <w:iCs/>
          <w:kern w:val="36"/>
          <w:highlight w:val="none"/>
        </w:rPr>
        <w:t>7. 1双方发生争议的，可协商解决，或向有关部门申请调解；也可（请在选择项中打“√”）</w:t>
      </w:r>
    </w:p>
    <w:p>
      <w:pPr>
        <w:spacing w:line="360" w:lineRule="auto"/>
        <w:rPr>
          <w:rFonts w:cs="Arial"/>
          <w:bCs/>
          <w:iCs/>
          <w:kern w:val="36"/>
          <w:highlight w:val="none"/>
        </w:rPr>
      </w:pPr>
      <w:r>
        <w:rPr>
          <w:rFonts w:hint="eastAsia" w:cs="Arial"/>
          <w:bCs/>
          <w:iCs/>
          <w:kern w:val="36"/>
          <w:highlight w:val="none"/>
        </w:rPr>
        <w:t>□提请武汉仲裁委员会仲裁。</w:t>
      </w:r>
    </w:p>
    <w:p>
      <w:pPr>
        <w:spacing w:line="360" w:lineRule="auto"/>
        <w:rPr>
          <w:rFonts w:cs="Arial"/>
          <w:bCs/>
          <w:iCs/>
          <w:kern w:val="36"/>
          <w:highlight w:val="none"/>
        </w:rPr>
      </w:pPr>
      <w:r>
        <w:rPr>
          <w:rFonts w:hint="eastAsia" w:cs="Arial"/>
          <w:bCs/>
          <w:iCs/>
          <w:kern w:val="36"/>
          <w:highlight w:val="none"/>
        </w:rPr>
        <w:t>□向甲方所在地法院提起诉讼。</w:t>
      </w:r>
    </w:p>
    <w:p>
      <w:pPr>
        <w:spacing w:line="360" w:lineRule="auto"/>
        <w:rPr>
          <w:rFonts w:cs="Arial"/>
          <w:bCs/>
          <w:iCs/>
          <w:kern w:val="36"/>
          <w:highlight w:val="none"/>
        </w:rPr>
      </w:pPr>
      <w:r>
        <w:rPr>
          <w:rFonts w:hint="eastAsia" w:cs="Arial"/>
          <w:bCs/>
          <w:iCs/>
          <w:kern w:val="36"/>
          <w:highlight w:val="none"/>
        </w:rPr>
        <w:t>8. 合同生效</w:t>
      </w:r>
    </w:p>
    <w:p>
      <w:pPr>
        <w:spacing w:line="360" w:lineRule="auto"/>
        <w:rPr>
          <w:rFonts w:cs="Arial"/>
          <w:bCs/>
          <w:iCs/>
          <w:kern w:val="36"/>
          <w:highlight w:val="none"/>
        </w:rPr>
      </w:pPr>
      <w:r>
        <w:rPr>
          <w:rFonts w:hint="eastAsia" w:cs="Arial"/>
          <w:bCs/>
          <w:iCs/>
          <w:kern w:val="36"/>
          <w:highlight w:val="none"/>
        </w:rPr>
        <w:t>8. 1本合同经双方签字、盖章后生效。本合同一式肆份，甲乙双方各执贰份。</w:t>
      </w:r>
    </w:p>
    <w:p>
      <w:pPr>
        <w:spacing w:line="360" w:lineRule="auto"/>
        <w:rPr>
          <w:rFonts w:cs="Arial"/>
          <w:bCs/>
          <w:iCs/>
          <w:kern w:val="36"/>
          <w:highlight w:val="none"/>
        </w:rPr>
      </w:pPr>
      <w:r>
        <w:rPr>
          <w:rFonts w:hint="eastAsia" w:cs="Arial"/>
          <w:bCs/>
          <w:iCs/>
          <w:kern w:val="36"/>
          <w:highlight w:val="none"/>
        </w:rPr>
        <w:t>8.2 合同中有关双方的地址、传真等联系方式等信息均为双方的文书信息送达地址，同时也作为双方争议发生的相关诉讼法律文书送达地址（包括原审、二审、再审、执行阶段等），变更须书面通知对方。</w:t>
      </w:r>
    </w:p>
    <w:p>
      <w:pPr>
        <w:spacing w:line="360" w:lineRule="auto"/>
        <w:rPr>
          <w:rFonts w:cs="Arial"/>
          <w:bCs/>
          <w:iCs/>
          <w:kern w:val="36"/>
          <w:highlight w:val="none"/>
        </w:rPr>
      </w:pPr>
      <w:r>
        <w:rPr>
          <w:rFonts w:hint="eastAsia" w:cs="Arial"/>
          <w:bCs/>
          <w:iCs/>
          <w:kern w:val="36"/>
          <w:highlight w:val="none"/>
        </w:rPr>
        <w:t>9. 合同附件</w:t>
      </w:r>
    </w:p>
    <w:p>
      <w:pPr>
        <w:spacing w:line="360" w:lineRule="auto"/>
        <w:rPr>
          <w:rFonts w:cs="Arial"/>
          <w:bCs/>
          <w:iCs/>
          <w:kern w:val="36"/>
          <w:highlight w:val="none"/>
        </w:rPr>
      </w:pPr>
      <w:r>
        <w:rPr>
          <w:rFonts w:hint="eastAsia" w:cs="Arial"/>
          <w:bCs/>
          <w:iCs/>
          <w:kern w:val="36"/>
          <w:highlight w:val="none"/>
        </w:rPr>
        <w:t>9. 1 本合同附件与合同具有同等效力。</w:t>
      </w:r>
    </w:p>
    <w:p>
      <w:pPr>
        <w:spacing w:line="360" w:lineRule="auto"/>
        <w:rPr>
          <w:rFonts w:cs="Arial"/>
          <w:bCs/>
          <w:iCs/>
          <w:kern w:val="36"/>
          <w:highlight w:val="none"/>
        </w:rPr>
      </w:pPr>
      <w:r>
        <w:rPr>
          <w:rFonts w:hint="eastAsia" w:cs="Arial"/>
          <w:bCs/>
          <w:iCs/>
          <w:kern w:val="36"/>
          <w:highlight w:val="none"/>
        </w:rPr>
        <w:t>9. 2合同文件应能相互解释，互为说明。若合同文件之间有矛盾，则以最新的文件为准。</w:t>
      </w:r>
    </w:p>
    <w:p>
      <w:pPr>
        <w:spacing w:line="360" w:lineRule="auto"/>
        <w:rPr>
          <w:rFonts w:cs="Arial"/>
          <w:bCs/>
          <w:iCs/>
          <w:kern w:val="36"/>
          <w:highlight w:val="none"/>
        </w:rPr>
      </w:pPr>
      <w:r>
        <w:rPr>
          <w:rFonts w:hint="eastAsia" w:cs="Arial"/>
          <w:bCs/>
          <w:iCs/>
          <w:kern w:val="36"/>
          <w:highlight w:val="none"/>
        </w:rPr>
        <w:t>10. 合同修改</w:t>
      </w:r>
    </w:p>
    <w:p>
      <w:pPr>
        <w:spacing w:line="360" w:lineRule="auto"/>
        <w:rPr>
          <w:rFonts w:ascii="宋体" w:hAnsi="宋体"/>
          <w:szCs w:val="21"/>
          <w:highlight w:val="none"/>
        </w:rPr>
      </w:pPr>
      <w:r>
        <w:rPr>
          <w:rFonts w:hint="eastAsia" w:cs="Arial"/>
          <w:bCs/>
          <w:iCs/>
          <w:kern w:val="36"/>
          <w:highlight w:val="none"/>
        </w:rPr>
        <w:t>10．1 除了双方签署书面修改协议，并成为本合同不可分割的一部分之外，本合同条件不得有任何变化或修改。</w:t>
      </w:r>
    </w:p>
    <w:p>
      <w:pPr>
        <w:spacing w:line="360" w:lineRule="auto"/>
        <w:rPr>
          <w:rFonts w:ascii="宋体" w:hAnsi="宋体"/>
          <w:szCs w:val="21"/>
          <w:highlight w:val="none"/>
        </w:rPr>
      </w:pPr>
    </w:p>
    <w:p>
      <w:pPr>
        <w:spacing w:line="360" w:lineRule="auto"/>
        <w:rPr>
          <w:rFonts w:ascii="宋体" w:hAnsi="宋体"/>
          <w:b/>
          <w:szCs w:val="21"/>
          <w:highlight w:val="none"/>
        </w:rPr>
      </w:pPr>
      <w:r>
        <w:rPr>
          <w:rFonts w:hint="eastAsia" w:ascii="宋体" w:hAnsi="宋体"/>
          <w:b/>
          <w:szCs w:val="21"/>
          <w:highlight w:val="none"/>
        </w:rPr>
        <w:t>四、合同附件：</w:t>
      </w:r>
    </w:p>
    <w:p>
      <w:pPr>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履约验收方案</w:t>
      </w:r>
    </w:p>
    <w:p>
      <w:pPr>
        <w:pStyle w:val="250"/>
        <w:rPr>
          <w:highlight w:val="none"/>
        </w:rPr>
      </w:pPr>
    </w:p>
    <w:p>
      <w:pPr>
        <w:spacing w:line="360" w:lineRule="auto"/>
        <w:rPr>
          <w:rFonts w:ascii="宋体"/>
          <w:highlight w:val="none"/>
        </w:rPr>
      </w:pPr>
      <w:r>
        <w:rPr>
          <w:rFonts w:hint="eastAsia" w:ascii="宋体"/>
          <w:highlight w:val="none"/>
        </w:rPr>
        <w:t>签约各方：</w:t>
      </w:r>
    </w:p>
    <w:p>
      <w:pPr>
        <w:spacing w:line="360" w:lineRule="auto"/>
        <w:rPr>
          <w:rFonts w:ascii="宋体"/>
          <w:highlight w:val="none"/>
        </w:rPr>
      </w:pPr>
      <w:r>
        <w:rPr>
          <w:rFonts w:hint="eastAsia" w:ascii="宋体"/>
          <w:highlight w:val="none"/>
        </w:rPr>
        <w:t xml:space="preserve">甲方：                                   </w:t>
      </w:r>
      <w:r>
        <w:rPr>
          <w:rFonts w:hint="eastAsia" w:ascii="宋体"/>
          <w:bCs/>
          <w:iCs/>
          <w:highlight w:val="none"/>
        </w:rPr>
        <w:t>乙方：</w:t>
      </w:r>
      <w:r>
        <w:rPr>
          <w:rFonts w:hint="eastAsia" w:ascii="宋体"/>
          <w:highlight w:val="none"/>
        </w:rPr>
        <w:t xml:space="preserve"> </w:t>
      </w:r>
    </w:p>
    <w:p>
      <w:pPr>
        <w:spacing w:line="360" w:lineRule="auto"/>
        <w:rPr>
          <w:rFonts w:ascii="宋体"/>
          <w:bCs/>
          <w:iCs/>
          <w:highlight w:val="none"/>
        </w:rPr>
      </w:pPr>
      <w:r>
        <w:rPr>
          <w:rFonts w:hint="eastAsia" w:ascii="宋体"/>
          <w:highlight w:val="none"/>
        </w:rPr>
        <w:t xml:space="preserve">（盖章）                                </w:t>
      </w:r>
      <w:r>
        <w:rPr>
          <w:rFonts w:hint="eastAsia" w:ascii="宋体"/>
          <w:bCs/>
          <w:iCs/>
          <w:highlight w:val="none"/>
        </w:rPr>
        <w:t>（盖章）</w:t>
      </w:r>
    </w:p>
    <w:p>
      <w:pPr>
        <w:spacing w:line="360" w:lineRule="auto"/>
        <w:rPr>
          <w:rFonts w:ascii="宋体"/>
          <w:highlight w:val="none"/>
        </w:rPr>
      </w:pPr>
      <w:r>
        <w:rPr>
          <w:rFonts w:hint="eastAsia" w:ascii="宋体"/>
          <w:highlight w:val="none"/>
        </w:rPr>
        <w:t>法定代表人或授权委托人（签章）           法定代表人或授权委托人（签章）</w:t>
      </w:r>
    </w:p>
    <w:p>
      <w:pPr>
        <w:spacing w:line="360" w:lineRule="auto"/>
        <w:rPr>
          <w:rFonts w:ascii="宋体"/>
          <w:highlight w:val="none"/>
        </w:rPr>
      </w:pPr>
      <w:r>
        <w:rPr>
          <w:rFonts w:hint="eastAsia" w:ascii="宋体"/>
          <w:highlight w:val="none"/>
        </w:rPr>
        <w:t>合同签订地点：                           合同签订地点：</w:t>
      </w:r>
    </w:p>
    <w:p>
      <w:pPr>
        <w:spacing w:line="360" w:lineRule="auto"/>
        <w:rPr>
          <w:rFonts w:ascii="宋体"/>
          <w:highlight w:val="none"/>
        </w:rPr>
      </w:pPr>
      <w:r>
        <w:rPr>
          <w:rFonts w:hint="eastAsia" w:ascii="宋体"/>
          <w:highlight w:val="none"/>
        </w:rPr>
        <w:t xml:space="preserve">   年  月   日                                 年   月   日</w:t>
      </w:r>
    </w:p>
    <w:p>
      <w:pPr>
        <w:rPr>
          <w:rFonts w:hint="eastAsia" w:ascii="微软雅黑" w:hAnsi="微软雅黑" w:eastAsia="微软雅黑" w:cs="Times New Roman"/>
          <w:szCs w:val="32"/>
          <w:highlight w:val="none"/>
        </w:rPr>
      </w:pPr>
      <w:r>
        <w:rPr>
          <w:rFonts w:hint="eastAsia" w:ascii="微软雅黑" w:hAnsi="微软雅黑" w:eastAsia="微软雅黑" w:cs="Times New Roman"/>
          <w:szCs w:val="32"/>
          <w:highlight w:val="none"/>
        </w:rPr>
        <w:br w:type="page"/>
      </w:r>
    </w:p>
    <w:p>
      <w:pPr>
        <w:bidi w:val="0"/>
        <w:jc w:val="center"/>
        <w:rPr>
          <w:rFonts w:hint="eastAsia"/>
          <w:b/>
          <w:bCs/>
          <w:sz w:val="40"/>
          <w:szCs w:val="48"/>
          <w:highlight w:val="none"/>
          <w:lang w:eastAsia="zh-CN"/>
        </w:rPr>
      </w:pPr>
      <w:bookmarkStart w:id="1012" w:name="_Toc16012"/>
      <w:r>
        <w:rPr>
          <w:rFonts w:hint="eastAsia"/>
          <w:b/>
          <w:bCs/>
          <w:sz w:val="40"/>
          <w:szCs w:val="48"/>
          <w:highlight w:val="none"/>
        </w:rPr>
        <w:t>履约验收方案</w:t>
      </w:r>
      <w:bookmarkEnd w:id="1012"/>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一、成立验收小组及成员情况</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1、验收小组组成</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由采购人组建验收小组，必要时采购人可以邀请参加本项目的其他供应商或者第三方专业机构及专家参与验收，相关验收意见作为验收的参考资料。</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2、验收小组成员</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二、验收时间及验收地点</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1、验收时间</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2、验收地点</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三、验收方式</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服务类项目的验收方式包括交付验收和过程验收。</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四、验收内容</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验收内容包括每一项技术和商务要求的履约情况，验收标准要包括所有客观、量化指标。不能明确客观标准、涉及主观判断的，可以通过在采购人、使用人中开展问卷调查等方式，转化为客观、量化的验收标准。</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五、验收程序</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实施验收准备、正式实施验收到出具履约验收结论的程序。（包括但不限于听取采购人、供应商对项目实施的情况汇报，现场查看和听取使用情况，查看运行情况安全、技术保障等情况）。</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六、验收标准</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项目验收标准应当符合采购合同、响应文件、招标文件等约定，未进行相应约定的，应当符合国家强制性规定、政策要求、安全标准、行业或企业有关标准等。</w:t>
      </w:r>
    </w:p>
    <w:p>
      <w:pPr>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br w:type="page"/>
      </w:r>
    </w:p>
    <w:p>
      <w:pPr>
        <w:keepNext/>
        <w:keepLines/>
        <w:widowControl w:val="0"/>
        <w:numPr>
          <w:ilvl w:val="0"/>
          <w:numId w:val="3"/>
        </w:numPr>
        <w:autoSpaceDE w:val="0"/>
        <w:autoSpaceDN w:val="0"/>
        <w:adjustRightInd w:val="0"/>
        <w:spacing w:before="120" w:after="120" w:line="300" w:lineRule="auto"/>
        <w:ind w:left="0" w:firstLine="0"/>
        <w:jc w:val="center"/>
        <w:outlineLvl w:val="0"/>
        <w:rPr>
          <w:rFonts w:ascii="宋体" w:hAnsi="宋体" w:eastAsia="宋体" w:cs="宋体"/>
          <w:b/>
          <w:kern w:val="0"/>
          <w:sz w:val="32"/>
          <w:szCs w:val="32"/>
          <w:highlight w:val="none"/>
          <w:lang w:val="en-US" w:eastAsia="zh-CN" w:bidi="ar-SA"/>
        </w:rPr>
      </w:pPr>
      <w:bookmarkStart w:id="1013" w:name="_Toc10206"/>
      <w:r>
        <w:rPr>
          <w:rFonts w:hint="eastAsia" w:ascii="宋体" w:hAnsi="宋体" w:eastAsia="宋体" w:cs="宋体"/>
          <w:b/>
          <w:kern w:val="0"/>
          <w:sz w:val="32"/>
          <w:szCs w:val="32"/>
          <w:highlight w:val="none"/>
          <w:lang w:val="en-US" w:eastAsia="zh-CN" w:bidi="ar-SA"/>
        </w:rPr>
        <w:t>投标文件格式</w:t>
      </w:r>
      <w:bookmarkEnd w:id="1013"/>
    </w:p>
    <w:p>
      <w:pPr>
        <w:widowControl w:val="0"/>
        <w:spacing w:line="480" w:lineRule="auto"/>
        <w:jc w:val="both"/>
        <w:rPr>
          <w:rFonts w:ascii="宋体" w:hAnsi="宋体" w:eastAsia="宋体" w:cs="宋体"/>
          <w:b/>
          <w:bCs/>
          <w:spacing w:val="100"/>
          <w:w w:val="110"/>
          <w:kern w:val="0"/>
          <w:sz w:val="24"/>
          <w:szCs w:val="20"/>
          <w:highlight w:val="none"/>
          <w:u w:val="single"/>
          <w:lang w:val="en-US" w:eastAsia="zh-CN" w:bidi="ar-SA"/>
        </w:rPr>
      </w:pPr>
      <w:r>
        <w:rPr>
          <w:rFonts w:hint="eastAsia" w:ascii="宋体" w:hAnsi="宋体" w:eastAsia="宋体" w:cs="宋体"/>
          <w:kern w:val="2"/>
          <w:sz w:val="24"/>
          <w:szCs w:val="20"/>
          <w:highlight w:val="none"/>
          <w:lang w:val="en-US" w:eastAsia="zh-CN" w:bidi="ar-SA"/>
        </w:rPr>
        <w:t>封面：</w:t>
      </w:r>
    </w:p>
    <w:p>
      <w:pPr>
        <w:widowControl w:val="0"/>
        <w:tabs>
          <w:tab w:val="left" w:pos="1260"/>
        </w:tabs>
        <w:spacing w:line="300" w:lineRule="auto"/>
        <w:jc w:val="center"/>
        <w:rPr>
          <w:rFonts w:ascii="宋体" w:hAnsi="宋体" w:eastAsia="宋体" w:cs="宋体"/>
          <w:b/>
          <w:bCs/>
          <w:spacing w:val="100"/>
          <w:w w:val="110"/>
          <w:kern w:val="0"/>
          <w:sz w:val="52"/>
          <w:szCs w:val="52"/>
          <w:highlight w:val="none"/>
          <w:lang w:val="en-US" w:eastAsia="zh-CN" w:bidi="ar-SA"/>
        </w:rPr>
      </w:pPr>
      <w:r>
        <w:rPr>
          <w:rFonts w:hint="eastAsia" w:ascii="宋体" w:hAnsi="宋体" w:eastAsia="宋体" w:cs="宋体"/>
          <w:b/>
          <w:bCs/>
          <w:spacing w:val="100"/>
          <w:w w:val="110"/>
          <w:kern w:val="0"/>
          <w:sz w:val="52"/>
          <w:szCs w:val="52"/>
          <w:highlight w:val="none"/>
          <w:lang w:val="en-US" w:eastAsia="zh-CN" w:bidi="ar-SA"/>
        </w:rPr>
        <w:t>政府采购</w:t>
      </w:r>
    </w:p>
    <w:p>
      <w:pPr>
        <w:widowControl w:val="0"/>
        <w:tabs>
          <w:tab w:val="left" w:pos="1260"/>
        </w:tabs>
        <w:spacing w:line="480" w:lineRule="auto"/>
        <w:jc w:val="center"/>
        <w:rPr>
          <w:rFonts w:ascii="宋体" w:hAnsi="宋体" w:eastAsia="宋体" w:cs="宋体"/>
          <w:b/>
          <w:bCs/>
          <w:spacing w:val="100"/>
          <w:w w:val="110"/>
          <w:kern w:val="0"/>
          <w:sz w:val="24"/>
          <w:szCs w:val="20"/>
          <w:highlight w:val="none"/>
          <w:u w:val="single"/>
          <w:lang w:val="en-US" w:eastAsia="zh-CN" w:bidi="ar-SA"/>
        </w:rPr>
      </w:pPr>
    </w:p>
    <w:p>
      <w:pPr>
        <w:widowControl w:val="0"/>
        <w:tabs>
          <w:tab w:val="left" w:pos="1260"/>
        </w:tabs>
        <w:spacing w:line="480" w:lineRule="auto"/>
        <w:jc w:val="center"/>
        <w:rPr>
          <w:rFonts w:ascii="宋体" w:hAnsi="宋体" w:eastAsia="宋体" w:cs="宋体"/>
          <w:b/>
          <w:bCs/>
          <w:spacing w:val="100"/>
          <w:w w:val="110"/>
          <w:kern w:val="0"/>
          <w:sz w:val="24"/>
          <w:szCs w:val="20"/>
          <w:highlight w:val="none"/>
          <w:u w:val="single"/>
          <w:lang w:val="en-US" w:eastAsia="zh-CN" w:bidi="ar-SA"/>
        </w:rPr>
      </w:pPr>
    </w:p>
    <w:p>
      <w:pPr>
        <w:widowControl w:val="0"/>
        <w:tabs>
          <w:tab w:val="left" w:pos="1260"/>
        </w:tabs>
        <w:spacing w:line="480" w:lineRule="auto"/>
        <w:jc w:val="center"/>
        <w:rPr>
          <w:rFonts w:ascii="宋体" w:hAnsi="宋体" w:eastAsia="宋体" w:cs="宋体"/>
          <w:b/>
          <w:bCs/>
          <w:spacing w:val="100"/>
          <w:w w:val="110"/>
          <w:kern w:val="0"/>
          <w:sz w:val="24"/>
          <w:szCs w:val="20"/>
          <w:highlight w:val="none"/>
          <w:u w:val="single"/>
          <w:lang w:val="en-US" w:eastAsia="zh-CN" w:bidi="ar-SA"/>
        </w:rPr>
      </w:pPr>
    </w:p>
    <w:p>
      <w:pPr>
        <w:widowControl w:val="0"/>
        <w:tabs>
          <w:tab w:val="left" w:pos="1260"/>
        </w:tabs>
        <w:spacing w:line="300" w:lineRule="auto"/>
        <w:jc w:val="center"/>
        <w:rPr>
          <w:rFonts w:ascii="宋体" w:hAnsi="宋体" w:eastAsia="宋体" w:cs="宋体"/>
          <w:spacing w:val="100"/>
          <w:w w:val="110"/>
          <w:kern w:val="2"/>
          <w:sz w:val="84"/>
          <w:szCs w:val="84"/>
          <w:highlight w:val="none"/>
          <w:lang w:val="en-US" w:eastAsia="zh-CN" w:bidi="ar-SA"/>
        </w:rPr>
      </w:pPr>
      <w:r>
        <w:rPr>
          <w:rFonts w:hint="eastAsia" w:ascii="宋体" w:hAnsi="宋体" w:eastAsia="宋体" w:cs="宋体"/>
          <w:bCs/>
          <w:spacing w:val="100"/>
          <w:w w:val="110"/>
          <w:kern w:val="0"/>
          <w:sz w:val="84"/>
          <w:szCs w:val="84"/>
          <w:highlight w:val="none"/>
          <w:lang w:val="en-US" w:eastAsia="zh-CN" w:bidi="ar-SA"/>
        </w:rPr>
        <w:t>投标文件</w:t>
      </w:r>
    </w:p>
    <w:p>
      <w:pPr>
        <w:widowControl w:val="0"/>
        <w:spacing w:line="300" w:lineRule="auto"/>
        <w:jc w:val="center"/>
        <w:rPr>
          <w:rFonts w:ascii="宋体" w:hAnsi="宋体" w:eastAsia="宋体" w:cs="宋体"/>
          <w:kern w:val="2"/>
          <w:sz w:val="32"/>
          <w:szCs w:val="32"/>
          <w:highlight w:val="none"/>
          <w:lang w:val="en-US" w:eastAsia="zh-CN" w:bidi="ar-SA"/>
        </w:rPr>
      </w:pPr>
      <w:r>
        <w:rPr>
          <w:rFonts w:hint="eastAsia" w:ascii="宋体" w:hAnsi="宋体" w:eastAsia="宋体" w:cs="宋体"/>
          <w:kern w:val="2"/>
          <w:sz w:val="32"/>
          <w:szCs w:val="32"/>
          <w:highlight w:val="none"/>
          <w:lang w:val="en-US" w:eastAsia="zh-CN" w:bidi="ar-SA"/>
        </w:rPr>
        <w:t>（正本/副本）</w:t>
      </w:r>
    </w:p>
    <w:p>
      <w:pPr>
        <w:widowControl w:val="0"/>
        <w:tabs>
          <w:tab w:val="left" w:pos="1260"/>
        </w:tabs>
        <w:spacing w:line="480" w:lineRule="auto"/>
        <w:jc w:val="center"/>
        <w:rPr>
          <w:rFonts w:ascii="宋体" w:hAnsi="宋体" w:eastAsia="宋体" w:cs="宋体"/>
          <w:b/>
          <w:bCs/>
          <w:spacing w:val="100"/>
          <w:w w:val="110"/>
          <w:kern w:val="0"/>
          <w:sz w:val="24"/>
          <w:szCs w:val="20"/>
          <w:highlight w:val="none"/>
          <w:u w:val="single"/>
          <w:lang w:val="en-US" w:eastAsia="zh-CN" w:bidi="ar-SA"/>
        </w:rPr>
      </w:pPr>
    </w:p>
    <w:p>
      <w:pPr>
        <w:widowControl w:val="0"/>
        <w:tabs>
          <w:tab w:val="left" w:pos="1260"/>
        </w:tabs>
        <w:spacing w:line="480" w:lineRule="auto"/>
        <w:jc w:val="center"/>
        <w:rPr>
          <w:rFonts w:ascii="宋体" w:hAnsi="宋体" w:eastAsia="宋体" w:cs="宋体"/>
          <w:b/>
          <w:bCs/>
          <w:spacing w:val="100"/>
          <w:w w:val="110"/>
          <w:kern w:val="0"/>
          <w:sz w:val="24"/>
          <w:szCs w:val="20"/>
          <w:highlight w:val="none"/>
          <w:u w:val="single"/>
          <w:lang w:val="en-US" w:eastAsia="zh-CN" w:bidi="ar-SA"/>
        </w:rPr>
      </w:pPr>
    </w:p>
    <w:p>
      <w:pPr>
        <w:widowControl w:val="0"/>
        <w:tabs>
          <w:tab w:val="left" w:pos="1260"/>
        </w:tabs>
        <w:spacing w:line="480" w:lineRule="auto"/>
        <w:jc w:val="center"/>
        <w:rPr>
          <w:rFonts w:ascii="宋体" w:hAnsi="宋体" w:eastAsia="宋体" w:cs="宋体"/>
          <w:b/>
          <w:bCs/>
          <w:spacing w:val="100"/>
          <w:w w:val="110"/>
          <w:kern w:val="0"/>
          <w:sz w:val="24"/>
          <w:szCs w:val="20"/>
          <w:highlight w:val="none"/>
          <w:u w:val="single"/>
          <w:lang w:val="en-US" w:eastAsia="zh-CN" w:bidi="ar-SA"/>
        </w:rPr>
      </w:pPr>
    </w:p>
    <w:p>
      <w:pPr>
        <w:widowControl w:val="0"/>
        <w:spacing w:line="300" w:lineRule="auto"/>
        <w:ind w:firstLine="838" w:firstLineChars="262"/>
        <w:jc w:val="both"/>
        <w:rPr>
          <w:rFonts w:ascii="宋体" w:hAnsi="宋体" w:eastAsia="宋体" w:cs="宋体"/>
          <w:kern w:val="2"/>
          <w:sz w:val="32"/>
          <w:szCs w:val="32"/>
          <w:highlight w:val="none"/>
          <w:lang w:val="en-US" w:eastAsia="zh-CN" w:bidi="ar-SA"/>
        </w:rPr>
      </w:pPr>
      <w:r>
        <w:rPr>
          <w:rFonts w:hint="eastAsia" w:ascii="宋体" w:hAnsi="宋体" w:eastAsia="宋体" w:cs="宋体"/>
          <w:kern w:val="2"/>
          <w:sz w:val="32"/>
          <w:szCs w:val="32"/>
          <w:highlight w:val="none"/>
          <w:lang w:val="en-US" w:eastAsia="zh-CN" w:bidi="ar-SA"/>
        </w:rPr>
        <w:t>项目编号：</w:t>
      </w:r>
    </w:p>
    <w:p>
      <w:pPr>
        <w:widowControl w:val="0"/>
        <w:spacing w:line="300" w:lineRule="auto"/>
        <w:ind w:firstLine="838" w:firstLineChars="262"/>
        <w:jc w:val="both"/>
        <w:rPr>
          <w:rFonts w:ascii="宋体" w:hAnsi="宋体" w:eastAsia="宋体" w:cs="宋体"/>
          <w:kern w:val="2"/>
          <w:sz w:val="32"/>
          <w:szCs w:val="32"/>
          <w:highlight w:val="none"/>
          <w:u w:val="single"/>
          <w:lang w:val="en-US" w:eastAsia="zh-CN" w:bidi="ar-SA"/>
        </w:rPr>
      </w:pPr>
      <w:r>
        <w:rPr>
          <w:rFonts w:hint="eastAsia" w:ascii="宋体" w:hAnsi="宋体" w:eastAsia="宋体" w:cs="宋体"/>
          <w:kern w:val="2"/>
          <w:sz w:val="32"/>
          <w:szCs w:val="32"/>
          <w:highlight w:val="none"/>
          <w:lang w:val="en-US" w:eastAsia="zh-CN" w:bidi="ar-SA"/>
        </w:rPr>
        <w:t>项目名称：</w:t>
      </w:r>
    </w:p>
    <w:p>
      <w:pPr>
        <w:widowControl w:val="0"/>
        <w:spacing w:line="300" w:lineRule="auto"/>
        <w:ind w:firstLine="960" w:firstLineChars="300"/>
        <w:jc w:val="both"/>
        <w:rPr>
          <w:rFonts w:ascii="宋体" w:hAnsi="宋体" w:eastAsia="宋体" w:cs="宋体"/>
          <w:kern w:val="2"/>
          <w:sz w:val="32"/>
          <w:szCs w:val="32"/>
          <w:highlight w:val="none"/>
          <w:lang w:val="en-US" w:eastAsia="zh-CN" w:bidi="ar-SA"/>
        </w:rPr>
      </w:pPr>
    </w:p>
    <w:p>
      <w:pPr>
        <w:widowControl w:val="0"/>
        <w:spacing w:line="300" w:lineRule="auto"/>
        <w:ind w:firstLine="960" w:firstLineChars="300"/>
        <w:jc w:val="both"/>
        <w:rPr>
          <w:rFonts w:ascii="宋体" w:hAnsi="宋体" w:eastAsia="宋体" w:cs="宋体"/>
          <w:kern w:val="2"/>
          <w:sz w:val="32"/>
          <w:szCs w:val="32"/>
          <w:highlight w:val="none"/>
          <w:lang w:val="en-US" w:eastAsia="zh-CN" w:bidi="ar-SA"/>
        </w:rPr>
      </w:pPr>
    </w:p>
    <w:p>
      <w:pPr>
        <w:widowControl w:val="0"/>
        <w:spacing w:line="300" w:lineRule="auto"/>
        <w:ind w:firstLine="960" w:firstLineChars="300"/>
        <w:jc w:val="both"/>
        <w:rPr>
          <w:rFonts w:ascii="宋体" w:hAnsi="宋体" w:eastAsia="宋体" w:cs="宋体"/>
          <w:kern w:val="2"/>
          <w:sz w:val="32"/>
          <w:szCs w:val="32"/>
          <w:highlight w:val="none"/>
          <w:lang w:val="en-US" w:eastAsia="zh-CN" w:bidi="ar-SA"/>
        </w:rPr>
      </w:pPr>
    </w:p>
    <w:p>
      <w:pPr>
        <w:widowControl w:val="0"/>
        <w:spacing w:line="300" w:lineRule="auto"/>
        <w:ind w:firstLine="838" w:firstLineChars="262"/>
        <w:jc w:val="both"/>
        <w:rPr>
          <w:rFonts w:ascii="宋体" w:hAnsi="宋体" w:eastAsia="宋体" w:cs="宋体"/>
          <w:kern w:val="2"/>
          <w:sz w:val="32"/>
          <w:szCs w:val="32"/>
          <w:highlight w:val="none"/>
          <w:lang w:val="en-US" w:eastAsia="zh-CN" w:bidi="ar-SA"/>
        </w:rPr>
      </w:pPr>
    </w:p>
    <w:p>
      <w:pPr>
        <w:widowControl w:val="0"/>
        <w:spacing w:line="300" w:lineRule="auto"/>
        <w:ind w:firstLine="838" w:firstLineChars="262"/>
        <w:jc w:val="both"/>
        <w:rPr>
          <w:rFonts w:ascii="宋体" w:hAnsi="宋体" w:eastAsia="宋体" w:cs="宋体"/>
          <w:kern w:val="2"/>
          <w:sz w:val="32"/>
          <w:szCs w:val="32"/>
          <w:highlight w:val="none"/>
          <w:lang w:val="en-US" w:eastAsia="zh-CN" w:bidi="ar-SA"/>
        </w:rPr>
      </w:pPr>
      <w:r>
        <w:rPr>
          <w:rFonts w:hint="eastAsia" w:ascii="宋体" w:hAnsi="宋体" w:eastAsia="宋体" w:cs="宋体"/>
          <w:kern w:val="2"/>
          <w:sz w:val="32"/>
          <w:szCs w:val="32"/>
          <w:highlight w:val="none"/>
          <w:lang w:val="en-US" w:eastAsia="zh-CN" w:bidi="ar-SA"/>
        </w:rPr>
        <w:t xml:space="preserve">投标人名称：                </w:t>
      </w:r>
    </w:p>
    <w:p>
      <w:pPr>
        <w:widowControl w:val="0"/>
        <w:spacing w:line="300" w:lineRule="auto"/>
        <w:ind w:firstLine="838" w:firstLineChars="262"/>
        <w:jc w:val="both"/>
        <w:rPr>
          <w:rFonts w:ascii="宋体" w:hAnsi="宋体" w:eastAsia="宋体" w:cs="宋体"/>
          <w:kern w:val="2"/>
          <w:sz w:val="32"/>
          <w:szCs w:val="32"/>
          <w:highlight w:val="none"/>
          <w:lang w:val="en-US" w:eastAsia="zh-CN" w:bidi="ar-SA"/>
        </w:rPr>
      </w:pPr>
      <w:r>
        <w:rPr>
          <w:rFonts w:hint="eastAsia" w:ascii="宋体" w:hAnsi="宋体" w:eastAsia="宋体" w:cs="宋体"/>
          <w:kern w:val="2"/>
          <w:sz w:val="32"/>
          <w:szCs w:val="32"/>
          <w:highlight w:val="none"/>
          <w:lang w:val="en-US" w:eastAsia="zh-CN" w:bidi="ar-SA"/>
        </w:rPr>
        <w:t>日期：             年      月      日</w:t>
      </w:r>
    </w:p>
    <w:p>
      <w:pPr>
        <w:widowControl/>
        <w:jc w:val="center"/>
        <w:rPr>
          <w:rFonts w:ascii="宋体" w:hAnsi="宋体" w:eastAsia="宋体" w:cs="宋体"/>
          <w:b/>
          <w:sz w:val="32"/>
          <w:szCs w:val="32"/>
          <w:highlight w:val="none"/>
        </w:rPr>
      </w:pPr>
      <w:r>
        <w:rPr>
          <w:rFonts w:hint="eastAsia" w:ascii="宋体" w:hAnsi="宋体" w:eastAsia="宋体" w:cs="宋体"/>
          <w:b/>
          <w:sz w:val="32"/>
          <w:szCs w:val="32"/>
          <w:highlight w:val="none"/>
          <w:u w:val="single"/>
        </w:rPr>
        <w:br w:type="page"/>
      </w:r>
      <w:r>
        <w:rPr>
          <w:rFonts w:hint="eastAsia" w:ascii="宋体" w:hAnsi="宋体" w:eastAsia="宋体" w:cs="宋体"/>
          <w:b/>
          <w:sz w:val="32"/>
          <w:szCs w:val="32"/>
          <w:highlight w:val="none"/>
        </w:rPr>
        <w:t>资格自查表</w:t>
      </w:r>
    </w:p>
    <w:p>
      <w:pPr>
        <w:jc w:val="center"/>
        <w:rPr>
          <w:rFonts w:ascii="宋体" w:hAnsi="宋体" w:eastAsia="宋体" w:cs="宋体"/>
          <w:b/>
          <w:sz w:val="32"/>
          <w:szCs w:val="32"/>
          <w:highlight w:val="none"/>
          <w:u w:val="single"/>
        </w:rPr>
      </w:pPr>
    </w:p>
    <w:tbl>
      <w:tblPr>
        <w:tblStyle w:val="8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674"/>
        <w:gridCol w:w="3103"/>
        <w:gridCol w:w="4411"/>
        <w:gridCol w:w="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tblHeader/>
          <w:jc w:val="center"/>
        </w:trPr>
        <w:tc>
          <w:tcPr>
            <w:tcW w:w="377" w:type="pct"/>
            <w:vAlign w:val="center"/>
          </w:tcPr>
          <w:p>
            <w:pPr>
              <w:widowControl/>
              <w:adjustRightInd w:val="0"/>
              <w:snapToGrid w:val="0"/>
              <w:jc w:val="center"/>
              <w:rPr>
                <w:rFonts w:ascii="宋体" w:hAnsi="宋体" w:eastAsia="宋体" w:cs="宋体"/>
                <w:b/>
                <w:kern w:val="0"/>
                <w:szCs w:val="21"/>
                <w:highlight w:val="none"/>
              </w:rPr>
            </w:pPr>
            <w:r>
              <w:rPr>
                <w:rFonts w:hint="eastAsia" w:ascii="宋体" w:hAnsi="宋体" w:eastAsia="宋体" w:cs="宋体"/>
                <w:b/>
                <w:kern w:val="0"/>
                <w:szCs w:val="21"/>
                <w:highlight w:val="none"/>
              </w:rPr>
              <w:t>序号</w:t>
            </w:r>
          </w:p>
        </w:tc>
        <w:tc>
          <w:tcPr>
            <w:tcW w:w="1734" w:type="pct"/>
            <w:vAlign w:val="center"/>
          </w:tcPr>
          <w:p>
            <w:pPr>
              <w:adjustRightInd w:val="0"/>
              <w:snapToGrid w:val="0"/>
              <w:jc w:val="center"/>
              <w:rPr>
                <w:rFonts w:ascii="宋体" w:hAnsi="宋体" w:eastAsia="宋体" w:cs="宋体"/>
                <w:b/>
                <w:kern w:val="0"/>
                <w:szCs w:val="21"/>
                <w:highlight w:val="none"/>
              </w:rPr>
            </w:pPr>
            <w:r>
              <w:rPr>
                <w:rFonts w:hint="eastAsia" w:ascii="宋体" w:hAnsi="宋体" w:eastAsia="宋体" w:cs="宋体"/>
                <w:b/>
                <w:kern w:val="0"/>
                <w:szCs w:val="21"/>
                <w:highlight w:val="none"/>
              </w:rPr>
              <w:t>资格要求</w:t>
            </w:r>
          </w:p>
        </w:tc>
        <w:tc>
          <w:tcPr>
            <w:tcW w:w="2465" w:type="pct"/>
            <w:vAlign w:val="center"/>
          </w:tcPr>
          <w:p>
            <w:pPr>
              <w:widowControl/>
              <w:adjustRightInd w:val="0"/>
              <w:snapToGrid w:val="0"/>
              <w:jc w:val="center"/>
              <w:rPr>
                <w:rFonts w:ascii="宋体" w:hAnsi="宋体" w:eastAsia="宋体" w:cs="宋体"/>
                <w:b/>
                <w:kern w:val="0"/>
                <w:szCs w:val="21"/>
                <w:highlight w:val="none"/>
              </w:rPr>
            </w:pPr>
            <w:r>
              <w:rPr>
                <w:rFonts w:hint="eastAsia" w:ascii="宋体" w:hAnsi="宋体" w:eastAsia="宋体" w:cs="宋体"/>
                <w:b/>
                <w:kern w:val="0"/>
                <w:szCs w:val="21"/>
                <w:highlight w:val="none"/>
              </w:rPr>
              <w:t>须提供的资料</w:t>
            </w:r>
          </w:p>
        </w:tc>
        <w:tc>
          <w:tcPr>
            <w:tcW w:w="424" w:type="pct"/>
            <w:vAlign w:val="center"/>
          </w:tcPr>
          <w:p>
            <w:pPr>
              <w:widowControl/>
              <w:adjustRightInd w:val="0"/>
              <w:snapToGrid w:val="0"/>
              <w:jc w:val="center"/>
              <w:rPr>
                <w:rFonts w:ascii="宋体" w:hAnsi="宋体" w:eastAsia="宋体" w:cs="宋体"/>
                <w:b/>
                <w:kern w:val="0"/>
                <w:szCs w:val="21"/>
                <w:highlight w:val="none"/>
              </w:rPr>
            </w:pPr>
            <w:r>
              <w:rPr>
                <w:rFonts w:hint="eastAsia" w:ascii="宋体" w:hAnsi="宋体" w:eastAsia="宋体" w:cs="宋体"/>
                <w:b/>
                <w:kern w:val="0"/>
                <w:szCs w:val="21"/>
                <w:highlight w:val="none"/>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restart"/>
            <w:vAlign w:val="center"/>
          </w:tcPr>
          <w:p>
            <w:pPr>
              <w:widowControl/>
              <w:numPr>
                <w:ilvl w:val="0"/>
                <w:numId w:val="11"/>
              </w:numPr>
              <w:adjustRightInd w:val="0"/>
              <w:snapToGrid w:val="0"/>
              <w:rPr>
                <w:rFonts w:ascii="宋体" w:hAnsi="宋体" w:eastAsia="宋体" w:cs="宋体"/>
                <w:kern w:val="0"/>
                <w:szCs w:val="21"/>
                <w:highlight w:val="none"/>
              </w:rPr>
            </w:pPr>
          </w:p>
        </w:tc>
        <w:tc>
          <w:tcPr>
            <w:tcW w:w="1734" w:type="pct"/>
            <w:vAlign w:val="center"/>
          </w:tcPr>
          <w:p>
            <w:pPr>
              <w:snapToGrid w:val="0"/>
              <w:rPr>
                <w:rFonts w:ascii="宋体" w:hAnsi="宋体" w:eastAsia="宋体" w:cs="宋体"/>
                <w:szCs w:val="21"/>
                <w:highlight w:val="none"/>
                <w:lang w:val="hr-HR"/>
              </w:rPr>
            </w:pPr>
            <w:r>
              <w:rPr>
                <w:rFonts w:hint="eastAsia" w:ascii="宋体" w:hAnsi="宋体" w:eastAsia="宋体" w:cs="宋体"/>
                <w:szCs w:val="21"/>
                <w:highlight w:val="none"/>
                <w:lang w:val="hr-HR"/>
              </w:rPr>
              <w:t xml:space="preserve">具有独立承担民事责任的能力 </w:t>
            </w:r>
          </w:p>
        </w:tc>
        <w:tc>
          <w:tcPr>
            <w:tcW w:w="2465" w:type="pct"/>
            <w:vAlign w:val="center"/>
          </w:tcPr>
          <w:p>
            <w:pPr>
              <w:snapToGrid w:val="0"/>
              <w:rPr>
                <w:rFonts w:ascii="宋体" w:hAnsi="宋体" w:eastAsia="宋体" w:cs="宋体"/>
                <w:bCs/>
                <w:szCs w:val="21"/>
                <w:highlight w:val="none"/>
              </w:rPr>
            </w:pPr>
            <w:r>
              <w:rPr>
                <w:rFonts w:hint="eastAsia" w:ascii="宋体" w:hAnsi="宋体" w:eastAsia="宋体" w:cs="宋体"/>
                <w:bCs/>
                <w:szCs w:val="21"/>
                <w:highlight w:val="none"/>
              </w:rPr>
              <w:t>如投标人是企业（包括合伙企业），应提供在工商部门注册的有效“企业法人营业执照”或“营业执照”；如投标人是事业单位，应提供有效的“事业单位法人证书”；投标人是非企业专业服务机构的，应提供执业许可证等证明文件；如投标人是个体工商户，应提供有效的“个体工商户营业执照”；如投标人是自然人，应提供有效的自然人身份证明。</w:t>
            </w:r>
          </w:p>
        </w:tc>
        <w:tc>
          <w:tcPr>
            <w:tcW w:w="424" w:type="pct"/>
            <w:vAlign w:val="center"/>
          </w:tcPr>
          <w:p>
            <w:pPr>
              <w:snapToGrid w:val="0"/>
              <w:jc w:val="center"/>
              <w:rPr>
                <w:rFonts w:ascii="宋体" w:hAnsi="宋体" w:eastAsia="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11"/>
              </w:numPr>
              <w:adjustRightInd w:val="0"/>
              <w:snapToGrid w:val="0"/>
              <w:rPr>
                <w:rFonts w:ascii="宋体" w:hAnsi="宋体" w:eastAsia="宋体" w:cs="宋体"/>
                <w:kern w:val="0"/>
                <w:szCs w:val="21"/>
                <w:highlight w:val="none"/>
              </w:rPr>
            </w:pPr>
          </w:p>
        </w:tc>
        <w:tc>
          <w:tcPr>
            <w:tcW w:w="1734" w:type="pct"/>
            <w:vAlign w:val="center"/>
          </w:tcPr>
          <w:p>
            <w:pPr>
              <w:widowControl/>
              <w:adjustRightInd w:val="0"/>
              <w:snapToGrid w:val="0"/>
              <w:rPr>
                <w:rFonts w:ascii="宋体" w:hAnsi="宋体" w:eastAsia="宋体" w:cs="宋体"/>
                <w:kern w:val="0"/>
                <w:szCs w:val="21"/>
                <w:highlight w:val="none"/>
              </w:rPr>
            </w:pPr>
            <w:r>
              <w:rPr>
                <w:rFonts w:hint="eastAsia" w:ascii="宋体" w:hAnsi="宋体" w:eastAsia="宋体" w:cs="宋体"/>
                <w:szCs w:val="21"/>
                <w:highlight w:val="none"/>
                <w:lang w:val="hr-HR"/>
              </w:rPr>
              <w:t>具有良好的商业信誉和健全的财务会计制度</w:t>
            </w:r>
          </w:p>
        </w:tc>
        <w:tc>
          <w:tcPr>
            <w:tcW w:w="2465" w:type="pct"/>
            <w:vAlign w:val="center"/>
          </w:tcPr>
          <w:p>
            <w:pPr>
              <w:adjustRightInd w:val="0"/>
              <w:snapToGrid w:val="0"/>
              <w:rPr>
                <w:rFonts w:ascii="宋体" w:hAnsi="宋体" w:eastAsia="宋体" w:cs="宋体"/>
                <w:b/>
                <w:bCs/>
                <w:szCs w:val="21"/>
                <w:highlight w:val="none"/>
              </w:rPr>
            </w:pPr>
            <w:r>
              <w:rPr>
                <w:rFonts w:hint="eastAsia" w:ascii="宋体" w:hAnsi="宋体" w:eastAsia="宋体" w:cs="宋体"/>
                <w:b/>
                <w:szCs w:val="21"/>
                <w:highlight w:val="none"/>
              </w:rPr>
              <w:t>由投标人对以下内容提供书面承诺及声明，或提供相应证明材料。</w:t>
            </w:r>
          </w:p>
          <w:p>
            <w:pPr>
              <w:adjustRightInd w:val="0"/>
              <w:snapToGrid w:val="0"/>
              <w:rPr>
                <w:rFonts w:ascii="宋体" w:hAnsi="宋体" w:eastAsia="宋体" w:cs="宋体"/>
                <w:bCs/>
                <w:szCs w:val="21"/>
                <w:highlight w:val="none"/>
              </w:rPr>
            </w:pPr>
            <w:r>
              <w:rPr>
                <w:rFonts w:hint="eastAsia" w:ascii="宋体" w:hAnsi="宋体" w:eastAsia="宋体" w:cs="宋体"/>
                <w:bCs/>
                <w:szCs w:val="21"/>
                <w:highlight w:val="none"/>
              </w:rPr>
              <w:t>投标人是法人的，应具有上一年度（202</w:t>
            </w:r>
            <w:r>
              <w:rPr>
                <w:rFonts w:hint="eastAsia" w:ascii="宋体" w:hAnsi="宋体" w:eastAsia="宋体" w:cs="宋体"/>
                <w:bCs/>
                <w:szCs w:val="21"/>
                <w:highlight w:val="none"/>
                <w:lang w:val="en-US" w:eastAsia="zh-CN"/>
              </w:rPr>
              <w:t>4</w:t>
            </w:r>
            <w:r>
              <w:rPr>
                <w:rFonts w:hint="eastAsia" w:ascii="宋体" w:hAnsi="宋体" w:eastAsia="宋体" w:cs="宋体"/>
                <w:bCs/>
                <w:szCs w:val="21"/>
                <w:highlight w:val="none"/>
              </w:rPr>
              <w:t>年度或202</w:t>
            </w:r>
            <w:r>
              <w:rPr>
                <w:rFonts w:hint="eastAsia" w:ascii="宋体" w:hAnsi="宋体" w:eastAsia="宋体" w:cs="宋体"/>
                <w:bCs/>
                <w:szCs w:val="21"/>
                <w:highlight w:val="none"/>
                <w:lang w:val="en-US" w:eastAsia="zh-CN"/>
              </w:rPr>
              <w:t>5</w:t>
            </w:r>
            <w:r>
              <w:rPr>
                <w:rFonts w:hint="eastAsia" w:ascii="宋体" w:hAnsi="宋体" w:eastAsia="宋体" w:cs="宋体"/>
                <w:bCs/>
                <w:szCs w:val="21"/>
                <w:highlight w:val="none"/>
              </w:rPr>
              <w:t>年度）经审计的财务报告，或其基本开户银行出具的资信证明。其他组织和自然人，没有经审计的财务报告，应具有银行出具的资信证明。</w:t>
            </w:r>
          </w:p>
          <w:p>
            <w:pPr>
              <w:adjustRightInd w:val="0"/>
              <w:snapToGrid w:val="0"/>
              <w:rPr>
                <w:rFonts w:ascii="宋体" w:hAnsi="宋体" w:eastAsia="宋体" w:cs="宋体"/>
                <w:bCs/>
                <w:szCs w:val="21"/>
                <w:highlight w:val="none"/>
              </w:rPr>
            </w:pPr>
            <w:r>
              <w:rPr>
                <w:rFonts w:hint="eastAsia" w:ascii="宋体" w:hAnsi="宋体" w:eastAsia="宋体" w:cs="宋体"/>
                <w:bCs/>
                <w:szCs w:val="21"/>
                <w:highlight w:val="none"/>
              </w:rPr>
              <w:t>有专业担保机构对投标人进行资信审查后出具投标担保函的，可以不用具备经审计的财务报告和银行资信证明文件。</w:t>
            </w:r>
          </w:p>
          <w:p>
            <w:pPr>
              <w:adjustRightInd w:val="0"/>
              <w:snapToGrid w:val="0"/>
              <w:rPr>
                <w:rFonts w:ascii="宋体" w:hAnsi="宋体" w:eastAsia="宋体" w:cs="宋体"/>
                <w:b/>
                <w:highlight w:val="none"/>
              </w:rPr>
            </w:pPr>
            <w:r>
              <w:rPr>
                <w:rFonts w:hint="eastAsia" w:ascii="宋体" w:hAnsi="宋体" w:eastAsia="宋体" w:cs="宋体"/>
                <w:b/>
                <w:highlight w:val="none"/>
              </w:rPr>
              <w:t>备注：如果投标人同时提供了1）书面承诺及声明、2）相应证明材料，且二者内容不一致的，</w:t>
            </w:r>
            <w:r>
              <w:rPr>
                <w:rFonts w:hint="eastAsia" w:ascii="宋体" w:hAnsi="宋体" w:eastAsia="宋体" w:cs="宋体"/>
                <w:b/>
                <w:szCs w:val="21"/>
                <w:highlight w:val="none"/>
                <w:lang w:val="hr-HR"/>
              </w:rPr>
              <w:t>采购人或者采购代理机构</w:t>
            </w:r>
            <w:r>
              <w:rPr>
                <w:rFonts w:hint="eastAsia" w:ascii="宋体" w:hAnsi="宋体" w:eastAsia="宋体" w:cs="宋体"/>
                <w:b/>
                <w:highlight w:val="none"/>
              </w:rPr>
              <w:t>有权任选其中一种进行评审，由投标人自行承担一切后果。</w:t>
            </w:r>
          </w:p>
        </w:tc>
        <w:tc>
          <w:tcPr>
            <w:tcW w:w="424" w:type="pct"/>
            <w:vAlign w:val="center"/>
          </w:tcPr>
          <w:p>
            <w:pPr>
              <w:snapToGrid w:val="0"/>
              <w:jc w:val="center"/>
              <w:rPr>
                <w:rFonts w:ascii="宋体" w:hAnsi="宋体" w:eastAsia="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11"/>
              </w:numPr>
              <w:adjustRightInd w:val="0"/>
              <w:snapToGrid w:val="0"/>
              <w:rPr>
                <w:rFonts w:ascii="宋体" w:hAnsi="宋体" w:eastAsia="宋体" w:cs="宋体"/>
                <w:kern w:val="0"/>
                <w:szCs w:val="21"/>
                <w:highlight w:val="none"/>
              </w:rPr>
            </w:pPr>
          </w:p>
        </w:tc>
        <w:tc>
          <w:tcPr>
            <w:tcW w:w="1734" w:type="pct"/>
            <w:vAlign w:val="center"/>
          </w:tcPr>
          <w:p>
            <w:pPr>
              <w:widowControl/>
              <w:adjustRightInd w:val="0"/>
              <w:snapToGrid w:val="0"/>
              <w:rPr>
                <w:rFonts w:ascii="宋体" w:hAnsi="宋体" w:eastAsia="宋体" w:cs="宋体"/>
                <w:szCs w:val="21"/>
                <w:highlight w:val="none"/>
                <w:lang w:val="hr-HR"/>
              </w:rPr>
            </w:pPr>
            <w:r>
              <w:rPr>
                <w:rFonts w:hint="eastAsia" w:ascii="宋体" w:hAnsi="宋体" w:eastAsia="宋体" w:cs="宋体"/>
                <w:szCs w:val="21"/>
                <w:highlight w:val="none"/>
                <w:lang w:val="hr-HR"/>
              </w:rPr>
              <w:t>具有履行合同所必需的设备和专业技术能力</w:t>
            </w:r>
          </w:p>
        </w:tc>
        <w:tc>
          <w:tcPr>
            <w:tcW w:w="2465" w:type="pct"/>
            <w:vAlign w:val="center"/>
          </w:tcPr>
          <w:p>
            <w:pPr>
              <w:adjustRightInd w:val="0"/>
              <w:snapToGrid w:val="0"/>
              <w:rPr>
                <w:rFonts w:ascii="宋体" w:hAnsi="宋体" w:eastAsia="宋体" w:cs="宋体"/>
                <w:bCs/>
                <w:szCs w:val="21"/>
                <w:highlight w:val="none"/>
              </w:rPr>
            </w:pPr>
            <w:r>
              <w:rPr>
                <w:rFonts w:hint="eastAsia" w:ascii="宋体" w:hAnsi="宋体" w:eastAsia="宋体" w:cs="宋体"/>
                <w:bCs/>
                <w:szCs w:val="21"/>
                <w:highlight w:val="none"/>
              </w:rPr>
              <w:t>由投标人提供书面承诺及声明</w:t>
            </w:r>
            <w:r>
              <w:rPr>
                <w:rFonts w:hint="eastAsia" w:ascii="宋体" w:hAnsi="宋体" w:eastAsia="宋体" w:cs="宋体"/>
                <w:highlight w:val="none"/>
              </w:rPr>
              <w:t>，或提供相应证明材料。</w:t>
            </w:r>
          </w:p>
        </w:tc>
        <w:tc>
          <w:tcPr>
            <w:tcW w:w="424" w:type="pct"/>
            <w:vAlign w:val="center"/>
          </w:tcPr>
          <w:p>
            <w:pPr>
              <w:snapToGrid w:val="0"/>
              <w:jc w:val="center"/>
              <w:rPr>
                <w:rFonts w:ascii="宋体" w:hAnsi="宋体" w:eastAsia="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11"/>
              </w:numPr>
              <w:adjustRightInd w:val="0"/>
              <w:snapToGrid w:val="0"/>
              <w:rPr>
                <w:rFonts w:ascii="宋体" w:hAnsi="宋体" w:eastAsia="宋体" w:cs="宋体"/>
                <w:kern w:val="0"/>
                <w:szCs w:val="21"/>
                <w:highlight w:val="none"/>
              </w:rPr>
            </w:pPr>
          </w:p>
        </w:tc>
        <w:tc>
          <w:tcPr>
            <w:tcW w:w="1734" w:type="pct"/>
            <w:vAlign w:val="center"/>
          </w:tcPr>
          <w:p>
            <w:pPr>
              <w:widowControl/>
              <w:adjustRightInd w:val="0"/>
              <w:snapToGrid w:val="0"/>
              <w:rPr>
                <w:rFonts w:ascii="宋体" w:hAnsi="宋体" w:eastAsia="宋体" w:cs="宋体"/>
                <w:szCs w:val="21"/>
                <w:highlight w:val="none"/>
                <w:lang w:val="hr-HR"/>
              </w:rPr>
            </w:pPr>
            <w:r>
              <w:rPr>
                <w:rFonts w:hint="eastAsia" w:ascii="宋体" w:hAnsi="宋体" w:eastAsia="宋体" w:cs="宋体"/>
                <w:szCs w:val="21"/>
                <w:highlight w:val="none"/>
                <w:lang w:val="hr-HR"/>
              </w:rPr>
              <w:t>有依法缴纳税收和社会保障资金的良好记录</w:t>
            </w:r>
          </w:p>
        </w:tc>
        <w:tc>
          <w:tcPr>
            <w:tcW w:w="2465" w:type="pct"/>
            <w:vAlign w:val="center"/>
          </w:tcPr>
          <w:p>
            <w:pPr>
              <w:adjustRightInd w:val="0"/>
              <w:snapToGrid w:val="0"/>
              <w:rPr>
                <w:rFonts w:ascii="宋体" w:hAnsi="宋体" w:eastAsia="宋体" w:cs="宋体"/>
                <w:b/>
                <w:bCs/>
                <w:szCs w:val="21"/>
                <w:highlight w:val="none"/>
              </w:rPr>
            </w:pPr>
            <w:r>
              <w:rPr>
                <w:rFonts w:hint="eastAsia" w:ascii="宋体" w:hAnsi="宋体" w:eastAsia="宋体" w:cs="宋体"/>
                <w:b/>
                <w:szCs w:val="21"/>
                <w:highlight w:val="none"/>
              </w:rPr>
              <w:t>由投标人对以下内容提供书面承诺及声明，或提供相应证明材料。</w:t>
            </w:r>
          </w:p>
          <w:p>
            <w:pPr>
              <w:adjustRightInd w:val="0"/>
              <w:snapToGrid w:val="0"/>
              <w:ind w:firstLine="420" w:firstLineChars="200"/>
              <w:rPr>
                <w:rFonts w:ascii="宋体" w:hAnsi="宋体" w:eastAsia="宋体" w:cs="宋体"/>
                <w:szCs w:val="21"/>
                <w:highlight w:val="none"/>
                <w:lang w:val="hr-HR"/>
              </w:rPr>
            </w:pPr>
            <w:r>
              <w:rPr>
                <w:rFonts w:hint="eastAsia" w:ascii="宋体" w:hAnsi="宋体" w:eastAsia="宋体" w:cs="宋体"/>
                <w:szCs w:val="21"/>
                <w:highlight w:val="none"/>
                <w:lang w:val="hr-HR"/>
              </w:rPr>
              <w:t>投标人依法缴纳税收：本项目公告发布时间前</w:t>
            </w:r>
            <w:r>
              <w:rPr>
                <w:rFonts w:hint="eastAsia" w:ascii="宋体" w:hAnsi="宋体" w:eastAsia="宋体" w:cs="宋体"/>
                <w:szCs w:val="21"/>
                <w:highlight w:val="none"/>
              </w:rPr>
              <w:t>12个月内</w:t>
            </w:r>
            <w:r>
              <w:rPr>
                <w:rFonts w:hint="eastAsia" w:ascii="宋体" w:hAnsi="宋体" w:eastAsia="宋体" w:cs="宋体"/>
                <w:szCs w:val="21"/>
                <w:highlight w:val="none"/>
                <w:lang w:val="hr-HR"/>
              </w:rPr>
              <w:t>（至少有1个月）缴纳税收的凭据（完税证、缴款书、印花税票、银行代扣（代缴）转账凭证等均可）；</w:t>
            </w:r>
          </w:p>
          <w:p>
            <w:pPr>
              <w:adjustRightInd w:val="0"/>
              <w:snapToGrid w:val="0"/>
              <w:ind w:firstLine="420" w:firstLineChars="200"/>
              <w:rPr>
                <w:rFonts w:ascii="宋体" w:hAnsi="宋体" w:eastAsia="宋体" w:cs="宋体"/>
                <w:szCs w:val="21"/>
                <w:highlight w:val="none"/>
                <w:lang w:val="hr-HR"/>
              </w:rPr>
            </w:pPr>
            <w:r>
              <w:rPr>
                <w:rFonts w:hint="eastAsia" w:ascii="宋体" w:hAnsi="宋体" w:eastAsia="宋体" w:cs="宋体"/>
                <w:szCs w:val="21"/>
                <w:highlight w:val="none"/>
                <w:lang w:val="hr-HR"/>
              </w:rPr>
              <w:t>投标人依法缴纳社会保障资金：本项目公告发布时间前</w:t>
            </w:r>
            <w:r>
              <w:rPr>
                <w:rFonts w:hint="eastAsia" w:ascii="宋体" w:hAnsi="宋体" w:eastAsia="宋体" w:cs="宋体"/>
                <w:szCs w:val="21"/>
                <w:highlight w:val="none"/>
              </w:rPr>
              <w:t>12个月内</w:t>
            </w:r>
            <w:r>
              <w:rPr>
                <w:rFonts w:hint="eastAsia" w:ascii="宋体" w:hAnsi="宋体" w:eastAsia="宋体" w:cs="宋体"/>
                <w:szCs w:val="21"/>
                <w:highlight w:val="none"/>
                <w:lang w:val="hr-HR"/>
              </w:rPr>
              <w:t>（至少有1个月）缴纳社会保险的凭据（专用收据或社会保险交纳清单）；</w:t>
            </w:r>
          </w:p>
          <w:p>
            <w:pPr>
              <w:adjustRightInd w:val="0"/>
              <w:snapToGrid w:val="0"/>
              <w:ind w:firstLine="420" w:firstLineChars="200"/>
              <w:rPr>
                <w:rFonts w:ascii="宋体" w:hAnsi="宋体" w:eastAsia="宋体" w:cs="宋体"/>
                <w:szCs w:val="21"/>
                <w:highlight w:val="none"/>
                <w:lang w:val="hr-HR"/>
              </w:rPr>
            </w:pPr>
            <w:r>
              <w:rPr>
                <w:rFonts w:hint="eastAsia" w:ascii="宋体" w:hAnsi="宋体" w:eastAsia="宋体" w:cs="宋体"/>
                <w:szCs w:val="21"/>
                <w:highlight w:val="none"/>
                <w:lang w:val="hr-HR"/>
              </w:rPr>
              <w:t>投标人为其他组织或自然人的，也应满足以上要求；</w:t>
            </w:r>
          </w:p>
          <w:p>
            <w:pPr>
              <w:adjustRightInd w:val="0"/>
              <w:snapToGrid w:val="0"/>
              <w:ind w:firstLine="420" w:firstLineChars="200"/>
              <w:rPr>
                <w:rFonts w:ascii="宋体" w:hAnsi="宋体" w:eastAsia="宋体" w:cs="宋体"/>
                <w:szCs w:val="21"/>
                <w:highlight w:val="none"/>
                <w:lang w:val="hr-HR"/>
              </w:rPr>
            </w:pPr>
            <w:r>
              <w:rPr>
                <w:rFonts w:hint="eastAsia" w:ascii="宋体" w:hAnsi="宋体" w:eastAsia="宋体" w:cs="宋体"/>
                <w:szCs w:val="21"/>
                <w:highlight w:val="none"/>
                <w:lang w:val="hr-HR"/>
              </w:rPr>
              <w:t>递交投标文件截止时间的当月成立但因税务机关原因导致其尚未依法缴纳税收的投标人，提供将依法缴纳税收承诺书原件（格式自拟），该承诺书视同税收缴纳凭据。</w:t>
            </w:r>
          </w:p>
          <w:p>
            <w:pPr>
              <w:adjustRightInd w:val="0"/>
              <w:snapToGrid w:val="0"/>
              <w:ind w:firstLine="420" w:firstLineChars="200"/>
              <w:rPr>
                <w:rFonts w:ascii="宋体" w:hAnsi="宋体" w:eastAsia="宋体" w:cs="宋体"/>
                <w:szCs w:val="21"/>
                <w:highlight w:val="none"/>
                <w:lang w:val="hr-HR"/>
              </w:rPr>
            </w:pPr>
            <w:r>
              <w:rPr>
                <w:rFonts w:hint="eastAsia" w:ascii="宋体" w:hAnsi="宋体" w:eastAsia="宋体" w:cs="宋体"/>
                <w:szCs w:val="21"/>
                <w:highlight w:val="none"/>
                <w:lang w:val="hr-HR"/>
              </w:rPr>
              <w:t>递交投标文件截止时间的当月成立但因社会保障资金管理机关原因导致其尚未依法缴纳社会保障资金的投标人，提供将依法缴纳社会保障资金承诺书原件（格式自拟），该承诺书视同社会保险凭据。</w:t>
            </w:r>
          </w:p>
          <w:p>
            <w:pPr>
              <w:adjustRightInd w:val="0"/>
              <w:snapToGrid w:val="0"/>
              <w:ind w:firstLine="420" w:firstLineChars="200"/>
              <w:rPr>
                <w:rFonts w:ascii="宋体" w:hAnsi="宋体" w:eastAsia="宋体" w:cs="宋体"/>
                <w:szCs w:val="21"/>
                <w:highlight w:val="none"/>
                <w:lang w:val="hr-HR"/>
              </w:rPr>
            </w:pPr>
            <w:r>
              <w:rPr>
                <w:rFonts w:hint="eastAsia" w:ascii="宋体" w:hAnsi="宋体" w:eastAsia="宋体" w:cs="宋体"/>
                <w:szCs w:val="21"/>
                <w:highlight w:val="none"/>
                <w:lang w:val="hr-HR"/>
              </w:rPr>
              <w:t>依法免税或不需要缴纳社会保障资金的投标人，具有相应文件证明其依法免税或不需要交纳社会保障资金。</w:t>
            </w:r>
          </w:p>
          <w:p>
            <w:pPr>
              <w:adjustRightInd w:val="0"/>
              <w:snapToGrid w:val="0"/>
              <w:rPr>
                <w:rFonts w:ascii="宋体" w:hAnsi="宋体" w:eastAsia="宋体" w:cs="宋体"/>
                <w:b/>
                <w:highlight w:val="none"/>
                <w:lang w:val="hr-HR"/>
              </w:rPr>
            </w:pPr>
            <w:r>
              <w:rPr>
                <w:rFonts w:hint="eastAsia" w:ascii="宋体" w:hAnsi="宋体" w:eastAsia="宋体" w:cs="宋体"/>
                <w:b/>
                <w:szCs w:val="21"/>
                <w:highlight w:val="none"/>
                <w:lang w:val="hr-HR"/>
              </w:rPr>
              <w:t>备注：如果投标人同时提供了1）书面承诺及声明、2）相应证明材料，且二者内容不一致的，采购人或者采购代理机构有权任选其中一种进行评审，由投标人自行承担一切后果。</w:t>
            </w:r>
          </w:p>
        </w:tc>
        <w:tc>
          <w:tcPr>
            <w:tcW w:w="424" w:type="pct"/>
            <w:vAlign w:val="center"/>
          </w:tcPr>
          <w:p>
            <w:pPr>
              <w:snapToGrid w:val="0"/>
              <w:spacing w:line="300" w:lineRule="auto"/>
              <w:ind w:firstLine="315" w:firstLineChars="150"/>
              <w:jc w:val="center"/>
              <w:rPr>
                <w:rFonts w:ascii="宋体" w:hAnsi="宋体" w:eastAsia="宋体" w:cs="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11"/>
              </w:numPr>
              <w:adjustRightInd w:val="0"/>
              <w:snapToGrid w:val="0"/>
              <w:rPr>
                <w:rFonts w:ascii="宋体" w:hAnsi="宋体" w:eastAsia="宋体" w:cs="宋体"/>
                <w:kern w:val="0"/>
                <w:szCs w:val="21"/>
                <w:highlight w:val="none"/>
              </w:rPr>
            </w:pPr>
          </w:p>
        </w:tc>
        <w:tc>
          <w:tcPr>
            <w:tcW w:w="1734" w:type="pct"/>
            <w:vAlign w:val="center"/>
          </w:tcPr>
          <w:p>
            <w:pPr>
              <w:widowControl/>
              <w:adjustRightInd w:val="0"/>
              <w:snapToGrid w:val="0"/>
              <w:rPr>
                <w:rFonts w:ascii="宋体" w:hAnsi="宋体" w:eastAsia="宋体" w:cs="宋体"/>
                <w:szCs w:val="21"/>
                <w:highlight w:val="none"/>
                <w:lang w:val="hr-HR"/>
              </w:rPr>
            </w:pPr>
            <w:r>
              <w:rPr>
                <w:rFonts w:hint="eastAsia" w:ascii="宋体" w:hAnsi="宋体" w:eastAsia="宋体" w:cs="宋体"/>
                <w:szCs w:val="21"/>
                <w:highlight w:val="none"/>
                <w:lang w:val="hr-HR"/>
              </w:rPr>
              <w:t>参加政府采购活动前三年内，在经营活动中没有重大违法记录</w:t>
            </w:r>
          </w:p>
        </w:tc>
        <w:tc>
          <w:tcPr>
            <w:tcW w:w="2465" w:type="pct"/>
            <w:vAlign w:val="center"/>
          </w:tcPr>
          <w:p>
            <w:pPr>
              <w:widowControl/>
              <w:adjustRightInd w:val="0"/>
              <w:snapToGrid w:val="0"/>
              <w:rPr>
                <w:rFonts w:ascii="宋体" w:hAnsi="宋体" w:eastAsia="宋体" w:cs="宋体"/>
                <w:szCs w:val="21"/>
                <w:highlight w:val="none"/>
                <w:lang w:val="hr-HR"/>
              </w:rPr>
            </w:pPr>
            <w:r>
              <w:rPr>
                <w:rFonts w:hint="eastAsia" w:ascii="宋体" w:hAnsi="宋体" w:eastAsia="宋体" w:cs="宋体"/>
                <w:bCs/>
                <w:szCs w:val="21"/>
                <w:highlight w:val="none"/>
              </w:rPr>
              <w:t>由投标人提供书面承诺及声明</w:t>
            </w:r>
            <w:r>
              <w:rPr>
                <w:rFonts w:hint="eastAsia" w:ascii="宋体" w:hAnsi="宋体" w:eastAsia="宋体" w:cs="宋体"/>
                <w:highlight w:val="none"/>
              </w:rPr>
              <w:t>，或提供相应证明材料。</w:t>
            </w:r>
          </w:p>
        </w:tc>
        <w:tc>
          <w:tcPr>
            <w:tcW w:w="424" w:type="pct"/>
            <w:vAlign w:val="center"/>
          </w:tcPr>
          <w:p>
            <w:pPr>
              <w:widowControl/>
              <w:adjustRightInd w:val="0"/>
              <w:snapToGrid w:val="0"/>
              <w:jc w:val="center"/>
              <w:rPr>
                <w:rFonts w:ascii="宋体" w:hAnsi="宋体" w:eastAsia="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11"/>
              </w:numPr>
              <w:adjustRightInd w:val="0"/>
              <w:snapToGrid w:val="0"/>
              <w:rPr>
                <w:rFonts w:ascii="宋体" w:hAnsi="宋体" w:eastAsia="宋体" w:cs="宋体"/>
                <w:kern w:val="0"/>
                <w:szCs w:val="21"/>
                <w:highlight w:val="none"/>
              </w:rPr>
            </w:pPr>
          </w:p>
        </w:tc>
        <w:tc>
          <w:tcPr>
            <w:tcW w:w="1734" w:type="pct"/>
            <w:vAlign w:val="center"/>
          </w:tcPr>
          <w:p>
            <w:pPr>
              <w:widowControl/>
              <w:adjustRightInd w:val="0"/>
              <w:snapToGrid w:val="0"/>
              <w:rPr>
                <w:rFonts w:ascii="宋体" w:hAnsi="宋体" w:eastAsia="宋体" w:cs="宋体"/>
                <w:szCs w:val="21"/>
                <w:highlight w:val="none"/>
                <w:lang w:val="hr-HR"/>
              </w:rPr>
            </w:pPr>
            <w:r>
              <w:rPr>
                <w:rFonts w:hint="eastAsia" w:ascii="宋体" w:hAnsi="宋体" w:eastAsia="宋体" w:cs="宋体"/>
                <w:szCs w:val="21"/>
                <w:highlight w:val="none"/>
                <w:lang w:val="hr-HR"/>
              </w:rPr>
              <w:t>法律、行政法规规定的其他条件</w:t>
            </w:r>
          </w:p>
        </w:tc>
        <w:tc>
          <w:tcPr>
            <w:tcW w:w="2465" w:type="pct"/>
            <w:vAlign w:val="center"/>
          </w:tcPr>
          <w:p>
            <w:pPr>
              <w:adjustRightInd w:val="0"/>
              <w:snapToGrid w:val="0"/>
              <w:rPr>
                <w:rFonts w:ascii="宋体" w:hAnsi="宋体" w:eastAsia="宋体" w:cs="宋体"/>
                <w:bCs/>
                <w:szCs w:val="21"/>
                <w:highlight w:val="none"/>
              </w:rPr>
            </w:pPr>
            <w:r>
              <w:rPr>
                <w:rFonts w:hint="eastAsia" w:ascii="宋体" w:hAnsi="宋体" w:eastAsia="宋体" w:cs="宋体"/>
                <w:bCs/>
                <w:szCs w:val="21"/>
                <w:highlight w:val="none"/>
              </w:rPr>
              <w:t>由投标人提供书面承诺及声明</w:t>
            </w:r>
            <w:r>
              <w:rPr>
                <w:rFonts w:hint="eastAsia" w:ascii="宋体" w:hAnsi="宋体" w:eastAsia="宋体" w:cs="宋体"/>
                <w:highlight w:val="none"/>
              </w:rPr>
              <w:t>，或提供相应证明材料。</w:t>
            </w:r>
          </w:p>
        </w:tc>
        <w:tc>
          <w:tcPr>
            <w:tcW w:w="424" w:type="pct"/>
            <w:vAlign w:val="center"/>
          </w:tcPr>
          <w:p>
            <w:pPr>
              <w:widowControl/>
              <w:adjustRightInd w:val="0"/>
              <w:snapToGrid w:val="0"/>
              <w:jc w:val="center"/>
              <w:rPr>
                <w:rFonts w:ascii="宋体" w:hAnsi="宋体" w:eastAsia="宋体" w:cs="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11"/>
              </w:numPr>
              <w:adjustRightInd w:val="0"/>
              <w:snapToGrid w:val="0"/>
              <w:rPr>
                <w:rFonts w:ascii="宋体" w:hAnsi="宋体" w:eastAsia="宋体" w:cs="宋体"/>
                <w:kern w:val="0"/>
                <w:szCs w:val="21"/>
                <w:highlight w:val="none"/>
              </w:rPr>
            </w:pPr>
          </w:p>
        </w:tc>
        <w:tc>
          <w:tcPr>
            <w:tcW w:w="1734" w:type="pct"/>
            <w:vAlign w:val="center"/>
          </w:tcPr>
          <w:p>
            <w:pPr>
              <w:widowControl/>
              <w:adjustRightInd w:val="0"/>
              <w:snapToGrid w:val="0"/>
              <w:rPr>
                <w:rFonts w:ascii="宋体" w:hAnsi="宋体" w:eastAsia="宋体" w:cs="宋体"/>
                <w:szCs w:val="21"/>
                <w:highlight w:val="none"/>
                <w:lang w:val="hr-HR"/>
              </w:rPr>
            </w:pPr>
            <w:r>
              <w:rPr>
                <w:rFonts w:hint="eastAsia" w:ascii="宋体" w:hAnsi="宋体" w:eastAsia="宋体" w:cs="宋体"/>
                <w:szCs w:val="21"/>
                <w:highlight w:val="none"/>
              </w:rPr>
              <w:t>单位负责人为同一人或者存在直接控股、管理关系的不同投标人，不得参加本项目同一合同项下的政府采购活动</w:t>
            </w:r>
          </w:p>
        </w:tc>
        <w:tc>
          <w:tcPr>
            <w:tcW w:w="2465" w:type="pct"/>
            <w:vAlign w:val="center"/>
          </w:tcPr>
          <w:p>
            <w:pPr>
              <w:widowControl/>
              <w:adjustRightInd w:val="0"/>
              <w:snapToGrid w:val="0"/>
              <w:rPr>
                <w:rFonts w:ascii="宋体" w:hAnsi="宋体" w:eastAsia="宋体" w:cs="宋体"/>
                <w:szCs w:val="21"/>
                <w:highlight w:val="none"/>
                <w:lang w:val="hr-HR"/>
              </w:rPr>
            </w:pPr>
            <w:r>
              <w:rPr>
                <w:rFonts w:hint="eastAsia" w:ascii="宋体" w:hAnsi="宋体" w:eastAsia="宋体" w:cs="宋体"/>
                <w:szCs w:val="21"/>
                <w:highlight w:val="none"/>
                <w:lang w:val="hr-HR"/>
              </w:rPr>
              <w:t>由投标人在《投标函》中声明</w:t>
            </w:r>
          </w:p>
        </w:tc>
        <w:tc>
          <w:tcPr>
            <w:tcW w:w="424" w:type="pct"/>
            <w:vAlign w:val="center"/>
          </w:tcPr>
          <w:p>
            <w:pPr>
              <w:widowControl/>
              <w:adjustRightInd w:val="0"/>
              <w:snapToGrid w:val="0"/>
              <w:jc w:val="center"/>
              <w:rPr>
                <w:rFonts w:ascii="宋体" w:hAnsi="宋体" w:eastAsia="宋体" w:cs="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11"/>
              </w:numPr>
              <w:adjustRightInd w:val="0"/>
              <w:snapToGrid w:val="0"/>
              <w:rPr>
                <w:rFonts w:ascii="宋体" w:hAnsi="宋体" w:eastAsia="宋体" w:cs="宋体"/>
                <w:kern w:val="0"/>
                <w:szCs w:val="21"/>
                <w:highlight w:val="none"/>
              </w:rPr>
            </w:pPr>
          </w:p>
        </w:tc>
        <w:tc>
          <w:tcPr>
            <w:tcW w:w="1734" w:type="pct"/>
            <w:vAlign w:val="center"/>
          </w:tcPr>
          <w:p>
            <w:pPr>
              <w:widowControl/>
              <w:adjustRightInd w:val="0"/>
              <w:snapToGrid w:val="0"/>
              <w:rPr>
                <w:rFonts w:ascii="宋体" w:hAnsi="宋体" w:eastAsia="宋体" w:cs="宋体"/>
                <w:szCs w:val="21"/>
                <w:highlight w:val="none"/>
              </w:rPr>
            </w:pPr>
            <w:r>
              <w:rPr>
                <w:rFonts w:hint="eastAsia" w:ascii="宋体" w:hAnsi="宋体" w:eastAsia="宋体" w:cs="宋体"/>
                <w:szCs w:val="21"/>
                <w:highlight w:val="none"/>
              </w:rPr>
              <w:t>为本采购项目提供整体设计、规范编制或者项目管理、监理、检测等服务的，不得再参加本项目的其他招标采购活动。</w:t>
            </w:r>
          </w:p>
        </w:tc>
        <w:tc>
          <w:tcPr>
            <w:tcW w:w="2465" w:type="pct"/>
            <w:vAlign w:val="center"/>
          </w:tcPr>
          <w:p>
            <w:pPr>
              <w:widowControl/>
              <w:adjustRightInd w:val="0"/>
              <w:snapToGrid w:val="0"/>
              <w:rPr>
                <w:rFonts w:ascii="宋体" w:hAnsi="宋体" w:eastAsia="宋体" w:cs="宋体"/>
                <w:szCs w:val="21"/>
                <w:highlight w:val="none"/>
                <w:lang w:val="hr-HR"/>
              </w:rPr>
            </w:pPr>
            <w:r>
              <w:rPr>
                <w:rFonts w:hint="eastAsia" w:ascii="宋体" w:hAnsi="宋体" w:eastAsia="宋体" w:cs="宋体"/>
                <w:szCs w:val="21"/>
                <w:highlight w:val="none"/>
                <w:lang w:val="hr-HR"/>
              </w:rPr>
              <w:t>由投标人在《投标函》中声明</w:t>
            </w:r>
          </w:p>
        </w:tc>
        <w:tc>
          <w:tcPr>
            <w:tcW w:w="424" w:type="pct"/>
            <w:vAlign w:val="center"/>
          </w:tcPr>
          <w:p>
            <w:pPr>
              <w:widowControl/>
              <w:adjustRightInd w:val="0"/>
              <w:snapToGrid w:val="0"/>
              <w:jc w:val="center"/>
              <w:rPr>
                <w:rFonts w:ascii="宋体" w:hAnsi="宋体" w:eastAsia="宋体" w:cs="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11"/>
              </w:numPr>
              <w:adjustRightInd w:val="0"/>
              <w:snapToGrid w:val="0"/>
              <w:rPr>
                <w:rFonts w:ascii="宋体" w:hAnsi="宋体" w:eastAsia="宋体" w:cs="宋体"/>
                <w:kern w:val="0"/>
                <w:szCs w:val="21"/>
                <w:highlight w:val="none"/>
              </w:rPr>
            </w:pPr>
          </w:p>
        </w:tc>
        <w:tc>
          <w:tcPr>
            <w:tcW w:w="1734" w:type="pct"/>
            <w:vAlign w:val="center"/>
          </w:tcPr>
          <w:p>
            <w:pPr>
              <w:widowControl/>
              <w:adjustRightInd w:val="0"/>
              <w:snapToGrid w:val="0"/>
              <w:rPr>
                <w:rFonts w:ascii="宋体" w:hAnsi="宋体" w:eastAsia="宋体" w:cs="宋体"/>
                <w:szCs w:val="21"/>
                <w:highlight w:val="none"/>
              </w:rPr>
            </w:pPr>
            <w:r>
              <w:rPr>
                <w:rFonts w:hint="eastAsia" w:ascii="宋体" w:hAnsi="宋体" w:eastAsia="宋体" w:cs="宋体"/>
                <w:szCs w:val="21"/>
                <w:highlight w:val="none"/>
              </w:rPr>
              <w:t>未被列入失信被执行人、重大税收违法失信主体，未被列入政府采购严重违法失信行为记录名单。</w:t>
            </w:r>
          </w:p>
        </w:tc>
        <w:tc>
          <w:tcPr>
            <w:tcW w:w="2465" w:type="pct"/>
            <w:vAlign w:val="center"/>
          </w:tcPr>
          <w:p>
            <w:pPr>
              <w:widowControl/>
              <w:adjustRightInd w:val="0"/>
              <w:snapToGrid w:val="0"/>
              <w:rPr>
                <w:rFonts w:ascii="宋体" w:hAnsi="宋体" w:eastAsia="宋体" w:cs="宋体"/>
                <w:highlight w:val="none"/>
                <w:lang w:val="hr-HR"/>
              </w:rPr>
            </w:pPr>
            <w:r>
              <w:rPr>
                <w:rFonts w:hint="eastAsia" w:ascii="宋体" w:hAnsi="宋体" w:eastAsia="宋体" w:cs="宋体"/>
                <w:szCs w:val="21"/>
                <w:highlight w:val="none"/>
                <w:lang w:val="hr-HR"/>
              </w:rPr>
              <w:t>以采购人和采购代理机构在投标截止日在“信用中国”网站（www.creditchina.gov.cn）及中国政府采购网(www.ccgp.gov.cn)查询的投标人参加政府采购活动前三年内的结果为准（采购人和采购代理机构对信用信息查询记录和证据截图或下载存档）。</w:t>
            </w:r>
          </w:p>
        </w:tc>
        <w:tc>
          <w:tcPr>
            <w:tcW w:w="424" w:type="pct"/>
            <w:vAlign w:val="center"/>
          </w:tcPr>
          <w:p>
            <w:pPr>
              <w:widowControl/>
              <w:adjustRightInd w:val="0"/>
              <w:snapToGrid w:val="0"/>
              <w:jc w:val="center"/>
              <w:rPr>
                <w:rFonts w:ascii="宋体" w:hAnsi="宋体" w:eastAsia="宋体" w:cs="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11"/>
              </w:numPr>
              <w:adjustRightInd w:val="0"/>
              <w:snapToGrid w:val="0"/>
              <w:rPr>
                <w:rFonts w:ascii="宋体" w:hAnsi="宋体" w:eastAsia="宋体" w:cs="宋体"/>
                <w:kern w:val="0"/>
                <w:szCs w:val="21"/>
                <w:highlight w:val="none"/>
              </w:rPr>
            </w:pPr>
          </w:p>
        </w:tc>
        <w:tc>
          <w:tcPr>
            <w:tcW w:w="1734" w:type="pct"/>
          </w:tcPr>
          <w:p>
            <w:pPr>
              <w:widowControl/>
              <w:adjustRightInd w:val="0"/>
              <w:snapToGrid w:val="0"/>
              <w:rPr>
                <w:rFonts w:hint="default" w:ascii="宋体" w:hAnsi="宋体" w:eastAsia="宋体" w:cs="宋体"/>
                <w:szCs w:val="21"/>
                <w:highlight w:val="none"/>
                <w:lang w:val="en-US" w:eastAsia="zh-CN"/>
              </w:rPr>
            </w:pPr>
            <w:r>
              <w:rPr>
                <w:rFonts w:hint="eastAsia" w:ascii="宋体" w:hAnsi="宋体" w:eastAsia="宋体" w:cs="宋体"/>
                <w:szCs w:val="21"/>
                <w:highlight w:val="none"/>
              </w:rPr>
              <w:t>落实政府采购政策需满足的资格要求</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w:t>
            </w:r>
          </w:p>
        </w:tc>
        <w:tc>
          <w:tcPr>
            <w:tcW w:w="2465" w:type="pct"/>
            <w:vAlign w:val="center"/>
          </w:tcPr>
          <w:p>
            <w:pPr>
              <w:jc w:val="left"/>
              <w:rPr>
                <w:rFonts w:ascii="宋体" w:hAnsi="宋体" w:eastAsia="宋体" w:cs="宋体"/>
                <w:szCs w:val="21"/>
                <w:highlight w:val="none"/>
              </w:rPr>
            </w:pPr>
            <w:bookmarkStart w:id="1014" w:name="OLE_LINK55"/>
            <w:r>
              <w:rPr>
                <w:rFonts w:hint="eastAsia" w:ascii="宋体" w:hAnsi="宋体" w:eastAsia="宋体" w:cs="宋体"/>
                <w:szCs w:val="21"/>
                <w:highlight w:val="none"/>
              </w:rPr>
              <w:t>/</w:t>
            </w:r>
            <w:bookmarkEnd w:id="1014"/>
          </w:p>
        </w:tc>
        <w:tc>
          <w:tcPr>
            <w:tcW w:w="424" w:type="pct"/>
            <w:vAlign w:val="center"/>
          </w:tcPr>
          <w:p>
            <w:pPr>
              <w:widowControl/>
              <w:adjustRightInd w:val="0"/>
              <w:snapToGrid w:val="0"/>
              <w:jc w:val="center"/>
              <w:rPr>
                <w:rFonts w:ascii="宋体" w:hAnsi="宋体" w:eastAsia="宋体" w:cs="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11"/>
              </w:numPr>
              <w:adjustRightInd w:val="0"/>
              <w:snapToGrid w:val="0"/>
              <w:rPr>
                <w:rFonts w:ascii="宋体" w:hAnsi="宋体" w:eastAsia="宋体" w:cs="宋体"/>
                <w:kern w:val="0"/>
                <w:szCs w:val="21"/>
                <w:highlight w:val="none"/>
              </w:rPr>
            </w:pPr>
          </w:p>
        </w:tc>
        <w:tc>
          <w:tcPr>
            <w:tcW w:w="3103" w:type="dxa"/>
            <w:vAlign w:val="center"/>
          </w:tcPr>
          <w:p>
            <w:pPr>
              <w:widowControl/>
              <w:adjustRightInd w:val="0"/>
              <w:snapToGrid w:val="0"/>
              <w:jc w:val="left"/>
              <w:rPr>
                <w:rFonts w:hint="eastAsia" w:ascii="宋体" w:hAnsi="宋体" w:eastAsia="宋体" w:cs="宋体"/>
                <w:szCs w:val="21"/>
                <w:highlight w:val="none"/>
                <w:lang w:val="hr-HR" w:eastAsia="zh-CN"/>
              </w:rPr>
            </w:pPr>
            <w:r>
              <w:rPr>
                <w:rFonts w:hint="eastAsia" w:ascii="宋体" w:hAnsi="宋体" w:eastAsia="宋体" w:cs="Times New Roman"/>
                <w:szCs w:val="21"/>
                <w:highlight w:val="none"/>
                <w:lang w:val="hr-HR"/>
              </w:rPr>
              <w:t>本项目的特定资格要求：</w:t>
            </w:r>
            <w:r>
              <w:rPr>
                <w:rFonts w:hint="eastAsia" w:ascii="宋体" w:hAnsi="宋体" w:eastAsia="宋体" w:cs="宋体"/>
                <w:szCs w:val="21"/>
                <w:highlight w:val="none"/>
              </w:rPr>
              <w:t>/</w:t>
            </w:r>
          </w:p>
        </w:tc>
        <w:tc>
          <w:tcPr>
            <w:tcW w:w="4411" w:type="dxa"/>
            <w:vAlign w:val="center"/>
          </w:tcPr>
          <w:p>
            <w:pPr>
              <w:widowControl/>
              <w:adjustRightInd w:val="0"/>
              <w:snapToGrid w:val="0"/>
              <w:rPr>
                <w:rFonts w:ascii="宋体" w:hAnsi="宋体" w:eastAsia="宋体" w:cs="宋体"/>
                <w:szCs w:val="21"/>
                <w:highlight w:val="none"/>
                <w:lang w:val="hr-HR"/>
              </w:rPr>
            </w:pPr>
            <w:r>
              <w:rPr>
                <w:rFonts w:hint="eastAsia" w:ascii="宋体" w:hAnsi="宋体" w:eastAsia="宋体" w:cs="宋体"/>
                <w:szCs w:val="21"/>
                <w:highlight w:val="none"/>
              </w:rPr>
              <w:t>/</w:t>
            </w:r>
          </w:p>
        </w:tc>
        <w:tc>
          <w:tcPr>
            <w:tcW w:w="424" w:type="pct"/>
            <w:vAlign w:val="center"/>
          </w:tcPr>
          <w:p>
            <w:pPr>
              <w:widowControl/>
              <w:adjustRightInd w:val="0"/>
              <w:snapToGrid w:val="0"/>
              <w:jc w:val="center"/>
              <w:rPr>
                <w:rFonts w:ascii="宋体" w:hAnsi="宋体" w:eastAsia="宋体" w:cs="宋体"/>
                <w:szCs w:val="21"/>
                <w:highlight w:val="none"/>
                <w:lang w:val="hr-HR"/>
              </w:rPr>
            </w:pPr>
          </w:p>
        </w:tc>
      </w:tr>
    </w:tbl>
    <w:p>
      <w:pPr>
        <w:widowControl/>
        <w:jc w:val="center"/>
        <w:rPr>
          <w:rFonts w:ascii="宋体" w:hAnsi="宋体" w:eastAsia="宋体" w:cs="宋体"/>
          <w:b/>
          <w:sz w:val="32"/>
          <w:szCs w:val="32"/>
          <w:highlight w:val="none"/>
          <w:lang w:val="hr-HR"/>
        </w:rPr>
      </w:pPr>
    </w:p>
    <w:p>
      <w:pPr>
        <w:widowControl/>
        <w:jc w:val="center"/>
        <w:rPr>
          <w:rFonts w:ascii="宋体" w:hAnsi="宋体" w:eastAsia="宋体" w:cs="宋体"/>
          <w:b/>
          <w:sz w:val="32"/>
          <w:szCs w:val="32"/>
          <w:highlight w:val="none"/>
        </w:rPr>
      </w:pPr>
      <w:r>
        <w:rPr>
          <w:rFonts w:hint="eastAsia" w:ascii="宋体" w:hAnsi="宋体" w:eastAsia="宋体" w:cs="宋体"/>
          <w:b/>
          <w:highlight w:val="none"/>
          <w:lang w:val="hr-HR"/>
        </w:rPr>
        <w:br w:type="page"/>
      </w:r>
      <w:r>
        <w:rPr>
          <w:rFonts w:hint="eastAsia" w:ascii="宋体" w:hAnsi="宋体" w:eastAsia="宋体" w:cs="宋体"/>
          <w:b/>
          <w:sz w:val="32"/>
          <w:szCs w:val="32"/>
          <w:highlight w:val="none"/>
        </w:rPr>
        <w:t>符合性自查表</w:t>
      </w:r>
    </w:p>
    <w:p>
      <w:pPr>
        <w:jc w:val="center"/>
        <w:rPr>
          <w:rFonts w:ascii="宋体" w:hAnsi="宋体" w:eastAsia="宋体" w:cs="宋体"/>
          <w:b/>
          <w:sz w:val="32"/>
          <w:szCs w:val="32"/>
          <w:highlight w:val="none"/>
          <w:u w:val="single"/>
        </w:rPr>
      </w:pPr>
    </w:p>
    <w:tbl>
      <w:tblPr>
        <w:tblStyle w:val="88"/>
        <w:tblW w:w="5000" w:type="pct"/>
        <w:jc w:val="center"/>
        <w:tblLayout w:type="autofit"/>
        <w:tblCellMar>
          <w:top w:w="0" w:type="dxa"/>
          <w:left w:w="108" w:type="dxa"/>
          <w:bottom w:w="0" w:type="dxa"/>
          <w:right w:w="108" w:type="dxa"/>
        </w:tblCellMar>
      </w:tblPr>
      <w:tblGrid>
        <w:gridCol w:w="674"/>
        <w:gridCol w:w="7088"/>
        <w:gridCol w:w="1185"/>
      </w:tblGrid>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宋体" w:hAnsi="宋体" w:eastAsia="宋体" w:cs="宋体"/>
                <w:b/>
                <w:kern w:val="0"/>
                <w:szCs w:val="21"/>
                <w:highlight w:val="none"/>
              </w:rPr>
            </w:pPr>
            <w:r>
              <w:rPr>
                <w:rFonts w:hint="eastAsia" w:ascii="宋体" w:hAnsi="宋体" w:eastAsia="宋体" w:cs="宋体"/>
                <w:b/>
                <w:kern w:val="0"/>
                <w:szCs w:val="21"/>
                <w:highlight w:val="none"/>
              </w:rPr>
              <w:t>序号</w:t>
            </w:r>
          </w:p>
        </w:tc>
        <w:tc>
          <w:tcPr>
            <w:tcW w:w="396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宋体" w:hAnsi="宋体" w:eastAsia="宋体" w:cs="宋体"/>
                <w:b/>
                <w:kern w:val="0"/>
                <w:szCs w:val="21"/>
                <w:highlight w:val="none"/>
              </w:rPr>
            </w:pPr>
            <w:r>
              <w:rPr>
                <w:rFonts w:hint="eastAsia" w:ascii="宋体" w:hAnsi="宋体" w:eastAsia="宋体" w:cs="宋体"/>
                <w:b/>
                <w:kern w:val="0"/>
                <w:szCs w:val="21"/>
                <w:highlight w:val="none"/>
              </w:rPr>
              <w:t>审核内容</w:t>
            </w:r>
          </w:p>
        </w:tc>
        <w:tc>
          <w:tcPr>
            <w:tcW w:w="662"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宋体" w:hAnsi="宋体" w:eastAsia="宋体" w:cs="宋体"/>
                <w:kern w:val="0"/>
                <w:szCs w:val="21"/>
                <w:highlight w:val="none"/>
              </w:rPr>
            </w:pPr>
            <w:r>
              <w:rPr>
                <w:rFonts w:hint="eastAsia" w:ascii="宋体" w:hAnsi="宋体" w:eastAsia="宋体" w:cs="宋体"/>
                <w:b/>
                <w:kern w:val="0"/>
                <w:szCs w:val="21"/>
                <w:highlight w:val="none"/>
              </w:rPr>
              <w:t>对应页码</w:t>
            </w:r>
          </w:p>
        </w:tc>
      </w:tr>
      <w:tr>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12"/>
              </w:numPr>
              <w:adjustRightInd w:val="0"/>
              <w:snapToGrid w:val="0"/>
              <w:rPr>
                <w:rFonts w:ascii="宋体" w:hAnsi="宋体" w:eastAsia="宋体" w:cs="宋体"/>
                <w:kern w:val="0"/>
                <w:szCs w:val="21"/>
                <w:highlight w:val="none"/>
              </w:rPr>
            </w:pPr>
          </w:p>
        </w:tc>
        <w:tc>
          <w:tcPr>
            <w:tcW w:w="3961"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eastAsia="宋体" w:cs="宋体"/>
                <w:kern w:val="0"/>
                <w:szCs w:val="21"/>
                <w:highlight w:val="none"/>
              </w:rPr>
            </w:pPr>
            <w:r>
              <w:rPr>
                <w:rFonts w:hint="eastAsia" w:ascii="宋体" w:hAnsi="宋体" w:eastAsia="宋体" w:cs="宋体"/>
                <w:kern w:val="0"/>
                <w:szCs w:val="21"/>
                <w:highlight w:val="none"/>
              </w:rPr>
              <w:t>按照招标文件规定要求签署、盖章；</w:t>
            </w:r>
          </w:p>
        </w:tc>
        <w:tc>
          <w:tcPr>
            <w:tcW w:w="662" w:type="pct"/>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宋体" w:hAnsi="宋体" w:eastAsia="宋体" w:cs="宋体"/>
                <w:kern w:val="0"/>
                <w:szCs w:val="21"/>
                <w:highlight w:val="none"/>
              </w:rPr>
            </w:pP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12"/>
              </w:numPr>
              <w:adjustRightInd w:val="0"/>
              <w:snapToGrid w:val="0"/>
              <w:rPr>
                <w:rFonts w:ascii="宋体" w:hAnsi="宋体" w:eastAsia="宋体" w:cs="宋体"/>
                <w:kern w:val="0"/>
                <w:szCs w:val="21"/>
                <w:highlight w:val="none"/>
              </w:rPr>
            </w:pPr>
          </w:p>
        </w:tc>
        <w:tc>
          <w:tcPr>
            <w:tcW w:w="3961"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eastAsia="宋体" w:cs="宋体"/>
                <w:kern w:val="0"/>
                <w:szCs w:val="21"/>
                <w:highlight w:val="none"/>
              </w:rPr>
            </w:pPr>
            <w:r>
              <w:rPr>
                <w:rFonts w:hint="eastAsia" w:ascii="宋体" w:hAnsi="宋体" w:eastAsia="宋体" w:cs="宋体"/>
                <w:kern w:val="0"/>
                <w:szCs w:val="21"/>
                <w:highlight w:val="none"/>
              </w:rPr>
              <w:t>按招标文件要求进行报价；</w:t>
            </w:r>
          </w:p>
        </w:tc>
        <w:tc>
          <w:tcPr>
            <w:tcW w:w="662" w:type="pct"/>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宋体" w:hAnsi="宋体" w:eastAsia="宋体" w:cs="宋体"/>
                <w:kern w:val="0"/>
                <w:szCs w:val="21"/>
                <w:highlight w:val="none"/>
              </w:rPr>
            </w:pP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12"/>
              </w:numPr>
              <w:adjustRightInd w:val="0"/>
              <w:snapToGrid w:val="0"/>
              <w:rPr>
                <w:rFonts w:ascii="宋体" w:hAnsi="宋体" w:eastAsia="宋体" w:cs="宋体"/>
                <w:kern w:val="0"/>
                <w:szCs w:val="21"/>
                <w:highlight w:val="none"/>
              </w:rPr>
            </w:pPr>
          </w:p>
        </w:tc>
        <w:tc>
          <w:tcPr>
            <w:tcW w:w="3961"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eastAsia="宋体" w:cs="宋体"/>
                <w:kern w:val="0"/>
                <w:szCs w:val="21"/>
                <w:highlight w:val="none"/>
              </w:rPr>
            </w:pPr>
            <w:r>
              <w:rPr>
                <w:rFonts w:hint="eastAsia" w:ascii="宋体" w:hAnsi="宋体" w:eastAsia="宋体" w:cs="宋体"/>
                <w:kern w:val="0"/>
                <w:szCs w:val="21"/>
                <w:highlight w:val="none"/>
              </w:rPr>
              <w:t>投标有效期满足招标文件规定；</w:t>
            </w:r>
          </w:p>
        </w:tc>
        <w:tc>
          <w:tcPr>
            <w:tcW w:w="662" w:type="pct"/>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宋体" w:hAnsi="宋体" w:eastAsia="宋体" w:cs="宋体"/>
                <w:kern w:val="0"/>
                <w:szCs w:val="21"/>
                <w:highlight w:val="none"/>
              </w:rPr>
            </w:pP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12"/>
              </w:numPr>
              <w:adjustRightInd w:val="0"/>
              <w:snapToGrid w:val="0"/>
              <w:rPr>
                <w:rFonts w:ascii="宋体" w:hAnsi="宋体" w:eastAsia="宋体" w:cs="宋体"/>
                <w:kern w:val="0"/>
                <w:szCs w:val="21"/>
                <w:highlight w:val="none"/>
              </w:rPr>
            </w:pPr>
          </w:p>
        </w:tc>
        <w:tc>
          <w:tcPr>
            <w:tcW w:w="3961"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eastAsia="宋体" w:cs="宋体"/>
                <w:kern w:val="0"/>
                <w:szCs w:val="21"/>
                <w:highlight w:val="none"/>
              </w:rPr>
            </w:pPr>
            <w:r>
              <w:rPr>
                <w:rFonts w:hint="eastAsia" w:ascii="宋体" w:hAnsi="宋体" w:eastAsia="宋体" w:cs="宋体"/>
                <w:kern w:val="0"/>
                <w:szCs w:val="21"/>
                <w:highlight w:val="none"/>
              </w:rPr>
              <w:t>投标文件中未附有采购人不能接受条件；</w:t>
            </w:r>
          </w:p>
        </w:tc>
        <w:tc>
          <w:tcPr>
            <w:tcW w:w="662" w:type="pct"/>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宋体" w:hAnsi="宋体" w:eastAsia="宋体" w:cs="宋体"/>
                <w:kern w:val="0"/>
                <w:szCs w:val="21"/>
                <w:highlight w:val="none"/>
              </w:rPr>
            </w:pP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12"/>
              </w:numPr>
              <w:adjustRightInd w:val="0"/>
              <w:snapToGrid w:val="0"/>
              <w:rPr>
                <w:rFonts w:ascii="宋体" w:hAnsi="宋体" w:eastAsia="宋体" w:cs="宋体"/>
                <w:kern w:val="0"/>
                <w:szCs w:val="21"/>
                <w:highlight w:val="none"/>
              </w:rPr>
            </w:pPr>
          </w:p>
        </w:tc>
        <w:tc>
          <w:tcPr>
            <w:tcW w:w="3961"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eastAsia="宋体" w:cs="宋体"/>
                <w:kern w:val="0"/>
                <w:szCs w:val="21"/>
                <w:highlight w:val="none"/>
              </w:rPr>
            </w:pPr>
            <w:r>
              <w:rPr>
                <w:rFonts w:hint="eastAsia" w:ascii="宋体" w:hAnsi="宋体" w:eastAsia="宋体" w:cs="宋体"/>
                <w:kern w:val="0"/>
                <w:szCs w:val="21"/>
                <w:highlight w:val="none"/>
              </w:rPr>
              <w:t>投标文件满足招标文件商务、技术等实质性要求；</w:t>
            </w:r>
          </w:p>
        </w:tc>
        <w:tc>
          <w:tcPr>
            <w:tcW w:w="662" w:type="pct"/>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宋体" w:hAnsi="宋体" w:eastAsia="宋体" w:cs="宋体"/>
                <w:kern w:val="0"/>
                <w:szCs w:val="21"/>
                <w:highlight w:val="none"/>
              </w:rPr>
            </w:pP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12"/>
              </w:numPr>
              <w:adjustRightInd w:val="0"/>
              <w:snapToGrid w:val="0"/>
              <w:rPr>
                <w:rFonts w:ascii="宋体" w:hAnsi="宋体" w:eastAsia="宋体" w:cs="宋体"/>
                <w:kern w:val="0"/>
                <w:szCs w:val="21"/>
                <w:highlight w:val="none"/>
              </w:rPr>
            </w:pPr>
          </w:p>
        </w:tc>
        <w:tc>
          <w:tcPr>
            <w:tcW w:w="3961"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eastAsia="宋体" w:cs="宋体"/>
                <w:kern w:val="0"/>
                <w:szCs w:val="21"/>
                <w:highlight w:val="none"/>
              </w:rPr>
            </w:pPr>
            <w:r>
              <w:rPr>
                <w:rFonts w:hint="eastAsia" w:ascii="宋体" w:hAnsi="宋体" w:eastAsia="宋体" w:cs="宋体"/>
                <w:kern w:val="0"/>
                <w:szCs w:val="21"/>
                <w:highlight w:val="none"/>
              </w:rPr>
              <w:t>投标人未出现招标文件中规定无效投标的其它条款（包括标记</w:t>
            </w:r>
            <w:r>
              <w:rPr>
                <w:rFonts w:hint="eastAsia" w:ascii="宋体" w:hAnsi="宋体" w:eastAsia="宋体" w:cs="宋体"/>
                <w:bCs/>
                <w:highlight w:val="none"/>
              </w:rPr>
              <w:t>★的条款</w:t>
            </w:r>
            <w:r>
              <w:rPr>
                <w:rFonts w:hint="eastAsia" w:ascii="宋体" w:hAnsi="宋体" w:eastAsia="宋体" w:cs="宋体"/>
                <w:kern w:val="0"/>
                <w:szCs w:val="21"/>
                <w:highlight w:val="none"/>
              </w:rPr>
              <w:t>）；</w:t>
            </w:r>
          </w:p>
        </w:tc>
        <w:tc>
          <w:tcPr>
            <w:tcW w:w="662" w:type="pct"/>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宋体" w:hAnsi="宋体" w:eastAsia="宋体" w:cs="宋体"/>
                <w:kern w:val="0"/>
                <w:szCs w:val="21"/>
                <w:highlight w:val="none"/>
              </w:rPr>
            </w:pPr>
          </w:p>
        </w:tc>
      </w:tr>
      <w:tr>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12"/>
              </w:numPr>
              <w:adjustRightInd w:val="0"/>
              <w:snapToGrid w:val="0"/>
              <w:rPr>
                <w:rFonts w:ascii="宋体" w:hAnsi="宋体" w:eastAsia="宋体" w:cs="宋体"/>
                <w:kern w:val="0"/>
                <w:szCs w:val="21"/>
                <w:highlight w:val="none"/>
              </w:rPr>
            </w:pPr>
          </w:p>
        </w:tc>
        <w:tc>
          <w:tcPr>
            <w:tcW w:w="3961" w:type="pct"/>
            <w:tcBorders>
              <w:top w:val="nil"/>
              <w:left w:val="nil"/>
              <w:bottom w:val="single" w:color="auto" w:sz="4" w:space="0"/>
              <w:right w:val="single" w:color="auto" w:sz="4" w:space="0"/>
            </w:tcBorders>
            <w:vAlign w:val="center"/>
          </w:tcPr>
          <w:p>
            <w:pPr>
              <w:widowControl/>
              <w:adjustRightInd w:val="0"/>
              <w:snapToGrid w:val="0"/>
              <w:rPr>
                <w:rFonts w:ascii="宋体" w:hAnsi="宋体" w:eastAsia="宋体" w:cs="宋体"/>
                <w:kern w:val="0"/>
                <w:szCs w:val="21"/>
                <w:highlight w:val="none"/>
              </w:rPr>
            </w:pPr>
            <w:r>
              <w:rPr>
                <w:rFonts w:hint="eastAsia" w:ascii="宋体" w:hAnsi="宋体" w:eastAsia="宋体" w:cs="宋体"/>
                <w:kern w:val="0"/>
                <w:szCs w:val="21"/>
                <w:highlight w:val="none"/>
              </w:rPr>
              <w:t>投标人未有下列任一情形：</w:t>
            </w:r>
          </w:p>
          <w:p>
            <w:pPr>
              <w:widowControl/>
              <w:adjustRightInd w:val="0"/>
              <w:snapToGrid w:val="0"/>
              <w:rPr>
                <w:rFonts w:ascii="宋体" w:hAnsi="宋体" w:eastAsia="宋体" w:cs="宋体"/>
                <w:kern w:val="0"/>
                <w:szCs w:val="21"/>
                <w:highlight w:val="none"/>
              </w:rPr>
            </w:pPr>
            <w:r>
              <w:rPr>
                <w:rFonts w:hint="eastAsia" w:ascii="宋体" w:hAnsi="宋体" w:eastAsia="宋体" w:cs="宋体"/>
                <w:kern w:val="0"/>
                <w:szCs w:val="21"/>
                <w:highlight w:val="none"/>
              </w:rPr>
              <w:t>（1）不同投标人的投标文件由同一单位或者个人编制；</w:t>
            </w:r>
          </w:p>
          <w:p>
            <w:pPr>
              <w:widowControl/>
              <w:adjustRightInd w:val="0"/>
              <w:snapToGrid w:val="0"/>
              <w:rPr>
                <w:rFonts w:ascii="宋体" w:hAnsi="宋体" w:eastAsia="宋体" w:cs="宋体"/>
                <w:kern w:val="0"/>
                <w:szCs w:val="21"/>
                <w:highlight w:val="none"/>
              </w:rPr>
            </w:pPr>
            <w:r>
              <w:rPr>
                <w:rFonts w:hint="eastAsia" w:ascii="宋体" w:hAnsi="宋体" w:eastAsia="宋体" w:cs="宋体"/>
                <w:kern w:val="0"/>
                <w:szCs w:val="21"/>
                <w:highlight w:val="none"/>
              </w:rPr>
              <w:t>（2）不同投标人委托同一单位或者个人办理投标事宜；</w:t>
            </w:r>
          </w:p>
          <w:p>
            <w:pPr>
              <w:widowControl/>
              <w:adjustRightInd w:val="0"/>
              <w:snapToGrid w:val="0"/>
              <w:rPr>
                <w:rFonts w:ascii="宋体" w:hAnsi="宋体" w:eastAsia="宋体" w:cs="宋体"/>
                <w:kern w:val="0"/>
                <w:szCs w:val="21"/>
                <w:highlight w:val="none"/>
              </w:rPr>
            </w:pPr>
            <w:r>
              <w:rPr>
                <w:rFonts w:hint="eastAsia" w:ascii="宋体" w:hAnsi="宋体" w:eastAsia="宋体" w:cs="宋体"/>
                <w:kern w:val="0"/>
                <w:szCs w:val="21"/>
                <w:highlight w:val="none"/>
              </w:rPr>
              <w:t>（3）不同投标人的投标文件载明的项目管理成员或者联系人员为同一人；</w:t>
            </w:r>
          </w:p>
          <w:p>
            <w:pPr>
              <w:widowControl/>
              <w:adjustRightInd w:val="0"/>
              <w:snapToGrid w:val="0"/>
              <w:rPr>
                <w:rFonts w:ascii="宋体" w:hAnsi="宋体" w:eastAsia="宋体" w:cs="宋体"/>
                <w:kern w:val="0"/>
                <w:szCs w:val="21"/>
                <w:highlight w:val="none"/>
              </w:rPr>
            </w:pPr>
            <w:r>
              <w:rPr>
                <w:rFonts w:hint="eastAsia" w:ascii="宋体" w:hAnsi="宋体" w:eastAsia="宋体" w:cs="宋体"/>
                <w:kern w:val="0"/>
                <w:szCs w:val="21"/>
                <w:highlight w:val="none"/>
              </w:rPr>
              <w:t>（4）不同投标人的投标文件异常一致或者投标报价呈规律性差异；</w:t>
            </w:r>
          </w:p>
          <w:p>
            <w:pPr>
              <w:widowControl/>
              <w:adjustRightInd w:val="0"/>
              <w:snapToGrid w:val="0"/>
              <w:rPr>
                <w:rFonts w:ascii="宋体" w:hAnsi="宋体" w:eastAsia="宋体" w:cs="宋体"/>
                <w:kern w:val="0"/>
                <w:szCs w:val="21"/>
                <w:highlight w:val="none"/>
              </w:rPr>
            </w:pPr>
            <w:r>
              <w:rPr>
                <w:rFonts w:hint="eastAsia" w:ascii="宋体" w:hAnsi="宋体" w:eastAsia="宋体" w:cs="宋体"/>
                <w:kern w:val="0"/>
                <w:szCs w:val="21"/>
                <w:highlight w:val="none"/>
              </w:rPr>
              <w:t>（5）不同投标人的投标文件相互混装。</w:t>
            </w:r>
          </w:p>
        </w:tc>
        <w:tc>
          <w:tcPr>
            <w:tcW w:w="662" w:type="pct"/>
            <w:tcBorders>
              <w:top w:val="nil"/>
              <w:left w:val="nil"/>
              <w:bottom w:val="single" w:color="auto" w:sz="4" w:space="0"/>
              <w:right w:val="single" w:color="auto" w:sz="4" w:space="0"/>
            </w:tcBorders>
            <w:vAlign w:val="center"/>
          </w:tcPr>
          <w:p>
            <w:pPr>
              <w:widowControl/>
              <w:adjustRightInd w:val="0"/>
              <w:snapToGrid w:val="0"/>
              <w:jc w:val="center"/>
              <w:rPr>
                <w:rFonts w:ascii="宋体" w:hAnsi="宋体" w:eastAsia="宋体" w:cs="宋体"/>
                <w:kern w:val="0"/>
                <w:szCs w:val="21"/>
                <w:highlight w:val="none"/>
              </w:rPr>
            </w:pPr>
          </w:p>
        </w:tc>
      </w:tr>
      <w:tr>
        <w:tblPrEx>
          <w:tblCellMar>
            <w:top w:w="0" w:type="dxa"/>
            <w:left w:w="108" w:type="dxa"/>
            <w:bottom w:w="0" w:type="dxa"/>
            <w:right w:w="108" w:type="dxa"/>
          </w:tblCellMar>
        </w:tblPrEx>
        <w:trPr>
          <w:trHeight w:val="454" w:hRule="atLeast"/>
          <w:jc w:val="center"/>
        </w:trPr>
        <w:tc>
          <w:tcPr>
            <w:tcW w:w="4338" w:type="pct"/>
            <w:gridSpan w:val="2"/>
            <w:tcBorders>
              <w:top w:val="single" w:color="auto" w:sz="4" w:space="0"/>
              <w:left w:val="single" w:color="auto" w:sz="4" w:space="0"/>
              <w:bottom w:val="single" w:color="auto" w:sz="4" w:space="0"/>
              <w:right w:val="single" w:color="auto" w:sz="4" w:space="0"/>
            </w:tcBorders>
            <w:vAlign w:val="center"/>
          </w:tcPr>
          <w:p>
            <w:pPr>
              <w:widowControl/>
              <w:adjustRightInd w:val="0"/>
              <w:snapToGrid w:val="0"/>
              <w:rPr>
                <w:rFonts w:ascii="宋体" w:hAnsi="宋体" w:eastAsia="宋体" w:cs="宋体"/>
                <w:kern w:val="0"/>
                <w:szCs w:val="21"/>
                <w:highlight w:val="none"/>
              </w:rPr>
            </w:pPr>
            <w:r>
              <w:rPr>
                <w:rFonts w:hint="eastAsia" w:ascii="宋体" w:hAnsi="宋体" w:eastAsia="宋体" w:cs="宋体"/>
                <w:kern w:val="0"/>
                <w:szCs w:val="21"/>
                <w:highlight w:val="none"/>
              </w:rPr>
              <w:t>审核结论</w:t>
            </w:r>
          </w:p>
        </w:tc>
        <w:tc>
          <w:tcPr>
            <w:tcW w:w="662"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宋体" w:hAnsi="宋体" w:eastAsia="宋体" w:cs="宋体"/>
                <w:kern w:val="0"/>
                <w:szCs w:val="21"/>
                <w:highlight w:val="none"/>
              </w:rPr>
            </w:pPr>
          </w:p>
        </w:tc>
      </w:tr>
    </w:tbl>
    <w:p>
      <w:pPr>
        <w:jc w:val="center"/>
        <w:rPr>
          <w:rFonts w:ascii="宋体" w:hAnsi="宋体" w:eastAsia="宋体" w:cs="宋体"/>
          <w:b/>
          <w:highlight w:val="none"/>
        </w:rPr>
      </w:pPr>
    </w:p>
    <w:p>
      <w:pPr>
        <w:jc w:val="center"/>
        <w:rPr>
          <w:rFonts w:ascii="宋体" w:hAnsi="宋体" w:eastAsia="宋体" w:cs="宋体"/>
          <w:b/>
          <w:sz w:val="32"/>
          <w:szCs w:val="32"/>
          <w:highlight w:val="none"/>
        </w:rPr>
      </w:pPr>
      <w:r>
        <w:rPr>
          <w:rFonts w:hint="eastAsia" w:ascii="宋体" w:hAnsi="宋体" w:eastAsia="宋体" w:cs="宋体"/>
          <w:b/>
          <w:sz w:val="32"/>
          <w:szCs w:val="32"/>
          <w:highlight w:val="none"/>
        </w:rPr>
        <w:br w:type="page"/>
      </w:r>
      <w:r>
        <w:rPr>
          <w:rFonts w:hint="eastAsia" w:ascii="宋体" w:hAnsi="宋体" w:eastAsia="宋体" w:cs="宋体"/>
          <w:b/>
          <w:sz w:val="32"/>
          <w:szCs w:val="32"/>
          <w:highlight w:val="none"/>
        </w:rPr>
        <w:t>评标导航表</w:t>
      </w:r>
    </w:p>
    <w:p>
      <w:pPr>
        <w:rPr>
          <w:rFonts w:ascii="宋体" w:hAnsi="宋体" w:eastAsia="宋体" w:cs="宋体"/>
          <w:b/>
          <w:sz w:val="24"/>
          <w:highlight w:val="none"/>
          <w:u w:val="single"/>
        </w:rPr>
      </w:pP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816"/>
        <w:gridCol w:w="938"/>
        <w:gridCol w:w="2796"/>
        <w:gridCol w:w="2173"/>
        <w:gridCol w:w="11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76" w:type="dxa"/>
            <w:shd w:val="clear" w:color="auto" w:fill="BFBFBF"/>
            <w:vAlign w:val="center"/>
          </w:tcPr>
          <w:p>
            <w:pPr>
              <w:widowControl/>
              <w:snapToGrid w:val="0"/>
              <w:jc w:val="center"/>
              <w:rPr>
                <w:rFonts w:ascii="宋体" w:hAnsi="宋体" w:eastAsia="宋体" w:cs="宋体"/>
                <w:b/>
                <w:bCs/>
                <w:szCs w:val="21"/>
                <w:highlight w:val="none"/>
              </w:rPr>
            </w:pPr>
            <w:r>
              <w:rPr>
                <w:rFonts w:hint="eastAsia" w:ascii="宋体" w:hAnsi="宋体" w:eastAsia="宋体" w:cs="宋体"/>
                <w:b/>
                <w:bCs/>
                <w:szCs w:val="21"/>
                <w:highlight w:val="none"/>
              </w:rPr>
              <w:t>评审</w:t>
            </w:r>
          </w:p>
          <w:p>
            <w:pPr>
              <w:widowControl/>
              <w:snapToGrid w:val="0"/>
              <w:jc w:val="center"/>
              <w:rPr>
                <w:rFonts w:ascii="宋体" w:hAnsi="宋体" w:eastAsia="宋体" w:cs="宋体"/>
                <w:b/>
                <w:bCs/>
                <w:szCs w:val="21"/>
                <w:highlight w:val="none"/>
              </w:rPr>
            </w:pPr>
            <w:r>
              <w:rPr>
                <w:rFonts w:hint="eastAsia" w:ascii="宋体" w:hAnsi="宋体" w:eastAsia="宋体" w:cs="宋体"/>
                <w:b/>
                <w:bCs/>
                <w:szCs w:val="21"/>
                <w:highlight w:val="none"/>
              </w:rPr>
              <w:t>项目</w:t>
            </w:r>
          </w:p>
        </w:tc>
        <w:tc>
          <w:tcPr>
            <w:tcW w:w="816" w:type="dxa"/>
            <w:shd w:val="clear" w:color="auto" w:fill="BFBFBF"/>
            <w:vAlign w:val="center"/>
          </w:tcPr>
          <w:p>
            <w:pPr>
              <w:widowControl/>
              <w:snapToGrid w:val="0"/>
              <w:jc w:val="center"/>
              <w:rPr>
                <w:rFonts w:ascii="宋体" w:hAnsi="宋体" w:eastAsia="宋体" w:cs="宋体"/>
                <w:b/>
                <w:bCs/>
                <w:szCs w:val="21"/>
                <w:highlight w:val="none"/>
              </w:rPr>
            </w:pPr>
            <w:r>
              <w:rPr>
                <w:rFonts w:hint="eastAsia" w:ascii="宋体" w:hAnsi="宋体" w:eastAsia="宋体" w:cs="宋体"/>
                <w:b/>
                <w:bCs/>
                <w:szCs w:val="21"/>
                <w:highlight w:val="none"/>
              </w:rPr>
              <w:t>项目</w:t>
            </w:r>
          </w:p>
        </w:tc>
        <w:tc>
          <w:tcPr>
            <w:tcW w:w="938" w:type="dxa"/>
            <w:shd w:val="clear" w:color="auto" w:fill="BFBFBF"/>
            <w:vAlign w:val="center"/>
          </w:tcPr>
          <w:p>
            <w:pPr>
              <w:widowControl/>
              <w:snapToGrid w:val="0"/>
              <w:jc w:val="center"/>
              <w:rPr>
                <w:rFonts w:ascii="宋体" w:hAnsi="宋体" w:eastAsia="宋体" w:cs="宋体"/>
                <w:b/>
                <w:bCs/>
                <w:szCs w:val="21"/>
                <w:highlight w:val="none"/>
              </w:rPr>
            </w:pPr>
            <w:r>
              <w:rPr>
                <w:rFonts w:hint="eastAsia" w:ascii="宋体" w:hAnsi="宋体" w:eastAsia="宋体" w:cs="宋体"/>
                <w:b/>
                <w:bCs/>
                <w:szCs w:val="21"/>
                <w:highlight w:val="none"/>
              </w:rPr>
              <w:t>分值</w:t>
            </w:r>
          </w:p>
        </w:tc>
        <w:tc>
          <w:tcPr>
            <w:tcW w:w="2796" w:type="dxa"/>
            <w:shd w:val="clear" w:color="auto" w:fill="BFBFBF"/>
            <w:vAlign w:val="center"/>
          </w:tcPr>
          <w:p>
            <w:pPr>
              <w:widowControl/>
              <w:snapToGrid w:val="0"/>
              <w:jc w:val="center"/>
              <w:rPr>
                <w:rFonts w:ascii="宋体" w:hAnsi="宋体" w:eastAsia="宋体" w:cs="宋体"/>
                <w:b/>
                <w:bCs/>
                <w:szCs w:val="21"/>
                <w:highlight w:val="none"/>
              </w:rPr>
            </w:pPr>
            <w:r>
              <w:rPr>
                <w:rFonts w:hint="eastAsia" w:ascii="宋体" w:hAnsi="宋体" w:eastAsia="宋体" w:cs="宋体"/>
                <w:b/>
                <w:bCs/>
                <w:szCs w:val="21"/>
                <w:highlight w:val="none"/>
              </w:rPr>
              <w:t>评分标准</w:t>
            </w:r>
          </w:p>
        </w:tc>
        <w:tc>
          <w:tcPr>
            <w:tcW w:w="2173" w:type="dxa"/>
            <w:shd w:val="clear" w:color="auto" w:fill="BFBFBF"/>
            <w:vAlign w:val="center"/>
          </w:tcPr>
          <w:p>
            <w:pPr>
              <w:widowControl/>
              <w:snapToGrid w:val="0"/>
              <w:jc w:val="center"/>
              <w:rPr>
                <w:rFonts w:ascii="宋体" w:hAnsi="宋体" w:eastAsia="宋体" w:cs="宋体"/>
                <w:b/>
                <w:bCs/>
                <w:szCs w:val="21"/>
                <w:highlight w:val="none"/>
              </w:rPr>
            </w:pPr>
            <w:r>
              <w:rPr>
                <w:rFonts w:hint="eastAsia" w:ascii="宋体" w:hAnsi="宋体" w:eastAsia="宋体" w:cs="宋体"/>
                <w:b/>
                <w:bCs/>
                <w:szCs w:val="21"/>
                <w:highlight w:val="none"/>
              </w:rPr>
              <w:t>投标人响应</w:t>
            </w:r>
          </w:p>
        </w:tc>
        <w:tc>
          <w:tcPr>
            <w:tcW w:w="1122" w:type="dxa"/>
            <w:shd w:val="clear" w:color="auto" w:fill="BFBFBF"/>
            <w:vAlign w:val="center"/>
          </w:tcPr>
          <w:p>
            <w:pPr>
              <w:widowControl/>
              <w:snapToGrid w:val="0"/>
              <w:jc w:val="center"/>
              <w:rPr>
                <w:rFonts w:ascii="宋体" w:hAnsi="宋体" w:eastAsia="宋体" w:cs="宋体"/>
                <w:b/>
                <w:bCs/>
                <w:szCs w:val="21"/>
                <w:highlight w:val="none"/>
              </w:rPr>
            </w:pPr>
            <w:r>
              <w:rPr>
                <w:rFonts w:hint="eastAsia" w:ascii="宋体" w:hAnsi="宋体" w:eastAsia="宋体" w:cs="宋体"/>
                <w:b/>
                <w:bCs/>
                <w:szCs w:val="21"/>
                <w:highlight w:val="none"/>
              </w:rPr>
              <w:t>投标文件对应页码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76" w:type="dxa"/>
            <w:vMerge w:val="restart"/>
            <w:vAlign w:val="center"/>
          </w:tcPr>
          <w:p>
            <w:pPr>
              <w:widowControl/>
              <w:tabs>
                <w:tab w:val="left" w:pos="0"/>
              </w:tabs>
              <w:topLinePunct/>
              <w:snapToGrid w:val="0"/>
              <w:spacing w:after="0"/>
              <w:jc w:val="center"/>
              <w:rPr>
                <w:rFonts w:ascii="宋体" w:hAnsi="宋体" w:eastAsia="宋体" w:cs="宋体"/>
                <w:b/>
                <w:bCs/>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报价</w:t>
            </w:r>
          </w:p>
          <w:p>
            <w:pPr>
              <w:widowControl/>
              <w:tabs>
                <w:tab w:val="left" w:pos="0"/>
              </w:tabs>
              <w:topLinePunct/>
              <w:snapToGrid w:val="0"/>
              <w:spacing w:after="0"/>
              <w:jc w:val="center"/>
              <w:rPr>
                <w:rFonts w:ascii="宋体" w:hAnsi="宋体" w:eastAsia="宋体" w:cs="宋体"/>
                <w:b/>
                <w:bCs/>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部分</w:t>
            </w:r>
          </w:p>
        </w:tc>
        <w:tc>
          <w:tcPr>
            <w:tcW w:w="816"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938"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796"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173" w:type="dxa"/>
            <w:vAlign w:val="center"/>
          </w:tcPr>
          <w:p>
            <w:pPr>
              <w:widowControl/>
              <w:snapToGrid w:val="0"/>
              <w:jc w:val="center"/>
              <w:rPr>
                <w:rFonts w:ascii="宋体" w:hAnsi="宋体" w:eastAsia="宋体" w:cs="宋体"/>
                <w:b/>
                <w:bCs/>
                <w:szCs w:val="21"/>
                <w:highlight w:val="none"/>
              </w:rPr>
            </w:pPr>
          </w:p>
        </w:tc>
        <w:tc>
          <w:tcPr>
            <w:tcW w:w="1122" w:type="dxa"/>
            <w:vAlign w:val="center"/>
          </w:tcPr>
          <w:p>
            <w:pPr>
              <w:widowControl/>
              <w:snapToGrid w:val="0"/>
              <w:jc w:val="center"/>
              <w:rPr>
                <w:rFonts w:ascii="宋体" w:hAnsi="宋体" w:eastAsia="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76" w:type="dxa"/>
            <w:vMerge w:val="continue"/>
            <w:vAlign w:val="center"/>
          </w:tcPr>
          <w:p>
            <w:pPr>
              <w:widowControl/>
              <w:tabs>
                <w:tab w:val="left" w:pos="0"/>
              </w:tabs>
              <w:topLinePunct/>
              <w:snapToGrid w:val="0"/>
              <w:spacing w:after="0"/>
              <w:jc w:val="center"/>
              <w:rPr>
                <w:rFonts w:ascii="宋体" w:hAnsi="宋体" w:eastAsia="宋体" w:cs="宋体"/>
                <w:b/>
                <w:bCs/>
                <w:kern w:val="2"/>
                <w:sz w:val="21"/>
                <w:szCs w:val="21"/>
                <w:highlight w:val="none"/>
                <w:lang w:val="en-US" w:eastAsia="zh-CN" w:bidi="ar-SA"/>
              </w:rPr>
            </w:pPr>
          </w:p>
        </w:tc>
        <w:tc>
          <w:tcPr>
            <w:tcW w:w="816"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938"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796" w:type="dxa"/>
            <w:vAlign w:val="center"/>
          </w:tcPr>
          <w:p>
            <w:pPr>
              <w:widowControl/>
              <w:tabs>
                <w:tab w:val="left" w:pos="0"/>
              </w:tabs>
              <w:topLinePunct/>
              <w:snapToGrid w:val="0"/>
              <w:spacing w:after="0"/>
              <w:jc w:val="center"/>
              <w:rPr>
                <w:rFonts w:ascii="宋体" w:hAnsi="宋体" w:eastAsia="宋体" w:cs="宋体"/>
                <w:b/>
                <w:kern w:val="2"/>
                <w:sz w:val="21"/>
                <w:szCs w:val="21"/>
                <w:highlight w:val="none"/>
                <w:lang w:val="en-US" w:eastAsia="zh-CN" w:bidi="ar-SA"/>
              </w:rPr>
            </w:pPr>
            <w:r>
              <w:rPr>
                <w:rFonts w:hint="eastAsia" w:ascii="宋体" w:hAnsi="宋体" w:eastAsia="宋体" w:cs="宋体"/>
                <w:b/>
                <w:kern w:val="2"/>
                <w:sz w:val="21"/>
                <w:szCs w:val="21"/>
                <w:highlight w:val="none"/>
                <w:lang w:val="en-US" w:eastAsia="zh-CN" w:bidi="ar-SA"/>
              </w:rPr>
              <w:t>支持中小企业政策</w:t>
            </w:r>
          </w:p>
        </w:tc>
        <w:tc>
          <w:tcPr>
            <w:tcW w:w="2173" w:type="dxa"/>
            <w:vAlign w:val="center"/>
          </w:tcPr>
          <w:p>
            <w:pPr>
              <w:widowControl/>
              <w:snapToGrid w:val="0"/>
              <w:jc w:val="center"/>
              <w:rPr>
                <w:rFonts w:ascii="宋体" w:hAnsi="宋体" w:eastAsia="宋体" w:cs="宋体"/>
                <w:b/>
                <w:bCs/>
                <w:szCs w:val="21"/>
                <w:highlight w:val="none"/>
              </w:rPr>
            </w:pPr>
          </w:p>
        </w:tc>
        <w:tc>
          <w:tcPr>
            <w:tcW w:w="1122" w:type="dxa"/>
            <w:vAlign w:val="center"/>
          </w:tcPr>
          <w:p>
            <w:pPr>
              <w:widowControl/>
              <w:snapToGrid w:val="0"/>
              <w:jc w:val="center"/>
              <w:rPr>
                <w:rFonts w:ascii="宋体" w:hAnsi="宋体" w:eastAsia="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76" w:type="dxa"/>
            <w:vMerge w:val="continue"/>
            <w:vAlign w:val="center"/>
          </w:tcPr>
          <w:p>
            <w:pPr>
              <w:widowControl/>
              <w:tabs>
                <w:tab w:val="left" w:pos="0"/>
              </w:tabs>
              <w:topLinePunct/>
              <w:snapToGrid w:val="0"/>
              <w:spacing w:after="0"/>
              <w:jc w:val="center"/>
              <w:rPr>
                <w:rFonts w:ascii="宋体" w:hAnsi="宋体" w:eastAsia="宋体" w:cs="宋体"/>
                <w:b/>
                <w:bCs/>
                <w:kern w:val="2"/>
                <w:sz w:val="21"/>
                <w:szCs w:val="21"/>
                <w:highlight w:val="none"/>
                <w:lang w:val="en-US" w:eastAsia="zh-CN" w:bidi="ar-SA"/>
              </w:rPr>
            </w:pPr>
          </w:p>
        </w:tc>
        <w:tc>
          <w:tcPr>
            <w:tcW w:w="816"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938"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796" w:type="dxa"/>
            <w:vAlign w:val="center"/>
          </w:tcPr>
          <w:p>
            <w:pPr>
              <w:widowControl/>
              <w:tabs>
                <w:tab w:val="left" w:pos="0"/>
              </w:tabs>
              <w:topLinePunct/>
              <w:snapToGrid w:val="0"/>
              <w:spacing w:after="0"/>
              <w:jc w:val="center"/>
              <w:rPr>
                <w:rFonts w:ascii="宋体" w:hAnsi="宋体" w:eastAsia="宋体" w:cs="宋体"/>
                <w:b/>
                <w:kern w:val="2"/>
                <w:sz w:val="21"/>
                <w:szCs w:val="21"/>
                <w:highlight w:val="none"/>
                <w:lang w:val="en-US" w:eastAsia="zh-CN" w:bidi="ar-SA"/>
              </w:rPr>
            </w:pPr>
            <w:r>
              <w:rPr>
                <w:rFonts w:hint="eastAsia" w:ascii="宋体" w:hAnsi="宋体" w:eastAsia="宋体" w:cs="宋体"/>
                <w:b/>
                <w:kern w:val="2"/>
                <w:sz w:val="21"/>
                <w:szCs w:val="21"/>
                <w:highlight w:val="none"/>
                <w:lang w:val="en-US" w:eastAsia="zh-CN" w:bidi="ar-SA"/>
              </w:rPr>
              <w:t>采购节能产品政策</w:t>
            </w:r>
          </w:p>
        </w:tc>
        <w:tc>
          <w:tcPr>
            <w:tcW w:w="2173" w:type="dxa"/>
            <w:vAlign w:val="center"/>
          </w:tcPr>
          <w:p>
            <w:pPr>
              <w:widowControl/>
              <w:snapToGrid w:val="0"/>
              <w:jc w:val="center"/>
              <w:rPr>
                <w:rFonts w:ascii="宋体" w:hAnsi="宋体" w:eastAsia="宋体" w:cs="宋体"/>
                <w:b/>
                <w:bCs/>
                <w:szCs w:val="21"/>
                <w:highlight w:val="none"/>
              </w:rPr>
            </w:pPr>
          </w:p>
        </w:tc>
        <w:tc>
          <w:tcPr>
            <w:tcW w:w="1122" w:type="dxa"/>
            <w:vAlign w:val="center"/>
          </w:tcPr>
          <w:p>
            <w:pPr>
              <w:widowControl/>
              <w:snapToGrid w:val="0"/>
              <w:jc w:val="center"/>
              <w:rPr>
                <w:rFonts w:ascii="宋体" w:hAnsi="宋体" w:eastAsia="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76" w:type="dxa"/>
            <w:vMerge w:val="continue"/>
            <w:vAlign w:val="center"/>
          </w:tcPr>
          <w:p>
            <w:pPr>
              <w:widowControl/>
              <w:tabs>
                <w:tab w:val="left" w:pos="0"/>
              </w:tabs>
              <w:topLinePunct/>
              <w:snapToGrid w:val="0"/>
              <w:spacing w:after="0"/>
              <w:jc w:val="center"/>
              <w:rPr>
                <w:rFonts w:ascii="宋体" w:hAnsi="宋体" w:eastAsia="宋体" w:cs="宋体"/>
                <w:b/>
                <w:bCs/>
                <w:kern w:val="2"/>
                <w:sz w:val="21"/>
                <w:szCs w:val="21"/>
                <w:highlight w:val="none"/>
                <w:lang w:val="en-US" w:eastAsia="zh-CN" w:bidi="ar-SA"/>
              </w:rPr>
            </w:pPr>
          </w:p>
        </w:tc>
        <w:tc>
          <w:tcPr>
            <w:tcW w:w="816"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938"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796" w:type="dxa"/>
            <w:vAlign w:val="center"/>
          </w:tcPr>
          <w:p>
            <w:pPr>
              <w:widowControl/>
              <w:tabs>
                <w:tab w:val="left" w:pos="0"/>
              </w:tabs>
              <w:topLinePunct/>
              <w:snapToGrid w:val="0"/>
              <w:spacing w:after="0"/>
              <w:jc w:val="center"/>
              <w:rPr>
                <w:rFonts w:ascii="宋体" w:hAnsi="宋体" w:eastAsia="宋体" w:cs="宋体"/>
                <w:b/>
                <w:kern w:val="2"/>
                <w:sz w:val="21"/>
                <w:szCs w:val="21"/>
                <w:highlight w:val="none"/>
                <w:lang w:val="en-US" w:eastAsia="zh-CN" w:bidi="ar-SA"/>
              </w:rPr>
            </w:pPr>
            <w:r>
              <w:rPr>
                <w:rFonts w:hint="eastAsia" w:ascii="宋体" w:hAnsi="宋体" w:eastAsia="宋体" w:cs="宋体"/>
                <w:b/>
                <w:kern w:val="2"/>
                <w:sz w:val="21"/>
                <w:szCs w:val="21"/>
                <w:highlight w:val="none"/>
                <w:lang w:val="en-US" w:eastAsia="zh-CN" w:bidi="ar-SA"/>
              </w:rPr>
              <w:t>采购环保产品政策</w:t>
            </w:r>
          </w:p>
        </w:tc>
        <w:tc>
          <w:tcPr>
            <w:tcW w:w="2173" w:type="dxa"/>
            <w:vAlign w:val="center"/>
          </w:tcPr>
          <w:p>
            <w:pPr>
              <w:widowControl/>
              <w:snapToGrid w:val="0"/>
              <w:jc w:val="center"/>
              <w:rPr>
                <w:rFonts w:ascii="宋体" w:hAnsi="宋体" w:eastAsia="宋体" w:cs="宋体"/>
                <w:b/>
                <w:bCs/>
                <w:szCs w:val="21"/>
                <w:highlight w:val="none"/>
              </w:rPr>
            </w:pPr>
          </w:p>
        </w:tc>
        <w:tc>
          <w:tcPr>
            <w:tcW w:w="1122" w:type="dxa"/>
            <w:vAlign w:val="center"/>
          </w:tcPr>
          <w:p>
            <w:pPr>
              <w:widowControl/>
              <w:snapToGrid w:val="0"/>
              <w:jc w:val="center"/>
              <w:rPr>
                <w:rFonts w:ascii="宋体" w:hAnsi="宋体" w:eastAsia="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restart"/>
            <w:vAlign w:val="center"/>
          </w:tcPr>
          <w:p>
            <w:pPr>
              <w:snapToGrid w:val="0"/>
              <w:jc w:val="center"/>
              <w:rPr>
                <w:rFonts w:ascii="宋体" w:hAnsi="宋体" w:eastAsia="宋体" w:cs="宋体"/>
                <w:b/>
                <w:bCs/>
                <w:szCs w:val="21"/>
                <w:highlight w:val="none"/>
              </w:rPr>
            </w:pPr>
            <w:r>
              <w:rPr>
                <w:rFonts w:hint="eastAsia" w:ascii="宋体" w:hAnsi="宋体" w:eastAsia="宋体" w:cs="宋体"/>
                <w:b/>
                <w:bCs/>
                <w:szCs w:val="21"/>
                <w:highlight w:val="none"/>
              </w:rPr>
              <w:t>商务</w:t>
            </w:r>
          </w:p>
          <w:p>
            <w:pPr>
              <w:snapToGrid w:val="0"/>
              <w:jc w:val="center"/>
              <w:rPr>
                <w:rFonts w:ascii="宋体" w:hAnsi="宋体" w:eastAsia="宋体" w:cs="宋体"/>
                <w:b/>
                <w:bCs/>
                <w:szCs w:val="21"/>
                <w:highlight w:val="none"/>
              </w:rPr>
            </w:pPr>
            <w:r>
              <w:rPr>
                <w:rFonts w:hint="eastAsia" w:ascii="宋体" w:hAnsi="宋体" w:eastAsia="宋体" w:cs="宋体"/>
                <w:b/>
                <w:bCs/>
                <w:szCs w:val="21"/>
                <w:highlight w:val="none"/>
              </w:rPr>
              <w:t>部分</w:t>
            </w:r>
          </w:p>
        </w:tc>
        <w:tc>
          <w:tcPr>
            <w:tcW w:w="816" w:type="dxa"/>
            <w:vMerge w:val="restart"/>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938"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796"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173" w:type="dxa"/>
            <w:vAlign w:val="center"/>
          </w:tcPr>
          <w:p>
            <w:pPr>
              <w:widowControl/>
              <w:snapToGrid w:val="0"/>
              <w:jc w:val="center"/>
              <w:rPr>
                <w:rFonts w:ascii="宋体" w:hAnsi="宋体" w:eastAsia="宋体" w:cs="宋体"/>
                <w:bCs/>
                <w:szCs w:val="21"/>
                <w:highlight w:val="none"/>
              </w:rPr>
            </w:pPr>
          </w:p>
        </w:tc>
        <w:tc>
          <w:tcPr>
            <w:tcW w:w="1122" w:type="dxa"/>
            <w:vAlign w:val="center"/>
          </w:tcPr>
          <w:p>
            <w:pPr>
              <w:widowControl/>
              <w:snapToGrid w:val="0"/>
              <w:jc w:val="center"/>
              <w:rPr>
                <w:rFonts w:ascii="宋体" w:hAnsi="宋体" w:eastAsia="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eastAsia="宋体" w:cs="宋体"/>
                <w:b/>
                <w:szCs w:val="21"/>
                <w:highlight w:val="none"/>
              </w:rPr>
            </w:pPr>
          </w:p>
        </w:tc>
        <w:tc>
          <w:tcPr>
            <w:tcW w:w="816" w:type="dxa"/>
            <w:vMerge w:val="continue"/>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938"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796"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173" w:type="dxa"/>
            <w:vAlign w:val="center"/>
          </w:tcPr>
          <w:p>
            <w:pPr>
              <w:widowControl/>
              <w:snapToGrid w:val="0"/>
              <w:jc w:val="center"/>
              <w:rPr>
                <w:rFonts w:ascii="宋体" w:hAnsi="宋体" w:eastAsia="宋体" w:cs="宋体"/>
                <w:bCs/>
                <w:szCs w:val="21"/>
                <w:highlight w:val="none"/>
              </w:rPr>
            </w:pPr>
          </w:p>
        </w:tc>
        <w:tc>
          <w:tcPr>
            <w:tcW w:w="1122" w:type="dxa"/>
            <w:vAlign w:val="center"/>
          </w:tcPr>
          <w:p>
            <w:pPr>
              <w:widowControl/>
              <w:snapToGrid w:val="0"/>
              <w:jc w:val="center"/>
              <w:rPr>
                <w:rFonts w:ascii="宋体" w:hAnsi="宋体" w:eastAsia="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eastAsia="宋体" w:cs="宋体"/>
                <w:b/>
                <w:szCs w:val="21"/>
                <w:highlight w:val="none"/>
              </w:rPr>
            </w:pPr>
          </w:p>
        </w:tc>
        <w:tc>
          <w:tcPr>
            <w:tcW w:w="816" w:type="dxa"/>
            <w:vMerge w:val="continue"/>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938"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796"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173" w:type="dxa"/>
            <w:vAlign w:val="center"/>
          </w:tcPr>
          <w:p>
            <w:pPr>
              <w:widowControl/>
              <w:snapToGrid w:val="0"/>
              <w:jc w:val="center"/>
              <w:rPr>
                <w:rFonts w:ascii="宋体" w:hAnsi="宋体" w:eastAsia="宋体" w:cs="宋体"/>
                <w:bCs/>
                <w:szCs w:val="21"/>
                <w:highlight w:val="none"/>
              </w:rPr>
            </w:pPr>
          </w:p>
        </w:tc>
        <w:tc>
          <w:tcPr>
            <w:tcW w:w="1122" w:type="dxa"/>
            <w:vAlign w:val="center"/>
          </w:tcPr>
          <w:p>
            <w:pPr>
              <w:widowControl/>
              <w:snapToGrid w:val="0"/>
              <w:jc w:val="center"/>
              <w:rPr>
                <w:rFonts w:ascii="宋体" w:hAnsi="宋体" w:eastAsia="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eastAsia="宋体" w:cs="宋体"/>
                <w:b/>
                <w:szCs w:val="21"/>
                <w:highlight w:val="none"/>
              </w:rPr>
            </w:pPr>
          </w:p>
        </w:tc>
        <w:tc>
          <w:tcPr>
            <w:tcW w:w="816" w:type="dxa"/>
            <w:vMerge w:val="continue"/>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938"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796"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173" w:type="dxa"/>
            <w:vAlign w:val="center"/>
          </w:tcPr>
          <w:p>
            <w:pPr>
              <w:widowControl/>
              <w:snapToGrid w:val="0"/>
              <w:jc w:val="center"/>
              <w:rPr>
                <w:rFonts w:ascii="宋体" w:hAnsi="宋体" w:eastAsia="宋体" w:cs="宋体"/>
                <w:bCs/>
                <w:szCs w:val="21"/>
                <w:highlight w:val="none"/>
              </w:rPr>
            </w:pPr>
          </w:p>
        </w:tc>
        <w:tc>
          <w:tcPr>
            <w:tcW w:w="1122" w:type="dxa"/>
            <w:vAlign w:val="center"/>
          </w:tcPr>
          <w:p>
            <w:pPr>
              <w:widowControl/>
              <w:snapToGrid w:val="0"/>
              <w:jc w:val="center"/>
              <w:rPr>
                <w:rFonts w:ascii="宋体" w:hAnsi="宋体" w:eastAsia="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eastAsia="宋体" w:cs="宋体"/>
                <w:b/>
                <w:szCs w:val="21"/>
                <w:highlight w:val="none"/>
              </w:rPr>
            </w:pPr>
          </w:p>
        </w:tc>
        <w:tc>
          <w:tcPr>
            <w:tcW w:w="816" w:type="dxa"/>
            <w:vMerge w:val="continue"/>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938"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796"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173" w:type="dxa"/>
            <w:vAlign w:val="center"/>
          </w:tcPr>
          <w:p>
            <w:pPr>
              <w:widowControl/>
              <w:snapToGrid w:val="0"/>
              <w:jc w:val="center"/>
              <w:rPr>
                <w:rFonts w:ascii="宋体" w:hAnsi="宋体" w:eastAsia="宋体" w:cs="宋体"/>
                <w:bCs/>
                <w:szCs w:val="21"/>
                <w:highlight w:val="none"/>
              </w:rPr>
            </w:pPr>
          </w:p>
        </w:tc>
        <w:tc>
          <w:tcPr>
            <w:tcW w:w="1122" w:type="dxa"/>
            <w:vAlign w:val="center"/>
          </w:tcPr>
          <w:p>
            <w:pPr>
              <w:widowControl/>
              <w:snapToGrid w:val="0"/>
              <w:jc w:val="center"/>
              <w:rPr>
                <w:rFonts w:ascii="宋体" w:hAnsi="宋体" w:eastAsia="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eastAsia="宋体" w:cs="宋体"/>
                <w:b/>
                <w:bCs/>
                <w:szCs w:val="21"/>
                <w:highlight w:val="none"/>
              </w:rPr>
            </w:pPr>
          </w:p>
        </w:tc>
        <w:tc>
          <w:tcPr>
            <w:tcW w:w="816" w:type="dxa"/>
            <w:vMerge w:val="restart"/>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938"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796"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173" w:type="dxa"/>
            <w:vAlign w:val="center"/>
          </w:tcPr>
          <w:p>
            <w:pPr>
              <w:widowControl/>
              <w:snapToGrid w:val="0"/>
              <w:jc w:val="center"/>
              <w:rPr>
                <w:rFonts w:ascii="宋体" w:hAnsi="宋体" w:eastAsia="宋体" w:cs="宋体"/>
                <w:bCs/>
                <w:szCs w:val="21"/>
                <w:highlight w:val="none"/>
              </w:rPr>
            </w:pPr>
          </w:p>
        </w:tc>
        <w:tc>
          <w:tcPr>
            <w:tcW w:w="1122" w:type="dxa"/>
            <w:vAlign w:val="center"/>
          </w:tcPr>
          <w:p>
            <w:pPr>
              <w:widowControl/>
              <w:snapToGrid w:val="0"/>
              <w:jc w:val="center"/>
              <w:rPr>
                <w:rFonts w:ascii="宋体" w:hAnsi="宋体" w:eastAsia="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eastAsia="宋体" w:cs="宋体"/>
                <w:b/>
                <w:szCs w:val="21"/>
                <w:highlight w:val="none"/>
              </w:rPr>
            </w:pPr>
          </w:p>
        </w:tc>
        <w:tc>
          <w:tcPr>
            <w:tcW w:w="816" w:type="dxa"/>
            <w:vMerge w:val="continue"/>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938"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796"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173" w:type="dxa"/>
            <w:vAlign w:val="center"/>
          </w:tcPr>
          <w:p>
            <w:pPr>
              <w:widowControl/>
              <w:snapToGrid w:val="0"/>
              <w:jc w:val="center"/>
              <w:rPr>
                <w:rFonts w:ascii="宋体" w:hAnsi="宋体" w:eastAsia="宋体" w:cs="宋体"/>
                <w:bCs/>
                <w:szCs w:val="21"/>
                <w:highlight w:val="none"/>
              </w:rPr>
            </w:pPr>
          </w:p>
        </w:tc>
        <w:tc>
          <w:tcPr>
            <w:tcW w:w="1122" w:type="dxa"/>
            <w:vAlign w:val="center"/>
          </w:tcPr>
          <w:p>
            <w:pPr>
              <w:widowControl/>
              <w:snapToGrid w:val="0"/>
              <w:jc w:val="center"/>
              <w:rPr>
                <w:rFonts w:ascii="宋体" w:hAnsi="宋体" w:eastAsia="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eastAsia="宋体" w:cs="宋体"/>
                <w:b/>
                <w:szCs w:val="21"/>
                <w:highlight w:val="none"/>
              </w:rPr>
            </w:pPr>
          </w:p>
        </w:tc>
        <w:tc>
          <w:tcPr>
            <w:tcW w:w="816" w:type="dxa"/>
            <w:vMerge w:val="continue"/>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938"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796"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2173" w:type="dxa"/>
            <w:vAlign w:val="center"/>
          </w:tcPr>
          <w:p>
            <w:pPr>
              <w:snapToGrid w:val="0"/>
              <w:jc w:val="center"/>
              <w:rPr>
                <w:rFonts w:ascii="宋体" w:hAnsi="宋体" w:eastAsia="宋体" w:cs="宋体"/>
                <w:bCs/>
                <w:szCs w:val="21"/>
                <w:highlight w:val="none"/>
              </w:rPr>
            </w:pPr>
          </w:p>
        </w:tc>
        <w:tc>
          <w:tcPr>
            <w:tcW w:w="1122" w:type="dxa"/>
            <w:vAlign w:val="center"/>
          </w:tcPr>
          <w:p>
            <w:pPr>
              <w:widowControl/>
              <w:snapToGrid w:val="0"/>
              <w:jc w:val="center"/>
              <w:rPr>
                <w:rFonts w:ascii="宋体" w:hAnsi="宋体" w:eastAsia="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restart"/>
            <w:vAlign w:val="center"/>
          </w:tcPr>
          <w:p>
            <w:pPr>
              <w:widowControl/>
              <w:snapToGrid w:val="0"/>
              <w:jc w:val="center"/>
              <w:rPr>
                <w:rFonts w:ascii="宋体" w:hAnsi="宋体" w:eastAsia="宋体" w:cs="宋体"/>
                <w:b/>
                <w:szCs w:val="21"/>
                <w:highlight w:val="none"/>
              </w:rPr>
            </w:pPr>
            <w:r>
              <w:rPr>
                <w:rFonts w:hint="eastAsia" w:ascii="宋体" w:hAnsi="宋体" w:eastAsia="宋体" w:cs="宋体"/>
                <w:b/>
                <w:szCs w:val="21"/>
                <w:highlight w:val="none"/>
              </w:rPr>
              <w:t>技术</w:t>
            </w:r>
          </w:p>
          <w:p>
            <w:pPr>
              <w:widowControl/>
              <w:snapToGrid w:val="0"/>
              <w:jc w:val="center"/>
              <w:rPr>
                <w:rFonts w:ascii="宋体" w:hAnsi="宋体" w:eastAsia="宋体" w:cs="宋体"/>
                <w:b/>
                <w:szCs w:val="21"/>
                <w:highlight w:val="none"/>
              </w:rPr>
            </w:pPr>
            <w:r>
              <w:rPr>
                <w:rFonts w:hint="eastAsia" w:ascii="宋体" w:hAnsi="宋体" w:eastAsia="宋体" w:cs="宋体"/>
                <w:b/>
                <w:szCs w:val="21"/>
                <w:highlight w:val="none"/>
              </w:rPr>
              <w:t>部分</w:t>
            </w:r>
          </w:p>
        </w:tc>
        <w:tc>
          <w:tcPr>
            <w:tcW w:w="816" w:type="dxa"/>
            <w:vMerge w:val="restart"/>
            <w:vAlign w:val="center"/>
          </w:tcPr>
          <w:p>
            <w:pPr>
              <w:widowControl/>
              <w:snapToGrid w:val="0"/>
              <w:jc w:val="center"/>
              <w:rPr>
                <w:rFonts w:ascii="宋体" w:hAnsi="宋体" w:eastAsia="宋体" w:cs="宋体"/>
                <w:szCs w:val="21"/>
                <w:highlight w:val="none"/>
              </w:rPr>
            </w:pPr>
          </w:p>
        </w:tc>
        <w:tc>
          <w:tcPr>
            <w:tcW w:w="938" w:type="dxa"/>
            <w:vAlign w:val="center"/>
          </w:tcPr>
          <w:p>
            <w:pPr>
              <w:widowControl/>
              <w:snapToGrid w:val="0"/>
              <w:jc w:val="center"/>
              <w:rPr>
                <w:rFonts w:ascii="宋体" w:hAnsi="宋体" w:eastAsia="宋体" w:cs="宋体"/>
                <w:szCs w:val="21"/>
                <w:highlight w:val="none"/>
              </w:rPr>
            </w:pPr>
          </w:p>
        </w:tc>
        <w:tc>
          <w:tcPr>
            <w:tcW w:w="2796" w:type="dxa"/>
            <w:vAlign w:val="center"/>
          </w:tcPr>
          <w:p>
            <w:pPr>
              <w:widowControl/>
              <w:tabs>
                <w:tab w:val="left" w:pos="0"/>
              </w:tabs>
              <w:topLinePunct/>
              <w:snapToGrid w:val="0"/>
              <w:spacing w:after="120"/>
              <w:jc w:val="center"/>
              <w:rPr>
                <w:rFonts w:ascii="宋体" w:hAnsi="宋体" w:eastAsia="宋体" w:cs="宋体"/>
                <w:bCs/>
                <w:kern w:val="2"/>
                <w:sz w:val="21"/>
                <w:szCs w:val="21"/>
                <w:highlight w:val="none"/>
                <w:lang w:val="en-US" w:eastAsia="zh-CN" w:bidi="ar-SA"/>
              </w:rPr>
            </w:pPr>
          </w:p>
        </w:tc>
        <w:tc>
          <w:tcPr>
            <w:tcW w:w="2173"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1122"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eastAsia="宋体" w:cs="宋体"/>
                <w:b/>
                <w:szCs w:val="21"/>
                <w:highlight w:val="none"/>
              </w:rPr>
            </w:pPr>
          </w:p>
        </w:tc>
        <w:tc>
          <w:tcPr>
            <w:tcW w:w="816" w:type="dxa"/>
            <w:vMerge w:val="continue"/>
            <w:vAlign w:val="center"/>
          </w:tcPr>
          <w:p>
            <w:pPr>
              <w:widowControl/>
              <w:snapToGrid w:val="0"/>
              <w:jc w:val="center"/>
              <w:rPr>
                <w:rFonts w:ascii="宋体" w:hAnsi="宋体" w:eastAsia="宋体" w:cs="宋体"/>
                <w:szCs w:val="21"/>
                <w:highlight w:val="none"/>
              </w:rPr>
            </w:pPr>
          </w:p>
        </w:tc>
        <w:tc>
          <w:tcPr>
            <w:tcW w:w="938" w:type="dxa"/>
            <w:vAlign w:val="center"/>
          </w:tcPr>
          <w:p>
            <w:pPr>
              <w:widowControl/>
              <w:snapToGrid w:val="0"/>
              <w:jc w:val="center"/>
              <w:rPr>
                <w:rFonts w:ascii="宋体" w:hAnsi="宋体" w:eastAsia="宋体" w:cs="宋体"/>
                <w:szCs w:val="21"/>
                <w:highlight w:val="none"/>
              </w:rPr>
            </w:pPr>
          </w:p>
        </w:tc>
        <w:tc>
          <w:tcPr>
            <w:tcW w:w="2796" w:type="dxa"/>
            <w:vAlign w:val="center"/>
          </w:tcPr>
          <w:p>
            <w:pPr>
              <w:widowControl/>
              <w:tabs>
                <w:tab w:val="left" w:pos="0"/>
              </w:tabs>
              <w:topLinePunct/>
              <w:snapToGrid w:val="0"/>
              <w:spacing w:after="120"/>
              <w:jc w:val="center"/>
              <w:rPr>
                <w:rFonts w:ascii="宋体" w:hAnsi="宋体" w:eastAsia="宋体" w:cs="宋体"/>
                <w:bCs/>
                <w:kern w:val="2"/>
                <w:sz w:val="21"/>
                <w:szCs w:val="21"/>
                <w:highlight w:val="none"/>
                <w:lang w:val="en-US" w:eastAsia="zh-CN" w:bidi="ar-SA"/>
              </w:rPr>
            </w:pPr>
          </w:p>
        </w:tc>
        <w:tc>
          <w:tcPr>
            <w:tcW w:w="2173"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1122"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eastAsia="宋体" w:cs="宋体"/>
                <w:b/>
                <w:szCs w:val="21"/>
                <w:highlight w:val="none"/>
              </w:rPr>
            </w:pPr>
          </w:p>
        </w:tc>
        <w:tc>
          <w:tcPr>
            <w:tcW w:w="816" w:type="dxa"/>
            <w:vMerge w:val="continue"/>
            <w:vAlign w:val="center"/>
          </w:tcPr>
          <w:p>
            <w:pPr>
              <w:widowControl/>
              <w:snapToGrid w:val="0"/>
              <w:jc w:val="center"/>
              <w:rPr>
                <w:rFonts w:ascii="宋体" w:hAnsi="宋体" w:eastAsia="宋体" w:cs="宋体"/>
                <w:szCs w:val="21"/>
                <w:highlight w:val="none"/>
              </w:rPr>
            </w:pPr>
          </w:p>
        </w:tc>
        <w:tc>
          <w:tcPr>
            <w:tcW w:w="938" w:type="dxa"/>
            <w:vAlign w:val="center"/>
          </w:tcPr>
          <w:p>
            <w:pPr>
              <w:widowControl/>
              <w:snapToGrid w:val="0"/>
              <w:jc w:val="center"/>
              <w:rPr>
                <w:rFonts w:ascii="宋体" w:hAnsi="宋体" w:eastAsia="宋体" w:cs="宋体"/>
                <w:szCs w:val="21"/>
                <w:highlight w:val="none"/>
              </w:rPr>
            </w:pPr>
          </w:p>
        </w:tc>
        <w:tc>
          <w:tcPr>
            <w:tcW w:w="2796" w:type="dxa"/>
            <w:vAlign w:val="center"/>
          </w:tcPr>
          <w:p>
            <w:pPr>
              <w:widowControl/>
              <w:tabs>
                <w:tab w:val="left" w:pos="0"/>
              </w:tabs>
              <w:topLinePunct/>
              <w:snapToGrid w:val="0"/>
              <w:spacing w:after="120"/>
              <w:jc w:val="center"/>
              <w:rPr>
                <w:rFonts w:ascii="宋体" w:hAnsi="宋体" w:eastAsia="宋体" w:cs="宋体"/>
                <w:bCs/>
                <w:kern w:val="2"/>
                <w:sz w:val="21"/>
                <w:szCs w:val="21"/>
                <w:highlight w:val="none"/>
                <w:lang w:val="en-US" w:eastAsia="zh-CN" w:bidi="ar-SA"/>
              </w:rPr>
            </w:pPr>
          </w:p>
        </w:tc>
        <w:tc>
          <w:tcPr>
            <w:tcW w:w="2173"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1122"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eastAsia="宋体" w:cs="宋体"/>
                <w:b/>
                <w:szCs w:val="21"/>
                <w:highlight w:val="none"/>
              </w:rPr>
            </w:pPr>
          </w:p>
        </w:tc>
        <w:tc>
          <w:tcPr>
            <w:tcW w:w="816" w:type="dxa"/>
            <w:vMerge w:val="continue"/>
            <w:vAlign w:val="center"/>
          </w:tcPr>
          <w:p>
            <w:pPr>
              <w:widowControl/>
              <w:snapToGrid w:val="0"/>
              <w:jc w:val="center"/>
              <w:rPr>
                <w:rFonts w:ascii="宋体" w:hAnsi="宋体" w:eastAsia="宋体" w:cs="宋体"/>
                <w:szCs w:val="21"/>
                <w:highlight w:val="none"/>
              </w:rPr>
            </w:pPr>
          </w:p>
        </w:tc>
        <w:tc>
          <w:tcPr>
            <w:tcW w:w="938" w:type="dxa"/>
            <w:vAlign w:val="center"/>
          </w:tcPr>
          <w:p>
            <w:pPr>
              <w:widowControl/>
              <w:snapToGrid w:val="0"/>
              <w:jc w:val="center"/>
              <w:rPr>
                <w:rFonts w:ascii="宋体" w:hAnsi="宋体" w:eastAsia="宋体" w:cs="宋体"/>
                <w:szCs w:val="21"/>
                <w:highlight w:val="none"/>
              </w:rPr>
            </w:pPr>
          </w:p>
        </w:tc>
        <w:tc>
          <w:tcPr>
            <w:tcW w:w="2796" w:type="dxa"/>
            <w:vAlign w:val="center"/>
          </w:tcPr>
          <w:p>
            <w:pPr>
              <w:widowControl/>
              <w:tabs>
                <w:tab w:val="left" w:pos="0"/>
              </w:tabs>
              <w:topLinePunct/>
              <w:snapToGrid w:val="0"/>
              <w:spacing w:after="120"/>
              <w:jc w:val="center"/>
              <w:rPr>
                <w:rFonts w:ascii="宋体" w:hAnsi="宋体" w:eastAsia="宋体" w:cs="宋体"/>
                <w:bCs/>
                <w:kern w:val="2"/>
                <w:sz w:val="21"/>
                <w:szCs w:val="21"/>
                <w:highlight w:val="none"/>
                <w:lang w:val="en-US" w:eastAsia="zh-CN" w:bidi="ar-SA"/>
              </w:rPr>
            </w:pPr>
          </w:p>
        </w:tc>
        <w:tc>
          <w:tcPr>
            <w:tcW w:w="2173"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c>
          <w:tcPr>
            <w:tcW w:w="1122" w:type="dxa"/>
            <w:vAlign w:val="center"/>
          </w:tcPr>
          <w:p>
            <w:pPr>
              <w:widowControl/>
              <w:tabs>
                <w:tab w:val="left" w:pos="0"/>
              </w:tabs>
              <w:topLinePunct/>
              <w:snapToGrid w:val="0"/>
              <w:spacing w:after="0"/>
              <w:jc w:val="center"/>
              <w:rPr>
                <w:rFonts w:ascii="宋体" w:hAnsi="宋体" w:eastAsia="宋体" w:cs="宋体"/>
                <w:bCs/>
                <w:kern w:val="2"/>
                <w:sz w:val="21"/>
                <w:szCs w:val="21"/>
                <w:highlight w:val="none"/>
                <w:lang w:val="en-US" w:eastAsia="zh-CN" w:bidi="ar-SA"/>
              </w:rPr>
            </w:pPr>
          </w:p>
        </w:tc>
      </w:tr>
    </w:tbl>
    <w:p>
      <w:pPr>
        <w:rPr>
          <w:rFonts w:ascii="宋体" w:hAnsi="宋体" w:eastAsia="宋体" w:cs="宋体"/>
          <w:szCs w:val="21"/>
          <w:highlight w:val="none"/>
        </w:rPr>
      </w:pPr>
      <w:r>
        <w:rPr>
          <w:rFonts w:hint="eastAsia" w:ascii="宋体" w:hAnsi="宋体" w:eastAsia="宋体" w:cs="宋体"/>
          <w:szCs w:val="21"/>
          <w:highlight w:val="none"/>
        </w:rPr>
        <w:t>备注：为方便评委评标，投标人可根据招标文件中载明的《评分标准》，将具体响应情况及投标文件中对应页码在上表中注明。未在上表中标注对应页码，导致评委评标时漏看的，一切后果由投标人自负。</w:t>
      </w:r>
      <w:r>
        <w:rPr>
          <w:rFonts w:hint="eastAsia" w:ascii="宋体" w:hAnsi="宋体" w:eastAsia="宋体" w:cs="宋体"/>
          <w:szCs w:val="21"/>
          <w:highlight w:val="none"/>
        </w:rPr>
        <w:br w:type="page"/>
      </w:r>
    </w:p>
    <w:p>
      <w:pPr>
        <w:widowControl w:val="0"/>
        <w:spacing w:line="300" w:lineRule="auto"/>
        <w:jc w:val="both"/>
        <w:rPr>
          <w:rFonts w:ascii="宋体" w:hAnsi="宋体" w:eastAsia="宋体" w:cs="宋体"/>
          <w:kern w:val="2"/>
          <w:sz w:val="24"/>
          <w:szCs w:val="20"/>
          <w:highlight w:val="none"/>
          <w:lang w:val="en-US" w:eastAsia="zh-CN" w:bidi="ar-SA"/>
        </w:rPr>
      </w:pPr>
    </w:p>
    <w:p>
      <w:pPr>
        <w:spacing w:line="300" w:lineRule="auto"/>
        <w:rPr>
          <w:rFonts w:hAnsi="宋体" w:cs="宋体"/>
          <w:sz w:val="24"/>
          <w:highlight w:val="none"/>
        </w:rPr>
        <w:sectPr>
          <w:footerReference r:id="rId10" w:type="even"/>
          <w:type w:val="nextColumn"/>
          <w:pgSz w:w="11907" w:h="16840"/>
          <w:pgMar w:top="1247" w:right="1588" w:bottom="1247" w:left="1588" w:header="851" w:footer="851" w:gutter="0"/>
          <w:cols w:space="720" w:num="1"/>
          <w:docGrid w:linePitch="312" w:charSpace="0"/>
        </w:sectPr>
      </w:pPr>
      <w:r>
        <w:rPr>
          <w:rFonts w:hint="eastAsia" w:ascii="宋体" w:hAnsi="宋体" w:eastAsia="宋体" w:cs="宋体"/>
          <w:kern w:val="2"/>
          <w:sz w:val="24"/>
          <w:szCs w:val="20"/>
          <w:highlight w:val="none"/>
          <w:lang w:val="en-US" w:eastAsia="zh-CN" w:bidi="ar-SA"/>
        </w:rPr>
        <w:t>投标文件目录（略）</w:t>
      </w:r>
    </w:p>
    <w:p>
      <w:pPr>
        <w:keepNext/>
        <w:keepLines/>
        <w:widowControl w:val="0"/>
        <w:spacing w:before="260" w:after="260" w:line="413" w:lineRule="auto"/>
        <w:jc w:val="both"/>
        <w:outlineLvl w:val="1"/>
        <w:rPr>
          <w:rFonts w:ascii="宋体" w:hAnsi="宋体" w:eastAsia="宋体" w:cs="宋体"/>
          <w:b/>
          <w:bCs w:val="0"/>
          <w:kern w:val="2"/>
          <w:sz w:val="32"/>
          <w:szCs w:val="32"/>
          <w:highlight w:val="none"/>
          <w:lang w:val="en-US" w:eastAsia="zh-CN" w:bidi="ar-SA"/>
        </w:rPr>
      </w:pPr>
      <w:bookmarkStart w:id="1015" w:name="_Toc430813342"/>
      <w:bookmarkStart w:id="1016" w:name="_Toc5130"/>
      <w:bookmarkStart w:id="1017" w:name="_Toc432367422"/>
      <w:r>
        <w:rPr>
          <w:rFonts w:hint="eastAsia" w:ascii="宋体" w:hAnsi="宋体" w:eastAsia="宋体" w:cs="宋体"/>
          <w:b/>
          <w:bCs w:val="0"/>
          <w:kern w:val="2"/>
          <w:sz w:val="32"/>
          <w:szCs w:val="32"/>
          <w:highlight w:val="none"/>
          <w:lang w:val="en-US" w:eastAsia="zh-CN" w:bidi="ar-SA"/>
        </w:rPr>
        <w:t>一、投标函</w:t>
      </w:r>
      <w:bookmarkEnd w:id="1015"/>
      <w:r>
        <w:rPr>
          <w:rFonts w:hint="eastAsia" w:ascii="宋体" w:hAnsi="宋体" w:eastAsia="宋体" w:cs="宋体"/>
          <w:b/>
          <w:bCs w:val="0"/>
          <w:kern w:val="2"/>
          <w:sz w:val="32"/>
          <w:szCs w:val="32"/>
          <w:highlight w:val="none"/>
          <w:lang w:val="en-US" w:eastAsia="zh-CN" w:bidi="ar-SA"/>
        </w:rPr>
        <w:t>及附件</w:t>
      </w:r>
      <w:bookmarkEnd w:id="1016"/>
      <w:bookmarkEnd w:id="1017"/>
    </w:p>
    <w:p>
      <w:pPr>
        <w:keepNext/>
        <w:keepLines/>
        <w:widowControl w:val="0"/>
        <w:snapToGrid w:val="0"/>
        <w:spacing w:before="120" w:after="120" w:line="360" w:lineRule="auto"/>
        <w:jc w:val="both"/>
        <w:outlineLvl w:val="1"/>
        <w:rPr>
          <w:rFonts w:ascii="宋体" w:hAnsi="宋体" w:eastAsia="宋体" w:cs="宋体"/>
          <w:b/>
          <w:bCs w:val="0"/>
          <w:kern w:val="2"/>
          <w:sz w:val="32"/>
          <w:szCs w:val="32"/>
          <w:highlight w:val="none"/>
          <w:lang w:val="en-US" w:eastAsia="zh-CN" w:bidi="ar-SA"/>
        </w:rPr>
      </w:pPr>
      <w:bookmarkStart w:id="1018" w:name="_Toc430813343"/>
      <w:bookmarkStart w:id="1019" w:name="_Toc28399"/>
      <w:bookmarkStart w:id="1020" w:name="_Toc432367423"/>
      <w:r>
        <w:rPr>
          <w:rFonts w:hint="eastAsia" w:ascii="宋体" w:hAnsi="宋体" w:eastAsia="宋体" w:cs="宋体"/>
          <w:b/>
          <w:bCs w:val="0"/>
          <w:kern w:val="2"/>
          <w:sz w:val="32"/>
          <w:szCs w:val="32"/>
          <w:highlight w:val="none"/>
          <w:lang w:val="en-US" w:eastAsia="zh-CN" w:bidi="ar-SA"/>
        </w:rPr>
        <w:t>（一）投标函</w:t>
      </w:r>
      <w:bookmarkEnd w:id="1018"/>
      <w:bookmarkEnd w:id="1019"/>
      <w:bookmarkEnd w:id="1020"/>
    </w:p>
    <w:p>
      <w:pPr>
        <w:spacing w:line="324" w:lineRule="auto"/>
        <w:rPr>
          <w:rFonts w:ascii="宋体" w:hAnsi="宋体" w:eastAsia="宋体" w:cs="宋体"/>
          <w:highlight w:val="none"/>
          <w:u w:val="single"/>
        </w:rPr>
      </w:pPr>
      <w:r>
        <w:rPr>
          <w:rFonts w:hint="eastAsia" w:ascii="宋体" w:hAnsi="宋体" w:eastAsia="宋体" w:cs="宋体"/>
          <w:highlight w:val="none"/>
        </w:rPr>
        <w:t>致：</w:t>
      </w:r>
      <w:r>
        <w:rPr>
          <w:rFonts w:hint="eastAsia" w:ascii="宋体" w:hAnsi="宋体" w:eastAsia="宋体" w:cs="宋体"/>
          <w:highlight w:val="none"/>
          <w:u w:val="single"/>
        </w:rPr>
        <w:t>（采购人和招标代理机构）</w:t>
      </w:r>
    </w:p>
    <w:p>
      <w:pPr>
        <w:spacing w:line="324" w:lineRule="auto"/>
        <w:ind w:firstLine="420" w:firstLineChars="200"/>
        <w:rPr>
          <w:rFonts w:ascii="宋体" w:hAnsi="宋体" w:eastAsia="宋体" w:cs="宋体"/>
          <w:highlight w:val="none"/>
        </w:rPr>
      </w:pPr>
      <w:r>
        <w:rPr>
          <w:rFonts w:hint="eastAsia" w:ascii="宋体" w:hAnsi="宋体" w:eastAsia="宋体" w:cs="宋体"/>
          <w:highlight w:val="none"/>
        </w:rPr>
        <w:t>根据贵方为</w:t>
      </w:r>
      <w:r>
        <w:rPr>
          <w:rFonts w:hint="eastAsia" w:ascii="宋体" w:hAnsi="宋体" w:eastAsia="宋体" w:cs="宋体"/>
          <w:i/>
          <w:iCs/>
          <w:highlight w:val="none"/>
          <w:u w:val="single"/>
        </w:rPr>
        <w:t>（项目）</w:t>
      </w:r>
      <w:r>
        <w:rPr>
          <w:rFonts w:hint="eastAsia" w:ascii="宋体" w:hAnsi="宋体" w:eastAsia="宋体" w:cs="宋体"/>
          <w:highlight w:val="none"/>
        </w:rPr>
        <w:t>招标采购的投标邀请</w:t>
      </w:r>
      <w:r>
        <w:rPr>
          <w:rFonts w:hint="eastAsia" w:ascii="宋体" w:hAnsi="宋体" w:eastAsia="宋体" w:cs="宋体"/>
          <w:i/>
          <w:iCs/>
          <w:highlight w:val="none"/>
          <w:u w:val="single"/>
        </w:rPr>
        <w:t>（项目编号）</w:t>
      </w:r>
      <w:r>
        <w:rPr>
          <w:rFonts w:hint="eastAsia" w:ascii="宋体" w:hAnsi="宋体" w:eastAsia="宋体" w:cs="宋体"/>
          <w:highlight w:val="none"/>
        </w:rPr>
        <w:t>，签字代表</w:t>
      </w:r>
      <w:r>
        <w:rPr>
          <w:rFonts w:hint="eastAsia" w:ascii="宋体" w:hAnsi="宋体" w:eastAsia="宋体" w:cs="宋体"/>
          <w:i/>
          <w:iCs/>
          <w:highlight w:val="none"/>
          <w:u w:val="single"/>
        </w:rPr>
        <w:t>（姓名、职务）</w:t>
      </w:r>
      <w:r>
        <w:rPr>
          <w:rFonts w:hint="eastAsia" w:ascii="宋体" w:hAnsi="宋体" w:eastAsia="宋体" w:cs="宋体"/>
          <w:highlight w:val="none"/>
        </w:rPr>
        <w:t>经正式授权并代表我方</w:t>
      </w:r>
      <w:r>
        <w:rPr>
          <w:rFonts w:hint="eastAsia" w:ascii="宋体" w:hAnsi="宋体" w:eastAsia="宋体" w:cs="宋体"/>
          <w:i/>
          <w:iCs/>
          <w:highlight w:val="none"/>
          <w:u w:val="single"/>
        </w:rPr>
        <w:t>（投标人名称、地址）</w:t>
      </w:r>
      <w:r>
        <w:rPr>
          <w:rFonts w:hint="eastAsia" w:ascii="宋体" w:hAnsi="宋体" w:eastAsia="宋体" w:cs="宋体"/>
          <w:highlight w:val="none"/>
        </w:rPr>
        <w:t>提交下述文件正本一份及副本份：</w:t>
      </w:r>
    </w:p>
    <w:p>
      <w:pPr>
        <w:numPr>
          <w:ilvl w:val="0"/>
          <w:numId w:val="13"/>
        </w:numPr>
        <w:spacing w:line="324" w:lineRule="auto"/>
        <w:ind w:left="720" w:hanging="360"/>
        <w:rPr>
          <w:rFonts w:ascii="宋体" w:hAnsi="宋体" w:eastAsia="宋体" w:cs="宋体"/>
          <w:highlight w:val="none"/>
        </w:rPr>
      </w:pPr>
      <w:r>
        <w:rPr>
          <w:rFonts w:hint="eastAsia" w:ascii="宋体" w:hAnsi="宋体" w:eastAsia="宋体" w:cs="宋体"/>
          <w:highlight w:val="none"/>
        </w:rPr>
        <w:t>投标函文件；</w:t>
      </w:r>
    </w:p>
    <w:p>
      <w:pPr>
        <w:numPr>
          <w:ilvl w:val="0"/>
          <w:numId w:val="13"/>
        </w:numPr>
        <w:spacing w:line="324" w:lineRule="auto"/>
        <w:ind w:left="720" w:hanging="360"/>
        <w:rPr>
          <w:rFonts w:ascii="宋体" w:hAnsi="宋体" w:eastAsia="宋体" w:cs="宋体"/>
          <w:highlight w:val="none"/>
        </w:rPr>
      </w:pPr>
      <w:r>
        <w:rPr>
          <w:rFonts w:hint="eastAsia" w:ascii="宋体" w:hAnsi="宋体" w:eastAsia="宋体" w:cs="宋体"/>
          <w:highlight w:val="none"/>
        </w:rPr>
        <w:t>报价文件；</w:t>
      </w:r>
    </w:p>
    <w:p>
      <w:pPr>
        <w:numPr>
          <w:ilvl w:val="0"/>
          <w:numId w:val="13"/>
        </w:numPr>
        <w:spacing w:line="324" w:lineRule="auto"/>
        <w:ind w:left="720" w:hanging="360"/>
        <w:rPr>
          <w:rFonts w:ascii="宋体" w:hAnsi="宋体" w:eastAsia="宋体" w:cs="宋体"/>
          <w:highlight w:val="none"/>
        </w:rPr>
      </w:pPr>
      <w:r>
        <w:rPr>
          <w:rFonts w:hint="eastAsia" w:ascii="宋体" w:hAnsi="宋体" w:eastAsia="宋体" w:cs="宋体"/>
          <w:highlight w:val="none"/>
        </w:rPr>
        <w:t>商务文件；</w:t>
      </w:r>
    </w:p>
    <w:p>
      <w:pPr>
        <w:numPr>
          <w:ilvl w:val="0"/>
          <w:numId w:val="13"/>
        </w:numPr>
        <w:spacing w:line="324" w:lineRule="auto"/>
        <w:ind w:left="720" w:hanging="360"/>
        <w:rPr>
          <w:rFonts w:ascii="宋体" w:hAnsi="宋体" w:eastAsia="宋体" w:cs="宋体"/>
          <w:highlight w:val="none"/>
        </w:rPr>
      </w:pPr>
      <w:r>
        <w:rPr>
          <w:rFonts w:hint="eastAsia" w:ascii="宋体" w:hAnsi="宋体" w:eastAsia="宋体" w:cs="宋体"/>
          <w:highlight w:val="none"/>
        </w:rPr>
        <w:t>技术文件；</w:t>
      </w:r>
    </w:p>
    <w:p>
      <w:pPr>
        <w:numPr>
          <w:ilvl w:val="0"/>
          <w:numId w:val="13"/>
        </w:numPr>
        <w:spacing w:line="324" w:lineRule="auto"/>
        <w:ind w:left="720" w:hanging="360"/>
        <w:rPr>
          <w:rFonts w:ascii="宋体" w:hAnsi="宋体" w:eastAsia="宋体" w:cs="宋体"/>
          <w:highlight w:val="none"/>
        </w:rPr>
      </w:pPr>
      <w:r>
        <w:rPr>
          <w:rFonts w:hint="eastAsia" w:ascii="宋体" w:hAnsi="宋体" w:eastAsia="宋体" w:cs="宋体"/>
          <w:highlight w:val="none"/>
        </w:rPr>
        <w:t>资格审查资料。</w:t>
      </w:r>
    </w:p>
    <w:p>
      <w:pPr>
        <w:spacing w:line="324" w:lineRule="auto"/>
        <w:ind w:left="360"/>
        <w:rPr>
          <w:rFonts w:ascii="宋体" w:hAnsi="宋体" w:eastAsia="宋体" w:cs="宋体"/>
          <w:highlight w:val="none"/>
        </w:rPr>
      </w:pPr>
      <w:r>
        <w:rPr>
          <w:rFonts w:hint="eastAsia" w:ascii="宋体" w:hAnsi="宋体" w:eastAsia="宋体" w:cs="宋体"/>
          <w:highlight w:val="none"/>
        </w:rPr>
        <w:t>根据此函，签字代表宣布同意如下：</w:t>
      </w:r>
    </w:p>
    <w:p>
      <w:pPr>
        <w:numPr>
          <w:ilvl w:val="0"/>
          <w:numId w:val="14"/>
        </w:numPr>
        <w:spacing w:line="324" w:lineRule="auto"/>
        <w:ind w:left="720" w:hanging="360"/>
        <w:rPr>
          <w:rFonts w:ascii="宋体" w:hAnsi="宋体" w:eastAsia="宋体" w:cs="宋体"/>
          <w:highlight w:val="none"/>
          <w:u w:val="single"/>
        </w:rPr>
      </w:pPr>
      <w:r>
        <w:rPr>
          <w:rFonts w:hint="eastAsia" w:ascii="宋体" w:hAnsi="宋体" w:eastAsia="宋体" w:cs="宋体"/>
          <w:highlight w:val="none"/>
        </w:rPr>
        <w:t>所附投标价格表中规定的应提交和交付的服务的投标</w:t>
      </w:r>
      <w:r>
        <w:rPr>
          <w:rFonts w:hint="eastAsia" w:ascii="宋体" w:hAnsi="宋体" w:eastAsia="宋体" w:cs="宋体"/>
          <w:highlight w:val="none"/>
          <w:lang w:val="en-US" w:eastAsia="zh-CN"/>
        </w:rPr>
        <w:t>总报价：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w:t>
      </w:r>
    </w:p>
    <w:p>
      <w:pPr>
        <w:numPr>
          <w:ilvl w:val="0"/>
          <w:numId w:val="14"/>
        </w:numPr>
        <w:spacing w:line="324" w:lineRule="auto"/>
        <w:ind w:left="720" w:hanging="360"/>
        <w:rPr>
          <w:rFonts w:ascii="宋体" w:hAnsi="宋体" w:eastAsia="宋体" w:cs="宋体"/>
          <w:highlight w:val="none"/>
        </w:rPr>
      </w:pPr>
      <w:r>
        <w:rPr>
          <w:rFonts w:hint="eastAsia" w:ascii="宋体" w:hAnsi="宋体" w:eastAsia="宋体" w:cs="宋体"/>
          <w:highlight w:val="none"/>
        </w:rPr>
        <w:t>我方接受本招标文件合同书格式及合同条款，并将按招标文件的规定履行合同责任和义务。</w:t>
      </w:r>
    </w:p>
    <w:p>
      <w:pPr>
        <w:numPr>
          <w:ilvl w:val="0"/>
          <w:numId w:val="14"/>
        </w:numPr>
        <w:spacing w:line="324" w:lineRule="auto"/>
        <w:ind w:left="720" w:hanging="360"/>
        <w:rPr>
          <w:rFonts w:ascii="宋体" w:hAnsi="宋体" w:eastAsia="宋体" w:cs="宋体"/>
          <w:highlight w:val="none"/>
        </w:rPr>
      </w:pPr>
      <w:r>
        <w:rPr>
          <w:rFonts w:hint="eastAsia" w:ascii="宋体" w:hAnsi="宋体" w:eastAsia="宋体" w:cs="宋体"/>
          <w:highlight w:val="none"/>
        </w:rPr>
        <w:t>我方已详细审查全部招标文件，包括第</w:t>
      </w:r>
      <w:r>
        <w:rPr>
          <w:rFonts w:hint="eastAsia" w:ascii="宋体" w:hAnsi="宋体" w:eastAsia="宋体" w:cs="宋体"/>
          <w:i/>
          <w:highlight w:val="none"/>
          <w:u w:val="single"/>
        </w:rPr>
        <w:t>（编号、补遗书）（如果有的话）</w:t>
      </w:r>
      <w:r>
        <w:rPr>
          <w:rFonts w:hint="eastAsia" w:ascii="宋体" w:hAnsi="宋体" w:eastAsia="宋体" w:cs="宋体"/>
          <w:highlight w:val="none"/>
        </w:rPr>
        <w:t>。我们完全理解并同意放弃对这方面有不明及误解的权力。</w:t>
      </w:r>
    </w:p>
    <w:p>
      <w:pPr>
        <w:numPr>
          <w:ilvl w:val="0"/>
          <w:numId w:val="14"/>
        </w:numPr>
        <w:spacing w:line="324" w:lineRule="auto"/>
        <w:ind w:left="720" w:hanging="360"/>
        <w:rPr>
          <w:rFonts w:ascii="宋体" w:hAnsi="宋体" w:eastAsia="宋体" w:cs="宋体"/>
          <w:highlight w:val="none"/>
        </w:rPr>
      </w:pPr>
      <w:r>
        <w:rPr>
          <w:rFonts w:hint="eastAsia" w:ascii="宋体" w:hAnsi="宋体" w:eastAsia="宋体" w:cs="宋体"/>
          <w:highlight w:val="none"/>
        </w:rPr>
        <w:t>本投标有效期为自开标之日起</w:t>
      </w:r>
      <w:r>
        <w:rPr>
          <w:rFonts w:hint="eastAsia" w:ascii="宋体" w:hAnsi="宋体" w:eastAsia="宋体" w:cs="宋体"/>
          <w:i/>
          <w:highlight w:val="none"/>
          <w:u w:val="single"/>
        </w:rPr>
        <w:t>（由投标人填写）</w:t>
      </w:r>
      <w:r>
        <w:rPr>
          <w:rFonts w:hint="eastAsia" w:ascii="宋体" w:hAnsi="宋体" w:eastAsia="宋体" w:cs="宋体"/>
          <w:highlight w:val="none"/>
        </w:rPr>
        <w:t>个日历天。</w:t>
      </w:r>
    </w:p>
    <w:p>
      <w:pPr>
        <w:numPr>
          <w:ilvl w:val="0"/>
          <w:numId w:val="14"/>
        </w:numPr>
        <w:spacing w:line="324" w:lineRule="auto"/>
        <w:ind w:left="720" w:hanging="360"/>
        <w:rPr>
          <w:rFonts w:ascii="宋体" w:hAnsi="宋体" w:eastAsia="宋体" w:cs="宋体"/>
          <w:highlight w:val="none"/>
        </w:rPr>
      </w:pPr>
      <w:r>
        <w:rPr>
          <w:rFonts w:hint="eastAsia" w:ascii="宋体" w:hAnsi="宋体" w:eastAsia="宋体" w:cs="宋体"/>
          <w:highlight w:val="none"/>
        </w:rPr>
        <w:t>我方同意提供按照贵方可能要求的与其投标有关的一切数据或资料，完全理解贵方不一定接受最低价的投标或收到的任何投标。</w:t>
      </w:r>
    </w:p>
    <w:p>
      <w:pPr>
        <w:numPr>
          <w:ilvl w:val="0"/>
          <w:numId w:val="14"/>
        </w:numPr>
        <w:spacing w:line="324" w:lineRule="auto"/>
        <w:ind w:left="720" w:hanging="360"/>
        <w:rPr>
          <w:rFonts w:ascii="宋体" w:hAnsi="宋体" w:eastAsia="宋体" w:cs="宋体"/>
          <w:highlight w:val="none"/>
        </w:rPr>
      </w:pPr>
      <w:r>
        <w:rPr>
          <w:rFonts w:hint="eastAsia" w:ascii="宋体" w:hAnsi="宋体" w:eastAsia="宋体" w:cs="宋体"/>
          <w:highlight w:val="none"/>
        </w:rPr>
        <w:t>本项目如由中标人支付招标代理服务费，我方同意按投标人须知前附表中规定向采购代理机构支付招标代理服务费。</w:t>
      </w:r>
    </w:p>
    <w:p>
      <w:pPr>
        <w:numPr>
          <w:ilvl w:val="0"/>
          <w:numId w:val="14"/>
        </w:numPr>
        <w:snapToGrid w:val="0"/>
        <w:spacing w:line="324" w:lineRule="auto"/>
        <w:ind w:left="720" w:hanging="360"/>
        <w:rPr>
          <w:rFonts w:ascii="宋体" w:hAnsi="宋体" w:eastAsia="宋体" w:cs="宋体"/>
          <w:highlight w:val="none"/>
        </w:rPr>
      </w:pPr>
      <w:r>
        <w:rPr>
          <w:rFonts w:hint="eastAsia" w:ascii="宋体" w:hAnsi="宋体" w:eastAsia="宋体" w:cs="宋体"/>
          <w:highlight w:val="none"/>
        </w:rPr>
        <w:t>重要声明：</w:t>
      </w:r>
    </w:p>
    <w:p>
      <w:pPr>
        <w:snapToGrid w:val="0"/>
        <w:spacing w:line="324" w:lineRule="auto"/>
        <w:ind w:firstLine="420" w:firstLineChars="200"/>
        <w:rPr>
          <w:rFonts w:ascii="宋体" w:hAnsi="宋体" w:eastAsia="宋体" w:cs="宋体"/>
          <w:highlight w:val="none"/>
        </w:rPr>
      </w:pPr>
      <w:r>
        <w:rPr>
          <w:rFonts w:hint="eastAsia" w:ascii="宋体" w:hAnsi="宋体" w:eastAsia="宋体" w:cs="宋体"/>
          <w:highlight w:val="none"/>
        </w:rPr>
        <w:t>1）与我方单位负责人为同一人的其他单位名称：</w:t>
      </w:r>
    </w:p>
    <w:p>
      <w:pPr>
        <w:snapToGrid w:val="0"/>
        <w:spacing w:line="324" w:lineRule="auto"/>
        <w:ind w:left="399" w:leftChars="190" w:firstLine="222" w:firstLineChars="148"/>
        <w:rPr>
          <w:rFonts w:ascii="宋体" w:hAnsi="宋体" w:eastAsia="宋体" w:cs="宋体"/>
          <w:szCs w:val="21"/>
          <w:highlight w:val="none"/>
        </w:rPr>
      </w:pPr>
      <w:r>
        <w:rPr>
          <w:rFonts w:hint="eastAsia" w:ascii="宋体" w:hAnsi="宋体" w:eastAsia="宋体" w:cs="宋体"/>
          <w:sz w:val="15"/>
          <w:szCs w:val="15"/>
          <w:highlight w:val="none"/>
          <w:bdr w:val="single" w:color="auto" w:sz="4" w:space="0"/>
        </w:rPr>
        <w:t>√</w:t>
      </w:r>
      <w:r>
        <w:rPr>
          <w:rFonts w:hint="eastAsia" w:ascii="宋体" w:hAnsi="宋体" w:eastAsia="宋体" w:cs="宋体"/>
          <w:szCs w:val="21"/>
          <w:highlight w:val="none"/>
        </w:rPr>
        <w:t>无；□有，具体单位名称为：</w:t>
      </w:r>
      <w:r>
        <w:rPr>
          <w:rFonts w:hint="eastAsia" w:ascii="宋体" w:hAnsi="宋体" w:eastAsia="宋体" w:cs="宋体"/>
          <w:i/>
          <w:highlight w:val="none"/>
          <w:u w:val="single"/>
        </w:rPr>
        <w:t>（由投标人如实填写）</w:t>
      </w:r>
      <w:r>
        <w:rPr>
          <w:rFonts w:hint="eastAsia" w:ascii="宋体" w:hAnsi="宋体" w:eastAsia="宋体" w:cs="宋体"/>
          <w:szCs w:val="21"/>
          <w:highlight w:val="none"/>
        </w:rPr>
        <w:t>。</w:t>
      </w:r>
    </w:p>
    <w:p>
      <w:pPr>
        <w:snapToGrid w:val="0"/>
        <w:spacing w:line="324" w:lineRule="auto"/>
        <w:ind w:left="400"/>
        <w:rPr>
          <w:rFonts w:ascii="宋体" w:hAnsi="宋体" w:eastAsia="宋体" w:cs="宋体"/>
          <w:szCs w:val="21"/>
          <w:highlight w:val="none"/>
        </w:rPr>
      </w:pPr>
      <w:r>
        <w:rPr>
          <w:rFonts w:hint="eastAsia" w:ascii="宋体" w:hAnsi="宋体" w:eastAsia="宋体" w:cs="宋体"/>
          <w:szCs w:val="21"/>
          <w:highlight w:val="none"/>
        </w:rPr>
        <w:t>2）与我方存在控股、管理关系的其他单位的名称：</w:t>
      </w:r>
    </w:p>
    <w:p>
      <w:pPr>
        <w:snapToGrid w:val="0"/>
        <w:spacing w:line="324" w:lineRule="auto"/>
        <w:ind w:left="399" w:leftChars="190" w:firstLine="222" w:firstLineChars="148"/>
        <w:rPr>
          <w:rFonts w:ascii="宋体" w:hAnsi="宋体" w:eastAsia="宋体" w:cs="宋体"/>
          <w:szCs w:val="21"/>
          <w:highlight w:val="none"/>
        </w:rPr>
      </w:pPr>
      <w:r>
        <w:rPr>
          <w:rFonts w:hint="eastAsia" w:ascii="宋体" w:hAnsi="宋体" w:eastAsia="宋体" w:cs="宋体"/>
          <w:sz w:val="15"/>
          <w:szCs w:val="15"/>
          <w:highlight w:val="none"/>
          <w:bdr w:val="single" w:color="auto" w:sz="4" w:space="0"/>
        </w:rPr>
        <w:t>√</w:t>
      </w:r>
      <w:r>
        <w:rPr>
          <w:rFonts w:hint="eastAsia" w:ascii="宋体" w:hAnsi="宋体" w:eastAsia="宋体" w:cs="宋体"/>
          <w:szCs w:val="21"/>
          <w:highlight w:val="none"/>
        </w:rPr>
        <w:t xml:space="preserve">无；□有，具体单位名称为： </w:t>
      </w:r>
      <w:r>
        <w:rPr>
          <w:rFonts w:hint="eastAsia" w:ascii="宋体" w:hAnsi="宋体" w:eastAsia="宋体" w:cs="宋体"/>
          <w:i/>
          <w:highlight w:val="none"/>
          <w:u w:val="single"/>
        </w:rPr>
        <w:t>（由投标人如实填写）</w:t>
      </w:r>
      <w:r>
        <w:rPr>
          <w:rFonts w:hint="eastAsia" w:ascii="宋体" w:hAnsi="宋体" w:eastAsia="宋体" w:cs="宋体"/>
          <w:szCs w:val="21"/>
          <w:highlight w:val="none"/>
        </w:rPr>
        <w:t>。</w:t>
      </w:r>
    </w:p>
    <w:p>
      <w:pPr>
        <w:snapToGrid w:val="0"/>
        <w:spacing w:line="324" w:lineRule="auto"/>
        <w:ind w:left="400"/>
        <w:rPr>
          <w:rFonts w:ascii="宋体" w:hAnsi="宋体" w:eastAsia="宋体" w:cs="宋体"/>
          <w:szCs w:val="21"/>
          <w:highlight w:val="none"/>
        </w:rPr>
      </w:pPr>
      <w:r>
        <w:rPr>
          <w:rFonts w:hint="eastAsia" w:ascii="宋体" w:hAnsi="宋体" w:eastAsia="宋体" w:cs="宋体"/>
          <w:szCs w:val="21"/>
          <w:highlight w:val="none"/>
        </w:rPr>
        <w:t>3）参与本项目采购活动前，是否为本项目前期准备提供过整体设计、规范编制或者项目管理、监理、检测等服务：</w:t>
      </w:r>
    </w:p>
    <w:p>
      <w:pPr>
        <w:snapToGrid w:val="0"/>
        <w:spacing w:line="324" w:lineRule="auto"/>
        <w:ind w:left="399" w:leftChars="190" w:firstLine="222" w:firstLineChars="148"/>
        <w:rPr>
          <w:rFonts w:ascii="宋体" w:hAnsi="宋体" w:eastAsia="宋体" w:cs="宋体"/>
          <w:szCs w:val="21"/>
          <w:highlight w:val="none"/>
        </w:rPr>
      </w:pPr>
      <w:r>
        <w:rPr>
          <w:rFonts w:hint="eastAsia" w:ascii="宋体" w:hAnsi="宋体" w:eastAsia="宋体" w:cs="宋体"/>
          <w:sz w:val="15"/>
          <w:szCs w:val="15"/>
          <w:highlight w:val="none"/>
          <w:bdr w:val="single" w:color="auto" w:sz="4" w:space="0"/>
        </w:rPr>
        <w:t>√</w:t>
      </w:r>
      <w:r>
        <w:rPr>
          <w:rFonts w:hint="eastAsia" w:ascii="宋体" w:hAnsi="宋体" w:eastAsia="宋体" w:cs="宋体"/>
          <w:szCs w:val="21"/>
          <w:highlight w:val="none"/>
        </w:rPr>
        <w:t xml:space="preserve">无；□有，已提供的具体服务内容为： </w:t>
      </w:r>
      <w:r>
        <w:rPr>
          <w:rFonts w:hint="eastAsia" w:ascii="宋体" w:hAnsi="宋体" w:eastAsia="宋体" w:cs="宋体"/>
          <w:i/>
          <w:highlight w:val="none"/>
          <w:u w:val="single"/>
        </w:rPr>
        <w:t>（由投标人如实填写）</w:t>
      </w:r>
      <w:r>
        <w:rPr>
          <w:rFonts w:hint="eastAsia" w:ascii="宋体" w:hAnsi="宋体" w:eastAsia="宋体" w:cs="宋体"/>
          <w:szCs w:val="21"/>
          <w:highlight w:val="none"/>
        </w:rPr>
        <w:t>。</w:t>
      </w:r>
    </w:p>
    <w:p>
      <w:pPr>
        <w:spacing w:line="324" w:lineRule="auto"/>
        <w:ind w:left="630" w:leftChars="300"/>
        <w:rPr>
          <w:rFonts w:ascii="宋体" w:hAnsi="宋体" w:eastAsia="宋体" w:cs="宋体"/>
          <w:highlight w:val="none"/>
        </w:rPr>
      </w:pPr>
      <w:r>
        <w:rPr>
          <w:rFonts w:hint="eastAsia" w:ascii="宋体" w:hAnsi="宋体" w:eastAsia="宋体" w:cs="宋体"/>
          <w:szCs w:val="21"/>
          <w:highlight w:val="none"/>
        </w:rPr>
        <w:t>（备注：以上3项声明，必须如实选择，选中项用</w:t>
      </w:r>
      <w:r>
        <w:rPr>
          <w:rFonts w:hint="eastAsia" w:ascii="宋体" w:hAnsi="宋体" w:eastAsia="宋体" w:cs="宋体"/>
          <w:sz w:val="15"/>
          <w:szCs w:val="15"/>
          <w:highlight w:val="none"/>
          <w:bdr w:val="single" w:color="auto" w:sz="4" w:space="0"/>
        </w:rPr>
        <w:t>√</w:t>
      </w:r>
      <w:r>
        <w:rPr>
          <w:rFonts w:hint="eastAsia" w:ascii="宋体" w:hAnsi="宋体" w:eastAsia="宋体" w:cs="宋体"/>
          <w:szCs w:val="21"/>
          <w:highlight w:val="none"/>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r>
        <w:rPr>
          <w:rFonts w:hint="eastAsia" w:ascii="宋体" w:hAnsi="宋体" w:eastAsia="宋体" w:cs="宋体"/>
          <w:highlight w:val="none"/>
        </w:rPr>
        <w:t>）</w:t>
      </w:r>
    </w:p>
    <w:p>
      <w:pPr>
        <w:snapToGrid w:val="0"/>
        <w:spacing w:line="324" w:lineRule="auto"/>
        <w:ind w:firstLine="420" w:firstLineChars="200"/>
        <w:rPr>
          <w:rFonts w:ascii="宋体" w:hAnsi="宋体" w:eastAsia="宋体" w:cs="宋体"/>
          <w:highlight w:val="none"/>
        </w:rPr>
      </w:pPr>
      <w:r>
        <w:rPr>
          <w:rFonts w:hint="eastAsia" w:ascii="宋体" w:hAnsi="宋体" w:eastAsia="宋体" w:cs="宋体"/>
          <w:highlight w:val="none"/>
        </w:rPr>
        <w:t>4）我方在本投标文件中所提供的全部资料均真实有效，我方承诺对其真实性负责并承担相应后果。</w:t>
      </w:r>
    </w:p>
    <w:p>
      <w:pPr>
        <w:numPr>
          <w:ilvl w:val="0"/>
          <w:numId w:val="14"/>
        </w:numPr>
        <w:spacing w:line="300" w:lineRule="auto"/>
        <w:ind w:left="720" w:hanging="360"/>
        <w:rPr>
          <w:rFonts w:ascii="宋体" w:hAnsi="宋体" w:eastAsia="宋体" w:cs="宋体"/>
          <w:highlight w:val="none"/>
        </w:rPr>
      </w:pPr>
      <w:r>
        <w:rPr>
          <w:rFonts w:hint="eastAsia" w:ascii="宋体" w:hAnsi="宋体" w:eastAsia="宋体" w:cs="宋体"/>
          <w:highlight w:val="none"/>
        </w:rPr>
        <w:t>与本投标有关的一切正式往来函件、通讯请发往：</w:t>
      </w:r>
    </w:p>
    <w:p>
      <w:pPr>
        <w:spacing w:line="300" w:lineRule="auto"/>
        <w:rPr>
          <w:rFonts w:ascii="宋体" w:hAnsi="宋体" w:eastAsia="宋体" w:cs="宋体"/>
          <w:highlight w:val="none"/>
        </w:rPr>
      </w:pPr>
      <w:r>
        <w:rPr>
          <w:rFonts w:hint="eastAsia" w:ascii="宋体" w:hAnsi="宋体" w:eastAsia="宋体" w:cs="宋体"/>
          <w:highlight w:val="none"/>
        </w:rPr>
        <w:t>地址传真</w:t>
      </w:r>
    </w:p>
    <w:p>
      <w:pPr>
        <w:spacing w:line="300" w:lineRule="auto"/>
        <w:rPr>
          <w:rFonts w:ascii="宋体" w:hAnsi="宋体" w:eastAsia="宋体" w:cs="宋体"/>
          <w:highlight w:val="none"/>
        </w:rPr>
      </w:pPr>
      <w:r>
        <w:rPr>
          <w:rFonts w:hint="eastAsia" w:ascii="宋体" w:hAnsi="宋体" w:eastAsia="宋体" w:cs="宋体"/>
          <w:highlight w:val="none"/>
        </w:rPr>
        <w:t>电话电子函件</w:t>
      </w:r>
    </w:p>
    <w:p>
      <w:pPr>
        <w:spacing w:line="300" w:lineRule="auto"/>
        <w:rPr>
          <w:rFonts w:ascii="宋体" w:hAnsi="宋体" w:eastAsia="宋体" w:cs="宋体"/>
          <w:highlight w:val="none"/>
        </w:rPr>
      </w:pPr>
    </w:p>
    <w:p>
      <w:pPr>
        <w:spacing w:line="300" w:lineRule="auto"/>
        <w:rPr>
          <w:rFonts w:ascii="宋体" w:hAnsi="宋体" w:eastAsia="宋体" w:cs="宋体"/>
          <w:highlight w:val="none"/>
        </w:rPr>
      </w:pPr>
    </w:p>
    <w:p>
      <w:pPr>
        <w:spacing w:line="300" w:lineRule="auto"/>
        <w:rPr>
          <w:rFonts w:ascii="宋体" w:hAnsi="宋体" w:eastAsia="宋体" w:cs="宋体"/>
          <w:highlight w:val="none"/>
        </w:rPr>
      </w:pPr>
    </w:p>
    <w:p>
      <w:pPr>
        <w:spacing w:line="300" w:lineRule="auto"/>
        <w:rPr>
          <w:rFonts w:ascii="宋体" w:hAnsi="宋体" w:eastAsia="宋体" w:cs="宋体"/>
          <w:highlight w:val="none"/>
        </w:rPr>
      </w:pPr>
    </w:p>
    <w:p>
      <w:pPr>
        <w:spacing w:line="300" w:lineRule="auto"/>
        <w:rPr>
          <w:rFonts w:ascii="宋体" w:hAnsi="宋体" w:eastAsia="宋体" w:cs="宋体"/>
          <w:highlight w:val="none"/>
        </w:rPr>
      </w:pPr>
      <w:r>
        <w:rPr>
          <w:rFonts w:hint="eastAsia" w:ascii="宋体" w:hAnsi="宋体" w:eastAsia="宋体" w:cs="宋体"/>
          <w:highlight w:val="none"/>
        </w:rPr>
        <w:t>投标人名称</w:t>
      </w:r>
      <w:r>
        <w:rPr>
          <w:rFonts w:hint="eastAsia" w:ascii="宋体" w:hAnsi="宋体" w:eastAsia="宋体" w:cs="宋体"/>
          <w:szCs w:val="21"/>
          <w:highlight w:val="none"/>
        </w:rPr>
        <w:t>投标人授权代表</w:t>
      </w:r>
      <w:r>
        <w:rPr>
          <w:rFonts w:hint="eastAsia" w:ascii="宋体" w:hAnsi="宋体" w:eastAsia="宋体" w:cs="宋体"/>
          <w:highlight w:val="none"/>
          <w:u w:val="single"/>
        </w:rPr>
        <w:t>姓名、职务（印刷体）</w:t>
      </w:r>
    </w:p>
    <w:p>
      <w:pPr>
        <w:spacing w:line="300" w:lineRule="auto"/>
        <w:rPr>
          <w:rFonts w:ascii="宋体" w:hAnsi="宋体" w:eastAsia="宋体" w:cs="宋体"/>
          <w:highlight w:val="none"/>
          <w:u w:val="single"/>
        </w:rPr>
      </w:pPr>
      <w:r>
        <w:rPr>
          <w:rFonts w:hint="eastAsia" w:ascii="宋体" w:hAnsi="宋体" w:eastAsia="宋体" w:cs="宋体"/>
          <w:highlight w:val="none"/>
        </w:rPr>
        <w:t>公章</w:t>
      </w:r>
      <w:r>
        <w:rPr>
          <w:rFonts w:hint="eastAsia" w:ascii="宋体" w:hAnsi="宋体" w:eastAsia="宋体" w:cs="宋体"/>
          <w:szCs w:val="21"/>
          <w:highlight w:val="none"/>
        </w:rPr>
        <w:t>投标人授权代表</w:t>
      </w:r>
      <w:r>
        <w:rPr>
          <w:rFonts w:hint="eastAsia" w:ascii="宋体" w:hAnsi="宋体" w:eastAsia="宋体" w:cs="宋体"/>
          <w:highlight w:val="none"/>
        </w:rPr>
        <w:t>签字</w:t>
      </w:r>
    </w:p>
    <w:p>
      <w:pPr>
        <w:spacing w:line="300" w:lineRule="auto"/>
        <w:rPr>
          <w:rFonts w:ascii="宋体" w:hAnsi="宋体" w:cs="宋体"/>
          <w:highlight w:val="none"/>
        </w:rPr>
        <w:sectPr>
          <w:type w:val="nextColumn"/>
          <w:pgSz w:w="11907" w:h="16840"/>
          <w:pgMar w:top="1247" w:right="1588" w:bottom="1247" w:left="1588" w:header="907" w:footer="907" w:gutter="0"/>
          <w:cols w:space="720" w:num="1"/>
          <w:docGrid w:linePitch="312" w:charSpace="0"/>
        </w:sectPr>
      </w:pPr>
      <w:r>
        <w:rPr>
          <w:rFonts w:hint="eastAsia" w:ascii="宋体" w:hAnsi="宋体" w:eastAsia="宋体" w:cs="宋体"/>
          <w:highlight w:val="none"/>
        </w:rPr>
        <w:t>日期</w:t>
      </w:r>
    </w:p>
    <w:p>
      <w:pPr>
        <w:keepNext/>
        <w:keepLines/>
        <w:widowControl w:val="0"/>
        <w:snapToGrid w:val="0"/>
        <w:spacing w:before="120" w:after="120" w:line="360" w:lineRule="auto"/>
        <w:jc w:val="both"/>
        <w:outlineLvl w:val="1"/>
        <w:rPr>
          <w:rFonts w:ascii="宋体" w:hAnsi="宋体" w:eastAsia="宋体" w:cs="宋体"/>
          <w:b/>
          <w:bCs w:val="0"/>
          <w:kern w:val="2"/>
          <w:sz w:val="32"/>
          <w:szCs w:val="32"/>
          <w:highlight w:val="none"/>
          <w:lang w:val="en-US" w:eastAsia="zh-CN" w:bidi="ar-SA"/>
        </w:rPr>
      </w:pPr>
      <w:bookmarkStart w:id="1021" w:name="_Toc28275"/>
      <w:bookmarkStart w:id="1022" w:name="_Toc432367425"/>
      <w:bookmarkStart w:id="1023" w:name="_Toc430813345"/>
      <w:r>
        <w:rPr>
          <w:rFonts w:hint="eastAsia" w:ascii="宋体" w:hAnsi="宋体" w:eastAsia="宋体" w:cs="宋体"/>
          <w:b/>
          <w:bCs w:val="0"/>
          <w:kern w:val="2"/>
          <w:sz w:val="32"/>
          <w:szCs w:val="32"/>
          <w:highlight w:val="none"/>
          <w:lang w:val="en-US" w:eastAsia="zh-CN" w:bidi="ar-SA"/>
        </w:rPr>
        <w:t>（二）法定代表人身份证明</w:t>
      </w:r>
      <w:bookmarkEnd w:id="1021"/>
      <w:bookmarkEnd w:id="1022"/>
      <w:bookmarkEnd w:id="1023"/>
    </w:p>
    <w:p>
      <w:pPr>
        <w:widowControl/>
        <w:spacing w:line="360" w:lineRule="auto"/>
        <w:rPr>
          <w:rFonts w:ascii="宋体" w:hAnsi="宋体" w:eastAsia="宋体" w:cs="宋体"/>
          <w:highlight w:val="none"/>
        </w:rPr>
      </w:pPr>
    </w:p>
    <w:p>
      <w:pPr>
        <w:widowControl/>
        <w:spacing w:line="360" w:lineRule="auto"/>
        <w:rPr>
          <w:rFonts w:ascii="宋体" w:hAnsi="宋体" w:eastAsia="宋体" w:cs="宋体"/>
          <w:highlight w:val="none"/>
        </w:rPr>
      </w:pPr>
      <w:r>
        <w:rPr>
          <w:rFonts w:hint="eastAsia" w:ascii="宋体" w:hAnsi="宋体" w:eastAsia="宋体" w:cs="宋体"/>
          <w:highlight w:val="none"/>
        </w:rPr>
        <w:t>投标人名称：</w:t>
      </w:r>
    </w:p>
    <w:p>
      <w:pPr>
        <w:widowControl/>
        <w:spacing w:line="360" w:lineRule="auto"/>
        <w:rPr>
          <w:rFonts w:ascii="宋体" w:hAnsi="宋体" w:eastAsia="宋体" w:cs="宋体"/>
          <w:highlight w:val="none"/>
          <w:u w:val="single"/>
        </w:rPr>
      </w:pPr>
      <w:r>
        <w:rPr>
          <w:rFonts w:hint="eastAsia" w:ascii="宋体" w:hAnsi="宋体" w:eastAsia="宋体" w:cs="宋体"/>
          <w:highlight w:val="none"/>
        </w:rPr>
        <w:t>单位性质：</w:t>
      </w:r>
    </w:p>
    <w:p>
      <w:pPr>
        <w:widowControl/>
        <w:spacing w:line="360" w:lineRule="auto"/>
        <w:rPr>
          <w:rFonts w:ascii="宋体" w:hAnsi="宋体" w:eastAsia="宋体" w:cs="宋体"/>
          <w:highlight w:val="none"/>
        </w:rPr>
      </w:pPr>
      <w:r>
        <w:rPr>
          <w:rFonts w:hint="eastAsia" w:ascii="宋体" w:hAnsi="宋体" w:eastAsia="宋体" w:cs="宋体"/>
          <w:highlight w:val="none"/>
        </w:rPr>
        <w:t>地址：</w:t>
      </w:r>
    </w:p>
    <w:p>
      <w:pPr>
        <w:widowControl/>
        <w:spacing w:line="360" w:lineRule="auto"/>
        <w:rPr>
          <w:rFonts w:ascii="宋体" w:hAnsi="宋体" w:eastAsia="宋体" w:cs="宋体"/>
          <w:highlight w:val="none"/>
        </w:rPr>
      </w:pPr>
      <w:r>
        <w:rPr>
          <w:rFonts w:hint="eastAsia" w:ascii="宋体" w:hAnsi="宋体" w:eastAsia="宋体" w:cs="宋体"/>
          <w:highlight w:val="none"/>
        </w:rPr>
        <w:t xml:space="preserve">成立时间：年月 日 </w:t>
      </w:r>
    </w:p>
    <w:p>
      <w:pPr>
        <w:widowControl/>
        <w:spacing w:line="360" w:lineRule="auto"/>
        <w:rPr>
          <w:rFonts w:ascii="宋体" w:hAnsi="宋体" w:eastAsia="宋体" w:cs="宋体"/>
          <w:highlight w:val="none"/>
        </w:rPr>
      </w:pPr>
      <w:r>
        <w:rPr>
          <w:rFonts w:hint="eastAsia" w:ascii="宋体" w:hAnsi="宋体" w:eastAsia="宋体" w:cs="宋体"/>
          <w:highlight w:val="none"/>
        </w:rPr>
        <w:t>经营期限：</w:t>
      </w:r>
    </w:p>
    <w:p>
      <w:pPr>
        <w:widowControl/>
        <w:spacing w:line="360" w:lineRule="auto"/>
        <w:rPr>
          <w:rFonts w:ascii="宋体" w:hAnsi="宋体" w:eastAsia="宋体" w:cs="宋体"/>
          <w:highlight w:val="none"/>
          <w:u w:val="single"/>
        </w:rPr>
      </w:pPr>
      <w:r>
        <w:rPr>
          <w:rFonts w:hint="eastAsia" w:ascii="宋体" w:hAnsi="宋体" w:eastAsia="宋体" w:cs="宋体"/>
          <w:highlight w:val="none"/>
        </w:rPr>
        <w:t>姓名：性别：</w:t>
      </w:r>
    </w:p>
    <w:p>
      <w:pPr>
        <w:widowControl/>
        <w:spacing w:line="360" w:lineRule="auto"/>
        <w:rPr>
          <w:rFonts w:ascii="宋体" w:hAnsi="宋体" w:eastAsia="宋体" w:cs="宋体"/>
          <w:highlight w:val="none"/>
        </w:rPr>
      </w:pPr>
      <w:r>
        <w:rPr>
          <w:rFonts w:hint="eastAsia" w:ascii="宋体" w:hAnsi="宋体" w:eastAsia="宋体" w:cs="宋体"/>
          <w:highlight w:val="none"/>
        </w:rPr>
        <w:t>年龄：职务：</w:t>
      </w:r>
    </w:p>
    <w:p>
      <w:pPr>
        <w:widowControl/>
        <w:spacing w:line="360" w:lineRule="auto"/>
        <w:rPr>
          <w:rFonts w:ascii="宋体" w:hAnsi="宋体" w:eastAsia="宋体" w:cs="宋体"/>
          <w:highlight w:val="none"/>
        </w:rPr>
      </w:pPr>
      <w:r>
        <w:rPr>
          <w:rFonts w:hint="eastAsia" w:ascii="宋体" w:hAnsi="宋体" w:eastAsia="宋体" w:cs="宋体"/>
          <w:highlight w:val="none"/>
        </w:rPr>
        <w:t xml:space="preserve">系 （投标人名称）的法定代表人。 </w:t>
      </w:r>
    </w:p>
    <w:p>
      <w:pPr>
        <w:widowControl/>
        <w:spacing w:line="360" w:lineRule="auto"/>
        <w:rPr>
          <w:rFonts w:ascii="宋体" w:hAnsi="宋体" w:eastAsia="宋体" w:cs="宋体"/>
          <w:highlight w:val="none"/>
        </w:rPr>
      </w:pPr>
      <w:r>
        <w:rPr>
          <w:rFonts w:hint="eastAsia" w:ascii="宋体" w:hAnsi="宋体" w:eastAsia="宋体" w:cs="宋体"/>
          <w:highlight w:val="none"/>
        </w:rPr>
        <w:t xml:space="preserve">特此证明。 </w:t>
      </w:r>
    </w:p>
    <w:p>
      <w:pPr>
        <w:widowControl/>
        <w:spacing w:line="360" w:lineRule="auto"/>
        <w:rPr>
          <w:rFonts w:ascii="宋体" w:hAnsi="宋体" w:eastAsia="宋体" w:cs="宋体"/>
          <w:highlight w:val="none"/>
        </w:rPr>
      </w:pPr>
    </w:p>
    <w:p>
      <w:pPr>
        <w:widowControl/>
        <w:spacing w:line="360" w:lineRule="auto"/>
        <w:rPr>
          <w:rFonts w:ascii="宋体" w:hAnsi="宋体" w:eastAsia="宋体" w:cs="宋体"/>
          <w:highlight w:val="none"/>
        </w:rPr>
      </w:pPr>
    </w:p>
    <w:p>
      <w:pPr>
        <w:widowControl/>
        <w:spacing w:line="360" w:lineRule="auto"/>
        <w:rPr>
          <w:rFonts w:ascii="宋体" w:hAnsi="宋体" w:eastAsia="宋体" w:cs="宋体"/>
          <w:highlight w:val="none"/>
        </w:rPr>
      </w:pPr>
    </w:p>
    <w:p>
      <w:pPr>
        <w:widowControl/>
        <w:spacing w:line="360" w:lineRule="auto"/>
        <w:jc w:val="right"/>
        <w:rPr>
          <w:rFonts w:ascii="宋体" w:hAnsi="宋体" w:eastAsia="宋体" w:cs="宋体"/>
          <w:highlight w:val="none"/>
        </w:rPr>
      </w:pPr>
      <w:r>
        <w:rPr>
          <w:rFonts w:hint="eastAsia" w:ascii="宋体" w:hAnsi="宋体" w:eastAsia="宋体" w:cs="宋体"/>
          <w:highlight w:val="none"/>
        </w:rPr>
        <w:t xml:space="preserve">投标人： （盖单位章） </w:t>
      </w:r>
    </w:p>
    <w:p>
      <w:pPr>
        <w:widowControl/>
        <w:spacing w:line="360" w:lineRule="auto"/>
        <w:jc w:val="right"/>
        <w:rPr>
          <w:rFonts w:ascii="宋体" w:hAnsi="宋体" w:eastAsia="宋体" w:cs="宋体"/>
          <w:highlight w:val="none"/>
        </w:rPr>
      </w:pPr>
      <w:r>
        <w:rPr>
          <w:rFonts w:hint="eastAsia" w:ascii="宋体" w:hAnsi="宋体" w:eastAsia="宋体" w:cs="宋体"/>
          <w:highlight w:val="none"/>
        </w:rPr>
        <w:t xml:space="preserve">年 月 日 </w:t>
      </w:r>
    </w:p>
    <w:p>
      <w:pPr>
        <w:rPr>
          <w:rFonts w:ascii="宋体" w:hAnsi="宋体" w:eastAsia="宋体" w:cs="宋体"/>
          <w:highlight w:val="none"/>
        </w:rPr>
      </w:pPr>
      <w:r>
        <w:rPr>
          <w:rFonts w:hint="eastAsia" w:ascii="宋体" w:hAnsi="宋体" w:eastAsia="宋体" w:cs="宋体"/>
          <w:highlight w:val="none"/>
        </w:rPr>
        <w:t>附：法定代表人身份证复印件</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718" w:type="dxa"/>
          </w:tcPr>
          <w:p>
            <w:pPr>
              <w:rPr>
                <w:rFonts w:ascii="宋体" w:hAnsi="宋体" w:eastAsia="宋体" w:cs="宋体"/>
                <w:highlight w:val="none"/>
              </w:rPr>
            </w:pPr>
          </w:p>
        </w:tc>
      </w:tr>
    </w:tbl>
    <w:p>
      <w:pPr>
        <w:spacing w:line="360" w:lineRule="auto"/>
        <w:ind w:firstLine="735" w:firstLineChars="350"/>
        <w:jc w:val="center"/>
        <w:rPr>
          <w:rFonts w:ascii="宋体" w:hAnsi="宋体" w:eastAsia="宋体" w:cs="宋体"/>
          <w:highlight w:val="none"/>
        </w:rPr>
      </w:pPr>
    </w:p>
    <w:p>
      <w:pPr>
        <w:spacing w:line="360" w:lineRule="auto"/>
        <w:ind w:firstLine="735" w:firstLineChars="350"/>
        <w:jc w:val="center"/>
        <w:rPr>
          <w:rFonts w:ascii="宋体" w:hAnsi="宋体" w:eastAsia="宋体" w:cs="宋体"/>
          <w:highlight w:val="none"/>
        </w:rPr>
      </w:pPr>
      <w:r>
        <w:rPr>
          <w:rFonts w:hint="eastAsia" w:ascii="宋体" w:hAnsi="宋体" w:eastAsia="宋体" w:cs="宋体"/>
          <w:highlight w:val="none"/>
        </w:rPr>
        <w:br w:type="page"/>
      </w:r>
    </w:p>
    <w:p>
      <w:pPr>
        <w:keepNext/>
        <w:keepLines/>
        <w:widowControl w:val="0"/>
        <w:snapToGrid w:val="0"/>
        <w:spacing w:before="120" w:after="120" w:line="360" w:lineRule="auto"/>
        <w:jc w:val="both"/>
        <w:outlineLvl w:val="1"/>
        <w:rPr>
          <w:rFonts w:ascii="宋体" w:hAnsi="宋体" w:eastAsia="宋体" w:cs="宋体"/>
          <w:b/>
          <w:bCs w:val="0"/>
          <w:kern w:val="2"/>
          <w:sz w:val="32"/>
          <w:szCs w:val="32"/>
          <w:highlight w:val="none"/>
          <w:lang w:val="en-US" w:eastAsia="zh-CN" w:bidi="ar-SA"/>
        </w:rPr>
      </w:pPr>
      <w:bookmarkStart w:id="1024" w:name="_Toc432367426"/>
      <w:bookmarkStart w:id="1025" w:name="_Toc430813346"/>
      <w:bookmarkStart w:id="1026" w:name="_Toc13303"/>
      <w:r>
        <w:rPr>
          <w:rFonts w:hint="eastAsia" w:ascii="宋体" w:hAnsi="宋体" w:eastAsia="宋体" w:cs="宋体"/>
          <w:b/>
          <w:bCs w:val="0"/>
          <w:kern w:val="2"/>
          <w:sz w:val="32"/>
          <w:szCs w:val="32"/>
          <w:highlight w:val="none"/>
          <w:lang w:val="en-US" w:eastAsia="zh-CN" w:bidi="ar-SA"/>
        </w:rPr>
        <w:t>（三）法定代表人授权书</w:t>
      </w:r>
      <w:bookmarkEnd w:id="1024"/>
      <w:bookmarkEnd w:id="1025"/>
      <w:bookmarkEnd w:id="1026"/>
    </w:p>
    <w:p>
      <w:pPr>
        <w:spacing w:line="360" w:lineRule="auto"/>
        <w:rPr>
          <w:rFonts w:ascii="宋体" w:hAnsi="宋体" w:eastAsia="宋体" w:cs="宋体"/>
          <w:highlight w:val="none"/>
        </w:rPr>
      </w:pPr>
    </w:p>
    <w:p>
      <w:pPr>
        <w:widowControl w:val="0"/>
        <w:autoSpaceDE w:val="0"/>
        <w:autoSpaceDN w:val="0"/>
        <w:adjustRightInd w:val="0"/>
        <w:spacing w:line="300" w:lineRule="auto"/>
        <w:ind w:firstLine="420" w:firstLineChars="200"/>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本人（姓名）系（投标人名称）的法定代表人，现委托（姓名）为我方代理人。代理人根据授权，以我方名义签署、澄清、说明、补正、递交、撤回、修改（项目名称）投标文件、签订合同和处理有关事宜，其法律后果由我方承担。</w:t>
      </w:r>
    </w:p>
    <w:p>
      <w:pPr>
        <w:widowControl w:val="0"/>
        <w:autoSpaceDE w:val="0"/>
        <w:autoSpaceDN w:val="0"/>
        <w:adjustRightInd w:val="0"/>
        <w:spacing w:line="300" w:lineRule="auto"/>
        <w:ind w:firstLine="420" w:firstLineChars="200"/>
        <w:rPr>
          <w:rFonts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委托期限：</w:t>
      </w:r>
    </w:p>
    <w:p>
      <w:pPr>
        <w:widowControl w:val="0"/>
        <w:autoSpaceDE w:val="0"/>
        <w:autoSpaceDN w:val="0"/>
        <w:adjustRightInd w:val="0"/>
        <w:spacing w:line="300" w:lineRule="auto"/>
        <w:ind w:firstLine="420" w:firstLineChars="200"/>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代理人无转委托权。</w:t>
      </w:r>
    </w:p>
    <w:p>
      <w:pPr>
        <w:widowControl w:val="0"/>
        <w:autoSpaceDE w:val="0"/>
        <w:autoSpaceDN w:val="0"/>
        <w:adjustRightInd w:val="0"/>
        <w:spacing w:line="300" w:lineRule="auto"/>
        <w:ind w:firstLine="420" w:firstLineChars="200"/>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附：法定代表人身份证明</w:t>
      </w:r>
    </w:p>
    <w:p>
      <w:pPr>
        <w:widowControl w:val="0"/>
        <w:autoSpaceDE w:val="0"/>
        <w:autoSpaceDN w:val="0"/>
        <w:adjustRightInd w:val="0"/>
        <w:spacing w:line="300" w:lineRule="auto"/>
        <w:ind w:firstLine="420" w:firstLineChars="200"/>
        <w:rPr>
          <w:rFonts w:ascii="宋体" w:hAnsi="宋体" w:eastAsia="宋体" w:cs="宋体"/>
          <w:color w:val="auto"/>
          <w:sz w:val="21"/>
          <w:szCs w:val="21"/>
          <w:highlight w:val="none"/>
          <w:lang w:val="en-US" w:eastAsia="zh-CN" w:bidi="ar-SA"/>
        </w:rPr>
      </w:pPr>
    </w:p>
    <w:p>
      <w:pPr>
        <w:widowControl w:val="0"/>
        <w:autoSpaceDE w:val="0"/>
        <w:autoSpaceDN w:val="0"/>
        <w:adjustRightInd w:val="0"/>
        <w:spacing w:line="300" w:lineRule="auto"/>
        <w:ind w:firstLine="420" w:firstLineChars="200"/>
        <w:rPr>
          <w:rFonts w:ascii="宋体" w:hAnsi="宋体" w:eastAsia="宋体" w:cs="宋体"/>
          <w:color w:val="auto"/>
          <w:sz w:val="21"/>
          <w:szCs w:val="21"/>
          <w:highlight w:val="none"/>
          <w:lang w:val="en-US" w:eastAsia="zh-CN" w:bidi="ar-SA"/>
        </w:rPr>
      </w:pPr>
    </w:p>
    <w:p>
      <w:pPr>
        <w:widowControl w:val="0"/>
        <w:autoSpaceDE w:val="0"/>
        <w:autoSpaceDN w:val="0"/>
        <w:adjustRightInd w:val="0"/>
        <w:spacing w:line="300" w:lineRule="auto"/>
        <w:ind w:right="48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投标人：（盖单位章）</w:t>
      </w:r>
    </w:p>
    <w:p>
      <w:pPr>
        <w:widowControl w:val="0"/>
        <w:autoSpaceDE w:val="0"/>
        <w:autoSpaceDN w:val="0"/>
        <w:adjustRightInd w:val="0"/>
        <w:spacing w:line="300" w:lineRule="auto"/>
        <w:ind w:right="480"/>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法定代表人：（签字）</w:t>
      </w:r>
    </w:p>
    <w:p>
      <w:pPr>
        <w:widowControl w:val="0"/>
        <w:autoSpaceDE w:val="0"/>
        <w:autoSpaceDN w:val="0"/>
        <w:adjustRightInd w:val="0"/>
        <w:spacing w:line="300" w:lineRule="auto"/>
        <w:ind w:right="480"/>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身份证号码：</w:t>
      </w:r>
    </w:p>
    <w:p>
      <w:pPr>
        <w:widowControl w:val="0"/>
        <w:autoSpaceDE w:val="0"/>
        <w:autoSpaceDN w:val="0"/>
        <w:adjustRightInd w:val="0"/>
        <w:spacing w:line="300" w:lineRule="auto"/>
        <w:ind w:right="480"/>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委托代理人：（签字）</w:t>
      </w:r>
    </w:p>
    <w:p>
      <w:pPr>
        <w:widowControl w:val="0"/>
        <w:autoSpaceDE w:val="0"/>
        <w:autoSpaceDN w:val="0"/>
        <w:adjustRightInd w:val="0"/>
        <w:spacing w:line="300" w:lineRule="auto"/>
        <w:ind w:right="480"/>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身份证号码：</w:t>
      </w:r>
    </w:p>
    <w:p>
      <w:pPr>
        <w:widowControl w:val="0"/>
        <w:autoSpaceDE w:val="0"/>
        <w:autoSpaceDN w:val="0"/>
        <w:adjustRightInd w:val="0"/>
        <w:spacing w:line="300" w:lineRule="auto"/>
        <w:ind w:right="480" w:firstLine="3990" w:firstLineChars="1900"/>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年月日</w:t>
      </w:r>
    </w:p>
    <w:p>
      <w:pPr>
        <w:widowControl w:val="0"/>
        <w:autoSpaceDE w:val="0"/>
        <w:autoSpaceDN w:val="0"/>
        <w:adjustRightInd w:val="0"/>
        <w:spacing w:line="300" w:lineRule="auto"/>
        <w:ind w:right="480" w:firstLine="3990" w:firstLineChars="1900"/>
        <w:rPr>
          <w:rFonts w:ascii="宋体" w:hAnsi="宋体" w:eastAsia="宋体" w:cs="宋体"/>
          <w:color w:val="auto"/>
          <w:sz w:val="21"/>
          <w:szCs w:val="21"/>
          <w:highlight w:val="none"/>
          <w:lang w:val="en-US" w:eastAsia="zh-CN" w:bidi="ar-SA"/>
        </w:rPr>
      </w:pPr>
    </w:p>
    <w:p>
      <w:pPr>
        <w:rPr>
          <w:rFonts w:ascii="宋体" w:hAnsi="宋体" w:eastAsia="宋体" w:cs="宋体"/>
          <w:highlight w:val="none"/>
        </w:rPr>
      </w:pPr>
      <w:r>
        <w:rPr>
          <w:rFonts w:hint="eastAsia" w:ascii="宋体" w:hAnsi="宋体" w:eastAsia="宋体" w:cs="宋体"/>
          <w:highlight w:val="none"/>
        </w:rPr>
        <w:t>附：授权代表身份证复印件</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718" w:type="dxa"/>
          </w:tcPr>
          <w:p>
            <w:pPr>
              <w:rPr>
                <w:rFonts w:ascii="宋体" w:hAnsi="宋体" w:eastAsia="宋体" w:cs="宋体"/>
                <w:highlight w:val="none"/>
              </w:rPr>
            </w:pPr>
          </w:p>
        </w:tc>
      </w:tr>
    </w:tbl>
    <w:p>
      <w:pPr>
        <w:spacing w:line="300" w:lineRule="auto"/>
        <w:rPr>
          <w:rFonts w:ascii="宋体" w:hAnsi="宋体" w:eastAsia="宋体" w:cs="宋体"/>
          <w:highlight w:val="none"/>
        </w:rPr>
      </w:pPr>
    </w:p>
    <w:p>
      <w:pPr>
        <w:rPr>
          <w:rFonts w:ascii="宋体" w:hAnsi="宋体" w:eastAsia="宋体" w:cs="宋体"/>
          <w:highlight w:val="none"/>
        </w:rPr>
      </w:pPr>
    </w:p>
    <w:p>
      <w:pPr>
        <w:spacing w:line="300" w:lineRule="auto"/>
        <w:rPr>
          <w:rFonts w:ascii="宋体" w:hAnsi="宋体" w:eastAsia="宋体" w:cs="宋体"/>
          <w:highlight w:val="none"/>
        </w:rPr>
      </w:pPr>
      <w:r>
        <w:rPr>
          <w:rFonts w:hint="eastAsia" w:ascii="宋体" w:hAnsi="宋体" w:eastAsia="宋体" w:cs="宋体"/>
          <w:highlight w:val="none"/>
        </w:rPr>
        <w:br w:type="page"/>
      </w:r>
    </w:p>
    <w:p>
      <w:pPr>
        <w:keepNext/>
        <w:keepLines/>
        <w:widowControl w:val="0"/>
        <w:spacing w:before="260" w:after="260" w:line="413" w:lineRule="auto"/>
        <w:jc w:val="both"/>
        <w:outlineLvl w:val="1"/>
        <w:rPr>
          <w:rFonts w:ascii="宋体" w:hAnsi="宋体" w:eastAsia="宋体" w:cs="宋体"/>
          <w:b/>
          <w:bCs w:val="0"/>
          <w:kern w:val="2"/>
          <w:sz w:val="32"/>
          <w:szCs w:val="32"/>
          <w:highlight w:val="none"/>
          <w:lang w:val="en-US" w:eastAsia="zh-CN" w:bidi="ar-SA"/>
        </w:rPr>
      </w:pPr>
      <w:bookmarkStart w:id="1027" w:name="_Toc430813348"/>
      <w:bookmarkStart w:id="1028" w:name="_Toc31020"/>
      <w:bookmarkStart w:id="1029" w:name="_Toc432367428"/>
      <w:r>
        <w:rPr>
          <w:rFonts w:hint="eastAsia" w:ascii="宋体" w:hAnsi="宋体" w:eastAsia="宋体" w:cs="宋体"/>
          <w:b/>
          <w:bCs w:val="0"/>
          <w:kern w:val="2"/>
          <w:sz w:val="32"/>
          <w:szCs w:val="32"/>
          <w:highlight w:val="none"/>
          <w:lang w:val="en-US" w:eastAsia="zh-CN" w:bidi="ar-SA"/>
        </w:rPr>
        <w:t>二、报价文件</w:t>
      </w:r>
      <w:bookmarkEnd w:id="1027"/>
      <w:bookmarkEnd w:id="1028"/>
      <w:bookmarkEnd w:id="1029"/>
    </w:p>
    <w:p>
      <w:pPr>
        <w:keepNext/>
        <w:keepLines/>
        <w:widowControl w:val="0"/>
        <w:snapToGrid w:val="0"/>
        <w:spacing w:before="120" w:after="120" w:line="360" w:lineRule="auto"/>
        <w:jc w:val="both"/>
        <w:outlineLvl w:val="1"/>
        <w:rPr>
          <w:rFonts w:ascii="宋体" w:hAnsi="宋体" w:eastAsia="宋体" w:cs="宋体"/>
          <w:b/>
          <w:bCs w:val="0"/>
          <w:kern w:val="2"/>
          <w:sz w:val="32"/>
          <w:szCs w:val="32"/>
          <w:highlight w:val="none"/>
          <w:lang w:val="en-US" w:eastAsia="zh-CN" w:bidi="ar-SA"/>
        </w:rPr>
      </w:pPr>
      <w:bookmarkStart w:id="1030" w:name="_Toc430813349"/>
      <w:bookmarkStart w:id="1031" w:name="_Toc432367429"/>
      <w:bookmarkStart w:id="1032" w:name="_Toc635"/>
      <w:r>
        <w:rPr>
          <w:rFonts w:hint="eastAsia" w:ascii="宋体" w:hAnsi="宋体" w:eastAsia="宋体" w:cs="宋体"/>
          <w:b/>
          <w:bCs w:val="0"/>
          <w:kern w:val="2"/>
          <w:sz w:val="32"/>
          <w:szCs w:val="32"/>
          <w:highlight w:val="none"/>
          <w:lang w:val="en-US" w:eastAsia="zh-CN" w:bidi="ar-SA"/>
        </w:rPr>
        <w:t>（一）开标一览表</w:t>
      </w:r>
      <w:bookmarkEnd w:id="1030"/>
      <w:bookmarkEnd w:id="1031"/>
      <w:bookmarkEnd w:id="1032"/>
    </w:p>
    <w:p>
      <w:pPr>
        <w:spacing w:line="300" w:lineRule="auto"/>
        <w:rPr>
          <w:rFonts w:ascii="宋体" w:hAnsi="宋体" w:eastAsia="宋体" w:cs="宋体"/>
          <w:szCs w:val="21"/>
          <w:highlight w:val="none"/>
        </w:rPr>
      </w:pPr>
      <w:r>
        <w:rPr>
          <w:rFonts w:hint="eastAsia" w:ascii="宋体" w:hAnsi="宋体" w:eastAsia="宋体" w:cs="宋体"/>
          <w:szCs w:val="21"/>
          <w:highlight w:val="none"/>
        </w:rPr>
        <w:t>项目名称：                项目编号：                    货币单位：人民币</w:t>
      </w:r>
    </w:p>
    <w:tbl>
      <w:tblPr>
        <w:tblStyle w:val="8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5"/>
        <w:gridCol w:w="1973"/>
        <w:gridCol w:w="4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1568" w:type="pct"/>
            <w:vAlign w:val="center"/>
          </w:tcPr>
          <w:p>
            <w:pPr>
              <w:snapToGrid w:val="0"/>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投标</w:t>
            </w:r>
            <w:r>
              <w:rPr>
                <w:rFonts w:hint="eastAsia" w:ascii="宋体" w:hAnsi="宋体" w:eastAsia="宋体" w:cs="宋体"/>
                <w:szCs w:val="21"/>
                <w:highlight w:val="none"/>
                <w:lang w:val="en-US" w:eastAsia="zh-CN"/>
              </w:rPr>
              <w:t>报价</w:t>
            </w:r>
          </w:p>
        </w:tc>
        <w:tc>
          <w:tcPr>
            <w:tcW w:w="1103" w:type="pct"/>
            <w:vAlign w:val="center"/>
          </w:tcPr>
          <w:p>
            <w:pPr>
              <w:snapToGrid w:val="0"/>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服务期</w:t>
            </w:r>
          </w:p>
        </w:tc>
        <w:tc>
          <w:tcPr>
            <w:tcW w:w="2327" w:type="pct"/>
            <w:vAlign w:val="center"/>
          </w:tcPr>
          <w:p>
            <w:pPr>
              <w:snapToGrid w:val="0"/>
              <w:jc w:val="center"/>
              <w:rPr>
                <w:rFonts w:ascii="宋体" w:hAnsi="宋体" w:eastAsia="宋体" w:cs="宋体"/>
                <w:szCs w:val="21"/>
                <w:highlight w:val="none"/>
              </w:rPr>
            </w:pPr>
            <w:r>
              <w:rPr>
                <w:rFonts w:hint="eastAsia" w:ascii="宋体" w:hAnsi="宋体" w:eastAsia="宋体" w:cs="宋体"/>
                <w:szCs w:val="21"/>
                <w:highlight w:val="none"/>
              </w:rPr>
              <w:t>投标声明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8" w:hRule="atLeast"/>
        </w:trPr>
        <w:tc>
          <w:tcPr>
            <w:tcW w:w="1568" w:type="pct"/>
            <w:vAlign w:val="center"/>
          </w:tcPr>
          <w:p>
            <w:pPr>
              <w:widowControl w:val="0"/>
              <w:spacing w:after="120"/>
              <w:jc w:val="left"/>
              <w:rPr>
                <w:rFonts w:hint="default" w:ascii="Times New Roman" w:hAnsi="Times New Roman" w:eastAsia="宋体" w:cs="Times New Roman"/>
                <w:kern w:val="2"/>
                <w:sz w:val="21"/>
                <w:szCs w:val="24"/>
                <w:highlight w:val="none"/>
                <w:lang w:val="en-US" w:eastAsia="zh-CN" w:bidi="ar-SA"/>
              </w:rPr>
            </w:pPr>
          </w:p>
        </w:tc>
        <w:tc>
          <w:tcPr>
            <w:tcW w:w="1103" w:type="pct"/>
            <w:vAlign w:val="center"/>
          </w:tcPr>
          <w:p>
            <w:pPr>
              <w:snapToGrid w:val="0"/>
              <w:jc w:val="center"/>
              <w:rPr>
                <w:rFonts w:ascii="宋体" w:hAnsi="宋体" w:eastAsia="宋体" w:cs="宋体"/>
                <w:szCs w:val="21"/>
                <w:highlight w:val="none"/>
              </w:rPr>
            </w:pPr>
          </w:p>
        </w:tc>
        <w:tc>
          <w:tcPr>
            <w:tcW w:w="2327" w:type="pct"/>
            <w:vAlign w:val="center"/>
          </w:tcPr>
          <w:p>
            <w:pPr>
              <w:snapToGrid w:val="0"/>
              <w:jc w:val="center"/>
              <w:rPr>
                <w:rFonts w:ascii="宋体" w:hAnsi="宋体" w:eastAsia="宋体" w:cs="宋体"/>
                <w:szCs w:val="21"/>
                <w:highlight w:val="none"/>
              </w:rPr>
            </w:pPr>
          </w:p>
        </w:tc>
      </w:tr>
    </w:tbl>
    <w:p>
      <w:pPr>
        <w:keepNext w:val="0"/>
        <w:keepLines w:val="0"/>
        <w:pageBreakBefore w:val="0"/>
        <w:widowControl/>
        <w:wordWrap/>
        <w:overflowPunct/>
        <w:topLinePunct w:val="0"/>
        <w:bidi w:val="0"/>
        <w:adjustRightInd w:val="0"/>
        <w:snapToGrid w:val="0"/>
        <w:spacing w:line="360" w:lineRule="auto"/>
        <w:ind w:firstLine="422" w:firstLineChars="200"/>
        <w:jc w:val="left"/>
        <w:rPr>
          <w:rFonts w:hint="eastAsia" w:ascii="宋体" w:hAnsi="宋体" w:eastAsia="宋体" w:cs="宋体"/>
          <w:b/>
          <w:bCs/>
          <w:color w:val="000000"/>
          <w:kern w:val="0"/>
          <w:szCs w:val="21"/>
          <w:highlight w:val="none"/>
          <w:lang w:val="en-US" w:eastAsia="zh-CN" w:bidi="ar"/>
        </w:rPr>
      </w:pPr>
    </w:p>
    <w:p>
      <w:pPr>
        <w:spacing w:line="300" w:lineRule="auto"/>
        <w:rPr>
          <w:rFonts w:ascii="宋体" w:hAnsi="宋体" w:eastAsia="宋体" w:cs="宋体"/>
          <w:szCs w:val="21"/>
          <w:highlight w:val="none"/>
          <w:u w:val="single"/>
        </w:rPr>
      </w:pPr>
    </w:p>
    <w:p>
      <w:pPr>
        <w:spacing w:line="300" w:lineRule="auto"/>
        <w:rPr>
          <w:rFonts w:ascii="宋体" w:hAnsi="宋体" w:eastAsia="宋体" w:cs="宋体"/>
          <w:szCs w:val="21"/>
          <w:highlight w:val="none"/>
        </w:rPr>
      </w:pPr>
      <w:r>
        <w:rPr>
          <w:rFonts w:hint="eastAsia" w:ascii="宋体" w:hAnsi="宋体" w:eastAsia="宋体" w:cs="宋体"/>
          <w:szCs w:val="21"/>
          <w:highlight w:val="none"/>
        </w:rPr>
        <w:t>投标人名称[盖章]：</w:t>
      </w:r>
    </w:p>
    <w:p>
      <w:pPr>
        <w:spacing w:line="300" w:lineRule="auto"/>
        <w:rPr>
          <w:rFonts w:ascii="宋体" w:hAnsi="宋体" w:eastAsia="宋体" w:cs="宋体"/>
          <w:szCs w:val="21"/>
          <w:highlight w:val="none"/>
          <w:u w:val="single"/>
        </w:rPr>
      </w:pPr>
      <w:r>
        <w:rPr>
          <w:rFonts w:hint="eastAsia" w:ascii="宋体" w:hAnsi="宋体" w:eastAsia="宋体" w:cs="宋体"/>
          <w:szCs w:val="21"/>
          <w:highlight w:val="none"/>
        </w:rPr>
        <w:t>投标人授权代表签字：               日期：</w:t>
      </w:r>
    </w:p>
    <w:p>
      <w:pPr>
        <w:spacing w:line="300" w:lineRule="auto"/>
        <w:ind w:firstLine="630" w:firstLineChars="300"/>
        <w:rPr>
          <w:rFonts w:ascii="宋体" w:hAnsi="宋体" w:eastAsia="宋体" w:cs="宋体"/>
          <w:i/>
          <w:iCs/>
          <w:szCs w:val="21"/>
          <w:highlight w:val="none"/>
        </w:rPr>
      </w:pPr>
    </w:p>
    <w:p>
      <w:pPr>
        <w:spacing w:line="300" w:lineRule="auto"/>
        <w:rPr>
          <w:rFonts w:ascii="宋体" w:hAnsi="宋体" w:eastAsia="宋体" w:cs="宋体"/>
          <w:i/>
          <w:szCs w:val="21"/>
          <w:highlight w:val="none"/>
        </w:rPr>
      </w:pPr>
      <w:r>
        <w:rPr>
          <w:rFonts w:hint="eastAsia" w:ascii="宋体" w:hAnsi="宋体" w:eastAsia="宋体" w:cs="宋体"/>
          <w:highlight w:val="none"/>
        </w:rPr>
        <w:t>注：为方便开标唱标，投标人应将《开标一览表》和《</w:t>
      </w:r>
      <w:r>
        <w:rPr>
          <w:rFonts w:hint="eastAsia" w:ascii="宋体" w:hAnsi="宋体" w:eastAsia="宋体" w:cs="宋体"/>
          <w:bCs/>
          <w:highlight w:val="none"/>
        </w:rPr>
        <w:t>法定代表人授权书》</w:t>
      </w:r>
      <w:r>
        <w:rPr>
          <w:rFonts w:hint="eastAsia" w:ascii="宋体" w:hAnsi="宋体" w:eastAsia="宋体" w:cs="宋体"/>
          <w:highlight w:val="none"/>
        </w:rPr>
        <w:t>单独密封提交，并在密封袋上标明“开标一览表”字样。</w:t>
      </w:r>
    </w:p>
    <w:p>
      <w:pPr>
        <w:spacing w:line="300" w:lineRule="auto"/>
        <w:rPr>
          <w:rFonts w:ascii="宋体" w:hAnsi="宋体" w:eastAsia="宋体" w:cs="宋体"/>
          <w:szCs w:val="21"/>
          <w:highlight w:val="none"/>
        </w:rPr>
      </w:pPr>
    </w:p>
    <w:p>
      <w:pPr>
        <w:spacing w:line="300" w:lineRule="auto"/>
        <w:rPr>
          <w:rFonts w:ascii="宋体" w:hAnsi="宋体" w:eastAsia="宋体" w:cs="宋体"/>
          <w:szCs w:val="21"/>
          <w:highlight w:val="none"/>
        </w:rPr>
      </w:pPr>
    </w:p>
    <w:p>
      <w:pPr>
        <w:spacing w:line="300" w:lineRule="auto"/>
        <w:rPr>
          <w:rFonts w:ascii="宋体" w:hAnsi="宋体" w:eastAsia="宋体" w:cs="宋体"/>
          <w:highlight w:val="none"/>
        </w:rPr>
      </w:pPr>
      <w:r>
        <w:rPr>
          <w:rFonts w:hint="eastAsia" w:ascii="宋体" w:hAnsi="宋体" w:eastAsia="宋体" w:cs="宋体"/>
          <w:szCs w:val="21"/>
          <w:highlight w:val="none"/>
        </w:rPr>
        <w:br w:type="page"/>
      </w:r>
    </w:p>
    <w:p>
      <w:pPr>
        <w:keepNext/>
        <w:keepLines/>
        <w:widowControl w:val="0"/>
        <w:snapToGrid w:val="0"/>
        <w:spacing w:before="120" w:after="120" w:line="360" w:lineRule="auto"/>
        <w:jc w:val="both"/>
        <w:outlineLvl w:val="1"/>
        <w:rPr>
          <w:rFonts w:hint="eastAsia" w:ascii="Arial" w:hAnsi="Arial" w:eastAsia="黑体" w:cs="Arial"/>
          <w:b/>
          <w:bCs w:val="0"/>
          <w:kern w:val="2"/>
          <w:sz w:val="32"/>
          <w:szCs w:val="32"/>
          <w:highlight w:val="none"/>
          <w:lang w:val="en-US" w:eastAsia="zh-CN" w:bidi="ar-SA"/>
        </w:rPr>
      </w:pPr>
      <w:bookmarkStart w:id="1033" w:name="_Toc19765"/>
      <w:bookmarkStart w:id="1034" w:name="OLE_LINK59"/>
      <w:r>
        <w:rPr>
          <w:rFonts w:hint="eastAsia" w:ascii="Arial" w:hAnsi="Arial" w:eastAsia="黑体" w:cs="Arial"/>
          <w:b/>
          <w:bCs w:val="0"/>
          <w:kern w:val="2"/>
          <w:sz w:val="32"/>
          <w:szCs w:val="32"/>
          <w:highlight w:val="none"/>
          <w:lang w:val="en-US" w:eastAsia="zh-CN" w:bidi="ar-SA"/>
        </w:rPr>
        <w:t>（二）投标分项报价表</w:t>
      </w:r>
      <w:bookmarkEnd w:id="1033"/>
    </w:p>
    <w:bookmarkEnd w:id="1034"/>
    <w:p>
      <w:pPr>
        <w:rPr>
          <w:rFonts w:ascii="宋体" w:hAnsi="宋体" w:eastAsia="宋体" w:cs="宋体"/>
          <w:b/>
          <w:bCs/>
          <w:szCs w:val="21"/>
          <w:highlight w:val="none"/>
        </w:rPr>
      </w:pPr>
    </w:p>
    <w:p>
      <w:pPr>
        <w:spacing w:line="300" w:lineRule="auto"/>
        <w:rPr>
          <w:rFonts w:ascii="Arial" w:hAnsi="Arial" w:eastAsia="宋体" w:cs="Arial"/>
          <w:szCs w:val="21"/>
          <w:highlight w:val="none"/>
        </w:rPr>
      </w:pPr>
      <w:r>
        <w:rPr>
          <w:rFonts w:ascii="Arial" w:hAnsi="Arial" w:eastAsia="宋体" w:cs="Arial"/>
          <w:szCs w:val="21"/>
          <w:highlight w:val="none"/>
        </w:rPr>
        <w:t>项目名称：</w:t>
      </w:r>
      <w:r>
        <w:rPr>
          <w:rFonts w:ascii="Arial" w:hAnsi="Arial" w:eastAsia="宋体" w:cs="Arial"/>
          <w:szCs w:val="21"/>
          <w:highlight w:val="none"/>
          <w:u w:val="single"/>
        </w:rPr>
        <w:t xml:space="preserve">          </w:t>
      </w:r>
      <w:r>
        <w:rPr>
          <w:rFonts w:hint="eastAsia" w:ascii="Arial" w:hAnsi="Arial" w:eastAsia="宋体" w:cs="Arial"/>
          <w:szCs w:val="21"/>
          <w:highlight w:val="none"/>
        </w:rPr>
        <w:t xml:space="preserve">             </w:t>
      </w:r>
      <w:r>
        <w:rPr>
          <w:rFonts w:ascii="Arial" w:hAnsi="Arial" w:eastAsia="宋体" w:cs="Arial"/>
          <w:szCs w:val="21"/>
          <w:highlight w:val="none"/>
        </w:rPr>
        <w:t>项目编号：</w:t>
      </w:r>
      <w:r>
        <w:rPr>
          <w:rFonts w:ascii="Arial" w:hAnsi="Arial" w:eastAsia="宋体" w:cs="Arial"/>
          <w:szCs w:val="21"/>
          <w:highlight w:val="none"/>
          <w:u w:val="single"/>
        </w:rPr>
        <w:t xml:space="preserve">              </w:t>
      </w:r>
      <w:r>
        <w:rPr>
          <w:rFonts w:ascii="Arial" w:hAnsi="Arial" w:eastAsia="宋体" w:cs="Arial"/>
          <w:szCs w:val="21"/>
          <w:highlight w:val="none"/>
        </w:rPr>
        <w:t xml:space="preserve">  </w:t>
      </w:r>
      <w:r>
        <w:rPr>
          <w:rFonts w:hint="eastAsia" w:ascii="Arial" w:hAnsi="Arial" w:eastAsia="宋体" w:cs="Arial"/>
          <w:szCs w:val="21"/>
          <w:highlight w:val="none"/>
        </w:rPr>
        <w:t xml:space="preserve">    </w:t>
      </w:r>
      <w:r>
        <w:rPr>
          <w:rFonts w:ascii="Arial" w:hAnsi="Arial" w:eastAsia="宋体" w:cs="Arial"/>
          <w:szCs w:val="21"/>
          <w:highlight w:val="none"/>
        </w:rPr>
        <w:t>货币单位：人民币</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3720"/>
        <w:gridCol w:w="1065"/>
        <w:gridCol w:w="1065"/>
        <w:gridCol w:w="1066"/>
        <w:gridCol w:w="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序号</w:t>
            </w:r>
          </w:p>
        </w:tc>
        <w:tc>
          <w:tcPr>
            <w:tcW w:w="3720" w:type="dxa"/>
            <w:vAlign w:val="center"/>
          </w:tcPr>
          <w:p>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名称</w:t>
            </w:r>
          </w:p>
        </w:tc>
        <w:tc>
          <w:tcPr>
            <w:tcW w:w="1065" w:type="dxa"/>
            <w:vAlign w:val="center"/>
          </w:tcPr>
          <w:p>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数量</w:t>
            </w:r>
          </w:p>
        </w:tc>
        <w:tc>
          <w:tcPr>
            <w:tcW w:w="1065" w:type="dxa"/>
            <w:vAlign w:val="center"/>
          </w:tcPr>
          <w:p>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单价</w:t>
            </w:r>
          </w:p>
        </w:tc>
        <w:tc>
          <w:tcPr>
            <w:tcW w:w="1066" w:type="dxa"/>
            <w:vAlign w:val="center"/>
          </w:tcPr>
          <w:p>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总价</w:t>
            </w:r>
          </w:p>
        </w:tc>
        <w:tc>
          <w:tcPr>
            <w:tcW w:w="947" w:type="dxa"/>
            <w:vAlign w:val="center"/>
          </w:tcPr>
          <w:p>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928" w:type="dxa"/>
            <w:gridSpan w:val="6"/>
            <w:vAlign w:val="center"/>
          </w:tcPr>
          <w:p>
            <w:pPr>
              <w:adjustRightInd w:val="0"/>
              <w:snapToGrid w:val="0"/>
              <w:jc w:val="center"/>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rPr>
              <w:t>1</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lang w:val="en-US" w:eastAsia="zh-CN"/>
              </w:rPr>
              <w:t>服务部分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pPr>
              <w:adjustRightInd w:val="0"/>
              <w:snapToGrid w:val="0"/>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1</w:t>
            </w:r>
          </w:p>
        </w:tc>
        <w:tc>
          <w:tcPr>
            <w:tcW w:w="3720"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6" w:type="dxa"/>
            <w:vAlign w:val="center"/>
          </w:tcPr>
          <w:p>
            <w:pPr>
              <w:adjustRightInd w:val="0"/>
              <w:snapToGrid w:val="0"/>
              <w:jc w:val="center"/>
              <w:rPr>
                <w:rFonts w:ascii="宋体" w:hAnsi="宋体" w:eastAsia="宋体" w:cs="Times New Roman"/>
                <w:szCs w:val="21"/>
                <w:highlight w:val="none"/>
              </w:rPr>
            </w:pPr>
          </w:p>
        </w:tc>
        <w:tc>
          <w:tcPr>
            <w:tcW w:w="947" w:type="dxa"/>
            <w:vAlign w:val="center"/>
          </w:tcPr>
          <w:p>
            <w:pPr>
              <w:adjustRightInd w:val="0"/>
              <w:snapToGrid w:val="0"/>
              <w:jc w:val="center"/>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pPr>
              <w:adjustRightInd w:val="0"/>
              <w:snapToGrid w:val="0"/>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2</w:t>
            </w:r>
          </w:p>
        </w:tc>
        <w:tc>
          <w:tcPr>
            <w:tcW w:w="3720"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6" w:type="dxa"/>
            <w:vAlign w:val="center"/>
          </w:tcPr>
          <w:p>
            <w:pPr>
              <w:adjustRightInd w:val="0"/>
              <w:snapToGrid w:val="0"/>
              <w:jc w:val="center"/>
              <w:rPr>
                <w:rFonts w:ascii="宋体" w:hAnsi="宋体" w:eastAsia="宋体" w:cs="Times New Roman"/>
                <w:szCs w:val="21"/>
                <w:highlight w:val="none"/>
              </w:rPr>
            </w:pPr>
          </w:p>
        </w:tc>
        <w:tc>
          <w:tcPr>
            <w:tcW w:w="947" w:type="dxa"/>
            <w:vAlign w:val="center"/>
          </w:tcPr>
          <w:p>
            <w:pPr>
              <w:adjustRightInd w:val="0"/>
              <w:snapToGrid w:val="0"/>
              <w:jc w:val="center"/>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pPr>
              <w:adjustRightInd w:val="0"/>
              <w:snapToGrid w:val="0"/>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3</w:t>
            </w:r>
          </w:p>
        </w:tc>
        <w:tc>
          <w:tcPr>
            <w:tcW w:w="3720"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6" w:type="dxa"/>
            <w:vAlign w:val="center"/>
          </w:tcPr>
          <w:p>
            <w:pPr>
              <w:adjustRightInd w:val="0"/>
              <w:snapToGrid w:val="0"/>
              <w:jc w:val="center"/>
              <w:rPr>
                <w:rFonts w:ascii="宋体" w:hAnsi="宋体" w:eastAsia="宋体" w:cs="Times New Roman"/>
                <w:szCs w:val="21"/>
                <w:highlight w:val="none"/>
              </w:rPr>
            </w:pPr>
          </w:p>
        </w:tc>
        <w:tc>
          <w:tcPr>
            <w:tcW w:w="947" w:type="dxa"/>
            <w:vAlign w:val="center"/>
          </w:tcPr>
          <w:p>
            <w:pPr>
              <w:adjustRightInd w:val="0"/>
              <w:snapToGrid w:val="0"/>
              <w:jc w:val="center"/>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pPr>
              <w:adjustRightInd w:val="0"/>
              <w:snapToGrid w:val="0"/>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4</w:t>
            </w:r>
          </w:p>
        </w:tc>
        <w:tc>
          <w:tcPr>
            <w:tcW w:w="3720"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6" w:type="dxa"/>
            <w:vAlign w:val="center"/>
          </w:tcPr>
          <w:p>
            <w:pPr>
              <w:adjustRightInd w:val="0"/>
              <w:snapToGrid w:val="0"/>
              <w:jc w:val="center"/>
              <w:rPr>
                <w:rFonts w:ascii="宋体" w:hAnsi="宋体" w:eastAsia="宋体" w:cs="Times New Roman"/>
                <w:szCs w:val="21"/>
                <w:highlight w:val="none"/>
              </w:rPr>
            </w:pPr>
          </w:p>
        </w:tc>
        <w:tc>
          <w:tcPr>
            <w:tcW w:w="947" w:type="dxa"/>
            <w:vAlign w:val="center"/>
          </w:tcPr>
          <w:p>
            <w:pPr>
              <w:adjustRightInd w:val="0"/>
              <w:snapToGrid w:val="0"/>
              <w:jc w:val="center"/>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pPr>
              <w:adjustRightInd w:val="0"/>
              <w:snapToGrid w:val="0"/>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5</w:t>
            </w:r>
          </w:p>
        </w:tc>
        <w:tc>
          <w:tcPr>
            <w:tcW w:w="3720"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6" w:type="dxa"/>
            <w:vAlign w:val="center"/>
          </w:tcPr>
          <w:p>
            <w:pPr>
              <w:adjustRightInd w:val="0"/>
              <w:snapToGrid w:val="0"/>
              <w:jc w:val="center"/>
              <w:rPr>
                <w:rFonts w:ascii="宋体" w:hAnsi="宋体" w:eastAsia="宋体" w:cs="Times New Roman"/>
                <w:szCs w:val="21"/>
                <w:highlight w:val="none"/>
              </w:rPr>
            </w:pPr>
          </w:p>
        </w:tc>
        <w:tc>
          <w:tcPr>
            <w:tcW w:w="947" w:type="dxa"/>
            <w:vAlign w:val="center"/>
          </w:tcPr>
          <w:p>
            <w:pPr>
              <w:adjustRightInd w:val="0"/>
              <w:snapToGrid w:val="0"/>
              <w:jc w:val="center"/>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pPr>
              <w:adjustRightInd w:val="0"/>
              <w:snapToGrid w:val="0"/>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6</w:t>
            </w:r>
          </w:p>
        </w:tc>
        <w:tc>
          <w:tcPr>
            <w:tcW w:w="3720"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6" w:type="dxa"/>
            <w:vAlign w:val="center"/>
          </w:tcPr>
          <w:p>
            <w:pPr>
              <w:adjustRightInd w:val="0"/>
              <w:snapToGrid w:val="0"/>
              <w:jc w:val="center"/>
              <w:rPr>
                <w:rFonts w:ascii="宋体" w:hAnsi="宋体" w:eastAsia="宋体" w:cs="Times New Roman"/>
                <w:szCs w:val="21"/>
                <w:highlight w:val="none"/>
              </w:rPr>
            </w:pPr>
          </w:p>
        </w:tc>
        <w:tc>
          <w:tcPr>
            <w:tcW w:w="947" w:type="dxa"/>
            <w:vAlign w:val="center"/>
          </w:tcPr>
          <w:p>
            <w:pPr>
              <w:adjustRightInd w:val="0"/>
              <w:snapToGrid w:val="0"/>
              <w:jc w:val="center"/>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pPr>
              <w:adjustRightInd w:val="0"/>
              <w:snapToGrid w:val="0"/>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7</w:t>
            </w:r>
          </w:p>
        </w:tc>
        <w:tc>
          <w:tcPr>
            <w:tcW w:w="3720"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6" w:type="dxa"/>
            <w:vAlign w:val="center"/>
          </w:tcPr>
          <w:p>
            <w:pPr>
              <w:adjustRightInd w:val="0"/>
              <w:snapToGrid w:val="0"/>
              <w:jc w:val="center"/>
              <w:rPr>
                <w:rFonts w:ascii="宋体" w:hAnsi="宋体" w:eastAsia="宋体" w:cs="Times New Roman"/>
                <w:szCs w:val="21"/>
                <w:highlight w:val="none"/>
              </w:rPr>
            </w:pPr>
          </w:p>
        </w:tc>
        <w:tc>
          <w:tcPr>
            <w:tcW w:w="947" w:type="dxa"/>
            <w:vAlign w:val="center"/>
          </w:tcPr>
          <w:p>
            <w:pPr>
              <w:adjustRightInd w:val="0"/>
              <w:snapToGrid w:val="0"/>
              <w:jc w:val="center"/>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pPr>
              <w:adjustRightInd w:val="0"/>
              <w:snapToGrid w:val="0"/>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8</w:t>
            </w:r>
          </w:p>
        </w:tc>
        <w:tc>
          <w:tcPr>
            <w:tcW w:w="3720"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6" w:type="dxa"/>
            <w:vAlign w:val="center"/>
          </w:tcPr>
          <w:p>
            <w:pPr>
              <w:adjustRightInd w:val="0"/>
              <w:snapToGrid w:val="0"/>
              <w:jc w:val="center"/>
              <w:rPr>
                <w:rFonts w:ascii="宋体" w:hAnsi="宋体" w:eastAsia="宋体" w:cs="Times New Roman"/>
                <w:szCs w:val="21"/>
                <w:highlight w:val="none"/>
              </w:rPr>
            </w:pPr>
          </w:p>
        </w:tc>
        <w:tc>
          <w:tcPr>
            <w:tcW w:w="947" w:type="dxa"/>
            <w:vAlign w:val="center"/>
          </w:tcPr>
          <w:p>
            <w:pPr>
              <w:adjustRightInd w:val="0"/>
              <w:snapToGrid w:val="0"/>
              <w:jc w:val="center"/>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pPr>
              <w:adjustRightInd w:val="0"/>
              <w:snapToGrid w:val="0"/>
              <w:jc w:val="center"/>
              <w:rPr>
                <w:rFonts w:hint="eastAsia" w:ascii="宋体" w:hAnsi="宋体" w:eastAsia="宋体" w:cs="Times New Roman"/>
                <w:szCs w:val="21"/>
                <w:highlight w:val="none"/>
                <w:lang w:val="en-US" w:eastAsia="zh-CN"/>
              </w:rPr>
            </w:pPr>
          </w:p>
        </w:tc>
        <w:tc>
          <w:tcPr>
            <w:tcW w:w="3720" w:type="dxa"/>
            <w:vAlign w:val="center"/>
          </w:tcPr>
          <w:p>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w:t>
            </w:r>
          </w:p>
        </w:tc>
        <w:tc>
          <w:tcPr>
            <w:tcW w:w="1065"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6" w:type="dxa"/>
            <w:vAlign w:val="center"/>
          </w:tcPr>
          <w:p>
            <w:pPr>
              <w:adjustRightInd w:val="0"/>
              <w:snapToGrid w:val="0"/>
              <w:jc w:val="center"/>
              <w:rPr>
                <w:rFonts w:ascii="宋体" w:hAnsi="宋体" w:eastAsia="宋体" w:cs="Times New Roman"/>
                <w:szCs w:val="21"/>
                <w:highlight w:val="none"/>
              </w:rPr>
            </w:pPr>
          </w:p>
        </w:tc>
        <w:tc>
          <w:tcPr>
            <w:tcW w:w="947" w:type="dxa"/>
            <w:vAlign w:val="center"/>
          </w:tcPr>
          <w:p>
            <w:pPr>
              <w:adjustRightInd w:val="0"/>
              <w:snapToGrid w:val="0"/>
              <w:jc w:val="center"/>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lang w:val="en-US" w:eastAsia="zh-CN"/>
              </w:rPr>
              <w:t>总计</w:t>
            </w:r>
          </w:p>
        </w:tc>
        <w:tc>
          <w:tcPr>
            <w:tcW w:w="3720"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5" w:type="dxa"/>
            <w:vAlign w:val="center"/>
          </w:tcPr>
          <w:p>
            <w:pPr>
              <w:adjustRightInd w:val="0"/>
              <w:snapToGrid w:val="0"/>
              <w:jc w:val="center"/>
              <w:rPr>
                <w:rFonts w:ascii="宋体" w:hAnsi="宋体" w:eastAsia="宋体" w:cs="Times New Roman"/>
                <w:szCs w:val="21"/>
                <w:highlight w:val="none"/>
              </w:rPr>
            </w:pPr>
          </w:p>
        </w:tc>
        <w:tc>
          <w:tcPr>
            <w:tcW w:w="1066" w:type="dxa"/>
            <w:vAlign w:val="center"/>
          </w:tcPr>
          <w:p>
            <w:pPr>
              <w:adjustRightInd w:val="0"/>
              <w:snapToGrid w:val="0"/>
              <w:jc w:val="center"/>
              <w:rPr>
                <w:rFonts w:ascii="宋体" w:hAnsi="宋体" w:eastAsia="宋体" w:cs="Times New Roman"/>
                <w:szCs w:val="21"/>
                <w:highlight w:val="none"/>
              </w:rPr>
            </w:pPr>
          </w:p>
        </w:tc>
        <w:tc>
          <w:tcPr>
            <w:tcW w:w="947" w:type="dxa"/>
            <w:vAlign w:val="center"/>
          </w:tcPr>
          <w:p>
            <w:pPr>
              <w:adjustRightInd w:val="0"/>
              <w:snapToGrid w:val="0"/>
              <w:jc w:val="center"/>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928" w:type="dxa"/>
            <w:gridSpan w:val="6"/>
            <w:vAlign w:val="center"/>
          </w:tcPr>
          <w:p>
            <w:pPr>
              <w:adjustRightInd w:val="0"/>
              <w:snapToGrid w:val="0"/>
              <w:jc w:val="center"/>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2.工程部分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pPr>
              <w:adjustRightInd w:val="0"/>
              <w:snapToGrid w:val="0"/>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1</w:t>
            </w:r>
          </w:p>
        </w:tc>
        <w:tc>
          <w:tcPr>
            <w:tcW w:w="5850" w:type="dxa"/>
            <w:gridSpan w:val="3"/>
            <w:vAlign w:val="center"/>
          </w:tcPr>
          <w:p>
            <w:pPr>
              <w:adjustRightInd w:val="0"/>
              <w:snapToGrid w:val="0"/>
              <w:jc w:val="center"/>
              <w:rPr>
                <w:rFonts w:ascii="宋体" w:hAnsi="宋体" w:eastAsia="宋体" w:cs="Times New Roman"/>
                <w:szCs w:val="21"/>
                <w:highlight w:val="none"/>
              </w:rPr>
            </w:pPr>
            <w:r>
              <w:rPr>
                <w:rFonts w:hint="eastAsia" w:ascii="宋体" w:hAnsi="宋体" w:eastAsia="宋体" w:cs="Arial"/>
                <w:b/>
                <w:bCs/>
                <w:color w:val="auto"/>
                <w:sz w:val="21"/>
                <w:szCs w:val="21"/>
                <w:highlight w:val="none"/>
                <w:lang w:val="en-US" w:eastAsia="zh-CN" w:bidi="ar-SA"/>
              </w:rPr>
              <w:t>中南民族大学融媒中心建设项目装饰部分</w:t>
            </w:r>
          </w:p>
        </w:tc>
        <w:tc>
          <w:tcPr>
            <w:tcW w:w="1066" w:type="dxa"/>
            <w:vAlign w:val="center"/>
          </w:tcPr>
          <w:p>
            <w:pPr>
              <w:adjustRightInd w:val="0"/>
              <w:snapToGrid w:val="0"/>
              <w:jc w:val="center"/>
              <w:rPr>
                <w:rFonts w:ascii="宋体" w:hAnsi="宋体" w:eastAsia="宋体" w:cs="Times New Roman"/>
                <w:szCs w:val="21"/>
                <w:highlight w:val="none"/>
              </w:rPr>
            </w:pPr>
          </w:p>
        </w:tc>
        <w:tc>
          <w:tcPr>
            <w:tcW w:w="947" w:type="dxa"/>
            <w:vAlign w:val="center"/>
          </w:tcPr>
          <w:p>
            <w:pPr>
              <w:adjustRightInd w:val="0"/>
              <w:snapToGrid w:val="0"/>
              <w:jc w:val="center"/>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915" w:type="dxa"/>
            <w:gridSpan w:val="4"/>
            <w:vAlign w:val="center"/>
          </w:tcPr>
          <w:p>
            <w:pPr>
              <w:adjustRightInd w:val="0"/>
              <w:snapToGrid w:val="0"/>
              <w:jc w:val="center"/>
              <w:rPr>
                <w:rFonts w:ascii="宋体" w:hAnsi="宋体" w:eastAsia="宋体" w:cs="Times New Roman"/>
                <w:szCs w:val="21"/>
                <w:highlight w:val="none"/>
              </w:rPr>
            </w:pPr>
            <w:r>
              <w:rPr>
                <w:rFonts w:hint="eastAsia" w:ascii="宋体" w:hAnsi="宋体" w:eastAsia="宋体" w:cs="Times New Roman"/>
                <w:szCs w:val="21"/>
                <w:highlight w:val="none"/>
              </w:rPr>
              <w:t>总计</w:t>
            </w:r>
          </w:p>
        </w:tc>
        <w:tc>
          <w:tcPr>
            <w:tcW w:w="2013" w:type="dxa"/>
            <w:gridSpan w:val="2"/>
            <w:vAlign w:val="center"/>
          </w:tcPr>
          <w:p>
            <w:pPr>
              <w:adjustRightInd w:val="0"/>
              <w:snapToGrid w:val="0"/>
              <w:jc w:val="center"/>
              <w:rPr>
                <w:rFonts w:ascii="宋体" w:hAnsi="宋体" w:eastAsia="宋体" w:cs="Times New Roman"/>
                <w:szCs w:val="21"/>
                <w:highlight w:val="none"/>
              </w:rPr>
            </w:pPr>
          </w:p>
        </w:tc>
      </w:tr>
    </w:tbl>
    <w:p>
      <w:pPr>
        <w:spacing w:line="300" w:lineRule="auto"/>
        <w:rPr>
          <w:rFonts w:ascii="Arial" w:hAnsi="Arial" w:eastAsia="宋体" w:cs="Arial"/>
          <w:szCs w:val="21"/>
          <w:highlight w:val="none"/>
        </w:rPr>
      </w:pPr>
    </w:p>
    <w:p>
      <w:pPr>
        <w:widowControl w:val="0"/>
        <w:spacing w:after="120"/>
        <w:jc w:val="both"/>
        <w:rPr>
          <w:rFonts w:ascii="Times New Roman" w:hAnsi="Times New Roman" w:eastAsia="宋体" w:cs="Times New Roman"/>
          <w:kern w:val="2"/>
          <w:sz w:val="21"/>
          <w:szCs w:val="24"/>
          <w:highlight w:val="none"/>
          <w:lang w:val="en-US" w:eastAsia="zh-CN" w:bidi="ar-SA"/>
        </w:rPr>
      </w:pPr>
    </w:p>
    <w:p>
      <w:pPr>
        <w:rPr>
          <w:rFonts w:ascii="Arial" w:hAnsi="Arial" w:eastAsia="宋体" w:cs="Arial"/>
          <w:szCs w:val="21"/>
          <w:highlight w:val="none"/>
        </w:rPr>
      </w:pPr>
      <w:r>
        <w:rPr>
          <w:rFonts w:ascii="Arial" w:hAnsi="Arial" w:eastAsia="宋体" w:cs="Arial"/>
          <w:szCs w:val="21"/>
          <w:highlight w:val="none"/>
        </w:rPr>
        <w:t>投标人名称[盖章]：</w:t>
      </w:r>
      <w:r>
        <w:rPr>
          <w:rFonts w:ascii="Arial" w:hAnsi="Arial" w:eastAsia="宋体" w:cs="Arial"/>
          <w:szCs w:val="21"/>
          <w:highlight w:val="none"/>
          <w:u w:val="single"/>
        </w:rPr>
        <w:t xml:space="preserve">                              </w:t>
      </w:r>
      <w:r>
        <w:rPr>
          <w:rFonts w:ascii="Arial" w:hAnsi="Arial" w:eastAsia="宋体" w:cs="Arial"/>
          <w:szCs w:val="21"/>
          <w:highlight w:val="none"/>
        </w:rPr>
        <w:t xml:space="preserve"> </w:t>
      </w:r>
    </w:p>
    <w:p>
      <w:pPr>
        <w:widowControl/>
        <w:spacing w:before="100" w:beforeAutospacing="1" w:after="100" w:afterAutospacing="1"/>
        <w:rPr>
          <w:rFonts w:hint="eastAsia" w:ascii="Arial" w:hAnsi="Arial" w:eastAsia="宋体" w:cs="Arial"/>
          <w:highlight w:val="none"/>
          <w:u w:val="single"/>
        </w:rPr>
      </w:pPr>
      <w:r>
        <w:rPr>
          <w:rFonts w:ascii="Arial" w:hAnsi="Arial" w:eastAsia="宋体" w:cs="Arial"/>
          <w:szCs w:val="21"/>
          <w:highlight w:val="none"/>
        </w:rPr>
        <w:t>投标人授权代表签字：</w:t>
      </w:r>
      <w:r>
        <w:rPr>
          <w:rFonts w:ascii="Arial" w:hAnsi="Arial" w:eastAsia="宋体" w:cs="Arial"/>
          <w:szCs w:val="21"/>
          <w:highlight w:val="none"/>
          <w:u w:val="single"/>
        </w:rPr>
        <w:t xml:space="preserve"> </w:t>
      </w:r>
      <w:r>
        <w:rPr>
          <w:rFonts w:hint="eastAsia" w:ascii="Arial" w:hAnsi="Arial" w:eastAsia="宋体" w:cs="Arial"/>
          <w:szCs w:val="21"/>
          <w:highlight w:val="none"/>
          <w:u w:val="single"/>
        </w:rPr>
        <w:t xml:space="preserve">                     </w:t>
      </w:r>
      <w:r>
        <w:rPr>
          <w:rFonts w:ascii="Arial" w:hAnsi="Arial" w:eastAsia="宋体" w:cs="Arial"/>
          <w:szCs w:val="21"/>
          <w:highlight w:val="none"/>
          <w:u w:val="single"/>
        </w:rPr>
        <w:t xml:space="preserve"> </w:t>
      </w:r>
      <w:r>
        <w:rPr>
          <w:rFonts w:ascii="Arial" w:hAnsi="Arial" w:eastAsia="宋体" w:cs="Arial"/>
          <w:szCs w:val="21"/>
          <w:highlight w:val="none"/>
        </w:rPr>
        <w:t xml:space="preserve">       日期：</w:t>
      </w:r>
      <w:r>
        <w:rPr>
          <w:rFonts w:ascii="Arial" w:hAnsi="Arial" w:eastAsia="宋体" w:cs="Arial"/>
          <w:szCs w:val="21"/>
          <w:highlight w:val="none"/>
          <w:u w:val="single"/>
        </w:rPr>
        <w:t xml:space="preserve">             </w:t>
      </w:r>
      <w:r>
        <w:rPr>
          <w:rFonts w:ascii="Arial" w:hAnsi="Arial" w:eastAsia="宋体" w:cs="Arial"/>
          <w:highlight w:val="none"/>
          <w:u w:val="single"/>
        </w:rPr>
        <w:t xml:space="preserve"> </w:t>
      </w:r>
    </w:p>
    <w:p>
      <w:pPr>
        <w:spacing w:line="300" w:lineRule="auto"/>
        <w:rPr>
          <w:rFonts w:ascii="Arial" w:hAnsi="Arial" w:eastAsia="宋体" w:cs="Arial"/>
          <w:szCs w:val="21"/>
          <w:highlight w:val="none"/>
        </w:rPr>
      </w:pPr>
    </w:p>
    <w:p>
      <w:pPr>
        <w:rPr>
          <w:rFonts w:ascii="宋体" w:hAnsi="宋体" w:eastAsia="宋体" w:cs="宋体"/>
          <w:b/>
          <w:bCs/>
          <w:szCs w:val="21"/>
          <w:highlight w:val="none"/>
        </w:rPr>
      </w:pPr>
    </w:p>
    <w:p>
      <w:pPr>
        <w:rPr>
          <w:rFonts w:ascii="宋体" w:hAnsi="宋体" w:eastAsia="宋体" w:cs="宋体"/>
          <w:b/>
          <w:bCs/>
          <w:szCs w:val="21"/>
          <w:highlight w:val="none"/>
        </w:rPr>
      </w:pPr>
    </w:p>
    <w:p>
      <w:pPr>
        <w:rPr>
          <w:rFonts w:ascii="宋体" w:hAnsi="宋体" w:eastAsia="宋体" w:cs="宋体"/>
          <w:b/>
          <w:bCs/>
          <w:szCs w:val="21"/>
          <w:highlight w:val="none"/>
        </w:rPr>
      </w:pPr>
    </w:p>
    <w:p>
      <w:pPr>
        <w:rPr>
          <w:rFonts w:ascii="宋体" w:hAnsi="宋体" w:eastAsia="宋体" w:cs="宋体"/>
          <w:b/>
          <w:bCs/>
          <w:szCs w:val="21"/>
          <w:highlight w:val="none"/>
        </w:rPr>
      </w:pPr>
      <w:r>
        <w:rPr>
          <w:rFonts w:ascii="宋体" w:hAnsi="宋体" w:eastAsia="宋体" w:cs="宋体"/>
          <w:b/>
          <w:bCs/>
          <w:szCs w:val="21"/>
          <w:highlight w:val="none"/>
        </w:rPr>
        <w:br w:type="page"/>
      </w:r>
    </w:p>
    <w:p>
      <w:pPr>
        <w:keepNext/>
        <w:keepLines/>
        <w:widowControl w:val="0"/>
        <w:snapToGrid w:val="0"/>
        <w:spacing w:before="120" w:after="120" w:line="360" w:lineRule="auto"/>
        <w:jc w:val="both"/>
        <w:outlineLvl w:val="1"/>
        <w:rPr>
          <w:rFonts w:hint="default" w:ascii="Arial" w:hAnsi="Arial" w:eastAsia="黑体" w:cs="Arial"/>
          <w:b/>
          <w:bCs w:val="0"/>
          <w:kern w:val="2"/>
          <w:sz w:val="32"/>
          <w:szCs w:val="32"/>
          <w:highlight w:val="none"/>
          <w:lang w:val="en-US" w:eastAsia="zh-CN" w:bidi="ar-SA"/>
        </w:rPr>
      </w:pPr>
      <w:r>
        <w:rPr>
          <w:rFonts w:hint="eastAsia" w:ascii="Arial" w:hAnsi="Arial" w:eastAsia="黑体" w:cs="Arial"/>
          <w:b/>
          <w:bCs w:val="0"/>
          <w:kern w:val="2"/>
          <w:sz w:val="32"/>
          <w:szCs w:val="32"/>
          <w:highlight w:val="none"/>
          <w:lang w:val="en-US" w:eastAsia="zh-CN" w:bidi="ar-SA"/>
        </w:rPr>
        <w:t>（三）装修工程部分报价书</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1、投标人应根据采购人提供的技术需求和招标文件的相关要求及现场勘察的实际情况，按照采购人提供的图纸做出施工方案，依据项目的全部内容做出项目报价。</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2、施工内容应满足采购人的需求，包含完成项目的全部费用。</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3、报价书应包括：</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（1）总报价；</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（2）总说明；</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（3）工程项目投标报价汇总表；</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（4）单项工程投标报价汇总表；</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（5）单位工程投标报价汇总表；</w:t>
      </w:r>
    </w:p>
    <w:p>
      <w:pPr>
        <w:spacing w:line="30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（6）分部分项工程量清单与计价表；</w:t>
      </w:r>
    </w:p>
    <w:p>
      <w:pPr>
        <w:spacing w:line="30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（投标人报价书中“分部分项工程量清单与计价表”的序号、项目编码、项目名称、项目特征描述、计量单位、工程量等内容应与本招标文件“第三章  项目采购需求”的</w:t>
      </w:r>
      <w:bookmarkStart w:id="1035" w:name="OLE_LINK60"/>
      <w:r>
        <w:rPr>
          <w:rFonts w:hint="eastAsia" w:ascii="宋体" w:hAnsi="宋体" w:eastAsia="宋体" w:cs="宋体"/>
          <w:b/>
          <w:bCs/>
          <w:color w:val="auto"/>
          <w:highlight w:val="none"/>
          <w:lang w:eastAsia="zh-CN"/>
        </w:rPr>
        <w:t>“</w:t>
      </w:r>
      <w:r>
        <w:rPr>
          <w:rFonts w:hint="eastAsia" w:ascii="宋体" w:hAnsi="宋体" w:cs="宋体"/>
          <w:b/>
          <w:bCs/>
          <w:color w:val="auto"/>
          <w:highlight w:val="none"/>
          <w:lang w:val="en-US" w:eastAsia="zh-CN"/>
        </w:rPr>
        <w:t>工程量清单</w:t>
      </w:r>
      <w:r>
        <w:rPr>
          <w:rFonts w:hint="eastAsia" w:ascii="宋体" w:hAnsi="宋体" w:eastAsia="宋体" w:cs="宋体"/>
          <w:b/>
          <w:bCs/>
          <w:color w:val="auto"/>
          <w:highlight w:val="none"/>
          <w:lang w:eastAsia="zh-CN"/>
        </w:rPr>
        <w:t>”</w:t>
      </w:r>
      <w:bookmarkEnd w:id="1035"/>
      <w:r>
        <w:rPr>
          <w:rFonts w:hint="eastAsia" w:ascii="宋体" w:hAnsi="宋体" w:eastAsia="宋体" w:cs="宋体"/>
          <w:b/>
          <w:bCs/>
          <w:color w:val="auto"/>
          <w:highlight w:val="none"/>
          <w:lang w:eastAsia="zh-CN"/>
        </w:rPr>
        <w:t>的相应内容一致，否则，导致被评标委员会认定其响应文件按无效响应处理的风险由投标人自行承担。）</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（7）工程量清单综合单价分析表</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（8）措施项目清单与计价表（一）；</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（9）措施项目清单与计价表（二）</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（10）其他项目清单与计价汇总表；</w:t>
      </w:r>
    </w:p>
    <w:p>
      <w:pPr>
        <w:spacing w:line="30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（11）暂列金额明细表；</w:t>
      </w:r>
    </w:p>
    <w:p>
      <w:pPr>
        <w:spacing w:line="30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（投标人报价书中“暂列金额明细表”（若有的）内容应与本招标文件“第三章  项目采购需求”的“</w:t>
      </w:r>
      <w:r>
        <w:rPr>
          <w:rFonts w:hint="eastAsia" w:ascii="宋体" w:hAnsi="宋体" w:cs="宋体"/>
          <w:b/>
          <w:bCs/>
          <w:color w:val="auto"/>
          <w:highlight w:val="none"/>
          <w:lang w:val="en-US" w:eastAsia="zh-CN"/>
        </w:rPr>
        <w:t>工程量清单</w:t>
      </w:r>
      <w:r>
        <w:rPr>
          <w:rFonts w:hint="eastAsia" w:ascii="宋体" w:hAnsi="宋体" w:eastAsia="宋体" w:cs="宋体"/>
          <w:b/>
          <w:bCs/>
          <w:color w:val="auto"/>
          <w:highlight w:val="none"/>
          <w:lang w:eastAsia="zh-CN"/>
        </w:rPr>
        <w:t>”相应内容一致，否则，导致被评标委员会认定其响应文件按无效响应处理的风险由投标人自行承担。）</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（12）材料暂估单价表；</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（13）专业工程暂估价表；</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（14）计日工表；</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（15）总承包服务费计价表；</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（16）规费、税金项目清单与计价表</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（17）投标报价需要的其他资料。</w:t>
      </w:r>
    </w:p>
    <w:p>
      <w:pPr>
        <w:spacing w:line="300" w:lineRule="auto"/>
        <w:rPr>
          <w:rFonts w:hint="eastAsia" w:ascii="宋体" w:hAnsi="宋体" w:eastAsia="宋体" w:cs="宋体"/>
          <w:color w:val="auto"/>
          <w:highlight w:val="none"/>
          <w:lang w:eastAsia="zh-CN"/>
        </w:rPr>
      </w:pP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4、主要材料价格表，应注明所用材料的规格、型号、厂家、单价等。</w:t>
      </w:r>
    </w:p>
    <w:p>
      <w:pPr>
        <w:spacing w:line="300" w:lineRule="auto"/>
        <w:rPr>
          <w:rFonts w:hint="eastAsia" w:ascii="宋体" w:hAnsi="宋体" w:eastAsia="宋体" w:cs="宋体"/>
          <w:color w:val="auto"/>
          <w:highlight w:val="none"/>
          <w:lang w:eastAsia="zh-CN"/>
        </w:rPr>
      </w:pP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授权代表签字（盖章）：</w:t>
      </w:r>
    </w:p>
    <w:p>
      <w:pPr>
        <w:spacing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日  期：</w:t>
      </w:r>
    </w:p>
    <w:p>
      <w:pPr>
        <w:spacing w:line="300" w:lineRule="auto"/>
        <w:rPr>
          <w:rFonts w:hint="eastAsia" w:ascii="宋体" w:hAnsi="宋体" w:eastAsia="宋体" w:cs="宋体"/>
          <w:color w:val="auto"/>
          <w:highlight w:val="none"/>
          <w:lang w:eastAsia="zh-CN"/>
        </w:rPr>
      </w:pPr>
    </w:p>
    <w:p>
      <w:pPr>
        <w:pStyle w:val="34"/>
      </w:pPr>
    </w:p>
    <w:p>
      <w:pPr>
        <w:keepNext/>
        <w:keepLines/>
        <w:widowControl w:val="0"/>
        <w:spacing w:before="260" w:after="260" w:line="413" w:lineRule="auto"/>
        <w:jc w:val="both"/>
        <w:outlineLvl w:val="1"/>
        <w:rPr>
          <w:rFonts w:ascii="Arial" w:hAnsi="Arial" w:eastAsia="黑体" w:cs="Arial"/>
          <w:b/>
          <w:bCs w:val="0"/>
          <w:kern w:val="2"/>
          <w:sz w:val="32"/>
          <w:szCs w:val="32"/>
          <w:highlight w:val="none"/>
          <w:lang w:val="en-US" w:eastAsia="zh-CN" w:bidi="ar-SA"/>
        </w:rPr>
      </w:pPr>
      <w:r>
        <w:rPr>
          <w:rFonts w:ascii="Arial" w:hAnsi="Arial" w:eastAsia="黑体" w:cs="Arial"/>
          <w:b/>
          <w:bCs w:val="0"/>
          <w:kern w:val="2"/>
          <w:sz w:val="32"/>
          <w:szCs w:val="32"/>
          <w:highlight w:val="none"/>
          <w:lang w:val="en-US" w:eastAsia="zh-CN" w:bidi="ar-SA"/>
        </w:rPr>
        <w:br w:type="page"/>
      </w:r>
      <w:bookmarkStart w:id="1036" w:name="_Toc21590"/>
      <w:bookmarkStart w:id="1037" w:name="_Toc9411"/>
      <w:r>
        <w:rPr>
          <w:rFonts w:hint="eastAsia" w:ascii="Arial" w:hAnsi="Arial" w:eastAsia="黑体" w:cs="Arial"/>
          <w:b/>
          <w:bCs w:val="0"/>
          <w:kern w:val="2"/>
          <w:sz w:val="32"/>
          <w:szCs w:val="32"/>
          <w:highlight w:val="none"/>
          <w:lang w:val="en-US" w:eastAsia="zh-CN" w:bidi="ar-SA"/>
        </w:rPr>
        <w:t>三、商务</w:t>
      </w:r>
      <w:r>
        <w:rPr>
          <w:rFonts w:ascii="Arial" w:hAnsi="Arial" w:eastAsia="黑体" w:cs="Arial"/>
          <w:b/>
          <w:bCs w:val="0"/>
          <w:kern w:val="2"/>
          <w:sz w:val="32"/>
          <w:szCs w:val="32"/>
          <w:highlight w:val="none"/>
          <w:lang w:val="en-US" w:eastAsia="zh-CN" w:bidi="ar-SA"/>
        </w:rPr>
        <w:t>文件</w:t>
      </w:r>
      <w:bookmarkEnd w:id="1036"/>
      <w:bookmarkEnd w:id="1037"/>
    </w:p>
    <w:p>
      <w:pPr>
        <w:keepNext/>
        <w:keepLines/>
        <w:widowControl w:val="0"/>
        <w:snapToGrid w:val="0"/>
        <w:spacing w:before="120" w:after="120" w:line="360" w:lineRule="auto"/>
        <w:jc w:val="both"/>
        <w:outlineLvl w:val="1"/>
        <w:rPr>
          <w:rFonts w:ascii="Arial" w:hAnsi="Arial" w:eastAsia="黑体" w:cs="Arial"/>
          <w:b/>
          <w:bCs w:val="0"/>
          <w:kern w:val="2"/>
          <w:sz w:val="32"/>
          <w:szCs w:val="32"/>
          <w:highlight w:val="none"/>
          <w:lang w:val="en-US" w:eastAsia="zh-CN" w:bidi="ar-SA"/>
        </w:rPr>
      </w:pPr>
      <w:bookmarkStart w:id="1038" w:name="_Toc30847"/>
      <w:bookmarkStart w:id="1039" w:name="_Toc432367433"/>
      <w:bookmarkStart w:id="1040" w:name="_Toc29656"/>
      <w:bookmarkStart w:id="1041" w:name="_Toc430813356"/>
      <w:r>
        <w:rPr>
          <w:rFonts w:hint="eastAsia" w:ascii="Arial" w:hAnsi="Arial" w:eastAsia="黑体" w:cs="Arial"/>
          <w:b/>
          <w:bCs w:val="0"/>
          <w:kern w:val="2"/>
          <w:sz w:val="32"/>
          <w:szCs w:val="32"/>
          <w:highlight w:val="none"/>
          <w:lang w:val="en-US" w:eastAsia="zh-CN" w:bidi="ar-SA"/>
        </w:rPr>
        <w:t>（一）</w:t>
      </w:r>
      <w:r>
        <w:rPr>
          <w:rFonts w:ascii="Arial" w:hAnsi="Arial" w:eastAsia="黑体" w:cs="Arial"/>
          <w:b/>
          <w:bCs w:val="0"/>
          <w:kern w:val="2"/>
          <w:sz w:val="32"/>
          <w:szCs w:val="32"/>
          <w:highlight w:val="none"/>
          <w:lang w:val="en-US" w:eastAsia="zh-CN" w:bidi="ar-SA"/>
        </w:rPr>
        <w:t>投标人基本情况</w:t>
      </w:r>
      <w:r>
        <w:rPr>
          <w:rFonts w:hint="eastAsia" w:ascii="Arial" w:hAnsi="Arial" w:eastAsia="黑体" w:cs="Arial"/>
          <w:b/>
          <w:bCs w:val="0"/>
          <w:kern w:val="2"/>
          <w:sz w:val="32"/>
          <w:szCs w:val="32"/>
          <w:highlight w:val="none"/>
          <w:lang w:val="en-US" w:eastAsia="zh-CN" w:bidi="ar-SA"/>
        </w:rPr>
        <w:t>表</w:t>
      </w:r>
      <w:bookmarkEnd w:id="1038"/>
      <w:bookmarkEnd w:id="1039"/>
      <w:bookmarkEnd w:id="1040"/>
      <w:bookmarkEnd w:id="1041"/>
    </w:p>
    <w:p>
      <w:pPr>
        <w:rPr>
          <w:rFonts w:ascii="Arial" w:hAnsi="Arial" w:eastAsia="宋体" w:cs="Arial"/>
          <w:bCs/>
          <w:szCs w:val="21"/>
          <w:highlight w:val="none"/>
        </w:rPr>
      </w:pPr>
      <w:r>
        <w:rPr>
          <w:rFonts w:ascii="Arial" w:hAnsi="Arial" w:eastAsia="宋体" w:cs="Arial"/>
          <w:szCs w:val="21"/>
          <w:highlight w:val="none"/>
        </w:rPr>
        <w:t>项目名称：</w:t>
      </w:r>
      <w:r>
        <w:rPr>
          <w:rFonts w:ascii="Arial" w:hAnsi="Arial" w:eastAsia="宋体" w:cs="Arial"/>
          <w:szCs w:val="21"/>
          <w:highlight w:val="none"/>
          <w:u w:val="single"/>
        </w:rPr>
        <w:t xml:space="preserve">          </w:t>
      </w:r>
      <w:r>
        <w:rPr>
          <w:rFonts w:hint="eastAsia" w:ascii="Arial" w:hAnsi="Arial" w:eastAsia="宋体" w:cs="Arial"/>
          <w:szCs w:val="21"/>
          <w:highlight w:val="none"/>
        </w:rPr>
        <w:t xml:space="preserve">                  </w:t>
      </w:r>
      <w:r>
        <w:rPr>
          <w:rFonts w:ascii="Arial" w:hAnsi="Arial" w:eastAsia="宋体" w:cs="Arial"/>
          <w:szCs w:val="21"/>
          <w:highlight w:val="none"/>
        </w:rPr>
        <w:t>项目编号：</w:t>
      </w:r>
      <w:r>
        <w:rPr>
          <w:rFonts w:ascii="Arial" w:hAnsi="Arial" w:eastAsia="宋体" w:cs="Arial"/>
          <w:szCs w:val="21"/>
          <w:highlight w:val="none"/>
          <w:u w:val="single"/>
        </w:rPr>
        <w:t xml:space="preserve">              </w:t>
      </w:r>
      <w:r>
        <w:rPr>
          <w:rFonts w:ascii="Arial" w:hAnsi="Arial" w:eastAsia="宋体" w:cs="Arial"/>
          <w:bCs/>
          <w:szCs w:val="21"/>
          <w:highlight w:val="none"/>
        </w:rPr>
        <w:t xml:space="preserve"> </w:t>
      </w:r>
    </w:p>
    <w:p>
      <w:pPr>
        <w:rPr>
          <w:rFonts w:hint="eastAsia" w:ascii="Arial" w:hAnsi="Arial" w:eastAsia="宋体" w:cs="Arial"/>
          <w:highlight w:val="none"/>
        </w:rPr>
      </w:pP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6"/>
        <w:gridCol w:w="6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eastAsia="宋体" w:cs="Arial"/>
                <w:color w:val="auto"/>
                <w:highlight w:val="none"/>
              </w:rPr>
            </w:pPr>
            <w:r>
              <w:rPr>
                <w:rFonts w:hint="eastAsia" w:ascii="Arial" w:hAnsi="Arial" w:eastAsia="宋体" w:cs="Arial"/>
                <w:color w:val="auto"/>
                <w:highlight w:val="none"/>
              </w:rPr>
              <w:t>投标人名</w:t>
            </w:r>
            <w:r>
              <w:rPr>
                <w:rFonts w:ascii="Arial" w:hAnsi="Arial" w:eastAsia="宋体" w:cs="Arial"/>
                <w:color w:val="auto"/>
                <w:highlight w:val="none"/>
              </w:rPr>
              <w:t>称</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eastAsia="宋体" w:cs="Arial"/>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Arial" w:hAnsi="Arial" w:eastAsia="宋体" w:cs="Arial"/>
                <w:color w:val="auto"/>
                <w:highlight w:val="none"/>
              </w:rPr>
            </w:pPr>
            <w:r>
              <w:rPr>
                <w:rFonts w:hint="eastAsia" w:ascii="Arial" w:hAnsi="Arial" w:eastAsia="宋体" w:cs="Arial"/>
                <w:color w:val="auto"/>
                <w:highlight w:val="none"/>
              </w:rPr>
              <w:t>联系地址</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eastAsia="宋体" w:cs="Arial"/>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eastAsia="宋体" w:cs="Arial"/>
                <w:color w:val="auto"/>
                <w:highlight w:val="none"/>
              </w:rPr>
            </w:pPr>
            <w:r>
              <w:rPr>
                <w:rFonts w:ascii="Arial" w:hAnsi="Arial" w:eastAsia="宋体" w:cs="Arial"/>
                <w:color w:val="auto"/>
                <w:highlight w:val="none"/>
              </w:rPr>
              <w:t>企业资质</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eastAsia="宋体" w:cs="Arial"/>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eastAsia="宋体" w:cs="Arial"/>
                <w:color w:val="auto"/>
                <w:highlight w:val="none"/>
              </w:rPr>
            </w:pPr>
            <w:r>
              <w:rPr>
                <w:rFonts w:hint="eastAsia" w:ascii="Arial" w:hAnsi="Arial" w:eastAsia="宋体" w:cs="Arial"/>
                <w:color w:val="auto"/>
                <w:highlight w:val="none"/>
              </w:rPr>
              <w:t>企业从业人员数量</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eastAsia="宋体" w:cs="Arial"/>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Arial" w:hAnsi="Arial" w:eastAsia="宋体" w:cs="Arial"/>
                <w:color w:val="auto"/>
                <w:highlight w:val="none"/>
              </w:rPr>
            </w:pPr>
            <w:r>
              <w:rPr>
                <w:rFonts w:hint="eastAsia" w:ascii="Arial" w:hAnsi="Arial" w:eastAsia="宋体" w:cs="Arial"/>
                <w:color w:val="auto"/>
                <w:highlight w:val="none"/>
              </w:rPr>
              <w:t>资产总额</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eastAsia="宋体" w:cs="Arial"/>
                <w:color w:val="auto"/>
                <w:highlight w:val="none"/>
              </w:rPr>
            </w:pPr>
            <w:r>
              <w:rPr>
                <w:rFonts w:hint="eastAsia" w:ascii="Arial" w:hAnsi="Arial" w:eastAsia="宋体" w:cs="Arial"/>
                <w:color w:val="auto"/>
                <w:highlight w:val="none"/>
              </w:rPr>
              <w:t>截止上一年度资产总额：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Arial" w:hAnsi="Arial" w:eastAsia="宋体" w:cs="Arial"/>
                <w:color w:val="auto"/>
                <w:highlight w:val="none"/>
              </w:rPr>
            </w:pPr>
            <w:r>
              <w:rPr>
                <w:rFonts w:hint="eastAsia" w:ascii="Arial" w:hAnsi="Arial" w:eastAsia="宋体" w:cs="Arial"/>
                <w:color w:val="auto"/>
                <w:highlight w:val="none"/>
              </w:rPr>
              <w:t>营业收入</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eastAsia="宋体" w:cs="Arial"/>
                <w:color w:val="auto"/>
                <w:highlight w:val="none"/>
              </w:rPr>
            </w:pPr>
            <w:r>
              <w:rPr>
                <w:rFonts w:hint="eastAsia" w:ascii="Arial" w:hAnsi="Arial" w:eastAsia="宋体" w:cs="Arial"/>
                <w:color w:val="auto"/>
                <w:highlight w:val="none"/>
              </w:rPr>
              <w:t>上一年度营业收入：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Arial" w:hAnsi="Arial" w:eastAsia="宋体" w:cs="Arial"/>
                <w:color w:val="auto"/>
                <w:highlight w:val="none"/>
              </w:rPr>
            </w:pPr>
            <w:r>
              <w:rPr>
                <w:rFonts w:hint="eastAsia" w:ascii="Arial" w:hAnsi="Arial" w:eastAsia="宋体" w:cs="Arial"/>
                <w:color w:val="auto"/>
                <w:highlight w:val="none"/>
              </w:rPr>
              <w:t>法定代表人</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eastAsia="宋体" w:cs="Arial"/>
                <w:color w:val="auto"/>
                <w:highlight w:val="none"/>
              </w:rPr>
            </w:pPr>
            <w:r>
              <w:rPr>
                <w:rFonts w:ascii="Arial" w:hAnsi="Arial" w:eastAsia="宋体" w:cs="Arial"/>
                <w:color w:val="auto"/>
                <w:highlight w:val="none"/>
              </w:rPr>
              <w:t>姓名：　　　职务：　　　职称：</w:t>
            </w:r>
            <w:r>
              <w:rPr>
                <w:rFonts w:hint="eastAsia" w:ascii="Arial" w:hAnsi="Arial" w:eastAsia="宋体" w:cs="Arial"/>
                <w:color w:val="auto"/>
                <w:highlight w:val="none"/>
              </w:rPr>
              <w:t xml:space="preserve">       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eastAsia="宋体" w:cs="Arial"/>
                <w:color w:val="auto"/>
                <w:highlight w:val="none"/>
              </w:rPr>
            </w:pPr>
            <w:r>
              <w:rPr>
                <w:rFonts w:ascii="Arial" w:hAnsi="Arial" w:eastAsia="宋体" w:cs="Arial"/>
                <w:color w:val="auto"/>
                <w:highlight w:val="none"/>
              </w:rPr>
              <w:t>技术负责人</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eastAsia="宋体" w:cs="Arial"/>
                <w:color w:val="auto"/>
                <w:highlight w:val="none"/>
              </w:rPr>
            </w:pPr>
            <w:r>
              <w:rPr>
                <w:rFonts w:ascii="Arial" w:hAnsi="Arial" w:eastAsia="宋体" w:cs="Arial"/>
                <w:color w:val="auto"/>
                <w:highlight w:val="none"/>
              </w:rPr>
              <w:t>姓名：　　　职务：　　　职称：</w:t>
            </w:r>
            <w:r>
              <w:rPr>
                <w:rFonts w:hint="eastAsia" w:ascii="Arial" w:hAnsi="Arial" w:eastAsia="宋体" w:cs="Arial"/>
                <w:color w:val="auto"/>
                <w:highlight w:val="none"/>
              </w:rPr>
              <w:t xml:space="preserve">       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eastAsia="宋体" w:cs="Arial"/>
                <w:color w:val="auto"/>
                <w:highlight w:val="none"/>
              </w:rPr>
            </w:pPr>
            <w:r>
              <w:rPr>
                <w:rFonts w:ascii="Arial" w:hAnsi="Arial" w:eastAsia="宋体" w:cs="Arial"/>
                <w:color w:val="auto"/>
                <w:highlight w:val="none"/>
              </w:rPr>
              <w:t>联系方式</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eastAsia="宋体" w:cs="Arial"/>
                <w:color w:val="auto"/>
                <w:highlight w:val="none"/>
              </w:rPr>
            </w:pPr>
            <w:r>
              <w:rPr>
                <w:rFonts w:hint="eastAsia" w:ascii="Arial" w:hAnsi="Arial" w:eastAsia="宋体" w:cs="Arial"/>
                <w:color w:val="auto"/>
                <w:highlight w:val="none"/>
              </w:rPr>
              <w:t>联系人</w:t>
            </w:r>
            <w:r>
              <w:rPr>
                <w:rFonts w:ascii="Arial" w:hAnsi="Arial" w:eastAsia="宋体" w:cs="Arial"/>
                <w:color w:val="auto"/>
                <w:highlight w:val="none"/>
              </w:rPr>
              <w:t>：</w:t>
            </w:r>
            <w:r>
              <w:rPr>
                <w:rFonts w:hint="eastAsia" w:ascii="Arial" w:hAnsi="Arial" w:eastAsia="宋体" w:cs="Arial"/>
                <w:color w:val="auto"/>
                <w:highlight w:val="none"/>
              </w:rPr>
              <w:t xml:space="preserve">                      </w:t>
            </w:r>
            <w:r>
              <w:rPr>
                <w:rFonts w:ascii="Arial" w:hAnsi="Arial" w:eastAsia="宋体" w:cs="Arial"/>
                <w:color w:val="auto"/>
                <w:highlight w:val="none"/>
              </w:rPr>
              <w:t>电　话：</w:t>
            </w:r>
          </w:p>
          <w:p>
            <w:pPr>
              <w:rPr>
                <w:rFonts w:ascii="Arial" w:hAnsi="Arial" w:eastAsia="宋体" w:cs="Arial"/>
                <w:color w:val="auto"/>
                <w:highlight w:val="none"/>
              </w:rPr>
            </w:pPr>
            <w:r>
              <w:rPr>
                <w:rFonts w:ascii="Arial" w:hAnsi="Arial" w:eastAsia="宋体" w:cs="Arial"/>
                <w:color w:val="auto"/>
                <w:highlight w:val="none"/>
              </w:rPr>
              <w:t>传　真：　　　　　　　　　　　</w:t>
            </w:r>
            <w:r>
              <w:rPr>
                <w:rFonts w:hint="eastAsia" w:ascii="Arial" w:hAnsi="Arial" w:eastAsia="宋体" w:cs="Arial"/>
                <w:color w:val="auto"/>
                <w:highlight w:val="none"/>
              </w:rPr>
              <w:t>邮  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eastAsia="宋体" w:cs="Arial"/>
                <w:color w:val="auto"/>
                <w:highlight w:val="none"/>
              </w:rPr>
            </w:pPr>
            <w:r>
              <w:rPr>
                <w:rFonts w:hint="eastAsia" w:ascii="Arial" w:hAnsi="Arial" w:eastAsia="宋体" w:cs="Arial"/>
                <w:color w:val="auto"/>
                <w:highlight w:val="none"/>
              </w:rPr>
              <w:t>基本账户</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eastAsia="宋体" w:cs="Arial"/>
                <w:color w:val="auto"/>
                <w:highlight w:val="none"/>
              </w:rPr>
            </w:pPr>
            <w:r>
              <w:rPr>
                <w:rFonts w:ascii="Arial" w:hAnsi="Arial" w:eastAsia="宋体" w:cs="Arial"/>
                <w:color w:val="auto"/>
                <w:highlight w:val="none"/>
              </w:rPr>
              <w:t>名　称：　　　　　　　　　　　</w:t>
            </w:r>
            <w:r>
              <w:rPr>
                <w:rFonts w:hint="eastAsia" w:ascii="Arial" w:hAnsi="Arial" w:eastAsia="宋体" w:cs="Arial"/>
                <w:color w:val="auto"/>
                <w:highlight w:val="none"/>
              </w:rPr>
              <w:t xml:space="preserve">账  </w:t>
            </w:r>
            <w:r>
              <w:rPr>
                <w:rFonts w:ascii="Arial" w:hAnsi="Arial" w:eastAsia="宋体" w:cs="Arial"/>
                <w:color w:val="auto"/>
                <w:highlight w:val="none"/>
              </w:rPr>
              <w:t>号：</w:t>
            </w:r>
          </w:p>
        </w:tc>
      </w:tr>
    </w:tbl>
    <w:p>
      <w:pPr>
        <w:widowControl w:val="0"/>
        <w:spacing w:after="120"/>
        <w:jc w:val="both"/>
        <w:rPr>
          <w:rFonts w:hint="eastAsia" w:ascii="Times New Roman" w:hAnsi="Times New Roman" w:eastAsia="宋体" w:cs="Times New Roman"/>
          <w:kern w:val="2"/>
          <w:sz w:val="21"/>
          <w:szCs w:val="24"/>
          <w:highlight w:val="none"/>
          <w:lang w:val="en-US" w:eastAsia="zh-CN" w:bidi="ar-SA"/>
        </w:rPr>
      </w:pPr>
    </w:p>
    <w:p>
      <w:pPr>
        <w:widowControl w:val="0"/>
        <w:spacing w:after="120"/>
        <w:jc w:val="both"/>
        <w:rPr>
          <w:rFonts w:ascii="Times New Roman" w:hAnsi="Times New Roman" w:eastAsia="宋体" w:cs="Times New Roman"/>
          <w:kern w:val="2"/>
          <w:sz w:val="21"/>
          <w:szCs w:val="24"/>
          <w:highlight w:val="none"/>
          <w:lang w:val="en-US" w:eastAsia="zh-CN" w:bidi="ar-SA"/>
        </w:rPr>
      </w:pPr>
      <w:bookmarkStart w:id="1042" w:name="OLE_LINK61"/>
    </w:p>
    <w:p>
      <w:pPr>
        <w:rPr>
          <w:rFonts w:ascii="Arial" w:hAnsi="Arial" w:eastAsia="宋体" w:cs="Arial"/>
          <w:szCs w:val="21"/>
          <w:highlight w:val="none"/>
        </w:rPr>
      </w:pPr>
      <w:r>
        <w:rPr>
          <w:rFonts w:ascii="Arial" w:hAnsi="Arial" w:eastAsia="宋体" w:cs="Arial"/>
          <w:szCs w:val="21"/>
          <w:highlight w:val="none"/>
        </w:rPr>
        <w:t>投标人名称[盖章]：</w:t>
      </w:r>
      <w:r>
        <w:rPr>
          <w:rFonts w:ascii="Arial" w:hAnsi="Arial" w:eastAsia="宋体" w:cs="Arial"/>
          <w:szCs w:val="21"/>
          <w:highlight w:val="none"/>
          <w:u w:val="single"/>
        </w:rPr>
        <w:t xml:space="preserve">                              </w:t>
      </w:r>
      <w:r>
        <w:rPr>
          <w:rFonts w:ascii="Arial" w:hAnsi="Arial" w:eastAsia="宋体" w:cs="Arial"/>
          <w:szCs w:val="21"/>
          <w:highlight w:val="none"/>
        </w:rPr>
        <w:t xml:space="preserve"> </w:t>
      </w:r>
    </w:p>
    <w:p>
      <w:pPr>
        <w:widowControl/>
        <w:spacing w:before="100" w:beforeAutospacing="1" w:after="100" w:afterAutospacing="1"/>
        <w:rPr>
          <w:rFonts w:hint="eastAsia" w:ascii="Arial" w:hAnsi="Arial" w:eastAsia="宋体" w:cs="Arial"/>
          <w:highlight w:val="none"/>
          <w:u w:val="single"/>
        </w:rPr>
      </w:pPr>
      <w:r>
        <w:rPr>
          <w:rFonts w:ascii="Arial" w:hAnsi="Arial" w:eastAsia="宋体" w:cs="Arial"/>
          <w:szCs w:val="21"/>
          <w:highlight w:val="none"/>
        </w:rPr>
        <w:t>投标人授权代表签字：</w:t>
      </w:r>
      <w:r>
        <w:rPr>
          <w:rFonts w:ascii="Arial" w:hAnsi="Arial" w:eastAsia="宋体" w:cs="Arial"/>
          <w:szCs w:val="21"/>
          <w:highlight w:val="none"/>
          <w:u w:val="single"/>
        </w:rPr>
        <w:t xml:space="preserve"> </w:t>
      </w:r>
      <w:r>
        <w:rPr>
          <w:rFonts w:hint="eastAsia" w:ascii="Arial" w:hAnsi="Arial" w:eastAsia="宋体" w:cs="Arial"/>
          <w:szCs w:val="21"/>
          <w:highlight w:val="none"/>
          <w:u w:val="single"/>
        </w:rPr>
        <w:t xml:space="preserve">                     </w:t>
      </w:r>
      <w:r>
        <w:rPr>
          <w:rFonts w:ascii="Arial" w:hAnsi="Arial" w:eastAsia="宋体" w:cs="Arial"/>
          <w:szCs w:val="21"/>
          <w:highlight w:val="none"/>
          <w:u w:val="single"/>
        </w:rPr>
        <w:t xml:space="preserve"> </w:t>
      </w:r>
      <w:r>
        <w:rPr>
          <w:rFonts w:ascii="Arial" w:hAnsi="Arial" w:eastAsia="宋体" w:cs="Arial"/>
          <w:szCs w:val="21"/>
          <w:highlight w:val="none"/>
        </w:rPr>
        <w:t xml:space="preserve">       日期：</w:t>
      </w:r>
      <w:r>
        <w:rPr>
          <w:rFonts w:ascii="Arial" w:hAnsi="Arial" w:eastAsia="宋体" w:cs="Arial"/>
          <w:szCs w:val="21"/>
          <w:highlight w:val="none"/>
          <w:u w:val="single"/>
        </w:rPr>
        <w:t xml:space="preserve">             </w:t>
      </w:r>
      <w:r>
        <w:rPr>
          <w:rFonts w:ascii="Arial" w:hAnsi="Arial" w:eastAsia="宋体" w:cs="Arial"/>
          <w:highlight w:val="none"/>
          <w:u w:val="single"/>
        </w:rPr>
        <w:t xml:space="preserve"> </w:t>
      </w:r>
      <w:bookmarkStart w:id="1043" w:name="_Toc430813358"/>
    </w:p>
    <w:bookmarkEnd w:id="1042"/>
    <w:p>
      <w:pPr>
        <w:widowControl/>
        <w:spacing w:before="100" w:beforeAutospacing="1" w:after="100" w:afterAutospacing="1"/>
        <w:rPr>
          <w:rFonts w:hint="eastAsia" w:ascii="Arial" w:hAnsi="Arial" w:eastAsia="宋体" w:cs="Arial"/>
          <w:highlight w:val="none"/>
          <w:u w:val="single"/>
        </w:rPr>
      </w:pPr>
      <w:r>
        <w:rPr>
          <w:rFonts w:ascii="Arial" w:hAnsi="Arial" w:eastAsia="宋体" w:cs="Arial"/>
          <w:highlight w:val="none"/>
          <w:u w:val="single"/>
        </w:rPr>
        <w:br w:type="page"/>
      </w:r>
      <w:bookmarkEnd w:id="1043"/>
    </w:p>
    <w:p>
      <w:pPr>
        <w:keepNext/>
        <w:keepLines/>
        <w:widowControl w:val="0"/>
        <w:snapToGrid w:val="0"/>
        <w:spacing w:before="120" w:after="120" w:line="360" w:lineRule="auto"/>
        <w:jc w:val="both"/>
        <w:outlineLvl w:val="1"/>
        <w:rPr>
          <w:rFonts w:ascii="Arial" w:hAnsi="Arial" w:eastAsia="黑体" w:cs="Arial"/>
          <w:b/>
          <w:bCs w:val="0"/>
          <w:kern w:val="2"/>
          <w:sz w:val="32"/>
          <w:szCs w:val="32"/>
          <w:highlight w:val="none"/>
          <w:lang w:val="en-US" w:eastAsia="zh-CN" w:bidi="ar-SA"/>
        </w:rPr>
      </w:pPr>
      <w:bookmarkStart w:id="1044" w:name="_Toc20104"/>
      <w:bookmarkStart w:id="1045" w:name="_Toc24360"/>
      <w:r>
        <w:rPr>
          <w:rFonts w:hint="eastAsia" w:ascii="Arial" w:hAnsi="Arial" w:eastAsia="黑体" w:cs="Arial"/>
          <w:b/>
          <w:bCs w:val="0"/>
          <w:kern w:val="2"/>
          <w:sz w:val="32"/>
          <w:szCs w:val="32"/>
          <w:highlight w:val="none"/>
          <w:lang w:val="en-US" w:eastAsia="zh-CN" w:bidi="ar-SA"/>
        </w:rPr>
        <w:t>（二）资格证明文件</w:t>
      </w:r>
      <w:bookmarkEnd w:id="1044"/>
      <w:bookmarkEnd w:id="1045"/>
    </w:p>
    <w:p>
      <w:pPr>
        <w:snapToGrid w:val="0"/>
        <w:spacing w:line="360" w:lineRule="auto"/>
        <w:ind w:firstLine="420" w:firstLineChars="200"/>
        <w:jc w:val="center"/>
        <w:rPr>
          <w:rFonts w:ascii="Arial" w:hAnsi="Arial" w:eastAsia="宋体" w:cs="Arial"/>
          <w:highlight w:val="none"/>
        </w:rPr>
      </w:pPr>
    </w:p>
    <w:p>
      <w:pPr>
        <w:snapToGrid w:val="0"/>
        <w:spacing w:line="360" w:lineRule="auto"/>
        <w:ind w:firstLine="420" w:firstLineChars="200"/>
        <w:rPr>
          <w:rFonts w:hint="eastAsia" w:ascii="Arial" w:hAnsi="Arial" w:eastAsia="宋体" w:cs="Arial"/>
          <w:highlight w:val="none"/>
        </w:rPr>
      </w:pPr>
      <w:r>
        <w:rPr>
          <w:rFonts w:hint="eastAsia" w:ascii="Arial" w:hAnsi="Arial" w:eastAsia="宋体" w:cs="Arial"/>
          <w:highlight w:val="none"/>
        </w:rPr>
        <w:t>投标人须提供的资格证明文件详见第四章《资格审查表》。</w:t>
      </w:r>
    </w:p>
    <w:p>
      <w:pPr>
        <w:spacing w:line="300" w:lineRule="auto"/>
        <w:ind w:left="1049"/>
        <w:rPr>
          <w:rFonts w:hint="eastAsia" w:ascii="Arial" w:hAnsi="Arial" w:eastAsia="宋体" w:cs="Arial"/>
          <w:highlight w:val="none"/>
        </w:rPr>
      </w:pPr>
    </w:p>
    <w:p>
      <w:pPr>
        <w:spacing w:line="360" w:lineRule="auto"/>
        <w:rPr>
          <w:rFonts w:ascii="Arial" w:hAnsi="Arial" w:eastAsia="宋体" w:cs="Arial"/>
          <w:highlight w:val="none"/>
        </w:rPr>
      </w:pPr>
    </w:p>
    <w:p>
      <w:pPr>
        <w:spacing w:line="360" w:lineRule="auto"/>
        <w:rPr>
          <w:rFonts w:hint="eastAsia" w:ascii="Arial" w:hAnsi="Arial" w:eastAsia="宋体" w:cs="Arial"/>
          <w:highlight w:val="none"/>
        </w:rPr>
      </w:pPr>
    </w:p>
    <w:p>
      <w:pPr>
        <w:spacing w:line="360" w:lineRule="auto"/>
        <w:rPr>
          <w:rFonts w:ascii="Arial" w:hAnsi="Arial" w:eastAsia="宋体" w:cs="Arial"/>
          <w:highlight w:val="none"/>
        </w:rPr>
      </w:pPr>
    </w:p>
    <w:p>
      <w:pPr>
        <w:spacing w:line="300" w:lineRule="auto"/>
        <w:rPr>
          <w:rFonts w:ascii="Arial" w:hAnsi="Arial" w:cs="Arial"/>
          <w:highlight w:val="none"/>
        </w:rPr>
        <w:sectPr>
          <w:type w:val="nextColumn"/>
          <w:pgSz w:w="11906" w:h="16838"/>
          <w:pgMar w:top="1247" w:right="1588" w:bottom="1247" w:left="1588" w:header="851" w:footer="805" w:gutter="0"/>
          <w:pgBorders w:offsetFrom="page">
            <w:top w:val="none" w:sz="0" w:space="0"/>
            <w:left w:val="none" w:sz="0" w:space="0"/>
            <w:bottom w:val="none" w:sz="0" w:space="0"/>
            <w:right w:val="none" w:sz="0" w:space="0"/>
          </w:pgBorders>
          <w:cols w:space="720" w:num="1"/>
          <w:docGrid w:linePitch="312" w:charSpace="0"/>
        </w:sectPr>
      </w:pPr>
    </w:p>
    <w:p>
      <w:pPr>
        <w:keepNext/>
        <w:keepLines/>
        <w:widowControl w:val="0"/>
        <w:snapToGrid w:val="0"/>
        <w:spacing w:before="120" w:after="120" w:line="360" w:lineRule="auto"/>
        <w:jc w:val="both"/>
        <w:outlineLvl w:val="1"/>
        <w:rPr>
          <w:rFonts w:hint="eastAsia" w:ascii="Arial" w:hAnsi="Arial" w:eastAsia="黑体" w:cs="Arial"/>
          <w:b/>
          <w:bCs w:val="0"/>
          <w:kern w:val="2"/>
          <w:sz w:val="32"/>
          <w:szCs w:val="32"/>
          <w:highlight w:val="none"/>
          <w:lang w:val="en-US" w:eastAsia="zh-CN" w:bidi="ar-SA"/>
        </w:rPr>
      </w:pPr>
      <w:bookmarkStart w:id="1046" w:name="_Toc29551"/>
      <w:bookmarkStart w:id="1047" w:name="_Toc19231"/>
      <w:r>
        <w:rPr>
          <w:rFonts w:hint="eastAsia" w:ascii="Arial" w:hAnsi="Arial" w:eastAsia="黑体" w:cs="Arial"/>
          <w:b/>
          <w:bCs w:val="0"/>
          <w:kern w:val="2"/>
          <w:sz w:val="32"/>
          <w:szCs w:val="32"/>
          <w:highlight w:val="none"/>
          <w:lang w:val="en-US" w:eastAsia="zh-CN" w:bidi="ar-SA"/>
        </w:rPr>
        <w:t>（三）</w:t>
      </w:r>
      <w:r>
        <w:rPr>
          <w:rFonts w:hint="eastAsia" w:ascii="等线" w:hAnsi="等线" w:eastAsia="等线" w:cs="宋体"/>
          <w:b/>
          <w:bCs w:val="0"/>
          <w:kern w:val="2"/>
          <w:sz w:val="32"/>
          <w:szCs w:val="21"/>
          <w:highlight w:val="none"/>
          <w:lang w:val="en-US" w:eastAsia="zh-CN" w:bidi="ar-SA"/>
        </w:rPr>
        <w:t>关于资格条件的有关承诺及声明</w:t>
      </w:r>
      <w:bookmarkEnd w:id="1046"/>
      <w:bookmarkEnd w:id="1047"/>
    </w:p>
    <w:p>
      <w:pPr>
        <w:snapToGrid w:val="0"/>
        <w:spacing w:line="480" w:lineRule="auto"/>
        <w:ind w:firstLine="482" w:firstLineChars="200"/>
        <w:jc w:val="center"/>
        <w:rPr>
          <w:rFonts w:ascii="Times New Roman" w:hAnsi="Times New Roman" w:eastAsia="宋体" w:cs="Times New Roman"/>
          <w:b/>
          <w:sz w:val="24"/>
          <w:szCs w:val="21"/>
          <w:highlight w:val="none"/>
        </w:rPr>
      </w:pPr>
    </w:p>
    <w:p>
      <w:pPr>
        <w:snapToGrid w:val="0"/>
        <w:spacing w:line="480" w:lineRule="auto"/>
        <w:ind w:firstLine="482" w:firstLineChars="200"/>
        <w:jc w:val="center"/>
        <w:rPr>
          <w:rFonts w:ascii="Times New Roman" w:hAnsi="Times New Roman" w:eastAsia="宋体" w:cs="Times New Roman"/>
          <w:b/>
          <w:sz w:val="24"/>
          <w:szCs w:val="21"/>
          <w:highlight w:val="none"/>
        </w:rPr>
      </w:pPr>
      <w:r>
        <w:rPr>
          <w:rFonts w:hint="eastAsia" w:ascii="Times New Roman" w:hAnsi="Times New Roman" w:eastAsia="宋体" w:cs="Times New Roman"/>
          <w:b/>
          <w:sz w:val="24"/>
          <w:szCs w:val="21"/>
          <w:highlight w:val="none"/>
        </w:rPr>
        <w:t>（投标人应根据本单位实际情况进行承诺和声明）</w:t>
      </w:r>
    </w:p>
    <w:p>
      <w:pPr>
        <w:snapToGrid w:val="0"/>
        <w:spacing w:line="480" w:lineRule="auto"/>
        <w:rPr>
          <w:rFonts w:ascii="Times New Roman" w:hAnsi="Times New Roman" w:eastAsia="宋体" w:cs="Times New Roman"/>
          <w:kern w:val="0"/>
          <w:szCs w:val="21"/>
          <w:highlight w:val="none"/>
        </w:rPr>
      </w:pPr>
    </w:p>
    <w:p>
      <w:pPr>
        <w:snapToGrid w:val="0"/>
        <w:spacing w:line="360" w:lineRule="auto"/>
        <w:rPr>
          <w:rFonts w:ascii="Times New Roman" w:hAnsi="Times New Roman" w:eastAsia="宋体" w:cs="Times New Roman"/>
          <w:szCs w:val="21"/>
          <w:highlight w:val="none"/>
        </w:rPr>
      </w:pPr>
      <w:r>
        <w:rPr>
          <w:rFonts w:ascii="Times New Roman" w:hAnsi="Times New Roman" w:eastAsia="宋体" w:cs="Times New Roman"/>
          <w:kern w:val="0"/>
          <w:szCs w:val="21"/>
          <w:highlight w:val="none"/>
        </w:rPr>
        <w:t>采购人和采购代理机构：</w:t>
      </w:r>
    </w:p>
    <w:p>
      <w:pPr>
        <w:snapToGrid w:val="0"/>
        <w:spacing w:line="360" w:lineRule="auto"/>
        <w:ind w:firstLine="420" w:firstLineChars="200"/>
        <w:rPr>
          <w:rFonts w:ascii="Times New Roman" w:hAnsi="Times New Roman" w:eastAsia="宋体" w:cs="Times New Roman"/>
          <w:szCs w:val="21"/>
          <w:highlight w:val="none"/>
        </w:rPr>
      </w:pPr>
      <w:r>
        <w:rPr>
          <w:rFonts w:ascii="Times New Roman" w:hAnsi="Times New Roman" w:eastAsia="宋体" w:cs="Times New Roman"/>
          <w:kern w:val="0"/>
          <w:szCs w:val="21"/>
          <w:highlight w:val="none"/>
        </w:rPr>
        <w:t>一、我方在此郑重承诺，我方</w:t>
      </w:r>
      <w:r>
        <w:rPr>
          <w:rFonts w:ascii="Times New Roman" w:hAnsi="Times New Roman" w:eastAsia="宋体" w:cs="Times New Roman"/>
          <w:szCs w:val="21"/>
          <w:highlight w:val="none"/>
        </w:rPr>
        <w:t>满足本</w:t>
      </w:r>
      <w:r>
        <w:rPr>
          <w:rFonts w:hint="eastAsia" w:ascii="Times New Roman" w:hAnsi="Times New Roman" w:eastAsia="宋体" w:cs="Times New Roman"/>
          <w:szCs w:val="21"/>
          <w:highlight w:val="none"/>
        </w:rPr>
        <w:t>招标文件</w:t>
      </w:r>
      <w:r>
        <w:rPr>
          <w:rFonts w:ascii="Times New Roman" w:hAnsi="Times New Roman" w:eastAsia="宋体" w:cs="Times New Roman"/>
          <w:szCs w:val="21"/>
          <w:highlight w:val="none"/>
        </w:rPr>
        <w:t>第一章《</w:t>
      </w:r>
      <w:r>
        <w:rPr>
          <w:rFonts w:hint="eastAsia" w:ascii="Times New Roman" w:hAnsi="Times New Roman" w:eastAsia="宋体" w:cs="Times New Roman"/>
          <w:szCs w:val="21"/>
          <w:highlight w:val="none"/>
        </w:rPr>
        <w:t>招标</w:t>
      </w:r>
      <w:r>
        <w:rPr>
          <w:rFonts w:ascii="Times New Roman" w:hAnsi="Times New Roman" w:eastAsia="宋体" w:cs="Times New Roman"/>
          <w:szCs w:val="21"/>
          <w:highlight w:val="none"/>
        </w:rPr>
        <w:t>公告》第二条“申请人资格要求”（具体要求详见第五章《评审程序、方法及标准》中的《资格审查表》），且无纳税、社保等方面失信记录。</w:t>
      </w:r>
    </w:p>
    <w:p>
      <w:pPr>
        <w:snapToGrid w:val="0"/>
        <w:spacing w:line="360" w:lineRule="auto"/>
        <w:ind w:firstLine="420" w:firstLineChars="200"/>
        <w:rPr>
          <w:rFonts w:ascii="Times New Roman" w:hAnsi="Times New Roman" w:eastAsia="宋体" w:cs="Times New Roman"/>
          <w:szCs w:val="21"/>
          <w:highlight w:val="none"/>
        </w:rPr>
      </w:pPr>
      <w:r>
        <w:rPr>
          <w:rFonts w:ascii="Times New Roman" w:hAnsi="Times New Roman" w:eastAsia="宋体" w:cs="Times New Roman"/>
          <w:kern w:val="0"/>
          <w:szCs w:val="21"/>
          <w:highlight w:val="none"/>
        </w:rPr>
        <w:t>二、我方在此声明，我方在参加本次政府采购活动前三年内，在经营活动中没有以下重大违法记录：</w:t>
      </w:r>
    </w:p>
    <w:p>
      <w:pPr>
        <w:snapToGrid w:val="0"/>
        <w:spacing w:line="360" w:lineRule="auto"/>
        <w:ind w:firstLine="420" w:firstLineChars="200"/>
        <w:rPr>
          <w:rFonts w:ascii="Times New Roman" w:hAnsi="Times New Roman" w:eastAsia="宋体" w:cs="Times New Roman"/>
          <w:szCs w:val="21"/>
          <w:highlight w:val="none"/>
        </w:rPr>
      </w:pPr>
      <w:r>
        <w:rPr>
          <w:rFonts w:ascii="Times New Roman" w:hAnsi="Times New Roman" w:eastAsia="宋体" w:cs="Times New Roman"/>
          <w:kern w:val="0"/>
          <w:szCs w:val="21"/>
          <w:highlight w:val="none"/>
        </w:rPr>
        <w:t>1、我方因违法经营被追究过刑事责任；</w:t>
      </w:r>
    </w:p>
    <w:p>
      <w:pPr>
        <w:snapToGrid w:val="0"/>
        <w:spacing w:line="360" w:lineRule="auto"/>
        <w:ind w:firstLine="420" w:firstLineChars="200"/>
        <w:rPr>
          <w:rFonts w:ascii="Times New Roman" w:hAnsi="Times New Roman" w:eastAsia="宋体" w:cs="Times New Roman"/>
          <w:szCs w:val="21"/>
          <w:highlight w:val="none"/>
        </w:rPr>
      </w:pPr>
      <w:r>
        <w:rPr>
          <w:rFonts w:ascii="Times New Roman" w:hAnsi="Times New Roman" w:eastAsia="宋体" w:cs="Times New Roman"/>
          <w:kern w:val="0"/>
          <w:szCs w:val="21"/>
          <w:highlight w:val="none"/>
        </w:rPr>
        <w:t>2、我方因违法经营被责令停产停业、吊销许可证或者执照；</w:t>
      </w:r>
    </w:p>
    <w:p>
      <w:pPr>
        <w:snapToGrid w:val="0"/>
        <w:spacing w:line="360" w:lineRule="auto"/>
        <w:ind w:firstLine="420" w:firstLineChars="200"/>
        <w:rPr>
          <w:rFonts w:ascii="Times New Roman" w:hAnsi="Times New Roman" w:eastAsia="宋体" w:cs="Times New Roman"/>
          <w:szCs w:val="21"/>
          <w:highlight w:val="none"/>
        </w:rPr>
      </w:pPr>
      <w:r>
        <w:rPr>
          <w:rFonts w:ascii="Times New Roman" w:hAnsi="Times New Roman" w:eastAsia="宋体" w:cs="Times New Roman"/>
          <w:kern w:val="0"/>
          <w:szCs w:val="21"/>
          <w:highlight w:val="none"/>
        </w:rPr>
        <w:t>3、我方因违法经营被处以较大数额罚款等行政处罚。</w:t>
      </w:r>
    </w:p>
    <w:p>
      <w:pPr>
        <w:snapToGrid w:val="0"/>
        <w:spacing w:line="360" w:lineRule="auto"/>
        <w:ind w:firstLine="420" w:firstLineChars="200"/>
        <w:rPr>
          <w:rFonts w:ascii="Times New Roman" w:hAnsi="Times New Roman" w:eastAsia="宋体" w:cs="Times New Roman"/>
          <w:szCs w:val="21"/>
          <w:highlight w:val="none"/>
        </w:rPr>
      </w:pPr>
      <w:r>
        <w:rPr>
          <w:rFonts w:ascii="Times New Roman" w:hAnsi="Times New Roman" w:eastAsia="宋体" w:cs="Times New Roman"/>
          <w:kern w:val="0"/>
          <w:szCs w:val="21"/>
          <w:highlight w:val="none"/>
        </w:rPr>
        <w:t>我方保证上述承诺或声明内容的客观、真实、准确，并愿意承担我方因提供虚假承诺或声明谋骗取中标、成交所引起的一切法律后果</w:t>
      </w:r>
      <w:r>
        <w:rPr>
          <w:rFonts w:hint="eastAsia" w:ascii="Times New Roman" w:hAnsi="Times New Roman" w:eastAsia="宋体" w:cs="Times New Roman"/>
          <w:kern w:val="0"/>
          <w:szCs w:val="21"/>
          <w:highlight w:val="none"/>
        </w:rPr>
        <w:t>。</w:t>
      </w:r>
    </w:p>
    <w:p>
      <w:pPr>
        <w:snapToGrid w:val="0"/>
        <w:spacing w:line="360" w:lineRule="auto"/>
        <w:ind w:firstLine="420" w:firstLineChars="200"/>
        <w:rPr>
          <w:rFonts w:ascii="Times New Roman" w:hAnsi="Times New Roman" w:eastAsia="宋体" w:cs="Times New Roman"/>
          <w:szCs w:val="21"/>
          <w:highlight w:val="none"/>
        </w:rPr>
      </w:pPr>
      <w:r>
        <w:rPr>
          <w:rFonts w:hint="eastAsia" w:ascii="Times New Roman" w:hAnsi="Times New Roman" w:eastAsia="宋体" w:cs="Times New Roman"/>
          <w:kern w:val="0"/>
          <w:szCs w:val="21"/>
          <w:highlight w:val="none"/>
        </w:rPr>
        <w:t>特此声明</w:t>
      </w:r>
      <w:r>
        <w:rPr>
          <w:rFonts w:hint="eastAsia" w:ascii="Times New Roman" w:hAnsi="Times New Roman" w:eastAsia="宋体" w:cs="Times New Roman"/>
          <w:kern w:val="0"/>
          <w:szCs w:val="21"/>
          <w:highlight w:val="none"/>
          <w:shd w:val="clear" w:color="auto" w:fill="FFFFFF"/>
        </w:rPr>
        <w:t>！</w:t>
      </w:r>
    </w:p>
    <w:p>
      <w:pPr>
        <w:snapToGrid w:val="0"/>
        <w:spacing w:line="480" w:lineRule="auto"/>
        <w:ind w:firstLine="420" w:firstLineChars="200"/>
        <w:rPr>
          <w:rFonts w:ascii="Times New Roman" w:hAnsi="Times New Roman" w:eastAsia="宋体" w:cs="Times New Roman"/>
          <w:szCs w:val="21"/>
          <w:highlight w:val="none"/>
        </w:rPr>
      </w:pPr>
    </w:p>
    <w:p>
      <w:pPr>
        <w:snapToGrid w:val="0"/>
        <w:spacing w:line="480" w:lineRule="auto"/>
        <w:ind w:firstLine="420" w:firstLineChars="200"/>
        <w:rPr>
          <w:rFonts w:ascii="Times New Roman" w:hAnsi="Times New Roman" w:eastAsia="宋体" w:cs="Times New Roman"/>
          <w:szCs w:val="21"/>
          <w:highlight w:val="none"/>
        </w:rPr>
      </w:pPr>
    </w:p>
    <w:p>
      <w:pPr>
        <w:snapToGrid w:val="0"/>
        <w:spacing w:line="480" w:lineRule="auto"/>
        <w:ind w:firstLine="420" w:firstLineChars="200"/>
        <w:jc w:val="right"/>
        <w:rPr>
          <w:rFonts w:ascii="Times New Roman" w:hAnsi="Times New Roman" w:eastAsia="宋体" w:cs="Times New Roman"/>
          <w:szCs w:val="21"/>
          <w:highlight w:val="none"/>
        </w:rPr>
      </w:pPr>
      <w:r>
        <w:rPr>
          <w:rFonts w:hint="eastAsia" w:ascii="Times New Roman" w:hAnsi="Times New Roman" w:eastAsia="宋体" w:cs="Times New Roman"/>
          <w:kern w:val="0"/>
          <w:szCs w:val="21"/>
          <w:highlight w:val="none"/>
          <w:shd w:val="clear" w:color="auto" w:fill="FFFFFF"/>
        </w:rPr>
        <w:t>投标人：</w:t>
      </w:r>
      <w:r>
        <w:rPr>
          <w:rFonts w:hint="eastAsia" w:ascii="Times New Roman" w:hAnsi="Times New Roman" w:eastAsia="宋体" w:cs="Times New Roman"/>
          <w:kern w:val="0"/>
          <w:szCs w:val="21"/>
          <w:highlight w:val="none"/>
          <w:u w:val="single"/>
          <w:shd w:val="clear" w:color="auto" w:fill="FFFFFF"/>
        </w:rPr>
        <w:t>                    </w:t>
      </w:r>
      <w:r>
        <w:rPr>
          <w:rFonts w:hint="eastAsia" w:ascii="Times New Roman" w:hAnsi="Times New Roman" w:eastAsia="宋体" w:cs="Times New Roman"/>
          <w:kern w:val="0"/>
          <w:szCs w:val="21"/>
          <w:highlight w:val="none"/>
          <w:shd w:val="clear" w:color="auto" w:fill="FFFFFF"/>
        </w:rPr>
        <w:t>（盖单位章）</w:t>
      </w:r>
    </w:p>
    <w:p>
      <w:pPr>
        <w:snapToGrid w:val="0"/>
        <w:spacing w:line="480" w:lineRule="auto"/>
        <w:ind w:firstLine="420" w:firstLineChars="200"/>
        <w:jc w:val="right"/>
        <w:rPr>
          <w:rFonts w:ascii="Times New Roman" w:hAnsi="Times New Roman" w:eastAsia="宋体" w:cs="Times New Roman"/>
          <w:szCs w:val="21"/>
          <w:highlight w:val="none"/>
        </w:rPr>
      </w:pPr>
      <w:r>
        <w:rPr>
          <w:rFonts w:hint="eastAsia" w:ascii="Times New Roman" w:hAnsi="Times New Roman" w:eastAsia="宋体" w:cs="Times New Roman"/>
          <w:kern w:val="0"/>
          <w:szCs w:val="21"/>
          <w:highlight w:val="none"/>
          <w:shd w:val="clear" w:color="auto" w:fill="FFFFFF"/>
        </w:rPr>
        <w:t>法定代表人或其委托代理人：</w:t>
      </w:r>
      <w:r>
        <w:rPr>
          <w:rFonts w:hint="eastAsia" w:ascii="Times New Roman" w:hAnsi="Times New Roman" w:eastAsia="宋体" w:cs="Times New Roman"/>
          <w:kern w:val="0"/>
          <w:szCs w:val="21"/>
          <w:highlight w:val="none"/>
          <w:u w:val="single"/>
          <w:shd w:val="clear" w:color="auto" w:fill="FFFFFF"/>
        </w:rPr>
        <w:t>               </w:t>
      </w:r>
      <w:r>
        <w:rPr>
          <w:rFonts w:hint="eastAsia" w:ascii="Times New Roman" w:hAnsi="Times New Roman" w:eastAsia="宋体" w:cs="Times New Roman"/>
          <w:kern w:val="0"/>
          <w:szCs w:val="21"/>
          <w:highlight w:val="none"/>
          <w:shd w:val="clear" w:color="auto" w:fill="FFFFFF"/>
        </w:rPr>
        <w:t>（签字）</w:t>
      </w:r>
    </w:p>
    <w:p>
      <w:pPr>
        <w:snapToGrid w:val="0"/>
        <w:spacing w:line="480" w:lineRule="auto"/>
        <w:ind w:firstLine="420" w:firstLineChars="200"/>
        <w:jc w:val="right"/>
        <w:rPr>
          <w:rFonts w:ascii="Times New Roman" w:hAnsi="Times New Roman" w:eastAsia="宋体" w:cs="Times New Roman"/>
          <w:szCs w:val="21"/>
          <w:highlight w:val="none"/>
        </w:rPr>
      </w:pPr>
      <w:r>
        <w:rPr>
          <w:rFonts w:hint="eastAsia" w:ascii="Times New Roman" w:hAnsi="Times New Roman" w:eastAsia="宋体" w:cs="Times New Roman"/>
          <w:kern w:val="0"/>
          <w:szCs w:val="21"/>
          <w:highlight w:val="none"/>
          <w:u w:val="single"/>
          <w:shd w:val="clear" w:color="auto" w:fill="FFFFFF"/>
        </w:rPr>
        <w:t>          </w:t>
      </w:r>
      <w:r>
        <w:rPr>
          <w:rFonts w:hint="eastAsia" w:ascii="Times New Roman" w:hAnsi="Times New Roman" w:eastAsia="宋体" w:cs="Times New Roman"/>
          <w:kern w:val="0"/>
          <w:szCs w:val="21"/>
          <w:highlight w:val="none"/>
          <w:shd w:val="clear" w:color="auto" w:fill="FFFFFF"/>
        </w:rPr>
        <w:t>年</w:t>
      </w:r>
      <w:r>
        <w:rPr>
          <w:rFonts w:hint="eastAsia" w:ascii="Times New Roman" w:hAnsi="Times New Roman" w:eastAsia="宋体" w:cs="Times New Roman"/>
          <w:kern w:val="0"/>
          <w:szCs w:val="21"/>
          <w:highlight w:val="none"/>
          <w:u w:val="single"/>
          <w:shd w:val="clear" w:color="auto" w:fill="FFFFFF"/>
        </w:rPr>
        <w:t>        </w:t>
      </w:r>
      <w:r>
        <w:rPr>
          <w:rFonts w:hint="eastAsia" w:ascii="Times New Roman" w:hAnsi="Times New Roman" w:eastAsia="宋体" w:cs="Times New Roman"/>
          <w:kern w:val="0"/>
          <w:szCs w:val="21"/>
          <w:highlight w:val="none"/>
          <w:shd w:val="clear" w:color="auto" w:fill="FFFFFF"/>
        </w:rPr>
        <w:t>月</w:t>
      </w:r>
      <w:r>
        <w:rPr>
          <w:rFonts w:hint="eastAsia" w:ascii="Times New Roman" w:hAnsi="Times New Roman" w:eastAsia="宋体" w:cs="Times New Roman"/>
          <w:kern w:val="0"/>
          <w:szCs w:val="21"/>
          <w:highlight w:val="none"/>
          <w:u w:val="single"/>
          <w:shd w:val="clear" w:color="auto" w:fill="FFFFFF"/>
        </w:rPr>
        <w:t>        </w:t>
      </w:r>
      <w:r>
        <w:rPr>
          <w:rFonts w:hint="eastAsia" w:ascii="Times New Roman" w:hAnsi="Times New Roman" w:eastAsia="宋体" w:cs="Times New Roman"/>
          <w:kern w:val="0"/>
          <w:szCs w:val="21"/>
          <w:highlight w:val="none"/>
          <w:shd w:val="clear" w:color="auto" w:fill="FFFFFF"/>
        </w:rPr>
        <w:t>日</w:t>
      </w:r>
      <w:bookmarkStart w:id="1048" w:name="_Toc27204"/>
      <w:bookmarkEnd w:id="1048"/>
      <w:bookmarkStart w:id="1049" w:name="_Toc25994"/>
      <w:bookmarkEnd w:id="1049"/>
    </w:p>
    <w:p>
      <w:pPr>
        <w:rPr>
          <w:rFonts w:ascii="Times New Roman" w:hAnsi="Times New Roman" w:eastAsia="宋体" w:cs="Times New Roman"/>
          <w:highlight w:val="none"/>
        </w:rPr>
      </w:pPr>
    </w:p>
    <w:p>
      <w:pPr>
        <w:rPr>
          <w:rFonts w:ascii="Times New Roman" w:hAnsi="Times New Roman" w:eastAsia="宋体" w:cs="Times New Roman"/>
          <w:highlight w:val="none"/>
        </w:rPr>
      </w:pPr>
    </w:p>
    <w:p>
      <w:pPr>
        <w:rPr>
          <w:rFonts w:ascii="Times New Roman" w:hAnsi="Times New Roman" w:eastAsia="宋体" w:cs="Times New Roman"/>
          <w:highlight w:val="none"/>
        </w:rPr>
      </w:pPr>
    </w:p>
    <w:p>
      <w:pPr>
        <w:rPr>
          <w:rFonts w:ascii="Times New Roman" w:hAnsi="Times New Roman" w:eastAsia="宋体" w:cs="Times New Roman"/>
          <w:highlight w:val="none"/>
        </w:rPr>
      </w:pPr>
    </w:p>
    <w:p>
      <w:pPr>
        <w:rPr>
          <w:rFonts w:ascii="Times New Roman" w:hAnsi="Times New Roman" w:eastAsia="宋体" w:cs="Times New Roman"/>
          <w:highlight w:val="none"/>
        </w:rPr>
      </w:pPr>
    </w:p>
    <w:p>
      <w:pPr>
        <w:jc w:val="right"/>
        <w:rPr>
          <w:rFonts w:hint="eastAsia" w:ascii="Arial" w:hAnsi="Arial" w:eastAsia="宋体" w:cs="Arial"/>
          <w:szCs w:val="21"/>
          <w:highlight w:val="none"/>
        </w:rPr>
      </w:pPr>
    </w:p>
    <w:p>
      <w:pPr>
        <w:keepNext/>
        <w:keepLines/>
        <w:widowControl w:val="0"/>
        <w:snapToGrid w:val="0"/>
        <w:spacing w:before="120" w:after="120" w:line="360" w:lineRule="auto"/>
        <w:jc w:val="both"/>
        <w:outlineLvl w:val="1"/>
        <w:rPr>
          <w:rFonts w:hint="eastAsia" w:ascii="Arial" w:hAnsi="Arial" w:eastAsia="黑体" w:cs="Arial"/>
          <w:b/>
          <w:bCs w:val="0"/>
          <w:kern w:val="2"/>
          <w:sz w:val="32"/>
          <w:szCs w:val="32"/>
          <w:highlight w:val="none"/>
          <w:lang w:val="en-US" w:eastAsia="zh-CN" w:bidi="ar-SA"/>
        </w:rPr>
      </w:pPr>
      <w:r>
        <w:rPr>
          <w:rFonts w:hint="eastAsia" w:ascii="Arial" w:hAnsi="Arial" w:eastAsia="黑体" w:cs="Arial"/>
          <w:b/>
          <w:bCs w:val="0"/>
          <w:kern w:val="2"/>
          <w:sz w:val="32"/>
          <w:szCs w:val="32"/>
          <w:highlight w:val="none"/>
          <w:lang w:val="en-US" w:eastAsia="zh-CN" w:bidi="ar-SA"/>
        </w:rPr>
        <w:br w:type="page"/>
      </w:r>
      <w:bookmarkStart w:id="1050" w:name="_Toc16922"/>
      <w:bookmarkStart w:id="1051" w:name="_Toc22723"/>
      <w:r>
        <w:rPr>
          <w:rFonts w:hint="eastAsia" w:ascii="Arial" w:hAnsi="Arial" w:eastAsia="黑体" w:cs="Arial"/>
          <w:b/>
          <w:bCs w:val="0"/>
          <w:kern w:val="2"/>
          <w:sz w:val="32"/>
          <w:szCs w:val="32"/>
          <w:highlight w:val="none"/>
          <w:lang w:val="en-US" w:eastAsia="zh-CN" w:bidi="ar-SA"/>
        </w:rPr>
        <w:t>（四）中小企业声明函</w:t>
      </w:r>
      <w:bookmarkEnd w:id="1050"/>
      <w:bookmarkEnd w:id="1051"/>
    </w:p>
    <w:p>
      <w:pPr>
        <w:rPr>
          <w:rFonts w:hint="eastAsia" w:ascii="Arial" w:hAnsi="Arial" w:eastAsia="宋体" w:cs="Arial"/>
          <w:szCs w:val="21"/>
          <w:highlight w:val="none"/>
        </w:rPr>
      </w:pPr>
    </w:p>
    <w:p>
      <w:pPr>
        <w:spacing w:line="360" w:lineRule="auto"/>
        <w:ind w:firstLine="643" w:firstLineChars="200"/>
        <w:jc w:val="center"/>
        <w:rPr>
          <w:rFonts w:hint="eastAsia" w:ascii="Times New Roman" w:hAnsi="Times New Roman" w:eastAsia="宋体" w:cs="Times New Roman"/>
          <w:b/>
          <w:sz w:val="32"/>
          <w:szCs w:val="32"/>
          <w:highlight w:val="none"/>
        </w:rPr>
      </w:pPr>
      <w:r>
        <w:rPr>
          <w:rFonts w:hint="eastAsia" w:ascii="Times New Roman" w:hAnsi="Times New Roman" w:eastAsia="宋体" w:cs="Times New Roman"/>
          <w:b/>
          <w:sz w:val="32"/>
          <w:szCs w:val="32"/>
          <w:highlight w:val="none"/>
        </w:rPr>
        <w:t>中小企业声明函（服务）</w:t>
      </w:r>
    </w:p>
    <w:p>
      <w:pPr>
        <w:spacing w:line="360" w:lineRule="auto"/>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本公司（联合体）郑重声明，根据《政府采购促进中小企业发展管理办法》 （财库﹝2020﹞46号）的规定，本公司（联合体）参加</w:t>
      </w:r>
      <w:r>
        <w:rPr>
          <w:rFonts w:hint="eastAsia"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t xml:space="preserve">  </w:t>
      </w:r>
      <w:r>
        <w:rPr>
          <w:rFonts w:hint="eastAsia" w:ascii="Times New Roman" w:hAnsi="Times New Roman" w:eastAsia="宋体" w:cs="Times New Roman"/>
          <w:i/>
          <w:szCs w:val="21"/>
          <w:highlight w:val="none"/>
          <w:u w:val="single"/>
        </w:rPr>
        <w:t>（单位名称）</w:t>
      </w:r>
      <w:r>
        <w:rPr>
          <w:rFonts w:hint="eastAsia"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的</w:t>
      </w:r>
      <w:r>
        <w:rPr>
          <w:rFonts w:hint="eastAsia"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t xml:space="preserve">  </w:t>
      </w:r>
      <w:r>
        <w:rPr>
          <w:rFonts w:hint="eastAsia" w:ascii="Times New Roman" w:hAnsi="Times New Roman" w:eastAsia="宋体" w:cs="Times New Roman"/>
          <w:i/>
          <w:szCs w:val="21"/>
          <w:highlight w:val="none"/>
          <w:u w:val="single"/>
        </w:rPr>
        <w:t>（项目名称）</w:t>
      </w:r>
      <w:r>
        <w:rPr>
          <w:rFonts w:hint="eastAsia"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t xml:space="preserve"> </w:t>
      </w:r>
      <w:r>
        <w:rPr>
          <w:rFonts w:ascii="Arial" w:hAnsi="Arial" w:eastAsia="宋体" w:cs="Arial"/>
          <w:szCs w:val="21"/>
          <w:highlight w:val="none"/>
        </w:rPr>
        <w:t xml:space="preserve"> </w:t>
      </w:r>
      <w:r>
        <w:rPr>
          <w:rFonts w:hint="eastAsia" w:ascii="Arial" w:hAnsi="Arial" w:eastAsia="宋体" w:cs="Arial"/>
          <w:szCs w:val="21"/>
          <w:highlight w:val="none"/>
        </w:rPr>
        <w:t xml:space="preserve">  </w:t>
      </w:r>
      <w:r>
        <w:rPr>
          <w:rFonts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采购活动，服务全部由符合政策要求的中小企业承接。相关企业（含联合体中的中小企业、签订分包意向协议的中小企业）的具体情况如下：</w:t>
      </w:r>
    </w:p>
    <w:p>
      <w:pPr>
        <w:spacing w:line="360" w:lineRule="auto"/>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r>
        <w:rPr>
          <w:rFonts w:ascii="Times New Roman" w:hAnsi="Times New Roman" w:eastAsia="宋体" w:cs="Times New Roman"/>
          <w:szCs w:val="21"/>
          <w:highlight w:val="none"/>
        </w:rPr>
        <w:t xml:space="preserve">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i/>
          <w:szCs w:val="21"/>
          <w:highlight w:val="none"/>
          <w:u w:val="single"/>
        </w:rPr>
        <w:t xml:space="preserve">（标的名称）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szCs w:val="21"/>
          <w:highlight w:val="none"/>
        </w:rPr>
        <w:t>，属于</w:t>
      </w:r>
      <w:r>
        <w:rPr>
          <w:rFonts w:hint="eastAsia" w:ascii="Times New Roman" w:hAnsi="Times New Roman" w:eastAsia="宋体" w:cs="Times New Roman"/>
          <w:i/>
          <w:szCs w:val="21"/>
          <w:highlight w:val="none"/>
          <w:u w:val="single"/>
        </w:rPr>
        <w:t xml:space="preserve">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b/>
          <w:bCs/>
          <w:i w:val="0"/>
          <w:iCs/>
          <w:szCs w:val="21"/>
          <w:highlight w:val="none"/>
          <w:u w:val="single"/>
        </w:rPr>
        <w:t>软件和信息技术服务业</w:t>
      </w:r>
      <w:r>
        <w:rPr>
          <w:rFonts w:hint="eastAsia" w:ascii="Times New Roman" w:hAnsi="Times New Roman" w:eastAsia="宋体" w:cs="Times New Roman"/>
          <w:b/>
          <w:bCs/>
          <w:i w:val="0"/>
          <w:iCs/>
          <w:szCs w:val="21"/>
          <w:highlight w:val="none"/>
          <w:u w:val="single"/>
          <w:lang w:val="en-US" w:eastAsia="zh-CN"/>
        </w:rPr>
        <w:t xml:space="preserve">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szCs w:val="21"/>
          <w:highlight w:val="none"/>
        </w:rPr>
        <w:t xml:space="preserve"> ；承接企业为</w:t>
      </w:r>
      <w:r>
        <w:rPr>
          <w:rFonts w:hint="eastAsia" w:ascii="Times New Roman" w:hAnsi="Times New Roman" w:eastAsia="宋体" w:cs="Times New Roman"/>
          <w:i/>
          <w:szCs w:val="21"/>
          <w:highlight w:val="none"/>
          <w:u w:val="single"/>
        </w:rPr>
        <w:t xml:space="preserve">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i/>
          <w:szCs w:val="21"/>
          <w:highlight w:val="none"/>
          <w:u w:val="single"/>
        </w:rPr>
        <w:t xml:space="preserve">（企业名称）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i/>
          <w:szCs w:val="21"/>
          <w:highlight w:val="none"/>
          <w:u w:val="single"/>
        </w:rPr>
        <w:t xml:space="preserve"> </w:t>
      </w:r>
      <w:r>
        <w:rPr>
          <w:rFonts w:hint="eastAsia" w:ascii="Times New Roman" w:hAnsi="Times New Roman" w:eastAsia="宋体" w:cs="Times New Roman"/>
          <w:szCs w:val="21"/>
          <w:highlight w:val="none"/>
        </w:rPr>
        <w:t>，从业人员</w:t>
      </w:r>
      <w:r>
        <w:rPr>
          <w:rFonts w:hint="eastAsia"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人，营业收入为</w:t>
      </w:r>
      <w:r>
        <w:rPr>
          <w:rFonts w:hint="eastAsia"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万元，资产总额为</w:t>
      </w:r>
      <w:r>
        <w:rPr>
          <w:rFonts w:hint="eastAsia"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万元，属于</w:t>
      </w:r>
      <w:r>
        <w:rPr>
          <w:rFonts w:hint="eastAsia" w:ascii="Times New Roman" w:hAnsi="Times New Roman" w:eastAsia="宋体" w:cs="Times New Roman"/>
          <w:i/>
          <w:szCs w:val="21"/>
          <w:highlight w:val="none"/>
          <w:u w:val="single"/>
        </w:rPr>
        <w:t xml:space="preserve">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i/>
          <w:szCs w:val="21"/>
          <w:highlight w:val="none"/>
          <w:u w:val="single"/>
        </w:rPr>
        <w:t xml:space="preserve">（中型企业、小型企业、微型企业）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szCs w:val="21"/>
          <w:highlight w:val="none"/>
        </w:rPr>
        <w:t xml:space="preserve"> ；</w:t>
      </w:r>
    </w:p>
    <w:p>
      <w:pPr>
        <w:spacing w:line="360" w:lineRule="auto"/>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i/>
          <w:szCs w:val="21"/>
          <w:highlight w:val="none"/>
          <w:u w:val="single"/>
        </w:rPr>
        <w:t xml:space="preserve">（标的名称）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szCs w:val="21"/>
          <w:highlight w:val="none"/>
        </w:rPr>
        <w:t>，属于</w:t>
      </w:r>
      <w:r>
        <w:rPr>
          <w:rFonts w:hint="eastAsia" w:ascii="Times New Roman" w:hAnsi="Times New Roman" w:eastAsia="宋体" w:cs="Times New Roman"/>
          <w:i/>
          <w:szCs w:val="21"/>
          <w:highlight w:val="none"/>
          <w:u w:val="single"/>
        </w:rPr>
        <w:t xml:space="preserve">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b/>
          <w:bCs/>
          <w:i w:val="0"/>
          <w:iCs/>
          <w:szCs w:val="21"/>
          <w:highlight w:val="none"/>
          <w:u w:val="single"/>
          <w:lang w:val="en-US" w:eastAsia="zh-CN"/>
        </w:rPr>
        <w:t>软件和信息技术服务业</w:t>
      </w:r>
      <w:r>
        <w:rPr>
          <w:rFonts w:hint="eastAsia" w:ascii="Times New Roman" w:hAnsi="Times New Roman" w:eastAsia="宋体" w:cs="Times New Roman"/>
          <w:i/>
          <w:szCs w:val="21"/>
          <w:highlight w:val="none"/>
          <w:u w:val="single"/>
        </w:rPr>
        <w:t xml:space="preserve">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szCs w:val="21"/>
          <w:highlight w:val="none"/>
        </w:rPr>
        <w:t xml:space="preserve"> ；承接企业为</w:t>
      </w:r>
      <w:r>
        <w:rPr>
          <w:rFonts w:hint="eastAsia" w:ascii="Times New Roman" w:hAnsi="Times New Roman" w:eastAsia="宋体" w:cs="Times New Roman"/>
          <w:i/>
          <w:szCs w:val="21"/>
          <w:highlight w:val="none"/>
          <w:u w:val="single"/>
        </w:rPr>
        <w:t xml:space="preserve">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i/>
          <w:szCs w:val="21"/>
          <w:highlight w:val="none"/>
          <w:u w:val="single"/>
        </w:rPr>
        <w:t xml:space="preserve">（企业名称）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i/>
          <w:szCs w:val="21"/>
          <w:highlight w:val="none"/>
          <w:u w:val="single"/>
        </w:rPr>
        <w:t xml:space="preserve"> </w:t>
      </w:r>
      <w:r>
        <w:rPr>
          <w:rFonts w:hint="eastAsia" w:ascii="Times New Roman" w:hAnsi="Times New Roman" w:eastAsia="宋体" w:cs="Times New Roman"/>
          <w:szCs w:val="21"/>
          <w:highlight w:val="none"/>
        </w:rPr>
        <w:t>，从业人员</w:t>
      </w:r>
      <w:r>
        <w:rPr>
          <w:rFonts w:hint="eastAsia"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人，营业收入为</w:t>
      </w:r>
      <w:r>
        <w:rPr>
          <w:rFonts w:hint="eastAsia"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万元，资产总额为</w:t>
      </w:r>
      <w:r>
        <w:rPr>
          <w:rFonts w:hint="eastAsia"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万元，属于</w:t>
      </w:r>
      <w:r>
        <w:rPr>
          <w:rFonts w:hint="eastAsia" w:ascii="Times New Roman" w:hAnsi="Times New Roman" w:eastAsia="宋体" w:cs="Times New Roman"/>
          <w:i/>
          <w:szCs w:val="21"/>
          <w:highlight w:val="none"/>
          <w:u w:val="single"/>
        </w:rPr>
        <w:t xml:space="preserve">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i/>
          <w:szCs w:val="21"/>
          <w:highlight w:val="none"/>
          <w:u w:val="single"/>
        </w:rPr>
        <w:t xml:space="preserve">（中型企业、小型企业、微型企业） </w:t>
      </w:r>
      <w:r>
        <w:rPr>
          <w:rFonts w:ascii="Times New Roman" w:hAnsi="Times New Roman" w:eastAsia="宋体" w:cs="Times New Roman"/>
          <w:i/>
          <w:szCs w:val="21"/>
          <w:highlight w:val="none"/>
          <w:u w:val="single"/>
        </w:rPr>
        <w:t xml:space="preserve">   </w:t>
      </w:r>
      <w:r>
        <w:rPr>
          <w:rFonts w:hint="eastAsia" w:ascii="Times New Roman" w:hAnsi="Times New Roman" w:eastAsia="宋体" w:cs="Times New Roman"/>
          <w:szCs w:val="21"/>
          <w:highlight w:val="none"/>
        </w:rPr>
        <w:t xml:space="preserve"> ；</w:t>
      </w:r>
    </w:p>
    <w:p>
      <w:pPr>
        <w:spacing w:line="360" w:lineRule="auto"/>
        <w:ind w:firstLine="420" w:firstLineChars="200"/>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w:t>
      </w:r>
    </w:p>
    <w:p>
      <w:pPr>
        <w:spacing w:line="360" w:lineRule="auto"/>
        <w:ind w:firstLine="420" w:firstLineChars="200"/>
        <w:rPr>
          <w:rFonts w:hint="eastAsia" w:ascii="Times New Roman" w:hAnsi="Times New Roman" w:eastAsia="宋体" w:cs="Times New Roman"/>
          <w:szCs w:val="21"/>
          <w:highlight w:val="none"/>
        </w:rPr>
      </w:pPr>
    </w:p>
    <w:p>
      <w:pPr>
        <w:spacing w:line="360" w:lineRule="auto"/>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以上企业，不属于大企业的分支机构，不存在控股股东为大企业的情形，也不存在与大企业的负责人为同一人的情形。</w:t>
      </w:r>
    </w:p>
    <w:p>
      <w:pPr>
        <w:spacing w:line="360" w:lineRule="auto"/>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本企业对上述声明内容的真实性负责。如有虚假，将依法承担相应责任。</w:t>
      </w:r>
    </w:p>
    <w:p>
      <w:pPr>
        <w:spacing w:line="360" w:lineRule="auto"/>
        <w:ind w:firstLine="420" w:firstLineChars="200"/>
        <w:rPr>
          <w:rFonts w:ascii="Times New Roman" w:hAnsi="Times New Roman" w:eastAsia="宋体" w:cs="Times New Roman"/>
          <w:szCs w:val="21"/>
          <w:highlight w:val="none"/>
        </w:rPr>
      </w:pPr>
    </w:p>
    <w:p>
      <w:pPr>
        <w:spacing w:line="360" w:lineRule="auto"/>
        <w:ind w:firstLine="420" w:firstLineChars="200"/>
        <w:rPr>
          <w:rFonts w:ascii="Times New Roman" w:hAnsi="Times New Roman" w:eastAsia="宋体" w:cs="Times New Roman"/>
          <w:szCs w:val="21"/>
          <w:highlight w:val="none"/>
        </w:rPr>
      </w:pPr>
    </w:p>
    <w:p>
      <w:pPr>
        <w:spacing w:line="360" w:lineRule="auto"/>
        <w:ind w:firstLine="4830" w:firstLineChars="23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企业名称（盖章） ：</w:t>
      </w:r>
    </w:p>
    <w:p>
      <w:pPr>
        <w:spacing w:line="360" w:lineRule="auto"/>
        <w:ind w:firstLine="420" w:firstLineChars="200"/>
        <w:rPr>
          <w:rFonts w:hint="eastAsia" w:ascii="Times New Roman" w:hAnsi="Times New Roman" w:eastAsia="宋体" w:cs="Times New Roman"/>
          <w:szCs w:val="21"/>
          <w:highlight w:val="none"/>
        </w:rPr>
      </w:pPr>
    </w:p>
    <w:p>
      <w:pPr>
        <w:spacing w:line="360" w:lineRule="auto"/>
        <w:ind w:firstLine="5250" w:firstLineChars="2500"/>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日期：</w:t>
      </w:r>
    </w:p>
    <w:p>
      <w:pPr>
        <w:spacing w:line="360" w:lineRule="auto"/>
        <w:ind w:firstLine="5250" w:firstLineChars="2500"/>
        <w:rPr>
          <w:rFonts w:ascii="Times New Roman" w:hAnsi="Times New Roman" w:eastAsia="宋体" w:cs="Times New Roman"/>
          <w:szCs w:val="21"/>
          <w:highlight w:val="none"/>
        </w:rPr>
      </w:pPr>
    </w:p>
    <w:p>
      <w:pPr>
        <w:spacing w:line="360" w:lineRule="auto"/>
        <w:jc w:val="lef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rPr>
        <w:t>备注：</w:t>
      </w:r>
    </w:p>
    <w:p>
      <w:pPr>
        <w:spacing w:line="360" w:lineRule="auto"/>
        <w:ind w:firstLine="840" w:firstLineChars="400"/>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1、从业人员、营业收入、资产总额填报上一年度数据，无上一年度数据的新成立企业可不填报。</w:t>
      </w:r>
    </w:p>
    <w:p>
      <w:pPr>
        <w:spacing w:line="360" w:lineRule="auto"/>
        <w:ind w:firstLine="446" w:firstLineChars="200"/>
        <w:rPr>
          <w:rFonts w:ascii="Times New Roman" w:hAnsi="Times New Roman" w:eastAsia="宋体" w:cs="Times New Roman"/>
          <w:szCs w:val="21"/>
          <w:highlight w:val="none"/>
        </w:rPr>
      </w:pPr>
      <w:r>
        <w:rPr>
          <w:rFonts w:ascii="宋体" w:hAnsi="宋体" w:eastAsia="宋体" w:cs="宋体"/>
          <w:b/>
          <w:spacing w:val="6"/>
          <w:szCs w:val="21"/>
          <w:highlight w:val="none"/>
        </w:rPr>
        <w:t xml:space="preserve">   </w:t>
      </w:r>
      <w:r>
        <w:rPr>
          <w:rFonts w:hint="eastAsia" w:ascii="Times New Roman" w:hAnsi="Times New Roman" w:eastAsia="宋体" w:cs="Times New Roman"/>
          <w:szCs w:val="21"/>
          <w:highlight w:val="none"/>
        </w:rPr>
        <w:t>2、以联合体形式参加政府采购活动，联合体各方均为中小企业的，联合体视同中小企业。其中，联合体各方均为小微企业的，联合体视同小微企业。</w:t>
      </w:r>
    </w:p>
    <w:p>
      <w:pPr>
        <w:snapToGrid w:val="0"/>
        <w:spacing w:line="300" w:lineRule="auto"/>
        <w:ind w:firstLine="779" w:firstLineChars="371"/>
        <w:jc w:val="lef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3、在服务采购项目中，服务由中小企业承接，即提供服务的人员为中小企业依照《中华人民共和国劳动合同法》订立劳动合同的从业人员。</w:t>
      </w:r>
    </w:p>
    <w:p>
      <w:pPr>
        <w:snapToGrid w:val="0"/>
        <w:spacing w:line="300" w:lineRule="auto"/>
        <w:ind w:firstLine="779" w:firstLineChars="371"/>
        <w:jc w:val="lef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4、符合中小企业划分标准的个体工商户，在政府采购活动中视同中小企业。</w:t>
      </w:r>
    </w:p>
    <w:p>
      <w:pPr>
        <w:spacing w:line="360" w:lineRule="auto"/>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           </w:t>
      </w:r>
    </w:p>
    <w:p>
      <w:pP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br w:type="page"/>
      </w:r>
    </w:p>
    <w:p>
      <w:pPr>
        <w:pStyle w:val="34"/>
        <w:rPr>
          <w:rFonts w:hint="eastAsia"/>
        </w:rPr>
      </w:pPr>
    </w:p>
    <w:p>
      <w:pPr>
        <w:spacing w:line="360" w:lineRule="auto"/>
        <w:ind w:firstLine="643" w:firstLineChars="200"/>
        <w:jc w:val="center"/>
        <w:rPr>
          <w:rFonts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t>中小企业声明函（工程）</w:t>
      </w:r>
    </w:p>
    <w:p>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本公司（联合体）郑重声明，根据《政府采购促进中小企业发展管理办法》 （财库﹝2020﹞46号）的规定，本公司（联合体）</w:t>
      </w:r>
      <w:r>
        <w:rPr>
          <w:rFonts w:hint="eastAsia" w:ascii="宋体" w:hAnsi="宋体" w:eastAsia="宋体" w:cs="宋体"/>
          <w:color w:val="auto"/>
          <w:szCs w:val="21"/>
          <w:highlight w:val="none"/>
        </w:rPr>
        <w:t>参加</w:t>
      </w:r>
      <w:r>
        <w:rPr>
          <w:rFonts w:hint="eastAsia" w:ascii="宋体" w:hAnsi="宋体" w:eastAsia="宋体" w:cs="宋体"/>
          <w:i/>
          <w:color w:val="auto"/>
          <w:szCs w:val="21"/>
          <w:highlight w:val="none"/>
          <w:u w:val="single"/>
        </w:rPr>
        <w:t xml:space="preserve">     </w:t>
      </w:r>
      <w:r>
        <w:rPr>
          <w:rFonts w:hint="eastAsia" w:ascii="宋体" w:hAnsi="宋体" w:cs="宋体"/>
          <w:i w:val="0"/>
          <w:iCs/>
          <w:color w:val="auto"/>
          <w:szCs w:val="21"/>
          <w:highlight w:val="none"/>
          <w:u w:val="single"/>
          <w:lang w:val="en-US" w:eastAsia="zh-CN"/>
        </w:rPr>
        <w:t xml:space="preserve"> </w:t>
      </w:r>
      <w:r>
        <w:rPr>
          <w:rFonts w:hint="eastAsia" w:ascii="宋体" w:hAnsi="宋体" w:eastAsia="宋体" w:cs="宋体"/>
          <w:i/>
          <w:color w:val="auto"/>
          <w:szCs w:val="21"/>
          <w:highlight w:val="none"/>
          <w:u w:val="single"/>
        </w:rPr>
        <w:t xml:space="preserve">    </w:t>
      </w:r>
      <w:r>
        <w:rPr>
          <w:rFonts w:hint="eastAsia" w:ascii="宋体" w:hAnsi="宋体" w:eastAsia="宋体" w:cs="宋体"/>
          <w:color w:val="auto"/>
          <w:szCs w:val="21"/>
          <w:highlight w:val="none"/>
        </w:rPr>
        <w:t xml:space="preserve"> 的</w:t>
      </w:r>
      <w:r>
        <w:rPr>
          <w:rFonts w:hint="eastAsia" w:ascii="宋体" w:hAnsi="宋体" w:eastAsia="宋体" w:cs="宋体"/>
          <w:i/>
          <w:color w:val="auto"/>
          <w:szCs w:val="21"/>
          <w:highlight w:val="none"/>
          <w:u w:val="single"/>
        </w:rPr>
        <w:t xml:space="preserve">   </w:t>
      </w:r>
      <w:r>
        <w:rPr>
          <w:rFonts w:hint="eastAsia" w:ascii="宋体" w:hAnsi="宋体" w:cs="宋体"/>
          <w:i w:val="0"/>
          <w:iCs/>
          <w:color w:val="auto"/>
          <w:szCs w:val="21"/>
          <w:highlight w:val="none"/>
          <w:u w:val="single"/>
          <w:lang w:val="en-US" w:eastAsia="zh-CN"/>
        </w:rPr>
        <w:t xml:space="preserve">  </w:t>
      </w:r>
      <w:r>
        <w:rPr>
          <w:rFonts w:hint="eastAsia" w:ascii="宋体" w:hAnsi="宋体" w:eastAsia="宋体" w:cs="宋体"/>
          <w:i w:val="0"/>
          <w:iCs/>
          <w:color w:val="auto"/>
          <w:szCs w:val="21"/>
          <w:highlight w:val="none"/>
          <w:u w:val="single"/>
          <w:lang w:val="en-US" w:eastAsia="zh-CN"/>
        </w:rPr>
        <w:t xml:space="preserve"> </w:t>
      </w:r>
      <w:r>
        <w:rPr>
          <w:rFonts w:hint="eastAsia" w:ascii="宋体" w:hAnsi="宋体" w:eastAsia="宋体" w:cs="宋体"/>
          <w:i/>
          <w:color w:val="auto"/>
          <w:szCs w:val="21"/>
          <w:highlight w:val="none"/>
          <w:u w:val="single"/>
        </w:rPr>
        <w:t xml:space="preserve"> </w:t>
      </w:r>
      <w:r>
        <w:rPr>
          <w:rFonts w:hint="eastAsia" w:ascii="宋体" w:hAnsi="宋体" w:eastAsia="宋体" w:cs="宋体"/>
          <w:color w:val="auto"/>
          <w:szCs w:val="21"/>
          <w:highlight w:val="none"/>
        </w:rPr>
        <w:t>采购活动</w:t>
      </w:r>
      <w:r>
        <w:rPr>
          <w:rFonts w:hint="eastAsia" w:ascii="Times New Roman" w:hAnsi="Times New Roman" w:eastAsia="宋体" w:cs="Times New Roman"/>
          <w:color w:val="auto"/>
          <w:szCs w:val="21"/>
          <w:highlight w:val="none"/>
        </w:rPr>
        <w:t>，工程的施工单位全部为符合政策要求的中小企业。相关企业（含联合体中的中小企业、签订分包意向协议的中小企业）的具体情况如下：</w:t>
      </w:r>
    </w:p>
    <w:p>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w:t>
      </w:r>
      <w:r>
        <w:rPr>
          <w:rFonts w:ascii="Times New Roman" w:hAnsi="Times New Roman" w:eastAsia="宋体" w:cs="Times New Roman"/>
          <w:color w:val="auto"/>
          <w:szCs w:val="21"/>
          <w:highlight w:val="none"/>
        </w:rPr>
        <w:t xml:space="preserve">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i/>
          <w:color w:val="auto"/>
          <w:szCs w:val="21"/>
          <w:highlight w:val="none"/>
          <w:u w:val="single"/>
        </w:rPr>
        <w:t xml:space="preserve">（标的名称）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color w:val="auto"/>
          <w:szCs w:val="21"/>
          <w:highlight w:val="none"/>
        </w:rPr>
        <w:t>，属于</w:t>
      </w:r>
      <w:r>
        <w:rPr>
          <w:rFonts w:hint="eastAsia" w:ascii="Times New Roman" w:hAnsi="Times New Roman" w:eastAsia="宋体" w:cs="Times New Roman"/>
          <w:i/>
          <w:color w:val="auto"/>
          <w:szCs w:val="21"/>
          <w:highlight w:val="none"/>
          <w:u w:val="single"/>
        </w:rPr>
        <w:t xml:space="preserve">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b/>
          <w:i w:val="0"/>
          <w:iCs/>
          <w:color w:val="auto"/>
          <w:szCs w:val="21"/>
          <w:highlight w:val="none"/>
          <w:u w:val="single"/>
        </w:rPr>
        <w:t>建筑业</w:t>
      </w:r>
      <w:r>
        <w:rPr>
          <w:rFonts w:hint="eastAsia" w:ascii="Times New Roman" w:hAnsi="Times New Roman" w:eastAsia="宋体" w:cs="Times New Roman"/>
          <w:i/>
          <w:color w:val="auto"/>
          <w:szCs w:val="21"/>
          <w:highlight w:val="none"/>
          <w:u w:val="single"/>
        </w:rPr>
        <w:t xml:space="preserve">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color w:val="auto"/>
          <w:szCs w:val="21"/>
          <w:highlight w:val="none"/>
        </w:rPr>
        <w:t xml:space="preserve"> ；承接企业为</w:t>
      </w:r>
      <w:r>
        <w:rPr>
          <w:rFonts w:hint="eastAsia" w:ascii="Times New Roman" w:hAnsi="Times New Roman" w:eastAsia="宋体" w:cs="Times New Roman"/>
          <w:i/>
          <w:color w:val="auto"/>
          <w:szCs w:val="21"/>
          <w:highlight w:val="none"/>
          <w:u w:val="single"/>
        </w:rPr>
        <w:t xml:space="preserve">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i/>
          <w:color w:val="auto"/>
          <w:szCs w:val="21"/>
          <w:highlight w:val="none"/>
          <w:u w:val="single"/>
        </w:rPr>
        <w:t xml:space="preserve">（企业名称）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color w:val="auto"/>
          <w:szCs w:val="21"/>
          <w:highlight w:val="none"/>
        </w:rPr>
        <w:t>，从业人员</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人，营业收入为</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万元，资产总额为</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万元，属于</w:t>
      </w:r>
      <w:r>
        <w:rPr>
          <w:rFonts w:hint="eastAsia" w:ascii="Times New Roman" w:hAnsi="Times New Roman" w:eastAsia="宋体" w:cs="Times New Roman"/>
          <w:i/>
          <w:color w:val="auto"/>
          <w:szCs w:val="21"/>
          <w:highlight w:val="none"/>
          <w:u w:val="single"/>
        </w:rPr>
        <w:t xml:space="preserve">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i/>
          <w:color w:val="auto"/>
          <w:szCs w:val="21"/>
          <w:highlight w:val="none"/>
          <w:u w:val="single"/>
        </w:rPr>
        <w:t xml:space="preserve">（中型企业、小型企业、微型企业）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color w:val="auto"/>
          <w:szCs w:val="21"/>
          <w:highlight w:val="none"/>
        </w:rPr>
        <w:t xml:space="preserve"> ；</w:t>
      </w:r>
    </w:p>
    <w:p>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2.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i/>
          <w:color w:val="auto"/>
          <w:szCs w:val="21"/>
          <w:highlight w:val="none"/>
          <w:u w:val="single"/>
        </w:rPr>
        <w:t xml:space="preserve">（标的名称）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color w:val="auto"/>
          <w:szCs w:val="21"/>
          <w:highlight w:val="none"/>
        </w:rPr>
        <w:t>，属于</w:t>
      </w:r>
      <w:r>
        <w:rPr>
          <w:rFonts w:hint="eastAsia" w:ascii="Times New Roman" w:hAnsi="Times New Roman" w:eastAsia="宋体" w:cs="Times New Roman"/>
          <w:i/>
          <w:color w:val="auto"/>
          <w:szCs w:val="21"/>
          <w:highlight w:val="none"/>
          <w:u w:val="single"/>
        </w:rPr>
        <w:t xml:space="preserve">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b/>
          <w:i w:val="0"/>
          <w:iCs/>
          <w:color w:val="auto"/>
          <w:szCs w:val="21"/>
          <w:highlight w:val="none"/>
          <w:u w:val="single"/>
        </w:rPr>
        <w:t>建筑业</w:t>
      </w:r>
      <w:r>
        <w:rPr>
          <w:rFonts w:hint="eastAsia" w:ascii="Times New Roman" w:hAnsi="Times New Roman" w:eastAsia="宋体" w:cs="Times New Roman"/>
          <w:i/>
          <w:color w:val="auto"/>
          <w:szCs w:val="21"/>
          <w:highlight w:val="none"/>
          <w:u w:val="single"/>
        </w:rPr>
        <w:t xml:space="preserve">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color w:val="auto"/>
          <w:szCs w:val="21"/>
          <w:highlight w:val="none"/>
        </w:rPr>
        <w:t xml:space="preserve"> ；承接企业为</w:t>
      </w:r>
      <w:r>
        <w:rPr>
          <w:rFonts w:hint="eastAsia" w:ascii="Times New Roman" w:hAnsi="Times New Roman" w:eastAsia="宋体" w:cs="Times New Roman"/>
          <w:i/>
          <w:color w:val="auto"/>
          <w:szCs w:val="21"/>
          <w:highlight w:val="none"/>
          <w:u w:val="single"/>
        </w:rPr>
        <w:t xml:space="preserve">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i/>
          <w:color w:val="auto"/>
          <w:szCs w:val="21"/>
          <w:highlight w:val="none"/>
          <w:u w:val="single"/>
        </w:rPr>
        <w:t xml:space="preserve">（企业名称）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color w:val="auto"/>
          <w:szCs w:val="21"/>
          <w:highlight w:val="none"/>
        </w:rPr>
        <w:t>，从业人员</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人，营业收入为</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万元，资产总额为</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万元，属于</w:t>
      </w:r>
      <w:r>
        <w:rPr>
          <w:rFonts w:hint="eastAsia" w:ascii="Times New Roman" w:hAnsi="Times New Roman" w:eastAsia="宋体" w:cs="Times New Roman"/>
          <w:i/>
          <w:color w:val="auto"/>
          <w:szCs w:val="21"/>
          <w:highlight w:val="none"/>
          <w:u w:val="single"/>
        </w:rPr>
        <w:t xml:space="preserve">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i/>
          <w:color w:val="auto"/>
          <w:szCs w:val="21"/>
          <w:highlight w:val="none"/>
          <w:u w:val="single"/>
        </w:rPr>
        <w:t xml:space="preserve">（中型企业、小型企业、微型企业） </w:t>
      </w:r>
      <w:r>
        <w:rPr>
          <w:rFonts w:ascii="Times New Roman" w:hAnsi="Times New Roman" w:eastAsia="宋体" w:cs="Times New Roman"/>
          <w:i/>
          <w:color w:val="auto"/>
          <w:szCs w:val="21"/>
          <w:highlight w:val="none"/>
          <w:u w:val="single"/>
        </w:rPr>
        <w:t xml:space="preserve">   </w:t>
      </w:r>
      <w:r>
        <w:rPr>
          <w:rFonts w:hint="eastAsia" w:ascii="Times New Roman" w:hAnsi="Times New Roman" w:eastAsia="宋体" w:cs="Times New Roman"/>
          <w:color w:val="auto"/>
          <w:szCs w:val="21"/>
          <w:highlight w:val="none"/>
        </w:rPr>
        <w:t xml:space="preserve"> ；</w:t>
      </w:r>
    </w:p>
    <w:p>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w:t>
      </w:r>
    </w:p>
    <w:p>
      <w:pPr>
        <w:spacing w:line="360" w:lineRule="auto"/>
        <w:ind w:firstLine="420" w:firstLineChars="200"/>
        <w:rPr>
          <w:rFonts w:ascii="Times New Roman" w:hAnsi="Times New Roman" w:eastAsia="宋体" w:cs="Times New Roman"/>
          <w:color w:val="auto"/>
          <w:szCs w:val="21"/>
          <w:highlight w:val="none"/>
        </w:rPr>
      </w:pPr>
    </w:p>
    <w:p>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以上企业，不属于大企业的分支机构，不存在控股股东为大企业的情形，也不存在与大企业的负责人为同一人的情形。</w:t>
      </w:r>
    </w:p>
    <w:p>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本企业对上述声明内容的真实性负责。如有虚假，将依法承担相应责任。</w:t>
      </w:r>
    </w:p>
    <w:p>
      <w:pPr>
        <w:spacing w:line="360" w:lineRule="auto"/>
        <w:ind w:firstLine="420" w:firstLineChars="200"/>
        <w:rPr>
          <w:rFonts w:ascii="Times New Roman" w:hAnsi="Times New Roman" w:eastAsia="宋体" w:cs="Times New Roman"/>
          <w:color w:val="auto"/>
          <w:szCs w:val="21"/>
          <w:highlight w:val="none"/>
        </w:rPr>
      </w:pPr>
    </w:p>
    <w:p>
      <w:pPr>
        <w:spacing w:line="360" w:lineRule="auto"/>
        <w:ind w:firstLine="4830" w:firstLineChars="23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企业名称（盖章） ：</w:t>
      </w:r>
    </w:p>
    <w:p>
      <w:pPr>
        <w:spacing w:line="360" w:lineRule="auto"/>
        <w:ind w:firstLine="420" w:firstLineChars="200"/>
        <w:rPr>
          <w:rFonts w:ascii="Times New Roman" w:hAnsi="Times New Roman" w:eastAsia="宋体" w:cs="Times New Roman"/>
          <w:color w:val="auto"/>
          <w:szCs w:val="21"/>
          <w:highlight w:val="none"/>
        </w:rPr>
      </w:pPr>
    </w:p>
    <w:p>
      <w:pPr>
        <w:spacing w:line="360" w:lineRule="auto"/>
        <w:ind w:firstLine="5250" w:firstLineChars="25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日期：</w:t>
      </w:r>
    </w:p>
    <w:p>
      <w:pPr>
        <w:spacing w:line="360" w:lineRule="auto"/>
        <w:ind w:firstLine="5250" w:firstLineChars="2500"/>
        <w:rPr>
          <w:rFonts w:ascii="Times New Roman" w:hAnsi="Times New Roman" w:eastAsia="宋体" w:cs="Times New Roman"/>
          <w:color w:val="auto"/>
          <w:szCs w:val="21"/>
          <w:highlight w:val="none"/>
        </w:rPr>
      </w:pPr>
    </w:p>
    <w:p>
      <w:pPr>
        <w:spacing w:line="360" w:lineRule="auto"/>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 </w:t>
      </w:r>
      <w:r>
        <w:rPr>
          <w:rFonts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rPr>
        <w:t>备注：</w:t>
      </w:r>
    </w:p>
    <w:p>
      <w:pPr>
        <w:spacing w:line="360" w:lineRule="auto"/>
        <w:ind w:firstLine="840" w:firstLineChars="4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1、从业人员、营业收入、资产总额填报上一年度数据，无上一年度数据的新成立企业可不填报。</w:t>
      </w:r>
    </w:p>
    <w:p>
      <w:pPr>
        <w:spacing w:line="360" w:lineRule="auto"/>
        <w:ind w:firstLine="446" w:firstLineChars="200"/>
        <w:rPr>
          <w:rFonts w:ascii="Times New Roman" w:hAnsi="Times New Roman" w:eastAsia="宋体" w:cs="Times New Roman"/>
          <w:color w:val="auto"/>
          <w:szCs w:val="21"/>
          <w:highlight w:val="none"/>
        </w:rPr>
      </w:pPr>
      <w:r>
        <w:rPr>
          <w:rFonts w:ascii="宋体" w:hAnsi="Times New Roman" w:eastAsia="宋体" w:cs="宋体"/>
          <w:b/>
          <w:color w:val="auto"/>
          <w:spacing w:val="6"/>
          <w:szCs w:val="21"/>
          <w:highlight w:val="none"/>
        </w:rPr>
        <w:t xml:space="preserve">   </w:t>
      </w:r>
      <w:r>
        <w:rPr>
          <w:rFonts w:hint="eastAsia" w:ascii="Times New Roman" w:hAnsi="Times New Roman" w:eastAsia="宋体" w:cs="Times New Roman"/>
          <w:color w:val="auto"/>
          <w:szCs w:val="21"/>
          <w:highlight w:val="none"/>
        </w:rPr>
        <w:t>2、以联合体形式参加政府采购活动，联合体各方均为中小企业的，联合体视同中小企业。其中，联合体各方均为小微企业的，联合体视同小微企业。</w:t>
      </w:r>
    </w:p>
    <w:p>
      <w:pPr>
        <w:snapToGrid w:val="0"/>
        <w:spacing w:line="300" w:lineRule="auto"/>
        <w:ind w:firstLine="779" w:firstLineChars="371"/>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3、在工程采购项目中，工程由中小企业承建，即工程施工单位为中小企业。</w:t>
      </w:r>
    </w:p>
    <w:p>
      <w:pPr>
        <w:snapToGrid w:val="0"/>
        <w:spacing w:line="300" w:lineRule="auto"/>
        <w:ind w:firstLine="779" w:firstLineChars="371"/>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4、符合中小企业划分标准的个体工商户，在政府采购活动中视同中小企业。</w:t>
      </w:r>
    </w:p>
    <w:p>
      <w:pPr>
        <w:rPr>
          <w:rFonts w:ascii="Arial" w:hAnsi="Arial" w:eastAsia="宋体" w:cs="Arial"/>
          <w:color w:val="auto"/>
          <w:szCs w:val="21"/>
          <w:highlight w:val="none"/>
        </w:rPr>
      </w:pPr>
    </w:p>
    <w:p>
      <w:pPr>
        <w:rPr>
          <w:rFonts w:ascii="Arial" w:hAnsi="Arial" w:eastAsia="宋体" w:cs="Arial"/>
          <w:color w:val="auto"/>
          <w:szCs w:val="21"/>
          <w:highlight w:val="none"/>
        </w:rPr>
      </w:pPr>
    </w:p>
    <w:p>
      <w:pPr>
        <w:spacing w:line="360" w:lineRule="auto"/>
        <w:ind w:firstLine="643" w:firstLineChars="200"/>
        <w:jc w:val="center"/>
        <w:rPr>
          <w:rFonts w:hint="eastAsia" w:ascii="宋体" w:hAnsi="宋体" w:eastAsia="宋体" w:cs="宋体"/>
          <w:color w:val="auto"/>
          <w:spacing w:val="6"/>
          <w:szCs w:val="21"/>
          <w:highlight w:val="none"/>
        </w:rPr>
      </w:pPr>
      <w:r>
        <w:rPr>
          <w:rFonts w:ascii="Arial" w:hAnsi="Arial" w:eastAsia="黑体" w:cs="Arial"/>
          <w:b/>
          <w:bCs/>
          <w:color w:val="auto"/>
          <w:kern w:val="2"/>
          <w:sz w:val="32"/>
          <w:szCs w:val="32"/>
          <w:highlight w:val="none"/>
          <w:lang w:val="en-US" w:eastAsia="zh-CN" w:bidi="ar-SA"/>
        </w:rPr>
        <w:br w:type="page"/>
      </w:r>
    </w:p>
    <w:p>
      <w:pPr>
        <w:keepNext/>
        <w:keepLines/>
        <w:widowControl w:val="0"/>
        <w:snapToGrid w:val="0"/>
        <w:spacing w:before="120" w:after="120" w:line="360" w:lineRule="auto"/>
        <w:jc w:val="both"/>
        <w:outlineLvl w:val="1"/>
        <w:rPr>
          <w:rFonts w:ascii="Arial" w:hAnsi="Arial" w:eastAsia="黑体" w:cs="Arial"/>
          <w:b/>
          <w:bCs w:val="0"/>
          <w:kern w:val="2"/>
          <w:sz w:val="32"/>
          <w:szCs w:val="32"/>
          <w:highlight w:val="none"/>
          <w:lang w:val="en-US" w:eastAsia="zh-CN" w:bidi="ar-SA"/>
        </w:rPr>
      </w:pPr>
      <w:bookmarkStart w:id="1052" w:name="_Toc432367435"/>
      <w:bookmarkStart w:id="1053" w:name="_Toc430813365"/>
      <w:bookmarkStart w:id="1054" w:name="_Toc4475"/>
      <w:bookmarkStart w:id="1055" w:name="_Toc7893"/>
      <w:r>
        <w:rPr>
          <w:rFonts w:hint="eastAsia" w:ascii="Arial" w:hAnsi="Arial" w:eastAsia="黑体" w:cs="Arial"/>
          <w:b/>
          <w:bCs w:val="0"/>
          <w:kern w:val="2"/>
          <w:sz w:val="32"/>
          <w:szCs w:val="32"/>
          <w:highlight w:val="none"/>
          <w:lang w:val="en-US" w:eastAsia="zh-CN" w:bidi="ar-SA"/>
        </w:rPr>
        <w:t>（五）</w:t>
      </w:r>
      <w:bookmarkEnd w:id="1052"/>
      <w:bookmarkEnd w:id="1053"/>
      <w:r>
        <w:rPr>
          <w:rFonts w:hint="eastAsia" w:ascii="宋体" w:hAnsi="宋体" w:eastAsia="黑体" w:cs="Arial"/>
          <w:b/>
          <w:bCs/>
          <w:kern w:val="2"/>
          <w:sz w:val="32"/>
          <w:szCs w:val="21"/>
          <w:highlight w:val="none"/>
          <w:lang w:val="en-US" w:eastAsia="zh-CN" w:bidi="ar-SA"/>
        </w:rPr>
        <w:t>监狱企业证明文件</w:t>
      </w:r>
      <w:bookmarkEnd w:id="1054"/>
      <w:bookmarkEnd w:id="1055"/>
    </w:p>
    <w:p>
      <w:pPr>
        <w:widowControl/>
        <w:spacing w:before="100" w:beforeAutospacing="1" w:after="100" w:afterAutospacing="1"/>
        <w:ind w:firstLine="315" w:firstLineChars="150"/>
        <w:rPr>
          <w:rFonts w:hint="eastAsia" w:ascii="Arial" w:hAnsi="Arial" w:eastAsia="宋体" w:cs="Arial"/>
          <w:szCs w:val="21"/>
          <w:highlight w:val="none"/>
        </w:rPr>
      </w:pPr>
      <w:r>
        <w:rPr>
          <w:rFonts w:hint="eastAsia" w:ascii="Arial" w:hAnsi="Arial" w:eastAsia="宋体" w:cs="Arial"/>
          <w:szCs w:val="21"/>
          <w:highlight w:val="none"/>
        </w:rPr>
        <w:t>投标人如是</w:t>
      </w:r>
      <w:r>
        <w:rPr>
          <w:rFonts w:hint="eastAsia" w:ascii="宋体" w:hAnsi="宋体" w:eastAsia="宋体" w:cs="Arial"/>
          <w:szCs w:val="21"/>
          <w:highlight w:val="none"/>
        </w:rPr>
        <w:t>监狱企业，提供相关证明文件。</w:t>
      </w:r>
    </w:p>
    <w:p>
      <w:pPr>
        <w:widowControl/>
        <w:spacing w:before="100" w:beforeAutospacing="1" w:after="100" w:afterAutospacing="1"/>
        <w:rPr>
          <w:rFonts w:hint="eastAsia" w:ascii="Arial" w:hAnsi="Arial" w:eastAsia="宋体" w:cs="Arial"/>
          <w:szCs w:val="21"/>
          <w:highlight w:val="none"/>
        </w:rPr>
      </w:pPr>
    </w:p>
    <w:p>
      <w:pPr>
        <w:widowControl/>
        <w:spacing w:before="100" w:beforeAutospacing="1" w:after="100" w:afterAutospacing="1"/>
        <w:rPr>
          <w:rFonts w:hint="eastAsia" w:ascii="Arial" w:hAnsi="Arial" w:eastAsia="宋体" w:cs="Arial"/>
          <w:szCs w:val="21"/>
          <w:highlight w:val="none"/>
        </w:rPr>
      </w:pPr>
    </w:p>
    <w:p>
      <w:pPr>
        <w:widowControl/>
        <w:spacing w:before="100" w:beforeAutospacing="1" w:after="100" w:afterAutospacing="1"/>
        <w:rPr>
          <w:rFonts w:hint="eastAsia" w:ascii="Arial" w:hAnsi="Arial" w:eastAsia="宋体" w:cs="Arial"/>
          <w:szCs w:val="21"/>
          <w:highlight w:val="none"/>
        </w:rPr>
      </w:pPr>
    </w:p>
    <w:p>
      <w:pPr>
        <w:widowControl/>
        <w:spacing w:before="100" w:beforeAutospacing="1" w:after="100" w:afterAutospacing="1"/>
        <w:rPr>
          <w:rFonts w:hint="eastAsia" w:ascii="Arial" w:hAnsi="Arial" w:eastAsia="宋体" w:cs="Arial"/>
          <w:szCs w:val="21"/>
          <w:highlight w:val="none"/>
        </w:rPr>
      </w:pPr>
    </w:p>
    <w:p>
      <w:pPr>
        <w:widowControl/>
        <w:spacing w:before="100" w:beforeAutospacing="1" w:after="100" w:afterAutospacing="1"/>
        <w:rPr>
          <w:rFonts w:ascii="Arial" w:hAnsi="Arial" w:eastAsia="宋体" w:cs="Arial"/>
          <w:szCs w:val="21"/>
          <w:highlight w:val="none"/>
        </w:rPr>
      </w:pPr>
    </w:p>
    <w:p>
      <w:pPr>
        <w:spacing w:line="300" w:lineRule="auto"/>
        <w:rPr>
          <w:rFonts w:ascii="Arial" w:hAnsi="Arial" w:eastAsia="宋体" w:cs="Arial"/>
          <w:szCs w:val="21"/>
          <w:highlight w:val="none"/>
        </w:rPr>
      </w:pPr>
      <w:r>
        <w:rPr>
          <w:rFonts w:ascii="Arial" w:hAnsi="Arial" w:eastAsia="宋体" w:cs="Arial"/>
          <w:szCs w:val="21"/>
          <w:highlight w:val="none"/>
        </w:rPr>
        <w:t>投标人名称[盖章]：</w:t>
      </w:r>
      <w:r>
        <w:rPr>
          <w:rFonts w:ascii="Arial" w:hAnsi="Arial" w:eastAsia="宋体" w:cs="Arial"/>
          <w:szCs w:val="21"/>
          <w:highlight w:val="none"/>
          <w:u w:val="single"/>
        </w:rPr>
        <w:t xml:space="preserve">                              </w:t>
      </w:r>
      <w:r>
        <w:rPr>
          <w:rFonts w:ascii="Arial" w:hAnsi="Arial" w:eastAsia="宋体" w:cs="Arial"/>
          <w:szCs w:val="21"/>
          <w:highlight w:val="none"/>
        </w:rPr>
        <w:t xml:space="preserve"> </w:t>
      </w:r>
    </w:p>
    <w:p>
      <w:pPr>
        <w:widowControl/>
        <w:spacing w:before="100" w:beforeAutospacing="1" w:after="100" w:afterAutospacing="1"/>
        <w:rPr>
          <w:rFonts w:ascii="Arial" w:hAnsi="Arial" w:eastAsia="宋体" w:cs="Arial"/>
          <w:szCs w:val="21"/>
          <w:highlight w:val="none"/>
          <w:u w:val="single"/>
        </w:rPr>
      </w:pPr>
      <w:r>
        <w:rPr>
          <w:rFonts w:ascii="Arial" w:hAnsi="Arial" w:eastAsia="宋体" w:cs="Arial"/>
          <w:szCs w:val="21"/>
          <w:highlight w:val="none"/>
        </w:rPr>
        <w:t>投标人授权代表签字：</w:t>
      </w:r>
      <w:r>
        <w:rPr>
          <w:rFonts w:ascii="Arial" w:hAnsi="Arial" w:eastAsia="宋体" w:cs="Arial"/>
          <w:szCs w:val="21"/>
          <w:highlight w:val="none"/>
          <w:u w:val="single"/>
        </w:rPr>
        <w:t xml:space="preserve"> </w:t>
      </w:r>
      <w:r>
        <w:rPr>
          <w:rFonts w:hint="eastAsia" w:ascii="Arial" w:hAnsi="Arial" w:eastAsia="宋体" w:cs="Arial"/>
          <w:szCs w:val="21"/>
          <w:highlight w:val="none"/>
          <w:u w:val="single"/>
        </w:rPr>
        <w:t xml:space="preserve">                     </w:t>
      </w:r>
      <w:r>
        <w:rPr>
          <w:rFonts w:ascii="Arial" w:hAnsi="Arial" w:eastAsia="宋体" w:cs="Arial"/>
          <w:szCs w:val="21"/>
          <w:highlight w:val="none"/>
          <w:u w:val="single"/>
        </w:rPr>
        <w:t xml:space="preserve"> </w:t>
      </w:r>
      <w:r>
        <w:rPr>
          <w:rFonts w:ascii="Arial" w:hAnsi="Arial" w:eastAsia="宋体" w:cs="Arial"/>
          <w:szCs w:val="21"/>
          <w:highlight w:val="none"/>
        </w:rPr>
        <w:t xml:space="preserve">                   日期：</w:t>
      </w:r>
      <w:r>
        <w:rPr>
          <w:rFonts w:ascii="Arial" w:hAnsi="Arial" w:eastAsia="宋体" w:cs="Arial"/>
          <w:szCs w:val="21"/>
          <w:highlight w:val="none"/>
          <w:u w:val="single"/>
        </w:rPr>
        <w:t xml:space="preserve">                </w:t>
      </w:r>
    </w:p>
    <w:p>
      <w:pPr>
        <w:rPr>
          <w:rFonts w:hint="eastAsia" w:ascii="Times New Roman" w:hAnsi="Times New Roman" w:eastAsia="宋体" w:cs="Times New Roman"/>
          <w:highlight w:val="none"/>
        </w:rPr>
      </w:pPr>
    </w:p>
    <w:p>
      <w:pPr>
        <w:rPr>
          <w:rFonts w:hint="eastAsia" w:ascii="Times New Roman" w:hAnsi="Times New Roman" w:eastAsia="宋体" w:cs="Times New Roman"/>
          <w:highlight w:val="none"/>
        </w:rPr>
      </w:pPr>
    </w:p>
    <w:p>
      <w:pPr>
        <w:keepNext/>
        <w:keepLines/>
        <w:widowControl w:val="0"/>
        <w:snapToGrid w:val="0"/>
        <w:spacing w:before="120" w:after="120" w:line="360" w:lineRule="auto"/>
        <w:jc w:val="both"/>
        <w:outlineLvl w:val="1"/>
        <w:rPr>
          <w:rFonts w:ascii="Arial" w:hAnsi="Arial" w:eastAsia="黑体" w:cs="Arial"/>
          <w:b/>
          <w:bCs w:val="0"/>
          <w:kern w:val="2"/>
          <w:sz w:val="32"/>
          <w:szCs w:val="32"/>
          <w:highlight w:val="none"/>
          <w:lang w:val="en-US" w:eastAsia="zh-CN" w:bidi="ar-SA"/>
        </w:rPr>
      </w:pPr>
      <w:r>
        <w:rPr>
          <w:rFonts w:ascii="Arial" w:hAnsi="Arial" w:eastAsia="黑体" w:cs="Times New Roman"/>
          <w:b/>
          <w:bCs/>
          <w:kern w:val="2"/>
          <w:sz w:val="32"/>
          <w:szCs w:val="32"/>
          <w:highlight w:val="none"/>
          <w:lang w:val="en-US" w:eastAsia="zh-CN" w:bidi="ar-SA"/>
        </w:rPr>
        <w:br w:type="page"/>
      </w:r>
      <w:bookmarkStart w:id="1056" w:name="_Toc32686"/>
      <w:bookmarkStart w:id="1057" w:name="_Toc27599"/>
      <w:r>
        <w:rPr>
          <w:rFonts w:hint="eastAsia" w:ascii="Arial" w:hAnsi="Arial" w:eastAsia="黑体" w:cs="Arial"/>
          <w:b/>
          <w:bCs w:val="0"/>
          <w:kern w:val="2"/>
          <w:sz w:val="32"/>
          <w:szCs w:val="32"/>
          <w:highlight w:val="none"/>
          <w:lang w:val="en-US" w:eastAsia="zh-CN" w:bidi="ar-SA"/>
        </w:rPr>
        <w:t>（六）</w:t>
      </w:r>
      <w:r>
        <w:rPr>
          <w:rFonts w:ascii="宋体" w:hAnsi="宋体" w:eastAsia="黑体" w:cs="Arial"/>
          <w:b/>
          <w:bCs/>
          <w:kern w:val="2"/>
          <w:sz w:val="32"/>
          <w:szCs w:val="21"/>
          <w:highlight w:val="none"/>
          <w:lang w:val="en-US" w:eastAsia="zh-CN" w:bidi="ar-SA"/>
        </w:rPr>
        <w:t>残疾人福利性单位声明函</w:t>
      </w:r>
      <w:bookmarkEnd w:id="1056"/>
      <w:bookmarkEnd w:id="1057"/>
    </w:p>
    <w:p>
      <w:pPr>
        <w:spacing w:line="588" w:lineRule="exact"/>
        <w:jc w:val="center"/>
        <w:rPr>
          <w:rFonts w:ascii="宋体" w:hAnsi="宋体" w:eastAsia="宋体" w:cs="Times New Roman"/>
          <w:b/>
          <w:spacing w:val="6"/>
          <w:szCs w:val="21"/>
          <w:highlight w:val="none"/>
        </w:rPr>
      </w:pPr>
      <w:r>
        <w:rPr>
          <w:rFonts w:hint="eastAsia" w:ascii="宋体" w:hAnsi="宋体" w:eastAsia="宋体" w:cs="Times New Roman"/>
          <w:b/>
          <w:spacing w:val="6"/>
          <w:szCs w:val="21"/>
          <w:highlight w:val="none"/>
        </w:rPr>
        <w:t>残疾人福利性单位声明函</w:t>
      </w:r>
    </w:p>
    <w:p>
      <w:pPr>
        <w:spacing w:line="588" w:lineRule="exact"/>
        <w:rPr>
          <w:rFonts w:ascii="宋体" w:hAnsi="宋体" w:eastAsia="宋体" w:cs="Times New Roman"/>
          <w:b/>
          <w:spacing w:val="6"/>
          <w:szCs w:val="21"/>
          <w:highlight w:val="none"/>
        </w:rPr>
      </w:pPr>
    </w:p>
    <w:p>
      <w:pPr>
        <w:spacing w:line="588" w:lineRule="exact"/>
        <w:ind w:firstLine="444" w:firstLineChars="200"/>
        <w:rPr>
          <w:rFonts w:ascii="宋体" w:hAnsi="宋体" w:eastAsia="宋体" w:cs="Times New Roman"/>
          <w:spacing w:val="6"/>
          <w:szCs w:val="21"/>
          <w:highlight w:val="none"/>
        </w:rPr>
      </w:pPr>
      <w:r>
        <w:rPr>
          <w:rFonts w:hint="eastAsia" w:ascii="宋体" w:hAnsi="宋体" w:eastAsia="宋体" w:cs="Times New Roman"/>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szCs w:val="21"/>
          <w:highlight w:val="none"/>
        </w:rPr>
        <w:t>〔2017〕 141</w:t>
      </w:r>
      <w:r>
        <w:rPr>
          <w:rFonts w:hint="eastAsia" w:ascii="宋体" w:hAnsi="宋体" w:eastAsia="宋体" w:cs="Times New Roman"/>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444" w:firstLineChars="200"/>
        <w:rPr>
          <w:rFonts w:ascii="宋体" w:hAnsi="宋体" w:eastAsia="宋体" w:cs="Times New Roman"/>
          <w:spacing w:val="6"/>
          <w:szCs w:val="21"/>
          <w:highlight w:val="none"/>
        </w:rPr>
      </w:pPr>
      <w:r>
        <w:rPr>
          <w:rFonts w:hint="eastAsia" w:ascii="宋体" w:hAnsi="宋体" w:eastAsia="宋体" w:cs="Times New Roman"/>
          <w:spacing w:val="6"/>
          <w:szCs w:val="21"/>
          <w:highlight w:val="none"/>
        </w:rPr>
        <w:t>本单位对上述声明的真实性负责。如有虚假，将依法承担相应责任。</w:t>
      </w:r>
    </w:p>
    <w:p>
      <w:pPr>
        <w:tabs>
          <w:tab w:val="left" w:pos="4860"/>
        </w:tabs>
        <w:spacing w:line="588" w:lineRule="exact"/>
        <w:ind w:right="1560" w:firstLine="444" w:firstLineChars="200"/>
        <w:jc w:val="right"/>
        <w:rPr>
          <w:rFonts w:ascii="宋体" w:hAnsi="宋体" w:eastAsia="宋体" w:cs="Times New Roman"/>
          <w:spacing w:val="6"/>
          <w:szCs w:val="21"/>
          <w:highlight w:val="none"/>
        </w:rPr>
      </w:pPr>
      <w:r>
        <w:rPr>
          <w:rFonts w:hint="eastAsia" w:ascii="宋体" w:hAnsi="宋体" w:eastAsia="宋体" w:cs="Times New Roman"/>
          <w:spacing w:val="6"/>
          <w:szCs w:val="21"/>
          <w:highlight w:val="none"/>
        </w:rPr>
        <w:t>单位名称（盖章）：</w:t>
      </w:r>
    </w:p>
    <w:p>
      <w:pPr>
        <w:tabs>
          <w:tab w:val="left" w:pos="4860"/>
        </w:tabs>
        <w:spacing w:line="588" w:lineRule="exact"/>
        <w:ind w:right="1560" w:firstLine="444" w:firstLineChars="200"/>
        <w:jc w:val="right"/>
        <w:rPr>
          <w:rFonts w:hint="eastAsia" w:ascii="宋体" w:hAnsi="宋体" w:eastAsia="宋体" w:cs="Times New Roman"/>
          <w:spacing w:val="6"/>
          <w:szCs w:val="21"/>
          <w:highlight w:val="none"/>
        </w:rPr>
      </w:pPr>
      <w:r>
        <w:rPr>
          <w:rFonts w:hint="eastAsia" w:ascii="宋体" w:hAnsi="宋体" w:eastAsia="宋体" w:cs="Times New Roman"/>
          <w:spacing w:val="6"/>
          <w:szCs w:val="21"/>
          <w:highlight w:val="none"/>
        </w:rPr>
        <w:t>日  期：</w:t>
      </w:r>
    </w:p>
    <w:p>
      <w:pPr>
        <w:tabs>
          <w:tab w:val="left" w:pos="4860"/>
        </w:tabs>
        <w:spacing w:line="588" w:lineRule="exact"/>
        <w:ind w:right="1560"/>
        <w:rPr>
          <w:rFonts w:ascii="宋体" w:hAnsi="宋体" w:eastAsia="宋体" w:cs="Times New Roman"/>
          <w:spacing w:val="6"/>
          <w:szCs w:val="21"/>
          <w:highlight w:val="none"/>
        </w:rPr>
      </w:pPr>
    </w:p>
    <w:p>
      <w:pPr>
        <w:snapToGrid w:val="0"/>
        <w:spacing w:line="300" w:lineRule="auto"/>
        <w:rPr>
          <w:rFonts w:hint="eastAsia" w:ascii="Times New Roman" w:hAnsi="Times New Roman" w:eastAsia="宋体" w:cs="Times New Roman"/>
          <w:sz w:val="20"/>
          <w:highlight w:val="none"/>
        </w:rPr>
      </w:pPr>
      <w:r>
        <w:rPr>
          <w:rFonts w:hint="eastAsia" w:ascii="Times New Roman" w:hAnsi="Times New Roman" w:eastAsia="宋体" w:cs="Times New Roman"/>
          <w:sz w:val="20"/>
          <w:highlight w:val="none"/>
        </w:rPr>
        <w:t>备注：</w:t>
      </w:r>
    </w:p>
    <w:p>
      <w:pPr>
        <w:snapToGrid w:val="0"/>
        <w:spacing w:line="300" w:lineRule="auto"/>
        <w:ind w:firstLine="400" w:firstLineChars="200"/>
        <w:rPr>
          <w:rFonts w:hint="eastAsia" w:ascii="Times New Roman" w:hAnsi="Times New Roman" w:eastAsia="宋体" w:cs="Times New Roman"/>
          <w:sz w:val="20"/>
          <w:highlight w:val="none"/>
        </w:rPr>
      </w:pPr>
      <w:r>
        <w:rPr>
          <w:rFonts w:hint="eastAsia" w:ascii="Times New Roman" w:hAnsi="Times New Roman" w:eastAsia="宋体" w:cs="Times New Roman"/>
          <w:sz w:val="20"/>
          <w:highlight w:val="none"/>
        </w:rPr>
        <w:t>1、享受政府采购支持政策的残疾人福利性单位应当同时满足以下条件：</w:t>
      </w:r>
    </w:p>
    <w:p>
      <w:pPr>
        <w:snapToGrid w:val="0"/>
        <w:spacing w:line="300" w:lineRule="auto"/>
        <w:ind w:firstLine="400" w:firstLineChars="200"/>
        <w:rPr>
          <w:rFonts w:hint="eastAsia" w:ascii="Times New Roman" w:hAnsi="Times New Roman" w:eastAsia="宋体" w:cs="Times New Roman"/>
          <w:sz w:val="20"/>
          <w:highlight w:val="none"/>
        </w:rPr>
      </w:pPr>
      <w:r>
        <w:rPr>
          <w:rFonts w:hint="eastAsia" w:ascii="Times New Roman" w:hAnsi="Times New Roman" w:eastAsia="宋体" w:cs="Times New Roman"/>
          <w:sz w:val="20"/>
          <w:highlight w:val="none"/>
        </w:rPr>
        <w:t>（1）安置的残疾人占本单位在职职工人数的比例不低于25%（含25%），并且安置的残疾人人数不少于10人（含10人）；</w:t>
      </w:r>
    </w:p>
    <w:p>
      <w:pPr>
        <w:snapToGrid w:val="0"/>
        <w:spacing w:line="300" w:lineRule="auto"/>
        <w:ind w:firstLine="400" w:firstLineChars="200"/>
        <w:rPr>
          <w:rFonts w:hint="eastAsia" w:ascii="Times New Roman" w:hAnsi="Times New Roman" w:eastAsia="宋体" w:cs="Times New Roman"/>
          <w:sz w:val="20"/>
          <w:highlight w:val="none"/>
        </w:rPr>
      </w:pPr>
      <w:r>
        <w:rPr>
          <w:rFonts w:hint="eastAsia" w:ascii="Times New Roman" w:hAnsi="Times New Roman" w:eastAsia="宋体" w:cs="Times New Roman"/>
          <w:sz w:val="20"/>
          <w:highlight w:val="none"/>
        </w:rPr>
        <w:t>（2）依法与安置的每位残疾人签订了一年以上（含一年）的劳动合同或服务协议；</w:t>
      </w:r>
    </w:p>
    <w:p>
      <w:pPr>
        <w:snapToGrid w:val="0"/>
        <w:spacing w:line="300" w:lineRule="auto"/>
        <w:ind w:firstLine="400" w:firstLineChars="200"/>
        <w:rPr>
          <w:rFonts w:hint="eastAsia" w:ascii="Times New Roman" w:hAnsi="Times New Roman" w:eastAsia="宋体" w:cs="Times New Roman"/>
          <w:sz w:val="20"/>
          <w:highlight w:val="none"/>
        </w:rPr>
      </w:pPr>
      <w:r>
        <w:rPr>
          <w:rFonts w:hint="eastAsia" w:ascii="Times New Roman" w:hAnsi="Times New Roman" w:eastAsia="宋体" w:cs="Times New Roman"/>
          <w:sz w:val="20"/>
          <w:highlight w:val="none"/>
        </w:rPr>
        <w:t>（3）为安置的每位残疾人按月足额缴纳了基本养老保险、基本医疗保险、失业保险、工伤保险和生育保险等社会保险费；</w:t>
      </w:r>
    </w:p>
    <w:p>
      <w:pPr>
        <w:snapToGrid w:val="0"/>
        <w:spacing w:line="300" w:lineRule="auto"/>
        <w:ind w:firstLine="400" w:firstLineChars="200"/>
        <w:rPr>
          <w:rFonts w:hint="eastAsia" w:ascii="Times New Roman" w:hAnsi="Times New Roman" w:eastAsia="宋体" w:cs="Times New Roman"/>
          <w:sz w:val="20"/>
          <w:highlight w:val="none"/>
        </w:rPr>
      </w:pPr>
      <w:r>
        <w:rPr>
          <w:rFonts w:hint="eastAsia" w:ascii="Times New Roman" w:hAnsi="Times New Roman" w:eastAsia="宋体" w:cs="Times New Roman"/>
          <w:sz w:val="20"/>
          <w:highlight w:val="none"/>
        </w:rPr>
        <w:t>（4）通过银行等金融机构向安置的每位残疾人，按月支付了不低于单位所在区县适用的经省级人民政府批准的月最低工资标准的工资；</w:t>
      </w:r>
    </w:p>
    <w:p>
      <w:pPr>
        <w:snapToGrid w:val="0"/>
        <w:spacing w:line="300" w:lineRule="auto"/>
        <w:ind w:firstLine="400" w:firstLineChars="200"/>
        <w:rPr>
          <w:rFonts w:hint="eastAsia" w:ascii="Times New Roman" w:hAnsi="Times New Roman" w:eastAsia="宋体" w:cs="Times New Roman"/>
          <w:sz w:val="20"/>
          <w:highlight w:val="none"/>
        </w:rPr>
      </w:pPr>
      <w:r>
        <w:rPr>
          <w:rFonts w:hint="eastAsia" w:ascii="Times New Roman" w:hAnsi="Times New Roman" w:eastAsia="宋体" w:cs="Times New Roman"/>
          <w:sz w:val="20"/>
          <w:highlight w:val="none"/>
        </w:rPr>
        <w:t>（5）提供本单位制造的货物、承担的工程或者服务（以下简称产品），或者提供其他残疾人福利性单位制造的货物（不包括使用非残疾人福利性单位注册商标的货物）。</w:t>
      </w:r>
    </w:p>
    <w:p>
      <w:pPr>
        <w:snapToGrid w:val="0"/>
        <w:spacing w:line="300" w:lineRule="auto"/>
        <w:ind w:firstLine="400" w:firstLineChars="200"/>
        <w:rPr>
          <w:rFonts w:hint="eastAsia" w:ascii="Times New Roman" w:hAnsi="Times New Roman" w:eastAsia="宋体" w:cs="Times New Roman"/>
          <w:sz w:val="20"/>
          <w:highlight w:val="none"/>
        </w:rPr>
      </w:pPr>
      <w:r>
        <w:rPr>
          <w:rFonts w:hint="eastAsia" w:ascii="Times New Roman" w:hAnsi="Times New Roman" w:eastAsia="宋体" w:cs="Times New Roman"/>
          <w:sz w:val="20"/>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napToGrid w:val="0"/>
        <w:spacing w:line="300" w:lineRule="auto"/>
        <w:ind w:firstLine="400" w:firstLineChars="200"/>
        <w:rPr>
          <w:rFonts w:ascii="Times New Roman" w:hAnsi="Times New Roman" w:eastAsia="宋体" w:cs="Times New Roman"/>
          <w:highlight w:val="none"/>
        </w:rPr>
      </w:pPr>
      <w:r>
        <w:rPr>
          <w:rFonts w:hint="eastAsia" w:ascii="Times New Roman" w:hAnsi="Times New Roman" w:eastAsia="宋体" w:cs="Times New Roman"/>
          <w:sz w:val="20"/>
          <w:highlight w:val="none"/>
        </w:rPr>
        <w:t>2、对于非专门面向中小企业的项目或采购包，按照《政府采购促进中小企业发展管理办法》（财库[2020]46号）第九条规定，对符合条件的投标人给予价格评审优惠。其中，对符合以下情形之一的小微企业，以价格优惠幅度的上限享受评审优惠：残疾人企业或监狱企业；纳入创新产品应用示范推荐目录内的企业；政府采购项目的品目属于政府优先采购《节能产品政府采购品目清单》 《环境标志产品政府采购品目》范围内，获得相关证书的企业。投标人如是残疾人福利性单位，应当提供《残疾人福利性单位声明函》，否则在评审时不享受相关价格评审优惠。</w:t>
      </w:r>
    </w:p>
    <w:p>
      <w:pPr>
        <w:keepNext/>
        <w:keepLines/>
        <w:widowControl w:val="0"/>
        <w:snapToGrid w:val="0"/>
        <w:spacing w:before="120" w:after="120" w:line="360" w:lineRule="auto"/>
        <w:jc w:val="left"/>
        <w:outlineLvl w:val="1"/>
        <w:rPr>
          <w:rFonts w:ascii="Arial" w:hAnsi="Arial" w:eastAsia="黑体" w:cs="Arial"/>
          <w:b/>
          <w:bCs w:val="0"/>
          <w:kern w:val="2"/>
          <w:sz w:val="32"/>
          <w:szCs w:val="32"/>
          <w:highlight w:val="none"/>
          <w:lang w:val="en-US" w:eastAsia="zh-CN" w:bidi="ar-SA"/>
        </w:rPr>
      </w:pPr>
      <w:r>
        <w:rPr>
          <w:rFonts w:ascii="Arial" w:hAnsi="Arial" w:eastAsia="黑体" w:cs="Times New Roman"/>
          <w:b/>
          <w:bCs/>
          <w:kern w:val="2"/>
          <w:sz w:val="32"/>
          <w:szCs w:val="32"/>
          <w:highlight w:val="none"/>
          <w:lang w:val="en-US" w:eastAsia="zh-CN" w:bidi="ar-SA"/>
        </w:rPr>
        <w:br w:type="page"/>
      </w:r>
      <w:bookmarkStart w:id="1058" w:name="_Toc17973"/>
      <w:bookmarkStart w:id="1059" w:name="_Toc8913"/>
      <w:bookmarkStart w:id="1060" w:name="_Toc13492"/>
      <w:r>
        <w:rPr>
          <w:rFonts w:hint="eastAsia" w:ascii="Arial" w:hAnsi="Arial" w:eastAsia="黑体" w:cs="Arial"/>
          <w:b/>
          <w:bCs w:val="0"/>
          <w:kern w:val="2"/>
          <w:sz w:val="32"/>
          <w:szCs w:val="32"/>
          <w:highlight w:val="none"/>
          <w:lang w:val="en-US" w:eastAsia="zh-CN" w:bidi="ar-SA"/>
        </w:rPr>
        <w:t>（七）</w:t>
      </w:r>
      <w:bookmarkStart w:id="1061" w:name="_Toc98696095"/>
      <w:r>
        <w:rPr>
          <w:rFonts w:hint="eastAsia" w:ascii="Arial" w:hAnsi="Arial" w:eastAsia="黑体" w:cs="Arial"/>
          <w:b/>
          <w:bCs w:val="0"/>
          <w:kern w:val="2"/>
          <w:sz w:val="32"/>
          <w:szCs w:val="32"/>
          <w:highlight w:val="none"/>
          <w:lang w:val="en-US" w:eastAsia="zh-CN" w:bidi="ar-SA"/>
        </w:rPr>
        <w:t>纳入创新产品应用示范推荐目录内的企业证明材料</w:t>
      </w:r>
      <w:bookmarkEnd w:id="1058"/>
      <w:bookmarkEnd w:id="1059"/>
      <w:bookmarkEnd w:id="1060"/>
      <w:bookmarkEnd w:id="1061"/>
    </w:p>
    <w:p>
      <w:pPr>
        <w:spacing w:line="360" w:lineRule="auto"/>
        <w:ind w:firstLine="420" w:firstLineChars="200"/>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对于非专门面向中小企业的项目或采购包，按照《政府采购促进中小企业发展管理办法》（财库[2020]46号）第九条规定，对符合条件的供应商给予价格评审优惠。其中，对符合以下情形之一的小微企业，以价格优惠幅度的上限享受评审优惠：残疾人企业或监狱企业；纳入创新产品应用示范推荐目录内的企业；政府采购项目的品目属于政府优先采购《节能产品政府采购品目清单》 《环境标志产品政府采购品目》范围内，获得相关证书的企业。投标人如是纳入创新产品应用示范推荐目录内的小微企业，应当提供相关证明材料；否则在评审时不享受相关价格评审优惠。</w:t>
      </w:r>
    </w:p>
    <w:p>
      <w:pPr>
        <w:rPr>
          <w:rFonts w:ascii="Times New Roman" w:hAnsi="Times New Roman" w:eastAsia="宋体" w:cs="Arial"/>
          <w:highlight w:val="none"/>
        </w:rPr>
      </w:pPr>
      <w:r>
        <w:rPr>
          <w:rFonts w:hint="eastAsia" w:ascii="Times New Roman" w:hAnsi="Times New Roman" w:eastAsia="宋体" w:cs="Arial"/>
          <w:highlight w:val="none"/>
        </w:rPr>
        <w:br w:type="page"/>
      </w:r>
    </w:p>
    <w:p>
      <w:pPr>
        <w:keepNext/>
        <w:keepLines/>
        <w:widowControl w:val="0"/>
        <w:snapToGrid w:val="0"/>
        <w:spacing w:before="120" w:after="120" w:line="360" w:lineRule="auto"/>
        <w:jc w:val="both"/>
        <w:outlineLvl w:val="1"/>
        <w:rPr>
          <w:rFonts w:ascii="Arial" w:hAnsi="Arial" w:eastAsia="黑体" w:cs="Arial"/>
          <w:b/>
          <w:bCs w:val="0"/>
          <w:kern w:val="2"/>
          <w:sz w:val="32"/>
          <w:szCs w:val="32"/>
          <w:highlight w:val="none"/>
          <w:lang w:val="en-US" w:eastAsia="zh-CN" w:bidi="ar-SA"/>
        </w:rPr>
      </w:pPr>
      <w:bookmarkStart w:id="1062" w:name="_Toc97585614"/>
      <w:bookmarkStart w:id="1063" w:name="_Toc3502"/>
      <w:bookmarkStart w:id="1064" w:name="_Toc15696"/>
      <w:bookmarkStart w:id="1065" w:name="_Toc31920"/>
      <w:r>
        <w:rPr>
          <w:rFonts w:hint="eastAsia" w:ascii="Arial" w:hAnsi="Arial" w:eastAsia="黑体" w:cs="Arial"/>
          <w:b/>
          <w:bCs w:val="0"/>
          <w:kern w:val="2"/>
          <w:sz w:val="32"/>
          <w:szCs w:val="32"/>
          <w:highlight w:val="none"/>
          <w:lang w:val="en-US" w:eastAsia="zh-CN" w:bidi="ar-SA"/>
        </w:rPr>
        <w:t>（八）政府优先采购相关证书</w:t>
      </w:r>
      <w:bookmarkEnd w:id="1062"/>
      <w:bookmarkEnd w:id="1063"/>
      <w:bookmarkEnd w:id="1064"/>
      <w:bookmarkEnd w:id="1065"/>
    </w:p>
    <w:p>
      <w:pPr>
        <w:spacing w:line="360" w:lineRule="auto"/>
        <w:rPr>
          <w:rFonts w:ascii="Times New Roman" w:hAnsi="Times New Roman" w:eastAsia="宋体" w:cs="Arial"/>
          <w:highlight w:val="none"/>
        </w:rPr>
      </w:pPr>
      <w:r>
        <w:rPr>
          <w:rFonts w:hint="eastAsia" w:ascii="宋体" w:hAnsi="宋体" w:eastAsia="宋体" w:cs="宋体"/>
          <w:szCs w:val="21"/>
          <w:highlight w:val="none"/>
        </w:rPr>
        <w:t xml:space="preserve">   对于非专门面向中小企业的项目或采购包，按照《政府采购促进中小企业发展管理办法》（财库[2020]46号）第九条规定，对符合条件的供应商给予价格评审优惠。其中，对符合以下情形之一的小微企业，以价格优惠幅度的上限享受评审优惠：残疾人企业或监狱企业；纳入创新产品应用示范推荐目录内的企业；政府采购项目的品目属于政府优先采购《节能产品政府采购品目清单》 《环境标志产品政府采购品目》范围内，获得相关证书的企业。采购项目或采购包的品目如在政府优先采购《节能产品政府采购品目清单》《环境标志产品政府采购品目》范围内，且投标人是获得相关证书的小微企业，应当提供相关证书复印件；否则在评审时不享受相关价格评审优惠。</w:t>
      </w:r>
    </w:p>
    <w:p>
      <w:pPr>
        <w:keepNext/>
        <w:keepLines/>
        <w:widowControl w:val="0"/>
        <w:snapToGrid w:val="0"/>
        <w:spacing w:before="120" w:after="120" w:line="360" w:lineRule="auto"/>
        <w:jc w:val="both"/>
        <w:outlineLvl w:val="1"/>
        <w:rPr>
          <w:rFonts w:ascii="Arial" w:hAnsi="Arial" w:eastAsia="黑体" w:cs="Arial"/>
          <w:b/>
          <w:bCs w:val="0"/>
          <w:kern w:val="2"/>
          <w:sz w:val="32"/>
          <w:szCs w:val="32"/>
          <w:highlight w:val="none"/>
          <w:lang w:val="en-US" w:eastAsia="zh-CN" w:bidi="ar-SA"/>
        </w:rPr>
      </w:pPr>
      <w:r>
        <w:rPr>
          <w:rFonts w:hint="eastAsia" w:ascii="Arial" w:hAnsi="Arial" w:eastAsia="黑体" w:cs="Arial"/>
          <w:b/>
          <w:bCs w:val="0"/>
          <w:kern w:val="2"/>
          <w:sz w:val="32"/>
          <w:szCs w:val="32"/>
          <w:highlight w:val="none"/>
          <w:lang w:val="en-US" w:eastAsia="zh-CN" w:bidi="ar-SA"/>
        </w:rPr>
        <w:br w:type="page"/>
      </w:r>
      <w:bookmarkStart w:id="1066" w:name="_Toc32195"/>
      <w:bookmarkStart w:id="1067" w:name="_Toc8283"/>
      <w:r>
        <w:rPr>
          <w:rFonts w:hint="eastAsia" w:ascii="Arial" w:hAnsi="Arial" w:eastAsia="黑体" w:cs="Arial"/>
          <w:b/>
          <w:bCs w:val="0"/>
          <w:kern w:val="2"/>
          <w:sz w:val="32"/>
          <w:szCs w:val="32"/>
          <w:highlight w:val="none"/>
          <w:lang w:val="en-US" w:eastAsia="zh-CN" w:bidi="ar-SA"/>
        </w:rPr>
        <w:t>（九）业绩情况一览表</w:t>
      </w:r>
      <w:bookmarkEnd w:id="1066"/>
      <w:bookmarkEnd w:id="1067"/>
    </w:p>
    <w:p>
      <w:pPr>
        <w:rPr>
          <w:rFonts w:ascii="Arial" w:hAnsi="Arial" w:eastAsia="宋体" w:cs="Arial"/>
          <w:bCs/>
          <w:szCs w:val="21"/>
          <w:highlight w:val="none"/>
        </w:rPr>
      </w:pPr>
      <w:r>
        <w:rPr>
          <w:rFonts w:ascii="Arial" w:hAnsi="Arial" w:eastAsia="宋体" w:cs="Arial"/>
          <w:bCs/>
          <w:szCs w:val="21"/>
          <w:highlight w:val="none"/>
        </w:rPr>
        <w:fldChar w:fldCharType="begin"/>
      </w:r>
      <w:r>
        <w:rPr>
          <w:rFonts w:ascii="Arial" w:hAnsi="Arial" w:eastAsia="宋体" w:cs="Arial"/>
          <w:bCs/>
          <w:szCs w:val="21"/>
          <w:highlight w:val="none"/>
        </w:rPr>
        <w:instrText xml:space="preserve"> LINK Word.Document.8 "D:\\音乐厅\\4通用设备\\招标文件\\音乐厅空调设备招标文件v1.0.doc" "OLE_LINK8" \r  \* MERGEFORMAT </w:instrText>
      </w:r>
      <w:r>
        <w:rPr>
          <w:rFonts w:ascii="Arial" w:hAnsi="Arial" w:eastAsia="宋体" w:cs="Arial"/>
          <w:bCs/>
          <w:szCs w:val="21"/>
          <w:highlight w:val="none"/>
        </w:rPr>
        <w:fldChar w:fldCharType="separate"/>
      </w:r>
      <w:r>
        <w:rPr>
          <w:rFonts w:hint="eastAsia" w:ascii="Arial" w:hAnsi="Arial" w:eastAsia="宋体" w:cs="Arial"/>
          <w:bCs/>
          <w:szCs w:val="21"/>
          <w:highlight w:val="none"/>
        </w:rPr>
        <w:t>项目</w:t>
      </w:r>
      <w:r>
        <w:rPr>
          <w:rFonts w:ascii="Arial" w:hAnsi="Arial" w:eastAsia="宋体" w:cs="Arial"/>
          <w:bCs/>
          <w:szCs w:val="21"/>
          <w:highlight w:val="none"/>
        </w:rPr>
        <w:t>名称：</w:t>
      </w:r>
      <w:r>
        <w:rPr>
          <w:rFonts w:ascii="Arial" w:hAnsi="Arial" w:eastAsia="宋体" w:cs="Arial"/>
          <w:bCs/>
          <w:szCs w:val="21"/>
          <w:highlight w:val="none"/>
          <w:u w:val="single"/>
        </w:rPr>
        <w:t xml:space="preserve">            </w:t>
      </w:r>
      <w:r>
        <w:rPr>
          <w:rFonts w:ascii="Arial" w:hAnsi="Arial" w:eastAsia="宋体" w:cs="Arial"/>
          <w:bCs/>
          <w:szCs w:val="21"/>
          <w:highlight w:val="none"/>
        </w:rPr>
        <w:t xml:space="preserve">        </w:t>
      </w:r>
      <w:r>
        <w:rPr>
          <w:rFonts w:ascii="Arial" w:hAnsi="Arial" w:eastAsia="宋体" w:cs="Arial"/>
          <w:szCs w:val="21"/>
          <w:highlight w:val="none"/>
        </w:rPr>
        <w:t>项目编号</w:t>
      </w:r>
      <w:r>
        <w:rPr>
          <w:rFonts w:ascii="Arial" w:hAnsi="Arial" w:eastAsia="宋体" w:cs="Arial"/>
          <w:bCs/>
          <w:szCs w:val="21"/>
          <w:highlight w:val="none"/>
        </w:rPr>
        <w:t>：</w:t>
      </w:r>
      <w:r>
        <w:rPr>
          <w:rFonts w:ascii="Arial" w:hAnsi="Arial" w:eastAsia="宋体" w:cs="Arial"/>
          <w:bCs/>
          <w:szCs w:val="21"/>
          <w:highlight w:val="none"/>
          <w:u w:val="single"/>
        </w:rPr>
        <w:t xml:space="preserve">       </w:t>
      </w:r>
      <w:r>
        <w:rPr>
          <w:rFonts w:ascii="Arial" w:hAnsi="Arial" w:eastAsia="宋体" w:cs="Arial"/>
          <w:bCs/>
          <w:szCs w:val="21"/>
          <w:highlight w:val="none"/>
        </w:rPr>
        <w:t xml:space="preserve"> </w:t>
      </w:r>
      <w:r>
        <w:rPr>
          <w:rFonts w:hint="eastAsia" w:ascii="Arial" w:hAnsi="Arial" w:eastAsia="宋体" w:cs="Arial"/>
          <w:bCs/>
          <w:szCs w:val="21"/>
          <w:highlight w:val="none"/>
          <w:lang w:val="en-US" w:eastAsia="zh-CN"/>
        </w:rPr>
        <w:t xml:space="preserve">  </w:t>
      </w:r>
      <w:r>
        <w:rPr>
          <w:rFonts w:hint="eastAsia" w:ascii="Arial" w:hAnsi="Arial" w:eastAsia="宋体" w:cs="Arial"/>
          <w:szCs w:val="21"/>
          <w:highlight w:val="none"/>
          <w:lang w:val="en-US" w:eastAsia="zh-CN"/>
        </w:rPr>
        <w:t xml:space="preserve"> </w:t>
      </w:r>
      <w:r>
        <w:rPr>
          <w:rFonts w:hint="eastAsia" w:ascii="Arial" w:hAnsi="Arial" w:eastAsia="宋体" w:cs="Arial"/>
          <w:szCs w:val="21"/>
          <w:highlight w:val="none"/>
        </w:rPr>
        <w:t xml:space="preserve"> </w:t>
      </w:r>
      <w:r>
        <w:rPr>
          <w:rFonts w:ascii="Arial" w:hAnsi="Arial" w:eastAsia="宋体" w:cs="Arial"/>
          <w:bCs/>
          <w:szCs w:val="21"/>
          <w:highlight w:val="none"/>
        </w:rPr>
        <w:fldChar w:fldCharType="end"/>
      </w:r>
    </w:p>
    <w:tbl>
      <w:tblPr>
        <w:tblStyle w:val="88"/>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1581"/>
        <w:gridCol w:w="1036"/>
        <w:gridCol w:w="1308"/>
        <w:gridCol w:w="1222"/>
        <w:gridCol w:w="1122"/>
        <w:gridCol w:w="1099"/>
        <w:gridCol w:w="11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序号</w:t>
            </w:r>
          </w:p>
        </w:tc>
        <w:tc>
          <w:tcPr>
            <w:tcW w:w="1581" w:type="dxa"/>
            <w:noWrap w:val="0"/>
            <w:vAlign w:val="center"/>
          </w:tcPr>
          <w:p>
            <w:pPr>
              <w:widowControl/>
              <w:snapToGrid w:val="0"/>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完成时间</w:t>
            </w:r>
          </w:p>
        </w:tc>
        <w:tc>
          <w:tcPr>
            <w:tcW w:w="1036" w:type="dxa"/>
            <w:noWrap w:val="0"/>
            <w:vAlign w:val="center"/>
          </w:tcPr>
          <w:p>
            <w:pPr>
              <w:widowControl/>
              <w:snapToGrid w:val="0"/>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项目</w:t>
            </w:r>
          </w:p>
          <w:p>
            <w:pPr>
              <w:widowControl/>
              <w:snapToGrid w:val="0"/>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名称</w:t>
            </w:r>
          </w:p>
        </w:tc>
        <w:tc>
          <w:tcPr>
            <w:tcW w:w="1308" w:type="dxa"/>
            <w:noWrap w:val="0"/>
            <w:vAlign w:val="center"/>
          </w:tcPr>
          <w:p>
            <w:pPr>
              <w:widowControl/>
              <w:snapToGrid w:val="0"/>
              <w:jc w:val="center"/>
              <w:rPr>
                <w:rFonts w:ascii="Arial" w:hAnsi="Arial" w:eastAsia="宋体" w:cs="Arial"/>
                <w:color w:val="auto"/>
                <w:kern w:val="0"/>
                <w:szCs w:val="21"/>
                <w:highlight w:val="none"/>
              </w:rPr>
            </w:pPr>
            <w:r>
              <w:rPr>
                <w:rFonts w:hint="eastAsia" w:ascii="Arial" w:hAnsi="Arial" w:eastAsia="宋体" w:cs="Arial"/>
                <w:color w:val="auto"/>
                <w:kern w:val="0"/>
                <w:szCs w:val="21"/>
                <w:highlight w:val="none"/>
              </w:rPr>
              <w:t>服务</w:t>
            </w:r>
            <w:r>
              <w:rPr>
                <w:rFonts w:ascii="Arial" w:hAnsi="Arial" w:eastAsia="宋体" w:cs="Arial"/>
                <w:color w:val="auto"/>
                <w:kern w:val="0"/>
                <w:szCs w:val="21"/>
                <w:highlight w:val="none"/>
              </w:rPr>
              <w:t>内容</w:t>
            </w:r>
          </w:p>
        </w:tc>
        <w:tc>
          <w:tcPr>
            <w:tcW w:w="1222" w:type="dxa"/>
            <w:noWrap w:val="0"/>
            <w:vAlign w:val="center"/>
          </w:tcPr>
          <w:p>
            <w:pPr>
              <w:widowControl/>
              <w:snapToGrid w:val="0"/>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合同总额</w:t>
            </w:r>
          </w:p>
        </w:tc>
        <w:tc>
          <w:tcPr>
            <w:tcW w:w="1122" w:type="dxa"/>
            <w:noWrap w:val="0"/>
            <w:vAlign w:val="center"/>
          </w:tcPr>
          <w:p>
            <w:pPr>
              <w:widowControl/>
              <w:snapToGrid w:val="0"/>
              <w:jc w:val="center"/>
              <w:rPr>
                <w:rFonts w:ascii="Arial" w:hAnsi="Arial" w:eastAsia="宋体" w:cs="Arial"/>
                <w:color w:val="auto"/>
                <w:kern w:val="0"/>
                <w:szCs w:val="21"/>
                <w:highlight w:val="none"/>
              </w:rPr>
            </w:pPr>
            <w:r>
              <w:rPr>
                <w:rFonts w:hint="eastAsia" w:ascii="Arial" w:hAnsi="Arial" w:eastAsia="宋体" w:cs="Arial"/>
                <w:color w:val="auto"/>
                <w:kern w:val="0"/>
                <w:szCs w:val="21"/>
                <w:highlight w:val="none"/>
              </w:rPr>
              <w:t>委托</w:t>
            </w:r>
            <w:r>
              <w:rPr>
                <w:rFonts w:ascii="Arial" w:hAnsi="Arial" w:eastAsia="宋体" w:cs="Arial"/>
                <w:color w:val="auto"/>
                <w:kern w:val="0"/>
                <w:szCs w:val="21"/>
                <w:highlight w:val="none"/>
              </w:rPr>
              <w:t>方</w:t>
            </w:r>
          </w:p>
          <w:p>
            <w:pPr>
              <w:widowControl/>
              <w:snapToGrid w:val="0"/>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名称</w:t>
            </w:r>
          </w:p>
        </w:tc>
        <w:tc>
          <w:tcPr>
            <w:tcW w:w="1099" w:type="dxa"/>
            <w:noWrap w:val="0"/>
            <w:vAlign w:val="center"/>
          </w:tcPr>
          <w:p>
            <w:pPr>
              <w:widowControl/>
              <w:snapToGrid w:val="0"/>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联系人</w:t>
            </w:r>
          </w:p>
        </w:tc>
        <w:tc>
          <w:tcPr>
            <w:tcW w:w="1113" w:type="dxa"/>
            <w:noWrap w:val="0"/>
            <w:vAlign w:val="center"/>
          </w:tcPr>
          <w:p>
            <w:pPr>
              <w:widowControl/>
              <w:snapToGrid w:val="0"/>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top"/>
          </w:tcPr>
          <w:p>
            <w:pPr>
              <w:widowControl/>
              <w:spacing w:before="100" w:beforeAutospacing="1" w:after="100" w:afterAutospacing="1"/>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1.</w:t>
            </w:r>
          </w:p>
        </w:tc>
        <w:tc>
          <w:tcPr>
            <w:tcW w:w="1581"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036"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308"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222" w:type="dxa"/>
            <w:noWrap w:val="0"/>
            <w:vAlign w:val="top"/>
          </w:tcPr>
          <w:p>
            <w:pPr>
              <w:widowControl/>
              <w:spacing w:before="100" w:beforeAutospacing="1" w:after="100" w:afterAutospacing="1"/>
              <w:jc w:val="center"/>
              <w:rPr>
                <w:rFonts w:ascii="Arial" w:hAnsi="Arial" w:eastAsia="宋体" w:cs="Arial"/>
                <w:color w:val="auto"/>
                <w:kern w:val="0"/>
                <w:szCs w:val="21"/>
                <w:highlight w:val="none"/>
              </w:rPr>
            </w:pPr>
          </w:p>
        </w:tc>
        <w:tc>
          <w:tcPr>
            <w:tcW w:w="1122"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099"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113"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top"/>
          </w:tcPr>
          <w:p>
            <w:pPr>
              <w:widowControl/>
              <w:spacing w:before="100" w:beforeAutospacing="1" w:after="100" w:afterAutospacing="1"/>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2.</w:t>
            </w:r>
          </w:p>
        </w:tc>
        <w:tc>
          <w:tcPr>
            <w:tcW w:w="1581"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036"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308"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222" w:type="dxa"/>
            <w:noWrap w:val="0"/>
            <w:vAlign w:val="top"/>
          </w:tcPr>
          <w:p>
            <w:pPr>
              <w:widowControl/>
              <w:spacing w:before="100" w:beforeAutospacing="1" w:after="100" w:afterAutospacing="1"/>
              <w:jc w:val="center"/>
              <w:rPr>
                <w:rFonts w:ascii="Arial" w:hAnsi="Arial" w:eastAsia="宋体" w:cs="Arial"/>
                <w:color w:val="auto"/>
                <w:kern w:val="0"/>
                <w:szCs w:val="21"/>
                <w:highlight w:val="none"/>
              </w:rPr>
            </w:pPr>
          </w:p>
        </w:tc>
        <w:tc>
          <w:tcPr>
            <w:tcW w:w="1122"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099"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113"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top"/>
          </w:tcPr>
          <w:p>
            <w:pPr>
              <w:widowControl/>
              <w:spacing w:before="100" w:beforeAutospacing="1" w:after="100" w:afterAutospacing="1"/>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3.</w:t>
            </w:r>
          </w:p>
        </w:tc>
        <w:tc>
          <w:tcPr>
            <w:tcW w:w="1581"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036"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308"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222" w:type="dxa"/>
            <w:noWrap w:val="0"/>
            <w:vAlign w:val="top"/>
          </w:tcPr>
          <w:p>
            <w:pPr>
              <w:widowControl/>
              <w:spacing w:before="100" w:beforeAutospacing="1" w:after="100" w:afterAutospacing="1"/>
              <w:jc w:val="center"/>
              <w:rPr>
                <w:rFonts w:ascii="Arial" w:hAnsi="Arial" w:eastAsia="宋体" w:cs="Arial"/>
                <w:color w:val="auto"/>
                <w:kern w:val="0"/>
                <w:szCs w:val="21"/>
                <w:highlight w:val="none"/>
              </w:rPr>
            </w:pPr>
          </w:p>
        </w:tc>
        <w:tc>
          <w:tcPr>
            <w:tcW w:w="1122"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099"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113"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top"/>
          </w:tcPr>
          <w:p>
            <w:pPr>
              <w:widowControl/>
              <w:spacing w:before="100" w:beforeAutospacing="1" w:after="100" w:afterAutospacing="1"/>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4.</w:t>
            </w:r>
          </w:p>
        </w:tc>
        <w:tc>
          <w:tcPr>
            <w:tcW w:w="1581"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036"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308"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222" w:type="dxa"/>
            <w:noWrap w:val="0"/>
            <w:vAlign w:val="top"/>
          </w:tcPr>
          <w:p>
            <w:pPr>
              <w:widowControl/>
              <w:spacing w:before="100" w:beforeAutospacing="1" w:after="100" w:afterAutospacing="1"/>
              <w:jc w:val="center"/>
              <w:rPr>
                <w:rFonts w:ascii="Arial" w:hAnsi="Arial" w:eastAsia="宋体" w:cs="Arial"/>
                <w:color w:val="auto"/>
                <w:kern w:val="0"/>
                <w:szCs w:val="21"/>
                <w:highlight w:val="none"/>
              </w:rPr>
            </w:pPr>
          </w:p>
        </w:tc>
        <w:tc>
          <w:tcPr>
            <w:tcW w:w="1122"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099"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113"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top"/>
          </w:tcPr>
          <w:p>
            <w:pPr>
              <w:widowControl/>
              <w:spacing w:before="100" w:beforeAutospacing="1" w:after="100" w:afterAutospacing="1"/>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5.</w:t>
            </w:r>
          </w:p>
        </w:tc>
        <w:tc>
          <w:tcPr>
            <w:tcW w:w="1581"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036"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308"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222" w:type="dxa"/>
            <w:noWrap w:val="0"/>
            <w:vAlign w:val="top"/>
          </w:tcPr>
          <w:p>
            <w:pPr>
              <w:widowControl/>
              <w:spacing w:before="100" w:beforeAutospacing="1" w:after="100" w:afterAutospacing="1"/>
              <w:jc w:val="center"/>
              <w:rPr>
                <w:rFonts w:ascii="Arial" w:hAnsi="Arial" w:eastAsia="宋体" w:cs="Arial"/>
                <w:color w:val="auto"/>
                <w:kern w:val="0"/>
                <w:szCs w:val="21"/>
                <w:highlight w:val="none"/>
              </w:rPr>
            </w:pPr>
          </w:p>
        </w:tc>
        <w:tc>
          <w:tcPr>
            <w:tcW w:w="1122"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099"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113"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top"/>
          </w:tcPr>
          <w:p>
            <w:pPr>
              <w:widowControl/>
              <w:spacing w:before="100" w:beforeAutospacing="1" w:after="100" w:afterAutospacing="1"/>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6.</w:t>
            </w:r>
          </w:p>
        </w:tc>
        <w:tc>
          <w:tcPr>
            <w:tcW w:w="1581"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036"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308"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222" w:type="dxa"/>
            <w:noWrap w:val="0"/>
            <w:vAlign w:val="top"/>
          </w:tcPr>
          <w:p>
            <w:pPr>
              <w:widowControl/>
              <w:spacing w:before="100" w:beforeAutospacing="1" w:after="100" w:afterAutospacing="1"/>
              <w:jc w:val="center"/>
              <w:rPr>
                <w:rFonts w:ascii="Arial" w:hAnsi="Arial" w:eastAsia="宋体" w:cs="Arial"/>
                <w:color w:val="auto"/>
                <w:kern w:val="0"/>
                <w:szCs w:val="21"/>
                <w:highlight w:val="none"/>
              </w:rPr>
            </w:pPr>
          </w:p>
        </w:tc>
        <w:tc>
          <w:tcPr>
            <w:tcW w:w="1122"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099"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c>
          <w:tcPr>
            <w:tcW w:w="1113" w:type="dxa"/>
            <w:noWrap w:val="0"/>
            <w:vAlign w:val="center"/>
          </w:tcPr>
          <w:p>
            <w:pPr>
              <w:widowControl/>
              <w:spacing w:before="100" w:beforeAutospacing="1" w:after="100" w:afterAutospacing="1"/>
              <w:jc w:val="center"/>
              <w:rPr>
                <w:rFonts w:ascii="Arial" w:hAnsi="Arial" w:eastAsia="宋体" w:cs="Arial"/>
                <w:color w:val="auto"/>
                <w:kern w:val="0"/>
                <w:szCs w:val="21"/>
                <w:highlight w:val="none"/>
              </w:rPr>
            </w:pPr>
          </w:p>
        </w:tc>
      </w:tr>
    </w:tbl>
    <w:p>
      <w:pPr>
        <w:widowControl/>
        <w:spacing w:before="100" w:beforeAutospacing="1" w:after="100" w:afterAutospacing="1"/>
        <w:rPr>
          <w:rFonts w:ascii="Arial" w:hAnsi="Arial" w:eastAsia="宋体" w:cs="Arial"/>
          <w:color w:val="auto"/>
          <w:szCs w:val="21"/>
          <w:highlight w:val="none"/>
        </w:rPr>
      </w:pPr>
      <w:r>
        <w:rPr>
          <w:rFonts w:ascii="Arial" w:hAnsi="Arial" w:eastAsia="宋体" w:cs="Arial"/>
          <w:color w:val="auto"/>
          <w:szCs w:val="21"/>
          <w:highlight w:val="none"/>
        </w:rPr>
        <w:t>注：</w:t>
      </w:r>
      <w:r>
        <w:rPr>
          <w:rFonts w:hint="eastAsia" w:ascii="Arial" w:hAnsi="Arial" w:eastAsia="宋体" w:cs="Arial"/>
          <w:color w:val="auto"/>
          <w:szCs w:val="21"/>
          <w:highlight w:val="none"/>
          <w:lang w:val="en-US" w:eastAsia="zh-CN"/>
        </w:rPr>
        <w:t>投标人</w:t>
      </w:r>
      <w:r>
        <w:rPr>
          <w:rFonts w:ascii="Arial" w:hAnsi="Arial" w:eastAsia="宋体" w:cs="Arial"/>
          <w:color w:val="auto"/>
          <w:szCs w:val="21"/>
          <w:highlight w:val="none"/>
        </w:rPr>
        <w:t>须按上表提供业绩证明资料。</w:t>
      </w:r>
    </w:p>
    <w:p>
      <w:pPr>
        <w:widowControl/>
        <w:spacing w:before="100" w:beforeAutospacing="1" w:after="100" w:afterAutospacing="1"/>
        <w:rPr>
          <w:rFonts w:hint="eastAsia" w:ascii="Arial" w:hAnsi="Arial" w:eastAsia="宋体" w:cs="Arial"/>
          <w:szCs w:val="21"/>
          <w:highlight w:val="none"/>
        </w:rPr>
      </w:pPr>
    </w:p>
    <w:p>
      <w:pPr>
        <w:widowControl/>
        <w:spacing w:before="100" w:beforeAutospacing="1" w:after="100" w:afterAutospacing="1"/>
        <w:rPr>
          <w:rFonts w:hint="eastAsia" w:ascii="Arial" w:hAnsi="Arial" w:eastAsia="宋体" w:cs="Arial"/>
          <w:szCs w:val="21"/>
          <w:highlight w:val="none"/>
        </w:rPr>
      </w:pPr>
    </w:p>
    <w:p>
      <w:pPr>
        <w:widowControl/>
        <w:spacing w:before="100" w:beforeAutospacing="1" w:after="100" w:afterAutospacing="1"/>
        <w:rPr>
          <w:rFonts w:hint="eastAsia" w:ascii="Arial" w:hAnsi="Arial" w:eastAsia="宋体" w:cs="Arial"/>
          <w:szCs w:val="21"/>
          <w:highlight w:val="none"/>
        </w:rPr>
      </w:pPr>
    </w:p>
    <w:p>
      <w:pPr>
        <w:widowControl/>
        <w:spacing w:before="100" w:beforeAutospacing="1" w:after="100" w:afterAutospacing="1"/>
        <w:rPr>
          <w:rFonts w:hint="eastAsia" w:ascii="Arial" w:hAnsi="Arial" w:eastAsia="宋体" w:cs="Arial"/>
          <w:szCs w:val="21"/>
          <w:highlight w:val="none"/>
        </w:rPr>
      </w:pPr>
    </w:p>
    <w:p>
      <w:pPr>
        <w:widowControl/>
        <w:spacing w:before="100" w:beforeAutospacing="1" w:after="100" w:afterAutospacing="1"/>
        <w:rPr>
          <w:rFonts w:ascii="Arial" w:hAnsi="Arial" w:eastAsia="宋体" w:cs="Arial"/>
          <w:szCs w:val="21"/>
          <w:highlight w:val="none"/>
        </w:rPr>
      </w:pPr>
    </w:p>
    <w:p>
      <w:pPr>
        <w:spacing w:line="300" w:lineRule="auto"/>
        <w:rPr>
          <w:rFonts w:ascii="Arial" w:hAnsi="Arial" w:eastAsia="宋体" w:cs="Arial"/>
          <w:szCs w:val="21"/>
          <w:highlight w:val="none"/>
        </w:rPr>
      </w:pPr>
      <w:r>
        <w:rPr>
          <w:rFonts w:ascii="Arial" w:hAnsi="Arial" w:eastAsia="宋体" w:cs="Arial"/>
          <w:szCs w:val="21"/>
          <w:highlight w:val="none"/>
        </w:rPr>
        <w:t>投标人名称[盖章]：</w:t>
      </w:r>
      <w:r>
        <w:rPr>
          <w:rFonts w:ascii="Arial" w:hAnsi="Arial" w:eastAsia="宋体" w:cs="Arial"/>
          <w:szCs w:val="21"/>
          <w:highlight w:val="none"/>
          <w:u w:val="single"/>
        </w:rPr>
        <w:t xml:space="preserve">                              </w:t>
      </w:r>
      <w:r>
        <w:rPr>
          <w:rFonts w:ascii="Arial" w:hAnsi="Arial" w:eastAsia="宋体" w:cs="Arial"/>
          <w:szCs w:val="21"/>
          <w:highlight w:val="none"/>
        </w:rPr>
        <w:t xml:space="preserve"> </w:t>
      </w:r>
    </w:p>
    <w:p>
      <w:pPr>
        <w:widowControl/>
        <w:spacing w:before="100" w:beforeAutospacing="1" w:after="100" w:afterAutospacing="1"/>
        <w:rPr>
          <w:rFonts w:ascii="Arial" w:hAnsi="Arial" w:eastAsia="宋体" w:cs="Arial"/>
          <w:szCs w:val="21"/>
          <w:highlight w:val="none"/>
          <w:u w:val="single"/>
        </w:rPr>
      </w:pPr>
      <w:r>
        <w:rPr>
          <w:rFonts w:ascii="Arial" w:hAnsi="Arial" w:eastAsia="宋体" w:cs="Arial"/>
          <w:szCs w:val="21"/>
          <w:highlight w:val="none"/>
        </w:rPr>
        <w:t>投标人授权代表签字：</w:t>
      </w:r>
      <w:r>
        <w:rPr>
          <w:rFonts w:ascii="Arial" w:hAnsi="Arial" w:eastAsia="宋体" w:cs="Arial"/>
          <w:szCs w:val="21"/>
          <w:highlight w:val="none"/>
          <w:u w:val="single"/>
        </w:rPr>
        <w:t xml:space="preserve"> </w:t>
      </w:r>
      <w:r>
        <w:rPr>
          <w:rFonts w:hint="eastAsia" w:ascii="Arial" w:hAnsi="Arial" w:eastAsia="宋体" w:cs="Arial"/>
          <w:szCs w:val="21"/>
          <w:highlight w:val="none"/>
          <w:u w:val="single"/>
        </w:rPr>
        <w:t xml:space="preserve">                     </w:t>
      </w:r>
      <w:r>
        <w:rPr>
          <w:rFonts w:ascii="Arial" w:hAnsi="Arial" w:eastAsia="宋体" w:cs="Arial"/>
          <w:szCs w:val="21"/>
          <w:highlight w:val="none"/>
          <w:u w:val="single"/>
        </w:rPr>
        <w:t xml:space="preserve"> </w:t>
      </w:r>
      <w:r>
        <w:rPr>
          <w:rFonts w:ascii="Arial" w:hAnsi="Arial" w:eastAsia="宋体" w:cs="Arial"/>
          <w:szCs w:val="21"/>
          <w:highlight w:val="none"/>
        </w:rPr>
        <w:t xml:space="preserve">                   日期：</w:t>
      </w:r>
      <w:r>
        <w:rPr>
          <w:rFonts w:ascii="Arial" w:hAnsi="Arial" w:eastAsia="宋体" w:cs="Arial"/>
          <w:szCs w:val="21"/>
          <w:highlight w:val="none"/>
          <w:u w:val="single"/>
        </w:rPr>
        <w:t xml:space="preserve">                </w:t>
      </w:r>
    </w:p>
    <w:p>
      <w:pPr>
        <w:spacing w:line="440" w:lineRule="exact"/>
        <w:jc w:val="center"/>
        <w:rPr>
          <w:rFonts w:hint="eastAsia" w:ascii="Arial" w:hAnsi="Arial" w:eastAsia="黑体" w:cs="Arial"/>
          <w:b/>
          <w:bCs/>
          <w:sz w:val="32"/>
          <w:szCs w:val="32"/>
          <w:highlight w:val="none"/>
        </w:rPr>
      </w:pPr>
      <w:bookmarkStart w:id="1068" w:name="_Toc432367437"/>
      <w:bookmarkStart w:id="1069" w:name="_Toc430813369"/>
      <w:r>
        <w:rPr>
          <w:rFonts w:ascii="Times New Roman" w:hAnsi="Times New Roman" w:eastAsia="宋体" w:cs="Arial"/>
          <w:szCs w:val="21"/>
          <w:highlight w:val="none"/>
        </w:rPr>
        <w:br w:type="page"/>
      </w:r>
      <w:bookmarkStart w:id="1070" w:name="_Toc432367436"/>
      <w:bookmarkStart w:id="1071" w:name="_Toc430813366"/>
      <w:r>
        <w:rPr>
          <w:rFonts w:hint="eastAsia" w:ascii="Arial" w:hAnsi="Arial" w:eastAsia="黑体" w:cs="Arial"/>
          <w:b/>
          <w:bCs/>
          <w:sz w:val="32"/>
          <w:szCs w:val="32"/>
          <w:highlight w:val="none"/>
        </w:rPr>
        <w:t>近3年投标人类似项目获得业主优良评价情况表</w:t>
      </w:r>
    </w:p>
    <w:p>
      <w:pPr>
        <w:spacing w:line="440" w:lineRule="exact"/>
        <w:jc w:val="left"/>
        <w:rPr>
          <w:rFonts w:ascii="Times New Roman" w:hAnsi="Times New Roman" w:eastAsia="黑体" w:cs="Times New Roman"/>
          <w:sz w:val="24"/>
          <w:highlight w:val="none"/>
        </w:rPr>
      </w:pPr>
      <w:r>
        <w:rPr>
          <w:rFonts w:ascii="Arial" w:hAnsi="Arial" w:eastAsia="宋体" w:cs="Arial"/>
          <w:bCs/>
          <w:szCs w:val="21"/>
          <w:highlight w:val="none"/>
        </w:rPr>
        <w:fldChar w:fldCharType="begin"/>
      </w:r>
      <w:r>
        <w:rPr>
          <w:rFonts w:ascii="Arial" w:hAnsi="Arial" w:eastAsia="宋体" w:cs="Arial"/>
          <w:bCs/>
          <w:szCs w:val="21"/>
          <w:highlight w:val="none"/>
        </w:rPr>
        <w:instrText xml:space="preserve"> LINK Word.Document.8 "D:\\音乐厅\\4通用设备\\招标文件\\音乐厅空调设备招标文件v1.0.doc" "OLE_LINK8" \r  \* MERGEFORMAT </w:instrText>
      </w:r>
      <w:r>
        <w:rPr>
          <w:rFonts w:ascii="Arial" w:hAnsi="Arial" w:eastAsia="宋体" w:cs="Arial"/>
          <w:bCs/>
          <w:szCs w:val="21"/>
          <w:highlight w:val="none"/>
        </w:rPr>
        <w:fldChar w:fldCharType="separate"/>
      </w:r>
      <w:r>
        <w:rPr>
          <w:rFonts w:hint="eastAsia" w:ascii="Arial" w:hAnsi="Arial" w:eastAsia="宋体" w:cs="Arial"/>
          <w:bCs/>
          <w:szCs w:val="21"/>
          <w:highlight w:val="none"/>
        </w:rPr>
        <w:t>项目</w:t>
      </w:r>
      <w:r>
        <w:rPr>
          <w:rFonts w:ascii="Arial" w:hAnsi="Arial" w:eastAsia="宋体" w:cs="Arial"/>
          <w:bCs/>
          <w:szCs w:val="21"/>
          <w:highlight w:val="none"/>
        </w:rPr>
        <w:t>名称：</w:t>
      </w:r>
      <w:r>
        <w:rPr>
          <w:rFonts w:ascii="Arial" w:hAnsi="Arial" w:eastAsia="宋体" w:cs="Arial"/>
          <w:bCs/>
          <w:szCs w:val="21"/>
          <w:highlight w:val="none"/>
          <w:u w:val="single"/>
        </w:rPr>
        <w:t xml:space="preserve">            </w:t>
      </w:r>
      <w:r>
        <w:rPr>
          <w:rFonts w:ascii="Arial" w:hAnsi="Arial" w:eastAsia="宋体" w:cs="Arial"/>
          <w:bCs/>
          <w:szCs w:val="21"/>
          <w:highlight w:val="none"/>
        </w:rPr>
        <w:t xml:space="preserve">        </w:t>
      </w:r>
      <w:r>
        <w:rPr>
          <w:rFonts w:ascii="Arial" w:hAnsi="Arial" w:eastAsia="宋体" w:cs="Arial"/>
          <w:szCs w:val="21"/>
          <w:highlight w:val="none"/>
        </w:rPr>
        <w:t>项目编号</w:t>
      </w:r>
      <w:r>
        <w:rPr>
          <w:rFonts w:ascii="Arial" w:hAnsi="Arial" w:eastAsia="宋体" w:cs="Arial"/>
          <w:bCs/>
          <w:szCs w:val="21"/>
          <w:highlight w:val="none"/>
        </w:rPr>
        <w:t>：</w:t>
      </w:r>
      <w:r>
        <w:rPr>
          <w:rFonts w:ascii="Arial" w:hAnsi="Arial" w:eastAsia="宋体" w:cs="Arial"/>
          <w:bCs/>
          <w:szCs w:val="21"/>
          <w:highlight w:val="none"/>
          <w:u w:val="single"/>
        </w:rPr>
        <w:t xml:space="preserve">       </w:t>
      </w:r>
      <w:r>
        <w:rPr>
          <w:rFonts w:ascii="Arial" w:hAnsi="Arial" w:eastAsia="宋体" w:cs="Arial"/>
          <w:bCs/>
          <w:szCs w:val="21"/>
          <w:highlight w:val="none"/>
        </w:rPr>
        <w:t xml:space="preserve"> </w:t>
      </w:r>
      <w:r>
        <w:rPr>
          <w:rFonts w:hint="eastAsia" w:ascii="Arial" w:hAnsi="Arial" w:eastAsia="宋体" w:cs="Arial"/>
          <w:bCs/>
          <w:szCs w:val="21"/>
          <w:highlight w:val="none"/>
          <w:lang w:val="en-US" w:eastAsia="zh-CN"/>
        </w:rPr>
        <w:t xml:space="preserve">  </w:t>
      </w:r>
      <w:r>
        <w:rPr>
          <w:rFonts w:ascii="Arial" w:hAnsi="Arial" w:eastAsia="宋体" w:cs="Arial"/>
          <w:bCs/>
          <w:szCs w:val="21"/>
          <w:highlight w:val="none"/>
        </w:rPr>
        <w:fldChar w:fldCharType="end"/>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2402"/>
        <w:gridCol w:w="1800"/>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序号</w:t>
            </w:r>
          </w:p>
        </w:tc>
        <w:tc>
          <w:tcPr>
            <w:tcW w:w="2402" w:type="dxa"/>
            <w:noWrap w:val="0"/>
            <w:vAlign w:val="top"/>
          </w:tcPr>
          <w:p>
            <w:pPr>
              <w:topLinePunct/>
              <w:spacing w:line="400" w:lineRule="atLeast"/>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建设项目名称</w:t>
            </w:r>
          </w:p>
        </w:tc>
        <w:tc>
          <w:tcPr>
            <w:tcW w:w="1800" w:type="dxa"/>
            <w:noWrap w:val="0"/>
            <w:vAlign w:val="top"/>
          </w:tcPr>
          <w:p>
            <w:pPr>
              <w:topLinePunct/>
              <w:spacing w:line="400" w:lineRule="atLeast"/>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评价结果</w:t>
            </w: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评价日期</w:t>
            </w: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业主单位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24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800"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24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800"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24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800"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24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800"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24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800"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24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800"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24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800"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24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800"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24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800"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24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800"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24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800"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24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800"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bl>
    <w:p>
      <w:pPr>
        <w:rPr>
          <w:rFonts w:ascii="Times New Roman" w:hAnsi="Times New Roman" w:eastAsia="黑体" w:cs="Times New Roman"/>
          <w:sz w:val="24"/>
          <w:highlight w:val="none"/>
        </w:rPr>
      </w:pPr>
    </w:p>
    <w:p>
      <w:pPr>
        <w:widowControl/>
        <w:spacing w:before="100" w:beforeAutospacing="1" w:after="100" w:afterAutospacing="1"/>
        <w:rPr>
          <w:rFonts w:hint="eastAsia" w:ascii="Arial" w:hAnsi="Arial" w:eastAsia="宋体" w:cs="Arial"/>
          <w:szCs w:val="21"/>
          <w:highlight w:val="none"/>
        </w:rPr>
      </w:pPr>
      <w:r>
        <w:rPr>
          <w:rFonts w:hint="eastAsia" w:ascii="Arial" w:hAnsi="Arial" w:eastAsia="宋体" w:cs="Arial"/>
          <w:szCs w:val="21"/>
          <w:highlight w:val="none"/>
        </w:rPr>
        <w:t>备注：</w:t>
      </w:r>
    </w:p>
    <w:p>
      <w:pPr>
        <w:widowControl/>
        <w:spacing w:before="100" w:beforeAutospacing="1" w:after="100" w:afterAutospacing="1"/>
        <w:rPr>
          <w:rFonts w:hint="eastAsia" w:ascii="Arial" w:hAnsi="Arial" w:eastAsia="宋体" w:cs="Arial"/>
          <w:szCs w:val="21"/>
          <w:highlight w:val="none"/>
        </w:rPr>
      </w:pPr>
      <w:r>
        <w:rPr>
          <w:rFonts w:hint="eastAsia" w:ascii="Arial" w:hAnsi="Arial" w:eastAsia="宋体" w:cs="Arial"/>
          <w:szCs w:val="21"/>
          <w:highlight w:val="none"/>
        </w:rPr>
        <w:t>1. 投标人应列出近3年（从招标公告发布之日起往前推算）获得业主优良评价的类似项目。</w:t>
      </w:r>
    </w:p>
    <w:p>
      <w:pPr>
        <w:widowControl/>
        <w:spacing w:before="100" w:beforeAutospacing="1" w:after="100" w:afterAutospacing="1"/>
        <w:rPr>
          <w:rFonts w:hint="eastAsia" w:ascii="Arial" w:hAnsi="Arial" w:eastAsia="宋体" w:cs="Arial"/>
          <w:szCs w:val="21"/>
          <w:highlight w:val="none"/>
        </w:rPr>
      </w:pPr>
      <w:r>
        <w:rPr>
          <w:rFonts w:hint="eastAsia" w:ascii="Arial" w:hAnsi="Arial" w:eastAsia="宋体" w:cs="Arial"/>
          <w:szCs w:val="21"/>
          <w:highlight w:val="none"/>
        </w:rPr>
        <w:t>2. 本表应附的相关证明材料包括但不限于：相应建设项目咨询合同书、发包人或政府造价咨询管理部门评价意见等证明材料；</w:t>
      </w:r>
    </w:p>
    <w:p>
      <w:pPr>
        <w:widowControl/>
        <w:spacing w:before="100" w:beforeAutospacing="1" w:after="100" w:afterAutospacing="1"/>
        <w:rPr>
          <w:rFonts w:hint="eastAsia" w:ascii="Arial" w:hAnsi="Arial" w:eastAsia="宋体" w:cs="Arial"/>
          <w:szCs w:val="21"/>
          <w:highlight w:val="none"/>
        </w:rPr>
      </w:pPr>
      <w:r>
        <w:rPr>
          <w:rFonts w:hint="eastAsia" w:ascii="Arial" w:hAnsi="Arial" w:eastAsia="宋体" w:cs="Arial"/>
          <w:szCs w:val="21"/>
          <w:highlight w:val="none"/>
        </w:rPr>
        <w:t>3. 本表应加盖投标人公章，所附证明材料也应盖章。</w:t>
      </w:r>
    </w:p>
    <w:p>
      <w:pPr>
        <w:spacing w:line="400" w:lineRule="atLeast"/>
        <w:rPr>
          <w:rFonts w:ascii="Times New Roman" w:hAnsi="Times New Roman" w:eastAsia="宋体" w:cs="Times New Roman"/>
          <w:szCs w:val="21"/>
          <w:highlight w:val="none"/>
        </w:rPr>
      </w:pPr>
    </w:p>
    <w:p>
      <w:pPr>
        <w:spacing w:line="300" w:lineRule="auto"/>
        <w:rPr>
          <w:rFonts w:ascii="Arial" w:hAnsi="Arial" w:eastAsia="宋体" w:cs="Arial"/>
          <w:szCs w:val="21"/>
          <w:highlight w:val="none"/>
        </w:rPr>
      </w:pPr>
      <w:r>
        <w:rPr>
          <w:rFonts w:ascii="Arial" w:hAnsi="Arial" w:eastAsia="宋体" w:cs="Arial"/>
          <w:szCs w:val="21"/>
          <w:highlight w:val="none"/>
        </w:rPr>
        <w:t>投标人名称[盖章]：</w:t>
      </w:r>
      <w:r>
        <w:rPr>
          <w:rFonts w:ascii="Arial" w:hAnsi="Arial" w:eastAsia="宋体" w:cs="Arial"/>
          <w:szCs w:val="21"/>
          <w:highlight w:val="none"/>
          <w:u w:val="single"/>
        </w:rPr>
        <w:t xml:space="preserve">                              </w:t>
      </w:r>
      <w:r>
        <w:rPr>
          <w:rFonts w:ascii="Arial" w:hAnsi="Arial" w:eastAsia="宋体" w:cs="Arial"/>
          <w:szCs w:val="21"/>
          <w:highlight w:val="none"/>
        </w:rPr>
        <w:t xml:space="preserve"> </w:t>
      </w:r>
    </w:p>
    <w:p>
      <w:pPr>
        <w:widowControl/>
        <w:spacing w:before="100" w:beforeAutospacing="1" w:after="100" w:afterAutospacing="1"/>
        <w:rPr>
          <w:rFonts w:ascii="Arial" w:hAnsi="Arial" w:eastAsia="宋体" w:cs="Arial"/>
          <w:szCs w:val="21"/>
          <w:highlight w:val="none"/>
          <w:u w:val="single"/>
        </w:rPr>
      </w:pPr>
      <w:r>
        <w:rPr>
          <w:rFonts w:ascii="Arial" w:hAnsi="Arial" w:eastAsia="宋体" w:cs="Arial"/>
          <w:szCs w:val="21"/>
          <w:highlight w:val="none"/>
        </w:rPr>
        <w:t>投标人授权代表签字：</w:t>
      </w:r>
      <w:r>
        <w:rPr>
          <w:rFonts w:ascii="Arial" w:hAnsi="Arial" w:eastAsia="宋体" w:cs="Arial"/>
          <w:szCs w:val="21"/>
          <w:highlight w:val="none"/>
          <w:u w:val="single"/>
        </w:rPr>
        <w:t xml:space="preserve"> </w:t>
      </w:r>
      <w:r>
        <w:rPr>
          <w:rFonts w:hint="eastAsia" w:ascii="Arial" w:hAnsi="Arial" w:eastAsia="宋体" w:cs="Arial"/>
          <w:szCs w:val="21"/>
          <w:highlight w:val="none"/>
          <w:u w:val="single"/>
        </w:rPr>
        <w:t xml:space="preserve">                     </w:t>
      </w:r>
      <w:r>
        <w:rPr>
          <w:rFonts w:ascii="Arial" w:hAnsi="Arial" w:eastAsia="宋体" w:cs="Arial"/>
          <w:szCs w:val="21"/>
          <w:highlight w:val="none"/>
          <w:u w:val="single"/>
        </w:rPr>
        <w:t xml:space="preserve"> </w:t>
      </w:r>
      <w:r>
        <w:rPr>
          <w:rFonts w:ascii="Arial" w:hAnsi="Arial" w:eastAsia="宋体" w:cs="Arial"/>
          <w:szCs w:val="21"/>
          <w:highlight w:val="none"/>
        </w:rPr>
        <w:t xml:space="preserve">                   日期：</w:t>
      </w:r>
      <w:r>
        <w:rPr>
          <w:rFonts w:ascii="Arial" w:hAnsi="Arial" w:eastAsia="宋体" w:cs="Arial"/>
          <w:szCs w:val="21"/>
          <w:highlight w:val="none"/>
          <w:u w:val="single"/>
        </w:rPr>
        <w:t xml:space="preserve">                </w:t>
      </w:r>
    </w:p>
    <w:p>
      <w:pPr>
        <w:keepNext/>
        <w:keepLines/>
        <w:widowControl w:val="0"/>
        <w:snapToGrid w:val="0"/>
        <w:spacing w:before="120" w:after="120" w:line="360" w:lineRule="auto"/>
        <w:jc w:val="both"/>
        <w:outlineLvl w:val="1"/>
        <w:rPr>
          <w:rFonts w:hint="eastAsia" w:ascii="Arial" w:hAnsi="Arial" w:eastAsia="黑体" w:cs="Times New Roman"/>
          <w:b/>
          <w:bCs/>
          <w:kern w:val="2"/>
          <w:sz w:val="32"/>
          <w:szCs w:val="32"/>
          <w:highlight w:val="none"/>
          <w:lang w:val="en-US" w:eastAsia="zh-CN" w:bidi="ar-SA"/>
        </w:rPr>
      </w:pPr>
      <w:r>
        <w:rPr>
          <w:rFonts w:hint="eastAsia" w:ascii="Arial" w:hAnsi="Arial" w:eastAsia="黑体" w:cs="Arial"/>
          <w:b/>
          <w:bCs w:val="0"/>
          <w:kern w:val="2"/>
          <w:sz w:val="32"/>
          <w:szCs w:val="32"/>
          <w:highlight w:val="none"/>
          <w:lang w:val="en-US" w:eastAsia="zh-CN" w:bidi="ar-SA"/>
        </w:rPr>
        <w:br w:type="page"/>
      </w:r>
      <w:bookmarkStart w:id="1072" w:name="_Toc1255"/>
      <w:bookmarkStart w:id="1073" w:name="_Toc9656"/>
      <w:r>
        <w:rPr>
          <w:rFonts w:hint="eastAsia" w:ascii="Arial" w:hAnsi="Arial" w:eastAsia="黑体" w:cs="Arial"/>
          <w:b/>
          <w:bCs w:val="0"/>
          <w:kern w:val="2"/>
          <w:sz w:val="32"/>
          <w:szCs w:val="32"/>
          <w:highlight w:val="none"/>
          <w:lang w:val="en-US" w:eastAsia="zh-CN" w:bidi="ar-SA"/>
        </w:rPr>
        <w:t>（十）信誉、信用等证明文件</w:t>
      </w:r>
      <w:bookmarkEnd w:id="1070"/>
      <w:bookmarkEnd w:id="1071"/>
      <w:bookmarkEnd w:id="1072"/>
      <w:bookmarkEnd w:id="1073"/>
    </w:p>
    <w:p>
      <w:pPr>
        <w:spacing w:before="120" w:beforeLines="50" w:line="300" w:lineRule="auto"/>
        <w:jc w:val="center"/>
        <w:outlineLvl w:val="3"/>
        <w:rPr>
          <w:rFonts w:hint="eastAsia" w:ascii="Arial" w:hAnsi="Arial" w:eastAsia="宋体" w:cs="Arial"/>
          <w:b/>
          <w:sz w:val="30"/>
          <w:szCs w:val="30"/>
          <w:highlight w:val="none"/>
        </w:rPr>
      </w:pPr>
      <w:r>
        <w:rPr>
          <w:rFonts w:hint="eastAsia" w:ascii="Arial" w:hAnsi="Arial" w:eastAsia="宋体" w:cs="Arial"/>
          <w:b/>
          <w:sz w:val="30"/>
          <w:szCs w:val="30"/>
          <w:highlight w:val="none"/>
        </w:rPr>
        <w:t>10-1近3年投标人获奖情况表</w:t>
      </w:r>
    </w:p>
    <w:p>
      <w:pPr>
        <w:spacing w:line="400" w:lineRule="atLeast"/>
        <w:jc w:val="left"/>
        <w:rPr>
          <w:rFonts w:ascii="Times New Roman" w:hAnsi="Times New Roman" w:eastAsia="黑体" w:cs="Times New Roman"/>
          <w:sz w:val="24"/>
          <w:highlight w:val="none"/>
        </w:rPr>
      </w:pPr>
      <w:r>
        <w:rPr>
          <w:rFonts w:ascii="Arial" w:hAnsi="Arial" w:eastAsia="宋体" w:cs="Arial"/>
          <w:bCs/>
          <w:szCs w:val="21"/>
          <w:highlight w:val="none"/>
        </w:rPr>
        <w:fldChar w:fldCharType="begin"/>
      </w:r>
      <w:r>
        <w:rPr>
          <w:rFonts w:ascii="Arial" w:hAnsi="Arial" w:eastAsia="宋体" w:cs="Arial"/>
          <w:bCs/>
          <w:szCs w:val="21"/>
          <w:highlight w:val="none"/>
        </w:rPr>
        <w:instrText xml:space="preserve"> LINK Word.Document.8 "D:\\音乐厅\\4通用设备\\招标文件\\音乐厅空调设备招标文件v1.0.doc" "OLE_LINK8" \r  \* MERGEFORMAT </w:instrText>
      </w:r>
      <w:r>
        <w:rPr>
          <w:rFonts w:ascii="Arial" w:hAnsi="Arial" w:eastAsia="宋体" w:cs="Arial"/>
          <w:bCs/>
          <w:szCs w:val="21"/>
          <w:highlight w:val="none"/>
        </w:rPr>
        <w:fldChar w:fldCharType="separate"/>
      </w:r>
      <w:r>
        <w:rPr>
          <w:rFonts w:hint="eastAsia" w:ascii="Arial" w:hAnsi="Arial" w:eastAsia="宋体" w:cs="Arial"/>
          <w:bCs/>
          <w:szCs w:val="21"/>
          <w:highlight w:val="none"/>
        </w:rPr>
        <w:t>项目</w:t>
      </w:r>
      <w:r>
        <w:rPr>
          <w:rFonts w:ascii="Arial" w:hAnsi="Arial" w:eastAsia="宋体" w:cs="Arial"/>
          <w:bCs/>
          <w:szCs w:val="21"/>
          <w:highlight w:val="none"/>
        </w:rPr>
        <w:t>名称：</w:t>
      </w:r>
      <w:r>
        <w:rPr>
          <w:rFonts w:ascii="Arial" w:hAnsi="Arial" w:eastAsia="宋体" w:cs="Arial"/>
          <w:bCs/>
          <w:szCs w:val="21"/>
          <w:highlight w:val="none"/>
          <w:u w:val="single"/>
        </w:rPr>
        <w:t xml:space="preserve">            </w:t>
      </w:r>
      <w:r>
        <w:rPr>
          <w:rFonts w:ascii="Arial" w:hAnsi="Arial" w:eastAsia="宋体" w:cs="Arial"/>
          <w:bCs/>
          <w:szCs w:val="21"/>
          <w:highlight w:val="none"/>
        </w:rPr>
        <w:t xml:space="preserve">        </w:t>
      </w:r>
      <w:r>
        <w:rPr>
          <w:rFonts w:ascii="Arial" w:hAnsi="Arial" w:eastAsia="宋体" w:cs="Arial"/>
          <w:szCs w:val="21"/>
          <w:highlight w:val="none"/>
        </w:rPr>
        <w:t>项目编号</w:t>
      </w:r>
      <w:r>
        <w:rPr>
          <w:rFonts w:ascii="Arial" w:hAnsi="Arial" w:eastAsia="宋体" w:cs="Arial"/>
          <w:bCs/>
          <w:szCs w:val="21"/>
          <w:highlight w:val="none"/>
        </w:rPr>
        <w:t>：</w:t>
      </w:r>
      <w:r>
        <w:rPr>
          <w:rFonts w:ascii="Arial" w:hAnsi="Arial" w:eastAsia="宋体" w:cs="Arial"/>
          <w:bCs/>
          <w:szCs w:val="21"/>
          <w:highlight w:val="none"/>
          <w:u w:val="single"/>
        </w:rPr>
        <w:t xml:space="preserve">       </w:t>
      </w:r>
      <w:r>
        <w:rPr>
          <w:rFonts w:ascii="Arial" w:hAnsi="Arial" w:eastAsia="宋体" w:cs="Arial"/>
          <w:bCs/>
          <w:szCs w:val="21"/>
          <w:highlight w:val="none"/>
        </w:rPr>
        <w:t xml:space="preserve"> </w:t>
      </w:r>
      <w:r>
        <w:rPr>
          <w:rFonts w:hint="eastAsia" w:ascii="Arial" w:hAnsi="Arial" w:eastAsia="宋体" w:cs="Arial"/>
          <w:bCs/>
          <w:szCs w:val="21"/>
          <w:highlight w:val="none"/>
          <w:lang w:val="en-US" w:eastAsia="zh-CN"/>
        </w:rPr>
        <w:t xml:space="preserve"> </w:t>
      </w:r>
      <w:r>
        <w:rPr>
          <w:rFonts w:hint="eastAsia" w:ascii="Arial" w:hAnsi="Arial" w:eastAsia="宋体" w:cs="Arial"/>
          <w:szCs w:val="21"/>
          <w:highlight w:val="none"/>
        </w:rPr>
        <w:t xml:space="preserve"> </w:t>
      </w:r>
      <w:r>
        <w:rPr>
          <w:rFonts w:ascii="Arial" w:hAnsi="Arial" w:eastAsia="宋体" w:cs="Arial"/>
          <w:bCs/>
          <w:szCs w:val="21"/>
          <w:highlight w:val="none"/>
        </w:rPr>
        <w:fldChar w:fldCharType="end"/>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4202"/>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序号</w:t>
            </w:r>
          </w:p>
        </w:tc>
        <w:tc>
          <w:tcPr>
            <w:tcW w:w="4202" w:type="dxa"/>
            <w:noWrap w:val="0"/>
            <w:vAlign w:val="top"/>
          </w:tcPr>
          <w:p>
            <w:pPr>
              <w:topLinePunct/>
              <w:spacing w:line="400" w:lineRule="atLeast"/>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获奖名称</w:t>
            </w: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获奖日期</w:t>
            </w: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颁奖单位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42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4202" w:type="dxa"/>
            <w:noWrap w:val="0"/>
            <w:vAlign w:val="top"/>
          </w:tcPr>
          <w:p>
            <w:pPr>
              <w:topLinePunct/>
              <w:spacing w:line="400" w:lineRule="atLeast"/>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42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42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42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42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42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42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42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42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rFonts w:ascii="Times New Roman" w:hAnsi="Times New Roman" w:eastAsia="宋体" w:cs="Times New Roman"/>
                <w:szCs w:val="21"/>
                <w:highlight w:val="none"/>
              </w:rPr>
            </w:pPr>
          </w:p>
        </w:tc>
        <w:tc>
          <w:tcPr>
            <w:tcW w:w="4202" w:type="dxa"/>
            <w:noWrap w:val="0"/>
            <w:vAlign w:val="top"/>
          </w:tcPr>
          <w:p>
            <w:pPr>
              <w:topLinePunct/>
              <w:spacing w:line="400" w:lineRule="atLeast"/>
              <w:jc w:val="center"/>
              <w:rPr>
                <w:rFonts w:ascii="Times New Roman" w:hAnsi="Times New Roman" w:eastAsia="宋体" w:cs="Times New Roman"/>
                <w:szCs w:val="21"/>
                <w:highlight w:val="none"/>
              </w:rPr>
            </w:pPr>
          </w:p>
        </w:tc>
        <w:tc>
          <w:tcPr>
            <w:tcW w:w="1440" w:type="dxa"/>
            <w:noWrap w:val="0"/>
            <w:vAlign w:val="top"/>
          </w:tcPr>
          <w:p>
            <w:pPr>
              <w:topLinePunct/>
              <w:spacing w:line="400" w:lineRule="atLeast"/>
              <w:jc w:val="center"/>
              <w:rPr>
                <w:rFonts w:ascii="Times New Roman" w:hAnsi="Times New Roman" w:eastAsia="宋体" w:cs="Times New Roman"/>
                <w:szCs w:val="21"/>
                <w:highlight w:val="none"/>
              </w:rPr>
            </w:pPr>
          </w:p>
        </w:tc>
        <w:tc>
          <w:tcPr>
            <w:tcW w:w="2160" w:type="dxa"/>
            <w:noWrap w:val="0"/>
            <w:vAlign w:val="top"/>
          </w:tcPr>
          <w:p>
            <w:pPr>
              <w:topLinePunct/>
              <w:spacing w:line="400" w:lineRule="atLeast"/>
              <w:jc w:val="center"/>
              <w:rPr>
                <w:rFonts w:ascii="Times New Roman" w:hAnsi="Times New Roman" w:eastAsia="宋体" w:cs="Times New Roman"/>
                <w:szCs w:val="21"/>
                <w:highlight w:val="none"/>
              </w:rPr>
            </w:pPr>
          </w:p>
        </w:tc>
      </w:tr>
    </w:tbl>
    <w:p>
      <w:pPr>
        <w:spacing w:line="400" w:lineRule="atLeast"/>
        <w:rPr>
          <w:rFonts w:ascii="Times New Roman" w:hAnsi="Times New Roman" w:eastAsia="黑体" w:cs="Times New Roman"/>
          <w:sz w:val="24"/>
          <w:highlight w:val="none"/>
        </w:rPr>
      </w:pPr>
    </w:p>
    <w:p>
      <w:pPr>
        <w:snapToGrid w:val="0"/>
        <w:spacing w:line="360" w:lineRule="auto"/>
        <w:ind w:firstLine="646"/>
        <w:rPr>
          <w:rFonts w:ascii="Times New Roman" w:hAnsi="Times New Roman" w:eastAsia="宋体" w:cs="Times New Roman"/>
          <w:highlight w:val="none"/>
        </w:rPr>
      </w:pPr>
      <w:r>
        <w:rPr>
          <w:rFonts w:hint="eastAsia" w:ascii="Times New Roman" w:hAnsi="Times New Roman" w:eastAsia="宋体" w:cs="Times New Roman"/>
          <w:highlight w:val="none"/>
        </w:rPr>
        <w:t>备</w:t>
      </w:r>
      <w:r>
        <w:rPr>
          <w:rFonts w:ascii="Times New Roman" w:hAnsi="Times New Roman" w:eastAsia="宋体" w:cs="Times New Roman"/>
          <w:highlight w:val="none"/>
        </w:rPr>
        <w:t>注：</w:t>
      </w:r>
    </w:p>
    <w:p>
      <w:pPr>
        <w:snapToGrid w:val="0"/>
        <w:spacing w:line="360" w:lineRule="auto"/>
        <w:ind w:firstLine="646"/>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1.投标人应列出近3年（从招标公告发布之日起往前推算）获得相关行政管理部门颁发的各类表彰和荣誉称号。 </w:t>
      </w:r>
    </w:p>
    <w:p>
      <w:pPr>
        <w:snapToGrid w:val="0"/>
        <w:spacing w:line="360" w:lineRule="auto"/>
        <w:ind w:firstLine="646"/>
        <w:rPr>
          <w:rFonts w:hint="eastAsia" w:ascii="宋体" w:hAnsi="宋体" w:eastAsia="宋体" w:cs="Times New Roman"/>
          <w:szCs w:val="21"/>
          <w:highlight w:val="none"/>
        </w:rPr>
      </w:pPr>
      <w:r>
        <w:rPr>
          <w:rFonts w:hint="eastAsia" w:ascii="宋体" w:hAnsi="宋体" w:eastAsia="宋体" w:cs="Times New Roman"/>
          <w:szCs w:val="21"/>
          <w:highlight w:val="none"/>
        </w:rPr>
        <w:t>2.本表应附的相关证明材料包括但不限于：表彰文件、颁奖机构颁发的获奖证书等。</w:t>
      </w:r>
    </w:p>
    <w:p>
      <w:pPr>
        <w:snapToGrid w:val="0"/>
        <w:spacing w:line="360" w:lineRule="auto"/>
        <w:ind w:firstLine="646"/>
        <w:rPr>
          <w:rFonts w:hint="eastAsia" w:ascii="宋体" w:hAnsi="宋体" w:eastAsia="宋体" w:cs="Times New Roman"/>
          <w:szCs w:val="21"/>
          <w:highlight w:val="none"/>
        </w:rPr>
      </w:pPr>
      <w:r>
        <w:rPr>
          <w:rFonts w:hint="eastAsia" w:ascii="宋体" w:hAnsi="宋体" w:eastAsia="宋体" w:cs="Times New Roman"/>
          <w:szCs w:val="21"/>
          <w:highlight w:val="none"/>
        </w:rPr>
        <w:t>3.本表应加盖投标人公章，所附证明材料也应盖章。</w:t>
      </w:r>
    </w:p>
    <w:p>
      <w:pPr>
        <w:spacing w:line="300" w:lineRule="auto"/>
        <w:rPr>
          <w:rFonts w:ascii="Arial" w:hAnsi="Arial" w:eastAsia="宋体" w:cs="Arial"/>
          <w:szCs w:val="21"/>
          <w:highlight w:val="none"/>
        </w:rPr>
      </w:pPr>
    </w:p>
    <w:p>
      <w:pPr>
        <w:spacing w:line="300" w:lineRule="auto"/>
        <w:rPr>
          <w:rFonts w:ascii="Arial" w:hAnsi="Arial" w:eastAsia="宋体" w:cs="Arial"/>
          <w:szCs w:val="21"/>
          <w:highlight w:val="none"/>
        </w:rPr>
      </w:pPr>
      <w:r>
        <w:rPr>
          <w:rFonts w:ascii="Arial" w:hAnsi="Arial" w:eastAsia="宋体" w:cs="Arial"/>
          <w:szCs w:val="21"/>
          <w:highlight w:val="none"/>
        </w:rPr>
        <w:t>投标人名称[盖章]：</w:t>
      </w:r>
      <w:r>
        <w:rPr>
          <w:rFonts w:ascii="Arial" w:hAnsi="Arial" w:eastAsia="宋体" w:cs="Arial"/>
          <w:szCs w:val="21"/>
          <w:highlight w:val="none"/>
          <w:u w:val="single"/>
        </w:rPr>
        <w:t xml:space="preserve">                              </w:t>
      </w:r>
      <w:r>
        <w:rPr>
          <w:rFonts w:ascii="Arial" w:hAnsi="Arial" w:eastAsia="宋体" w:cs="Arial"/>
          <w:szCs w:val="21"/>
          <w:highlight w:val="none"/>
        </w:rPr>
        <w:t xml:space="preserve"> </w:t>
      </w:r>
    </w:p>
    <w:p>
      <w:pPr>
        <w:widowControl/>
        <w:spacing w:before="100" w:beforeAutospacing="1" w:after="100" w:afterAutospacing="1"/>
        <w:rPr>
          <w:rFonts w:ascii="Arial" w:hAnsi="Arial" w:eastAsia="宋体" w:cs="Arial"/>
          <w:szCs w:val="21"/>
          <w:highlight w:val="none"/>
          <w:u w:val="single"/>
        </w:rPr>
      </w:pPr>
      <w:r>
        <w:rPr>
          <w:rFonts w:ascii="Arial" w:hAnsi="Arial" w:eastAsia="宋体" w:cs="Arial"/>
          <w:szCs w:val="21"/>
          <w:highlight w:val="none"/>
        </w:rPr>
        <w:t>投标人授权代表签字：</w:t>
      </w:r>
      <w:r>
        <w:rPr>
          <w:rFonts w:ascii="Arial" w:hAnsi="Arial" w:eastAsia="宋体" w:cs="Arial"/>
          <w:szCs w:val="21"/>
          <w:highlight w:val="none"/>
          <w:u w:val="single"/>
        </w:rPr>
        <w:t xml:space="preserve"> </w:t>
      </w:r>
      <w:r>
        <w:rPr>
          <w:rFonts w:hint="eastAsia" w:ascii="Arial" w:hAnsi="Arial" w:eastAsia="宋体" w:cs="Arial"/>
          <w:szCs w:val="21"/>
          <w:highlight w:val="none"/>
          <w:u w:val="single"/>
        </w:rPr>
        <w:t xml:space="preserve">                     </w:t>
      </w:r>
      <w:r>
        <w:rPr>
          <w:rFonts w:ascii="Arial" w:hAnsi="Arial" w:eastAsia="宋体" w:cs="Arial"/>
          <w:szCs w:val="21"/>
          <w:highlight w:val="none"/>
          <w:u w:val="single"/>
        </w:rPr>
        <w:t xml:space="preserve"> </w:t>
      </w:r>
      <w:r>
        <w:rPr>
          <w:rFonts w:ascii="Arial" w:hAnsi="Arial" w:eastAsia="宋体" w:cs="Arial"/>
          <w:szCs w:val="21"/>
          <w:highlight w:val="none"/>
        </w:rPr>
        <w:t xml:space="preserve">                   日期：</w:t>
      </w:r>
      <w:r>
        <w:rPr>
          <w:rFonts w:ascii="Arial" w:hAnsi="Arial" w:eastAsia="宋体" w:cs="Arial"/>
          <w:szCs w:val="21"/>
          <w:highlight w:val="none"/>
          <w:u w:val="single"/>
        </w:rPr>
        <w:t xml:space="preserve">                </w:t>
      </w:r>
    </w:p>
    <w:p>
      <w:pPr>
        <w:snapToGrid w:val="0"/>
        <w:spacing w:line="360" w:lineRule="auto"/>
        <w:rPr>
          <w:rFonts w:ascii="Arial" w:hAnsi="Arial" w:eastAsia="宋体" w:cs="Arial"/>
          <w:bCs/>
          <w:szCs w:val="21"/>
          <w:highlight w:val="none"/>
        </w:rPr>
      </w:pPr>
      <w:r>
        <w:rPr>
          <w:rFonts w:ascii="Times New Roman" w:hAnsi="Times New Roman" w:eastAsia="宋体" w:cs="Times New Roman"/>
          <w:highlight w:val="none"/>
        </w:rPr>
        <w:br w:type="page"/>
      </w:r>
    </w:p>
    <w:p>
      <w:pPr>
        <w:keepNext/>
        <w:keepLines/>
        <w:widowControl w:val="0"/>
        <w:snapToGrid w:val="0"/>
        <w:spacing w:before="120" w:after="120" w:line="360" w:lineRule="auto"/>
        <w:jc w:val="both"/>
        <w:outlineLvl w:val="1"/>
        <w:rPr>
          <w:rFonts w:ascii="Arial" w:hAnsi="Arial" w:eastAsia="黑体" w:cs="Arial"/>
          <w:b/>
          <w:bCs w:val="0"/>
          <w:kern w:val="2"/>
          <w:sz w:val="32"/>
          <w:szCs w:val="32"/>
          <w:highlight w:val="none"/>
          <w:lang w:val="en-US" w:eastAsia="zh-CN" w:bidi="ar-SA"/>
        </w:rPr>
      </w:pPr>
      <w:bookmarkStart w:id="1074" w:name="_Toc30693"/>
      <w:bookmarkStart w:id="1075" w:name="_Toc20502"/>
      <w:r>
        <w:rPr>
          <w:rFonts w:hint="eastAsia" w:ascii="Arial" w:hAnsi="Arial" w:eastAsia="黑体" w:cs="Arial"/>
          <w:b/>
          <w:bCs w:val="0"/>
          <w:kern w:val="2"/>
          <w:sz w:val="32"/>
          <w:szCs w:val="32"/>
          <w:highlight w:val="none"/>
          <w:lang w:val="en-US" w:eastAsia="zh-CN" w:bidi="ar-SA"/>
        </w:rPr>
        <w:t>（十一）</w:t>
      </w:r>
      <w:r>
        <w:rPr>
          <w:rFonts w:ascii="Arial" w:hAnsi="Arial" w:eastAsia="黑体" w:cs="Arial"/>
          <w:b/>
          <w:bCs w:val="0"/>
          <w:kern w:val="2"/>
          <w:sz w:val="32"/>
          <w:szCs w:val="32"/>
          <w:highlight w:val="none"/>
          <w:lang w:val="en-US" w:eastAsia="zh-CN" w:bidi="ar-SA"/>
        </w:rPr>
        <w:t>商务偏离表</w:t>
      </w:r>
      <w:bookmarkEnd w:id="1068"/>
      <w:bookmarkEnd w:id="1069"/>
      <w:bookmarkEnd w:id="1074"/>
      <w:bookmarkEnd w:id="1075"/>
    </w:p>
    <w:p>
      <w:pPr>
        <w:spacing w:line="360" w:lineRule="auto"/>
        <w:rPr>
          <w:rFonts w:ascii="Arial" w:hAnsi="Arial" w:eastAsia="宋体" w:cs="Arial"/>
          <w:highlight w:val="none"/>
        </w:rPr>
      </w:pPr>
      <w:r>
        <w:rPr>
          <w:rFonts w:ascii="Arial" w:hAnsi="Arial" w:eastAsia="宋体" w:cs="Arial"/>
          <w:bCs/>
          <w:szCs w:val="21"/>
          <w:highlight w:val="none"/>
        </w:rPr>
        <w:t>项目名称：</w:t>
      </w:r>
      <w:r>
        <w:rPr>
          <w:rFonts w:ascii="Arial" w:hAnsi="Arial" w:eastAsia="宋体" w:cs="Arial"/>
          <w:bCs/>
          <w:szCs w:val="21"/>
          <w:highlight w:val="none"/>
          <w:u w:val="single"/>
        </w:rPr>
        <w:t xml:space="preserve">            </w:t>
      </w:r>
      <w:r>
        <w:rPr>
          <w:rFonts w:ascii="Arial" w:hAnsi="Arial" w:eastAsia="宋体" w:cs="Arial"/>
          <w:bCs/>
          <w:szCs w:val="21"/>
          <w:highlight w:val="none"/>
        </w:rPr>
        <w:t xml:space="preserve">    </w:t>
      </w:r>
      <w:r>
        <w:rPr>
          <w:rFonts w:ascii="Arial" w:hAnsi="Arial" w:eastAsia="宋体" w:cs="Arial"/>
          <w:szCs w:val="21"/>
          <w:highlight w:val="none"/>
        </w:rPr>
        <w:t>项目编号</w:t>
      </w:r>
      <w:r>
        <w:rPr>
          <w:rFonts w:ascii="Arial" w:hAnsi="Arial" w:eastAsia="宋体" w:cs="Arial"/>
          <w:bCs/>
          <w:szCs w:val="21"/>
          <w:highlight w:val="none"/>
        </w:rPr>
        <w:t>：</w:t>
      </w:r>
      <w:r>
        <w:rPr>
          <w:rFonts w:ascii="Arial" w:hAnsi="Arial" w:eastAsia="宋体" w:cs="Arial"/>
          <w:bCs/>
          <w:szCs w:val="21"/>
          <w:highlight w:val="none"/>
          <w:u w:val="single"/>
        </w:rPr>
        <w:t xml:space="preserve">       </w:t>
      </w:r>
      <w:r>
        <w:rPr>
          <w:rFonts w:ascii="Arial" w:hAnsi="Arial" w:eastAsia="宋体" w:cs="Arial"/>
          <w:bCs/>
          <w:szCs w:val="21"/>
          <w:highlight w:val="none"/>
        </w:rPr>
        <w:t xml:space="preserve"> </w:t>
      </w:r>
      <w:r>
        <w:rPr>
          <w:rFonts w:hint="eastAsia" w:ascii="Arial" w:hAnsi="Arial" w:eastAsia="宋体" w:cs="Arial"/>
          <w:bCs/>
          <w:szCs w:val="21"/>
          <w:highlight w:val="none"/>
          <w:lang w:val="en-US" w:eastAsia="zh-CN"/>
        </w:rPr>
        <w:t xml:space="preserve"> </w:t>
      </w:r>
      <w:r>
        <w:rPr>
          <w:rFonts w:hint="eastAsia" w:ascii="Arial" w:hAnsi="Arial" w:eastAsia="宋体" w:cs="Arial"/>
          <w:szCs w:val="21"/>
          <w:highlight w:val="none"/>
        </w:rPr>
        <w:t xml:space="preserve"> </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301"/>
        <w:gridCol w:w="2340"/>
        <w:gridCol w:w="2340"/>
        <w:gridCol w:w="2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eastAsia="宋体" w:cs="Arial"/>
                <w:highlight w:val="none"/>
              </w:rPr>
            </w:pPr>
            <w:r>
              <w:rPr>
                <w:rFonts w:ascii="Arial" w:hAnsi="Arial" w:eastAsia="宋体" w:cs="Arial"/>
                <w:highlight w:val="none"/>
              </w:rPr>
              <w:t>序号</w:t>
            </w:r>
          </w:p>
        </w:tc>
        <w:tc>
          <w:tcPr>
            <w:tcW w:w="1301" w:type="dxa"/>
            <w:noWrap w:val="0"/>
            <w:vAlign w:val="center"/>
          </w:tcPr>
          <w:p>
            <w:pPr>
              <w:spacing w:line="300" w:lineRule="auto"/>
              <w:jc w:val="center"/>
              <w:rPr>
                <w:rFonts w:ascii="Arial" w:hAnsi="Arial" w:eastAsia="宋体" w:cs="Arial"/>
                <w:highlight w:val="none"/>
              </w:rPr>
            </w:pPr>
            <w:r>
              <w:rPr>
                <w:rFonts w:ascii="Arial" w:hAnsi="Arial" w:eastAsia="宋体" w:cs="Arial"/>
                <w:highlight w:val="none"/>
              </w:rPr>
              <w:t>招标文件条款项</w:t>
            </w:r>
          </w:p>
        </w:tc>
        <w:tc>
          <w:tcPr>
            <w:tcW w:w="2340" w:type="dxa"/>
            <w:noWrap w:val="0"/>
            <w:vAlign w:val="center"/>
          </w:tcPr>
          <w:p>
            <w:pPr>
              <w:spacing w:line="300" w:lineRule="auto"/>
              <w:jc w:val="center"/>
              <w:rPr>
                <w:rFonts w:ascii="Arial" w:hAnsi="Arial" w:eastAsia="宋体" w:cs="Arial"/>
                <w:highlight w:val="none"/>
              </w:rPr>
            </w:pPr>
            <w:r>
              <w:rPr>
                <w:rFonts w:ascii="Arial" w:hAnsi="Arial" w:eastAsia="宋体" w:cs="Arial"/>
                <w:highlight w:val="none"/>
              </w:rPr>
              <w:t>招标文件的商务条款</w:t>
            </w:r>
          </w:p>
        </w:tc>
        <w:tc>
          <w:tcPr>
            <w:tcW w:w="2340" w:type="dxa"/>
            <w:noWrap w:val="0"/>
            <w:vAlign w:val="center"/>
          </w:tcPr>
          <w:p>
            <w:pPr>
              <w:spacing w:line="300" w:lineRule="auto"/>
              <w:jc w:val="center"/>
              <w:rPr>
                <w:rFonts w:ascii="Arial" w:hAnsi="Arial" w:eastAsia="宋体" w:cs="Arial"/>
                <w:highlight w:val="none"/>
              </w:rPr>
            </w:pPr>
            <w:r>
              <w:rPr>
                <w:rFonts w:hint="eastAsia" w:ascii="Arial" w:hAnsi="Arial" w:eastAsia="宋体" w:cs="Arial"/>
                <w:highlight w:val="none"/>
              </w:rPr>
              <w:t>投标文件</w:t>
            </w:r>
            <w:r>
              <w:rPr>
                <w:rFonts w:ascii="Arial" w:hAnsi="Arial" w:eastAsia="宋体" w:cs="Arial"/>
                <w:highlight w:val="none"/>
              </w:rPr>
              <w:t>的商务条款</w:t>
            </w:r>
          </w:p>
        </w:tc>
        <w:tc>
          <w:tcPr>
            <w:tcW w:w="2341" w:type="dxa"/>
            <w:noWrap w:val="0"/>
            <w:vAlign w:val="center"/>
          </w:tcPr>
          <w:p>
            <w:pPr>
              <w:spacing w:line="300" w:lineRule="auto"/>
              <w:jc w:val="center"/>
              <w:rPr>
                <w:rFonts w:hint="eastAsia" w:ascii="Arial" w:hAnsi="Arial" w:eastAsia="宋体" w:cs="Arial"/>
                <w:highlight w:val="none"/>
              </w:rPr>
            </w:pPr>
            <w:r>
              <w:rPr>
                <w:rFonts w:hint="eastAsia" w:ascii="Arial" w:hAnsi="Arial" w:eastAsia="宋体" w:cs="Arial"/>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eastAsia="宋体" w:cs="Arial"/>
                <w:highlight w:val="none"/>
              </w:rPr>
            </w:pPr>
            <w:r>
              <w:rPr>
                <w:rFonts w:hint="eastAsia" w:ascii="Arial" w:hAnsi="Arial" w:eastAsia="宋体" w:cs="Arial"/>
                <w:highlight w:val="none"/>
              </w:rPr>
              <w:t>1</w:t>
            </w:r>
          </w:p>
        </w:tc>
        <w:tc>
          <w:tcPr>
            <w:tcW w:w="1301" w:type="dxa"/>
            <w:noWrap w:val="0"/>
            <w:vAlign w:val="center"/>
          </w:tcPr>
          <w:p>
            <w:pPr>
              <w:autoSpaceDE w:val="0"/>
              <w:autoSpaceDN w:val="0"/>
              <w:snapToGrid w:val="0"/>
              <w:spacing w:line="300" w:lineRule="auto"/>
              <w:jc w:val="center"/>
              <w:rPr>
                <w:rFonts w:ascii="宋体" w:hAnsi="宋体" w:eastAsia="宋体" w:cs="Arial"/>
                <w:szCs w:val="21"/>
                <w:highlight w:val="none"/>
              </w:rPr>
            </w:pPr>
            <w:r>
              <w:rPr>
                <w:rFonts w:hint="eastAsia" w:ascii="宋体" w:hAnsi="宋体" w:eastAsia="宋体" w:cs="Arial"/>
                <w:szCs w:val="21"/>
                <w:highlight w:val="none"/>
              </w:rPr>
              <w:t>服务期</w:t>
            </w:r>
          </w:p>
        </w:tc>
        <w:tc>
          <w:tcPr>
            <w:tcW w:w="2340"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1" w:type="dxa"/>
            <w:noWrap w:val="0"/>
            <w:vAlign w:val="center"/>
          </w:tcPr>
          <w:p>
            <w:pPr>
              <w:spacing w:line="300" w:lineRule="auto"/>
              <w:jc w:val="center"/>
              <w:rPr>
                <w:rFonts w:ascii="Arial" w:hAnsi="Arial" w:eastAsia="宋体"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eastAsia="宋体" w:cs="Arial"/>
                <w:highlight w:val="none"/>
              </w:rPr>
            </w:pPr>
            <w:r>
              <w:rPr>
                <w:rFonts w:hint="eastAsia" w:ascii="Arial" w:hAnsi="Arial" w:eastAsia="宋体" w:cs="Arial"/>
                <w:highlight w:val="none"/>
              </w:rPr>
              <w:t>2</w:t>
            </w:r>
          </w:p>
        </w:tc>
        <w:tc>
          <w:tcPr>
            <w:tcW w:w="1301" w:type="dxa"/>
            <w:noWrap w:val="0"/>
            <w:vAlign w:val="center"/>
          </w:tcPr>
          <w:p>
            <w:pPr>
              <w:autoSpaceDE w:val="0"/>
              <w:autoSpaceDN w:val="0"/>
              <w:snapToGrid w:val="0"/>
              <w:spacing w:line="300" w:lineRule="auto"/>
              <w:jc w:val="center"/>
              <w:rPr>
                <w:rFonts w:ascii="宋体" w:hAnsi="宋体" w:eastAsia="宋体" w:cs="Arial"/>
                <w:szCs w:val="21"/>
                <w:highlight w:val="none"/>
              </w:rPr>
            </w:pPr>
            <w:r>
              <w:rPr>
                <w:rFonts w:hint="eastAsia" w:ascii="宋体" w:hAnsi="宋体" w:eastAsia="宋体" w:cs="Arial"/>
                <w:szCs w:val="21"/>
                <w:highlight w:val="none"/>
              </w:rPr>
              <w:t>付款方式</w:t>
            </w:r>
          </w:p>
        </w:tc>
        <w:tc>
          <w:tcPr>
            <w:tcW w:w="2340"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1" w:type="dxa"/>
            <w:noWrap w:val="0"/>
            <w:vAlign w:val="center"/>
          </w:tcPr>
          <w:p>
            <w:pPr>
              <w:spacing w:line="300" w:lineRule="auto"/>
              <w:jc w:val="center"/>
              <w:rPr>
                <w:rFonts w:ascii="Arial" w:hAnsi="Arial" w:eastAsia="宋体"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eastAsia="宋体" w:cs="Arial"/>
                <w:highlight w:val="none"/>
              </w:rPr>
            </w:pPr>
          </w:p>
        </w:tc>
        <w:tc>
          <w:tcPr>
            <w:tcW w:w="1301"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1" w:type="dxa"/>
            <w:noWrap w:val="0"/>
            <w:vAlign w:val="center"/>
          </w:tcPr>
          <w:p>
            <w:pPr>
              <w:spacing w:line="300" w:lineRule="auto"/>
              <w:jc w:val="center"/>
              <w:rPr>
                <w:rFonts w:ascii="Arial" w:hAnsi="Arial" w:eastAsia="宋体"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eastAsia="宋体" w:cs="Arial"/>
                <w:highlight w:val="none"/>
              </w:rPr>
            </w:pPr>
          </w:p>
        </w:tc>
        <w:tc>
          <w:tcPr>
            <w:tcW w:w="1301" w:type="dxa"/>
            <w:noWrap w:val="0"/>
            <w:vAlign w:val="center"/>
          </w:tcPr>
          <w:p>
            <w:pPr>
              <w:spacing w:line="300" w:lineRule="auto"/>
              <w:jc w:val="center"/>
              <w:rPr>
                <w:rFonts w:ascii="Arial" w:hAnsi="Arial" w:eastAsia="宋体" w:cs="Arial"/>
                <w:b/>
                <w:highlight w:val="none"/>
              </w:rPr>
            </w:pPr>
            <w:r>
              <w:rPr>
                <w:rFonts w:ascii="Arial" w:hAnsi="Arial" w:eastAsia="宋体" w:cs="Arial"/>
                <w:b/>
                <w:highlight w:val="none"/>
              </w:rPr>
              <w:t>……</w:t>
            </w:r>
          </w:p>
        </w:tc>
        <w:tc>
          <w:tcPr>
            <w:tcW w:w="2340"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1" w:type="dxa"/>
            <w:noWrap w:val="0"/>
            <w:vAlign w:val="center"/>
          </w:tcPr>
          <w:p>
            <w:pPr>
              <w:spacing w:line="300" w:lineRule="auto"/>
              <w:jc w:val="center"/>
              <w:rPr>
                <w:rFonts w:ascii="Arial" w:hAnsi="Arial" w:eastAsia="宋体"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eastAsia="宋体" w:cs="Arial"/>
                <w:highlight w:val="none"/>
              </w:rPr>
            </w:pPr>
          </w:p>
        </w:tc>
        <w:tc>
          <w:tcPr>
            <w:tcW w:w="1301"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1" w:type="dxa"/>
            <w:noWrap w:val="0"/>
            <w:vAlign w:val="center"/>
          </w:tcPr>
          <w:p>
            <w:pPr>
              <w:spacing w:line="300" w:lineRule="auto"/>
              <w:jc w:val="center"/>
              <w:rPr>
                <w:rFonts w:ascii="Arial" w:hAnsi="Arial" w:eastAsia="宋体"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eastAsia="宋体" w:cs="Arial"/>
                <w:highlight w:val="none"/>
              </w:rPr>
            </w:pPr>
          </w:p>
        </w:tc>
        <w:tc>
          <w:tcPr>
            <w:tcW w:w="1301"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1" w:type="dxa"/>
            <w:noWrap w:val="0"/>
            <w:vAlign w:val="center"/>
          </w:tcPr>
          <w:p>
            <w:pPr>
              <w:spacing w:line="300" w:lineRule="auto"/>
              <w:jc w:val="center"/>
              <w:rPr>
                <w:rFonts w:ascii="Arial" w:hAnsi="Arial" w:eastAsia="宋体"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eastAsia="宋体" w:cs="Arial"/>
                <w:highlight w:val="none"/>
              </w:rPr>
            </w:pPr>
          </w:p>
        </w:tc>
        <w:tc>
          <w:tcPr>
            <w:tcW w:w="1301"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1" w:type="dxa"/>
            <w:noWrap w:val="0"/>
            <w:vAlign w:val="center"/>
          </w:tcPr>
          <w:p>
            <w:pPr>
              <w:spacing w:line="300" w:lineRule="auto"/>
              <w:jc w:val="center"/>
              <w:rPr>
                <w:rFonts w:ascii="Arial" w:hAnsi="Arial" w:eastAsia="宋体"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eastAsia="宋体" w:cs="Arial"/>
                <w:highlight w:val="none"/>
              </w:rPr>
            </w:pPr>
          </w:p>
        </w:tc>
        <w:tc>
          <w:tcPr>
            <w:tcW w:w="1301"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1" w:type="dxa"/>
            <w:noWrap w:val="0"/>
            <w:vAlign w:val="center"/>
          </w:tcPr>
          <w:p>
            <w:pPr>
              <w:spacing w:line="300" w:lineRule="auto"/>
              <w:jc w:val="center"/>
              <w:rPr>
                <w:rFonts w:ascii="Arial" w:hAnsi="Arial" w:eastAsia="宋体"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eastAsia="宋体" w:cs="Arial"/>
                <w:highlight w:val="none"/>
              </w:rPr>
            </w:pPr>
          </w:p>
        </w:tc>
        <w:tc>
          <w:tcPr>
            <w:tcW w:w="1301"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0" w:type="dxa"/>
            <w:noWrap w:val="0"/>
            <w:vAlign w:val="center"/>
          </w:tcPr>
          <w:p>
            <w:pPr>
              <w:spacing w:line="300" w:lineRule="auto"/>
              <w:jc w:val="center"/>
              <w:rPr>
                <w:rFonts w:ascii="Arial" w:hAnsi="Arial" w:eastAsia="宋体" w:cs="Arial"/>
                <w:highlight w:val="none"/>
              </w:rPr>
            </w:pPr>
          </w:p>
        </w:tc>
        <w:tc>
          <w:tcPr>
            <w:tcW w:w="2341" w:type="dxa"/>
            <w:noWrap w:val="0"/>
            <w:vAlign w:val="center"/>
          </w:tcPr>
          <w:p>
            <w:pPr>
              <w:spacing w:line="300" w:lineRule="auto"/>
              <w:jc w:val="center"/>
              <w:rPr>
                <w:rFonts w:ascii="Arial" w:hAnsi="Arial" w:eastAsia="宋体" w:cs="Arial"/>
                <w:highlight w:val="none"/>
              </w:rPr>
            </w:pPr>
          </w:p>
        </w:tc>
      </w:tr>
    </w:tbl>
    <w:p>
      <w:pPr>
        <w:spacing w:line="300" w:lineRule="auto"/>
        <w:rPr>
          <w:rFonts w:ascii="Arial" w:hAnsi="Arial" w:eastAsia="宋体" w:cs="Arial"/>
          <w:highlight w:val="none"/>
        </w:rPr>
      </w:pPr>
    </w:p>
    <w:p>
      <w:pPr>
        <w:spacing w:line="300" w:lineRule="auto"/>
        <w:rPr>
          <w:rFonts w:ascii="Arial" w:hAnsi="Arial" w:eastAsia="宋体" w:cs="Arial"/>
          <w:highlight w:val="none"/>
        </w:rPr>
      </w:pPr>
      <w:r>
        <w:rPr>
          <w:rFonts w:ascii="Arial" w:hAnsi="Arial" w:eastAsia="宋体" w:cs="Arial"/>
          <w:iCs/>
          <w:highlight w:val="none"/>
        </w:rPr>
        <w:t>遵守</w:t>
      </w:r>
      <w:r>
        <w:rPr>
          <w:rFonts w:ascii="Arial" w:hAnsi="Arial" w:eastAsia="宋体" w:cs="Arial"/>
          <w:highlight w:val="none"/>
        </w:rPr>
        <w:t>声明：</w:t>
      </w:r>
      <w:r>
        <w:rPr>
          <w:rFonts w:ascii="Arial" w:hAnsi="Arial" w:eastAsia="宋体" w:cs="Arial"/>
          <w:highlight w:val="none"/>
          <w:u w:val="single"/>
        </w:rPr>
        <w:t xml:space="preserve">                             </w:t>
      </w:r>
    </w:p>
    <w:p>
      <w:pPr>
        <w:spacing w:line="300" w:lineRule="auto"/>
        <w:rPr>
          <w:rFonts w:ascii="Arial" w:hAnsi="Arial" w:eastAsia="宋体" w:cs="Arial"/>
          <w:highlight w:val="none"/>
        </w:rPr>
      </w:pPr>
    </w:p>
    <w:p>
      <w:pPr>
        <w:spacing w:line="300" w:lineRule="auto"/>
        <w:rPr>
          <w:rFonts w:ascii="Arial" w:hAnsi="Arial" w:eastAsia="宋体" w:cs="Arial"/>
          <w:szCs w:val="21"/>
          <w:highlight w:val="none"/>
        </w:rPr>
      </w:pPr>
      <w:r>
        <w:rPr>
          <w:rFonts w:ascii="Arial" w:hAnsi="Arial" w:eastAsia="宋体" w:cs="Arial"/>
          <w:szCs w:val="21"/>
          <w:highlight w:val="none"/>
        </w:rPr>
        <w:t>投标人名称[盖章]：</w:t>
      </w:r>
      <w:r>
        <w:rPr>
          <w:rFonts w:ascii="Arial" w:hAnsi="Arial" w:eastAsia="宋体" w:cs="Arial"/>
          <w:szCs w:val="21"/>
          <w:highlight w:val="none"/>
          <w:u w:val="single"/>
        </w:rPr>
        <w:t xml:space="preserve">                              </w:t>
      </w:r>
      <w:r>
        <w:rPr>
          <w:rFonts w:ascii="Arial" w:hAnsi="Arial" w:eastAsia="宋体" w:cs="Arial"/>
          <w:szCs w:val="21"/>
          <w:highlight w:val="none"/>
        </w:rPr>
        <w:t xml:space="preserve"> </w:t>
      </w:r>
    </w:p>
    <w:p>
      <w:pPr>
        <w:spacing w:line="300" w:lineRule="auto"/>
        <w:rPr>
          <w:rFonts w:ascii="Arial" w:hAnsi="Arial" w:eastAsia="宋体" w:cs="Arial"/>
          <w:szCs w:val="21"/>
          <w:highlight w:val="none"/>
        </w:rPr>
      </w:pPr>
    </w:p>
    <w:p>
      <w:pPr>
        <w:spacing w:line="300" w:lineRule="auto"/>
        <w:rPr>
          <w:rFonts w:ascii="Arial" w:hAnsi="Arial" w:eastAsia="宋体" w:cs="Arial"/>
          <w:highlight w:val="none"/>
        </w:rPr>
      </w:pPr>
      <w:r>
        <w:rPr>
          <w:rFonts w:ascii="Arial" w:hAnsi="Arial" w:eastAsia="宋体" w:cs="Arial"/>
          <w:szCs w:val="21"/>
          <w:highlight w:val="none"/>
        </w:rPr>
        <w:t>投标人授权代表签字：</w:t>
      </w:r>
      <w:r>
        <w:rPr>
          <w:rFonts w:ascii="Arial" w:hAnsi="Arial" w:eastAsia="宋体" w:cs="Arial"/>
          <w:szCs w:val="21"/>
          <w:highlight w:val="none"/>
          <w:u w:val="single"/>
        </w:rPr>
        <w:t xml:space="preserve"> </w:t>
      </w:r>
      <w:r>
        <w:rPr>
          <w:rFonts w:hint="eastAsia" w:ascii="Arial" w:hAnsi="Arial" w:eastAsia="宋体" w:cs="Arial"/>
          <w:szCs w:val="21"/>
          <w:highlight w:val="none"/>
          <w:u w:val="single"/>
        </w:rPr>
        <w:t xml:space="preserve">                     </w:t>
      </w:r>
      <w:r>
        <w:rPr>
          <w:rFonts w:ascii="Arial" w:hAnsi="Arial" w:eastAsia="宋体" w:cs="Arial"/>
          <w:szCs w:val="21"/>
          <w:highlight w:val="none"/>
          <w:u w:val="single"/>
        </w:rPr>
        <w:t xml:space="preserve"> </w:t>
      </w:r>
      <w:r>
        <w:rPr>
          <w:rFonts w:ascii="Arial" w:hAnsi="Arial" w:eastAsia="宋体" w:cs="Arial"/>
          <w:szCs w:val="21"/>
          <w:highlight w:val="none"/>
        </w:rPr>
        <w:t xml:space="preserve">                   日期：</w:t>
      </w:r>
      <w:r>
        <w:rPr>
          <w:rFonts w:ascii="Arial" w:hAnsi="Arial" w:eastAsia="宋体" w:cs="Arial"/>
          <w:szCs w:val="21"/>
          <w:highlight w:val="none"/>
          <w:u w:val="single"/>
        </w:rPr>
        <w:t xml:space="preserve">                </w:t>
      </w:r>
    </w:p>
    <w:p>
      <w:pPr>
        <w:snapToGrid w:val="0"/>
        <w:spacing w:line="360" w:lineRule="auto"/>
        <w:rPr>
          <w:rFonts w:ascii="Arial" w:hAnsi="Arial" w:eastAsia="宋体" w:cs="Arial"/>
          <w:b/>
          <w:bCs/>
          <w:highlight w:val="none"/>
        </w:rPr>
      </w:pPr>
    </w:p>
    <w:p>
      <w:pPr>
        <w:snapToGrid w:val="0"/>
        <w:spacing w:line="360" w:lineRule="auto"/>
        <w:rPr>
          <w:rFonts w:ascii="Arial" w:hAnsi="Arial" w:eastAsia="宋体" w:cs="Arial"/>
          <w:b/>
          <w:bCs/>
          <w:iCs/>
          <w:highlight w:val="none"/>
        </w:rPr>
      </w:pPr>
      <w:r>
        <w:rPr>
          <w:rFonts w:ascii="Arial" w:hAnsi="Arial" w:eastAsia="宋体" w:cs="Arial"/>
          <w:iCs/>
          <w:highlight w:val="none"/>
        </w:rPr>
        <w:t>注：</w:t>
      </w:r>
    </w:p>
    <w:p>
      <w:pPr>
        <w:numPr>
          <w:ilvl w:val="0"/>
          <w:numId w:val="15"/>
        </w:numPr>
        <w:snapToGrid w:val="0"/>
        <w:spacing w:line="360" w:lineRule="auto"/>
        <w:ind w:left="360" w:hanging="360"/>
        <w:rPr>
          <w:rFonts w:ascii="Arial" w:hAnsi="Arial" w:eastAsia="宋体" w:cs="Arial"/>
          <w:iCs/>
          <w:highlight w:val="none"/>
        </w:rPr>
      </w:pPr>
      <w:r>
        <w:rPr>
          <w:rFonts w:ascii="Arial" w:hAnsi="Arial" w:eastAsia="宋体" w:cs="Arial"/>
          <w:iCs/>
          <w:highlight w:val="none"/>
        </w:rPr>
        <w:t>投标人应对商务基本要求，提出遵守声明。</w:t>
      </w:r>
    </w:p>
    <w:p>
      <w:pPr>
        <w:numPr>
          <w:ilvl w:val="0"/>
          <w:numId w:val="15"/>
        </w:numPr>
        <w:snapToGrid w:val="0"/>
        <w:spacing w:line="360" w:lineRule="auto"/>
        <w:ind w:left="360" w:hanging="360"/>
        <w:rPr>
          <w:rFonts w:ascii="Arial" w:hAnsi="Arial" w:eastAsia="宋体" w:cs="Arial"/>
          <w:iCs/>
          <w:highlight w:val="none"/>
        </w:rPr>
      </w:pPr>
      <w:r>
        <w:rPr>
          <w:rFonts w:ascii="Arial" w:hAnsi="Arial" w:eastAsia="宋体" w:cs="Arial"/>
          <w:iCs/>
          <w:highlight w:val="none"/>
        </w:rPr>
        <w:t>投标人须在本附件内，列出不能符合的有关段落，附件并举出原因，同时，投标人亦须提出解决偏离的详细方案。</w:t>
      </w:r>
    </w:p>
    <w:p>
      <w:pPr>
        <w:numPr>
          <w:ilvl w:val="0"/>
          <w:numId w:val="15"/>
        </w:numPr>
        <w:snapToGrid w:val="0"/>
        <w:spacing w:line="360" w:lineRule="auto"/>
        <w:ind w:left="360" w:hanging="360"/>
        <w:rPr>
          <w:rFonts w:ascii="Arial" w:hAnsi="Arial" w:eastAsia="宋体" w:cs="Arial"/>
          <w:highlight w:val="none"/>
        </w:rPr>
      </w:pPr>
      <w:r>
        <w:rPr>
          <w:rFonts w:ascii="Arial" w:hAnsi="Arial" w:eastAsia="宋体" w:cs="Arial"/>
          <w:iCs/>
          <w:highlight w:val="none"/>
        </w:rPr>
        <w:t>除本附件列出的偏差获得采购人许可外，在合同签订后，所有不符合招标要求的项目，投标人必须加以纠正。</w:t>
      </w:r>
    </w:p>
    <w:p>
      <w:pPr>
        <w:rPr>
          <w:rFonts w:hint="eastAsia" w:ascii="Arial" w:hAnsi="Arial" w:eastAsia="黑体" w:cs="Arial"/>
          <w:b/>
          <w:bCs w:val="0"/>
          <w:kern w:val="2"/>
          <w:sz w:val="32"/>
          <w:szCs w:val="32"/>
          <w:highlight w:val="none"/>
          <w:lang w:val="en-US" w:eastAsia="zh-CN" w:bidi="ar-SA"/>
        </w:rPr>
      </w:pPr>
      <w:bookmarkStart w:id="1076" w:name="_Toc432367438"/>
      <w:bookmarkStart w:id="1077" w:name="_Toc430813370"/>
      <w:r>
        <w:rPr>
          <w:rFonts w:hint="eastAsia" w:ascii="Arial" w:hAnsi="Arial" w:eastAsia="黑体" w:cs="Arial"/>
          <w:b/>
          <w:bCs w:val="0"/>
          <w:kern w:val="2"/>
          <w:sz w:val="32"/>
          <w:szCs w:val="32"/>
          <w:highlight w:val="none"/>
          <w:lang w:val="en-US" w:eastAsia="zh-CN" w:bidi="ar-SA"/>
        </w:rPr>
        <w:br w:type="page"/>
      </w:r>
    </w:p>
    <w:p>
      <w:pPr>
        <w:keepNext/>
        <w:keepLines/>
        <w:snapToGrid w:val="0"/>
        <w:spacing w:before="120" w:after="120" w:line="360" w:lineRule="auto"/>
        <w:outlineLvl w:val="1"/>
        <w:rPr>
          <w:rFonts w:ascii="Arial" w:hAnsi="Arial" w:eastAsia="黑体" w:cs="Times New Roman"/>
          <w:b/>
          <w:color w:val="auto"/>
          <w:sz w:val="32"/>
          <w:szCs w:val="32"/>
          <w:highlight w:val="none"/>
        </w:rPr>
      </w:pPr>
      <w:bookmarkStart w:id="1078" w:name="_Toc27903"/>
      <w:bookmarkStart w:id="1079" w:name="_Toc21203"/>
      <w:bookmarkStart w:id="1080" w:name="_Toc31816"/>
      <w:bookmarkStart w:id="1081" w:name="_Toc132788393"/>
      <w:r>
        <w:rPr>
          <w:rFonts w:hint="eastAsia" w:ascii="Arial" w:hAnsi="Arial" w:eastAsia="黑体" w:cs="Arial"/>
          <w:b/>
          <w:color w:val="auto"/>
          <w:sz w:val="32"/>
          <w:szCs w:val="32"/>
          <w:highlight w:val="none"/>
        </w:rPr>
        <w:t>（十</w:t>
      </w:r>
      <w:r>
        <w:rPr>
          <w:rFonts w:hint="eastAsia" w:ascii="Arial" w:hAnsi="Arial" w:eastAsia="黑体" w:cs="Arial"/>
          <w:b/>
          <w:color w:val="auto"/>
          <w:sz w:val="32"/>
          <w:szCs w:val="32"/>
          <w:highlight w:val="none"/>
          <w:lang w:val="en-US" w:eastAsia="zh-CN"/>
        </w:rPr>
        <w:t>二</w:t>
      </w:r>
      <w:r>
        <w:rPr>
          <w:rFonts w:hint="eastAsia" w:ascii="Arial" w:hAnsi="Arial" w:eastAsia="黑体" w:cs="Arial"/>
          <w:b/>
          <w:color w:val="auto"/>
          <w:sz w:val="32"/>
          <w:szCs w:val="32"/>
          <w:highlight w:val="none"/>
        </w:rPr>
        <w:t>）承担中南民族大学融媒中心建设项目装饰部分的供应商相关资料</w:t>
      </w:r>
      <w:bookmarkEnd w:id="1078"/>
      <w:bookmarkEnd w:id="1079"/>
      <w:bookmarkEnd w:id="1080"/>
      <w:bookmarkEnd w:id="1081"/>
    </w:p>
    <w:p>
      <w:pPr>
        <w:spacing w:line="360" w:lineRule="auto"/>
        <w:rPr>
          <w:rFonts w:ascii="Arial" w:hAnsi="Arial" w:eastAsia="宋体" w:cs="Arial"/>
          <w:b/>
          <w:bCs/>
          <w:color w:val="auto"/>
          <w:sz w:val="24"/>
          <w:szCs w:val="32"/>
          <w:highlight w:val="none"/>
        </w:rPr>
      </w:pPr>
      <w:r>
        <w:rPr>
          <w:rFonts w:hint="eastAsia" w:ascii="Arial" w:hAnsi="Arial" w:eastAsia="宋体" w:cs="Arial"/>
          <w:color w:val="auto"/>
          <w:sz w:val="24"/>
          <w:szCs w:val="32"/>
          <w:highlight w:val="none"/>
        </w:rPr>
        <w:t>1、</w:t>
      </w:r>
      <w:r>
        <w:rPr>
          <w:rFonts w:hint="eastAsia" w:ascii="Arial" w:hAnsi="Arial" w:eastAsia="宋体" w:cs="Arial"/>
          <w:b/>
          <w:bCs/>
          <w:color w:val="auto"/>
          <w:sz w:val="24"/>
          <w:szCs w:val="32"/>
          <w:highlight w:val="none"/>
        </w:rPr>
        <w:t>如投标人自行承担</w:t>
      </w:r>
      <w:r>
        <w:rPr>
          <w:rFonts w:hint="eastAsia" w:ascii="Arial" w:hAnsi="Arial" w:cs="Arial"/>
          <w:b/>
          <w:bCs/>
          <w:color w:val="auto"/>
          <w:sz w:val="24"/>
          <w:szCs w:val="32"/>
          <w:highlight w:val="none"/>
          <w:lang w:eastAsia="zh-CN"/>
        </w:rPr>
        <w:t>中南民族大学融媒中心建设项目装饰部分</w:t>
      </w:r>
      <w:r>
        <w:rPr>
          <w:rFonts w:hint="eastAsia" w:ascii="Arial" w:hAnsi="Arial" w:eastAsia="宋体" w:cs="Arial"/>
          <w:b/>
          <w:bCs/>
          <w:color w:val="auto"/>
          <w:sz w:val="24"/>
          <w:szCs w:val="32"/>
          <w:highlight w:val="none"/>
        </w:rPr>
        <w:t>，需提供满足</w:t>
      </w:r>
      <w:r>
        <w:rPr>
          <w:rFonts w:hint="eastAsia" w:ascii="Arial" w:hAnsi="Arial" w:cs="Arial"/>
          <w:b/>
          <w:bCs/>
          <w:color w:val="auto"/>
          <w:sz w:val="24"/>
          <w:szCs w:val="32"/>
          <w:highlight w:val="none"/>
          <w:lang w:eastAsia="zh-CN"/>
        </w:rPr>
        <w:t>中南民族大学融媒中心建设项目装饰部分</w:t>
      </w:r>
      <w:r>
        <w:rPr>
          <w:rFonts w:hint="eastAsia" w:ascii="Arial" w:hAnsi="Arial" w:cs="Arial"/>
          <w:b/>
          <w:bCs/>
          <w:color w:val="auto"/>
          <w:sz w:val="24"/>
          <w:szCs w:val="32"/>
          <w:highlight w:val="none"/>
          <w:lang w:val="en-US" w:eastAsia="zh-CN"/>
        </w:rPr>
        <w:t>的</w:t>
      </w:r>
      <w:r>
        <w:rPr>
          <w:rFonts w:hint="eastAsia" w:ascii="Arial" w:hAnsi="Arial" w:eastAsia="宋体" w:cs="Arial"/>
          <w:b/>
          <w:bCs/>
          <w:color w:val="auto"/>
          <w:sz w:val="24"/>
          <w:szCs w:val="32"/>
          <w:highlight w:val="none"/>
        </w:rPr>
        <w:t>资质要求的相关证明材料。</w:t>
      </w:r>
    </w:p>
    <w:p>
      <w:pPr>
        <w:spacing w:line="360" w:lineRule="auto"/>
        <w:rPr>
          <w:rFonts w:ascii="Arial" w:hAnsi="Arial" w:eastAsia="宋体" w:cs="Arial"/>
          <w:color w:val="auto"/>
          <w:sz w:val="24"/>
          <w:szCs w:val="32"/>
          <w:highlight w:val="none"/>
        </w:rPr>
      </w:pPr>
      <w:r>
        <w:rPr>
          <w:rFonts w:hint="eastAsia" w:ascii="Arial" w:hAnsi="Arial" w:eastAsia="宋体" w:cs="Arial"/>
          <w:b/>
          <w:bCs/>
          <w:color w:val="auto"/>
          <w:sz w:val="24"/>
          <w:szCs w:val="32"/>
          <w:highlight w:val="none"/>
        </w:rPr>
        <w:t>2、如投标人拟将</w:t>
      </w:r>
      <w:r>
        <w:rPr>
          <w:rFonts w:hint="eastAsia" w:ascii="Arial" w:hAnsi="Arial" w:cs="Arial"/>
          <w:b/>
          <w:bCs/>
          <w:color w:val="auto"/>
          <w:sz w:val="24"/>
          <w:szCs w:val="32"/>
          <w:highlight w:val="none"/>
          <w:lang w:eastAsia="zh-CN"/>
        </w:rPr>
        <w:t>中南民族大学融媒中心建设项目装饰部分</w:t>
      </w:r>
      <w:r>
        <w:rPr>
          <w:rFonts w:hint="eastAsia" w:ascii="Arial" w:hAnsi="Arial" w:eastAsia="宋体" w:cs="Arial"/>
          <w:b/>
          <w:bCs/>
          <w:color w:val="auto"/>
          <w:sz w:val="24"/>
          <w:szCs w:val="32"/>
          <w:highlight w:val="none"/>
        </w:rPr>
        <w:t>分包</w:t>
      </w:r>
      <w:r>
        <w:rPr>
          <w:rFonts w:hint="eastAsia" w:ascii="Arial" w:hAnsi="Arial" w:cs="Arial"/>
          <w:b/>
          <w:bCs/>
          <w:color w:val="auto"/>
          <w:sz w:val="24"/>
          <w:szCs w:val="32"/>
          <w:highlight w:val="none"/>
          <w:lang w:val="en-US" w:eastAsia="zh-CN"/>
        </w:rPr>
        <w:t>的</w:t>
      </w:r>
      <w:r>
        <w:rPr>
          <w:rFonts w:hint="eastAsia" w:ascii="Arial" w:hAnsi="Arial" w:eastAsia="宋体" w:cs="Arial"/>
          <w:b/>
          <w:bCs/>
          <w:color w:val="auto"/>
          <w:sz w:val="24"/>
          <w:szCs w:val="32"/>
          <w:highlight w:val="none"/>
        </w:rPr>
        <w:t>，需提供：</w:t>
      </w:r>
    </w:p>
    <w:p>
      <w:pPr>
        <w:spacing w:line="360" w:lineRule="auto"/>
        <w:rPr>
          <w:rFonts w:ascii="Arial" w:hAnsi="Arial" w:eastAsia="宋体" w:cs="Arial"/>
          <w:b/>
          <w:bCs/>
          <w:color w:val="auto"/>
          <w:sz w:val="24"/>
          <w:szCs w:val="32"/>
          <w:highlight w:val="none"/>
        </w:rPr>
      </w:pPr>
      <w:r>
        <w:rPr>
          <w:rFonts w:hint="eastAsia" w:ascii="Arial" w:hAnsi="Arial" w:eastAsia="宋体" w:cs="Arial"/>
          <w:b/>
          <w:bCs/>
          <w:color w:val="auto"/>
          <w:sz w:val="24"/>
          <w:szCs w:val="32"/>
          <w:highlight w:val="none"/>
        </w:rPr>
        <w:t>（1）分包意向协议</w:t>
      </w:r>
      <w:r>
        <w:rPr>
          <w:rFonts w:ascii="Arial" w:hAnsi="Arial" w:eastAsia="宋体" w:cs="Arial"/>
          <w:b/>
          <w:bCs/>
          <w:color w:val="auto"/>
          <w:sz w:val="24"/>
          <w:szCs w:val="32"/>
          <w:highlight w:val="none"/>
        </w:rPr>
        <w:t>；</w:t>
      </w:r>
    </w:p>
    <w:p>
      <w:pPr>
        <w:snapToGrid w:val="0"/>
        <w:spacing w:line="360" w:lineRule="auto"/>
        <w:rPr>
          <w:rFonts w:ascii="Arial" w:hAnsi="Arial" w:eastAsia="宋体" w:cs="Arial"/>
          <w:b/>
          <w:bCs/>
          <w:color w:val="auto"/>
          <w:sz w:val="24"/>
          <w:szCs w:val="32"/>
          <w:highlight w:val="none"/>
        </w:rPr>
      </w:pPr>
      <w:r>
        <w:rPr>
          <w:rFonts w:hint="eastAsia" w:ascii="Arial" w:hAnsi="Arial" w:eastAsia="宋体" w:cs="Arial"/>
          <w:b/>
          <w:bCs/>
          <w:color w:val="auto"/>
          <w:sz w:val="24"/>
          <w:szCs w:val="32"/>
          <w:highlight w:val="none"/>
        </w:rPr>
        <w:t>（2）分包人资质证明材料；</w:t>
      </w:r>
    </w:p>
    <w:p>
      <w:pPr>
        <w:snapToGrid w:val="0"/>
        <w:spacing w:line="360" w:lineRule="auto"/>
        <w:rPr>
          <w:rFonts w:ascii="Arial" w:hAnsi="Arial" w:eastAsia="宋体" w:cs="Arial"/>
          <w:b/>
          <w:bCs/>
          <w:i/>
          <w:iCs/>
          <w:color w:val="auto"/>
          <w:highlight w:val="none"/>
        </w:rPr>
      </w:pPr>
      <w:r>
        <w:rPr>
          <w:rFonts w:hint="eastAsia" w:ascii="Arial" w:hAnsi="Arial" w:eastAsia="宋体" w:cs="Arial"/>
          <w:b/>
          <w:bCs/>
          <w:color w:val="auto"/>
          <w:sz w:val="24"/>
          <w:szCs w:val="32"/>
          <w:highlight w:val="none"/>
        </w:rPr>
        <w:t>（3）其它</w:t>
      </w:r>
      <w:r>
        <w:rPr>
          <w:rFonts w:ascii="Arial" w:hAnsi="Arial" w:eastAsia="宋体" w:cs="Arial"/>
          <w:b/>
          <w:bCs/>
          <w:i/>
          <w:iCs/>
          <w:color w:val="auto"/>
          <w:highlight w:val="none"/>
        </w:rPr>
        <w:t>。</w:t>
      </w:r>
    </w:p>
    <w:p>
      <w:pPr>
        <w:snapToGrid w:val="0"/>
        <w:spacing w:line="360" w:lineRule="auto"/>
        <w:rPr>
          <w:rFonts w:ascii="Arial" w:hAnsi="Arial" w:eastAsia="宋体" w:cs="Arial"/>
          <w:i/>
          <w:iCs/>
          <w:color w:val="auto"/>
          <w:highlight w:val="none"/>
        </w:rPr>
      </w:pPr>
    </w:p>
    <w:p>
      <w:pPr>
        <w:snapToGrid w:val="0"/>
        <w:spacing w:line="360" w:lineRule="auto"/>
        <w:rPr>
          <w:rFonts w:ascii="Arial" w:hAnsi="Arial" w:eastAsia="宋体" w:cs="Arial"/>
          <w:color w:val="auto"/>
          <w:highlight w:val="none"/>
        </w:rPr>
      </w:pPr>
      <w:r>
        <w:rPr>
          <w:rFonts w:hint="eastAsia" w:ascii="Arial" w:hAnsi="Arial" w:eastAsia="宋体" w:cs="Arial"/>
          <w:b/>
          <w:bCs/>
          <w:color w:val="auto"/>
          <w:sz w:val="24"/>
          <w:szCs w:val="32"/>
          <w:highlight w:val="none"/>
        </w:rPr>
        <w:t>注：承担</w:t>
      </w:r>
      <w:r>
        <w:rPr>
          <w:rFonts w:hint="eastAsia" w:ascii="Arial" w:hAnsi="Arial" w:cs="Arial"/>
          <w:b/>
          <w:bCs/>
          <w:color w:val="auto"/>
          <w:sz w:val="24"/>
          <w:szCs w:val="32"/>
          <w:highlight w:val="none"/>
          <w:lang w:eastAsia="zh-CN"/>
        </w:rPr>
        <w:t>中南民族大学融媒中心建设项目装饰部分</w:t>
      </w:r>
      <w:r>
        <w:rPr>
          <w:rFonts w:hint="eastAsia" w:ascii="Arial" w:hAnsi="Arial" w:eastAsia="宋体" w:cs="Arial"/>
          <w:b/>
          <w:bCs/>
          <w:color w:val="auto"/>
          <w:sz w:val="24"/>
          <w:szCs w:val="32"/>
          <w:highlight w:val="none"/>
        </w:rPr>
        <w:t>的供应商如不满足相应资质要求，作无效投标处理。</w:t>
      </w:r>
    </w:p>
    <w:p>
      <w:pPr>
        <w:bidi w:val="0"/>
        <w:rPr>
          <w:rFonts w:hint="eastAsia" w:ascii="Times New Roman" w:hAnsi="Times New Roman" w:cs="Times New Roman"/>
          <w:color w:val="auto"/>
          <w:highlight w:val="none"/>
        </w:rPr>
      </w:pPr>
    </w:p>
    <w:p>
      <w:pPr>
        <w:keepNext/>
        <w:keepLines/>
        <w:widowControl w:val="0"/>
        <w:snapToGrid w:val="0"/>
        <w:spacing w:before="120" w:after="120" w:line="360" w:lineRule="auto"/>
        <w:jc w:val="both"/>
        <w:outlineLvl w:val="1"/>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bCs w:val="0"/>
          <w:color w:val="auto"/>
          <w:kern w:val="2"/>
          <w:sz w:val="32"/>
          <w:szCs w:val="32"/>
          <w:highlight w:val="none"/>
          <w:lang w:val="en-US" w:eastAsia="zh-CN" w:bidi="ar-SA"/>
        </w:rPr>
        <w:br w:type="page"/>
      </w:r>
      <w:bookmarkStart w:id="1082" w:name="_Toc3494"/>
      <w:bookmarkStart w:id="1083" w:name="OLE_LINK72"/>
      <w:bookmarkStart w:id="1084" w:name="_Toc19264"/>
      <w:r>
        <w:rPr>
          <w:rFonts w:hint="eastAsia" w:ascii="Arial" w:hAnsi="Arial" w:eastAsia="黑体" w:cs="Arial"/>
          <w:b/>
          <w:bCs w:val="0"/>
          <w:kern w:val="2"/>
          <w:sz w:val="32"/>
          <w:szCs w:val="32"/>
          <w:highlight w:val="none"/>
          <w:lang w:val="en-US" w:eastAsia="zh-CN" w:bidi="ar-SA"/>
        </w:rPr>
        <w:t>（十三）</w:t>
      </w:r>
      <w:bookmarkEnd w:id="1076"/>
      <w:bookmarkEnd w:id="1077"/>
      <w:bookmarkEnd w:id="1082"/>
      <w:bookmarkEnd w:id="1083"/>
      <w:bookmarkEnd w:id="1084"/>
      <w:bookmarkStart w:id="1085" w:name="OLE_LINK78"/>
      <w:r>
        <w:rPr>
          <w:rFonts w:hint="eastAsia" w:ascii="Arial" w:hAnsi="Arial" w:eastAsia="黑体" w:cs="Arial"/>
          <w:b/>
          <w:bCs w:val="0"/>
          <w:kern w:val="2"/>
          <w:sz w:val="32"/>
          <w:szCs w:val="32"/>
          <w:highlight w:val="none"/>
          <w:lang w:val="en-US" w:eastAsia="zh-CN" w:bidi="ar-SA"/>
        </w:rPr>
        <w:t>符合本国产品标准的证明文件</w:t>
      </w:r>
      <w:bookmarkEnd w:id="108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关于符合本国产品标准的声明函</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1.</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（产品名称1）</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1，生产厂为</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（厂名）</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2，厂址为</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（生产厂址）</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（产品名称1）</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的中国境内生产的组件成本占比≥</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（规定比例）</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3。</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（产品名称1）</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（关键组件）</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4在中国境内生产。</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（产品名称1）</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（关键工序）</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5在中国境内完成。</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（产品名称2）</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，生产厂为</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（厂名）</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，厂址为</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（生产厂址）</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（产品名称2）</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的中国境内生产的组件成本占比≥</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（规定比例）</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（产品名称2）</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u w:val="single"/>
        </w:rPr>
        <w:t>（关键组件）</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在中国境内生产。</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（产品名称2）</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（关键工序）</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在中国境内完成。</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本公司（单位）对上述声明内容的真实性负责。如有虚假，愿承担相应法律责任。</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p>
    <w:p>
      <w:pPr>
        <w:keepNext w:val="0"/>
        <w:keepLines w:val="0"/>
        <w:pageBreakBefore w:val="0"/>
        <w:widowControl w:val="0"/>
        <w:kinsoku/>
        <w:wordWrap w:val="0"/>
        <w:overflowPunct/>
        <w:topLinePunct w:val="0"/>
        <w:autoSpaceDE/>
        <w:autoSpaceDN/>
        <w:bidi w:val="0"/>
        <w:adjustRightInd/>
        <w:snapToGrid/>
        <w:spacing w:line="360" w:lineRule="auto"/>
        <w:ind w:firstLine="504" w:firstLineChars="200"/>
        <w:jc w:val="right"/>
        <w:textAlignment w:val="auto"/>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公司（单位）名称（盖章）：</w:t>
      </w:r>
      <w:r>
        <w:rPr>
          <w:rFonts w:hint="eastAsia" w:ascii="宋体" w:hAnsi="宋体" w:eastAsia="宋体" w:cs="宋体"/>
          <w:color w:val="auto"/>
          <w:spacing w:val="6"/>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jc w:val="righ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日期：</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年</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月</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日</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1.产品如有型号，请在“产品名称”栏一并填写。</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2.生产厂名与厂址应与生产厂营业执照载明的相关信息保持一致。</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3.该产品的中国境内生产的组件成本占比相关要求实施前，“规定比例”栏可不填，下同。</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4.该产品的关键组件要求实施前，“关键组件”栏可不填，下同。</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5.该产品的关键工序要求实施前，“关键工序”栏可不填，下同。</w:t>
      </w:r>
    </w:p>
    <w:p>
      <w:pPr>
        <w:rPr>
          <w:rFonts w:hint="eastAsia" w:ascii="@仿宋_GB2312" w:hAnsi="@仿宋_GB2312" w:eastAsia="@仿宋_GB2312" w:cs="@仿宋_GB2312"/>
          <w:b/>
          <w:color w:val="auto"/>
          <w:sz w:val="32"/>
          <w:szCs w:val="15"/>
          <w:highlight w:val="none"/>
          <w:lang w:val="en-US" w:eastAsia="zh-CN"/>
        </w:rPr>
      </w:pPr>
      <w:r>
        <w:rPr>
          <w:rFonts w:hint="eastAsia" w:ascii="@仿宋_GB2312" w:hAnsi="@仿宋_GB2312" w:eastAsia="@仿宋_GB2312" w:cs="@仿宋_GB2312"/>
          <w:b/>
          <w:color w:val="auto"/>
          <w:sz w:val="32"/>
          <w:szCs w:val="15"/>
          <w:highlight w:val="none"/>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财政部会同有关部门规定的有关证明文件</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（出具符合要求的《声明函》或有关证明文件的，该产品视为本国产品，采购人、采购代理机构不得再要求供应商提供其他证明材料。）</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投标人名称（加盖公章）：____________</w:t>
      </w:r>
    </w:p>
    <w:p>
      <w:pPr>
        <w:widowControl/>
        <w:spacing w:before="100" w:beforeAutospacing="1" w:after="100" w:afterAutospacing="1"/>
        <w:jc w:val="righ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日期：_____年______月______日</w:t>
      </w:r>
    </w:p>
    <w:p>
      <w:pP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符合本国产品标准的产品成本之和占全部产品成本之和的比例</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i/>
          <w:iCs/>
          <w:color w:val="auto"/>
          <w:kern w:val="0"/>
          <w:sz w:val="24"/>
          <w:szCs w:val="24"/>
          <w:highlight w:val="none"/>
          <w:lang w:val="en-US" w:eastAsia="zh-CN" w:bidi="ar"/>
        </w:rPr>
      </w:pPr>
      <w:r>
        <w:rPr>
          <w:rFonts w:hint="eastAsia" w:ascii="宋体" w:hAnsi="宋体" w:eastAsia="宋体" w:cs="宋体"/>
          <w:b w:val="0"/>
          <w:bCs w:val="0"/>
          <w:i/>
          <w:iCs/>
          <w:color w:val="auto"/>
          <w:kern w:val="0"/>
          <w:sz w:val="24"/>
          <w:szCs w:val="24"/>
          <w:highlight w:val="none"/>
          <w:lang w:val="en-US" w:eastAsia="zh-CN" w:bidi="ar"/>
        </w:rPr>
        <w:t>（当采购项目或者采购包中含有多种产品，当采购项目或者采购包中含有多种产品，供应商应声明为该采购项目或者采购包提供的符合本国产品标准的产品成本之和占提供的全部产品成本之和的比例。）</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i/>
          <w:iCs/>
          <w:color w:val="auto"/>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val="0"/>
          <w:i w:val="0"/>
          <w:iCs w:val="0"/>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致：采购人或采购代理机构</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i w:val="0"/>
          <w:iCs w:val="0"/>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我方为</w:t>
      </w:r>
      <w:r>
        <w:rPr>
          <w:rFonts w:hint="eastAsia" w:ascii="宋体" w:hAnsi="宋体" w:eastAsia="宋体" w:cs="宋体"/>
          <w:b w:val="0"/>
          <w:bCs w:val="0"/>
          <w:i w:val="0"/>
          <w:iCs w:val="0"/>
          <w:color w:val="auto"/>
          <w:kern w:val="0"/>
          <w:sz w:val="24"/>
          <w:szCs w:val="24"/>
          <w:highlight w:val="none"/>
          <w:lang w:val="en-US" w:eastAsia="zh-CN" w:bidi="ar"/>
        </w:rPr>
        <w:t>该采购项目或者采购包提供的符合本国产品标准的产品成本之和占提供的全部产品成本之和的比例为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i w:val="0"/>
          <w:iCs w:val="0"/>
          <w:color w:val="auto"/>
          <w:kern w:val="0"/>
          <w:sz w:val="24"/>
          <w:szCs w:val="24"/>
          <w:highlight w:val="none"/>
          <w:lang w:val="en-US" w:eastAsia="zh-CN" w:bidi="ar"/>
        </w:rPr>
      </w:pPr>
      <w:r>
        <w:rPr>
          <w:rFonts w:hint="eastAsia" w:ascii="宋体" w:hAnsi="宋体" w:eastAsia="宋体" w:cs="宋体"/>
          <w:b w:val="0"/>
          <w:bCs w:val="0"/>
          <w:i w:val="0"/>
          <w:iCs w:val="0"/>
          <w:color w:val="auto"/>
          <w:kern w:val="0"/>
          <w:sz w:val="24"/>
          <w:szCs w:val="24"/>
          <w:highlight w:val="none"/>
          <w:lang w:val="en-US" w:eastAsia="zh-CN" w:bidi="ar"/>
        </w:rPr>
        <w:t>上述声明真实有效，否则我方负全部责任。</w:t>
      </w: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投标人名称（加盖公章）：____________</w:t>
      </w: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日期：_____年______月______日</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i/>
          <w:iCs/>
          <w:color w:val="auto"/>
          <w:kern w:val="0"/>
          <w:sz w:val="24"/>
          <w:szCs w:val="24"/>
          <w:highlight w:val="none"/>
          <w:lang w:val="en-US" w:eastAsia="zh-CN" w:bidi="ar"/>
        </w:rPr>
      </w:pPr>
    </w:p>
    <w:p>
      <w:pPr>
        <w:spacing w:line="360" w:lineRule="auto"/>
        <w:rPr>
          <w:rFonts w:hint="eastAsia" w:ascii="Arial" w:hAnsi="Arial" w:eastAsia="宋体" w:cs="Arial"/>
          <w:highlight w:val="none"/>
        </w:rPr>
      </w:pPr>
      <w:r>
        <w:rPr>
          <w:rFonts w:hint="eastAsia" w:ascii="宋体" w:hAnsi="宋体" w:eastAsia="宋体" w:cs="宋体"/>
          <w:b/>
          <w:color w:val="auto"/>
          <w:sz w:val="24"/>
          <w:szCs w:val="24"/>
          <w:highlight w:val="none"/>
          <w:lang w:val="en-US" w:eastAsia="zh-CN"/>
        </w:rPr>
        <w:br w:type="page"/>
      </w:r>
    </w:p>
    <w:p>
      <w:pPr>
        <w:spacing w:line="360" w:lineRule="auto"/>
        <w:rPr>
          <w:rFonts w:hint="eastAsia" w:ascii="Arial" w:hAnsi="Arial" w:eastAsia="宋体" w:cs="Arial"/>
          <w:highlight w:val="none"/>
        </w:rPr>
      </w:pPr>
    </w:p>
    <w:p>
      <w:pPr>
        <w:keepNext/>
        <w:keepLines/>
        <w:widowControl w:val="0"/>
        <w:snapToGrid w:val="0"/>
        <w:spacing w:before="120" w:after="120" w:line="360" w:lineRule="auto"/>
        <w:jc w:val="both"/>
        <w:outlineLvl w:val="1"/>
        <w:rPr>
          <w:rFonts w:hint="eastAsia" w:ascii="Arial" w:hAnsi="Arial" w:eastAsia="黑体" w:cs="Arial"/>
          <w:b/>
          <w:bCs w:val="0"/>
          <w:kern w:val="2"/>
          <w:sz w:val="32"/>
          <w:szCs w:val="32"/>
          <w:highlight w:val="none"/>
          <w:lang w:val="en-US" w:eastAsia="zh-CN" w:bidi="ar-SA"/>
        </w:rPr>
      </w:pPr>
      <w:r>
        <w:rPr>
          <w:rFonts w:hint="eastAsia" w:ascii="Arial" w:hAnsi="Arial" w:eastAsia="黑体" w:cs="Arial"/>
          <w:b/>
          <w:bCs w:val="0"/>
          <w:kern w:val="2"/>
          <w:sz w:val="32"/>
          <w:szCs w:val="32"/>
          <w:highlight w:val="none"/>
          <w:lang w:val="en-US" w:eastAsia="zh-CN" w:bidi="ar-SA"/>
        </w:rPr>
        <w:t>（十四）其它</w:t>
      </w:r>
    </w:p>
    <w:p>
      <w:pPr>
        <w:spacing w:line="360" w:lineRule="auto"/>
        <w:rPr>
          <w:rFonts w:ascii="Arial" w:hAnsi="Arial" w:eastAsia="宋体" w:cs="Arial"/>
          <w:highlight w:val="none"/>
        </w:rPr>
      </w:pPr>
      <w:r>
        <w:rPr>
          <w:rFonts w:hint="eastAsia" w:ascii="Arial" w:hAnsi="Arial" w:eastAsia="宋体" w:cs="Arial"/>
          <w:highlight w:val="none"/>
        </w:rPr>
        <w:t>1、</w:t>
      </w:r>
      <w:r>
        <w:rPr>
          <w:rFonts w:ascii="Arial" w:hAnsi="Arial" w:eastAsia="宋体" w:cs="Arial"/>
          <w:highlight w:val="none"/>
        </w:rPr>
        <w:t>招标文件要求提供的资料和证明材料；</w:t>
      </w:r>
    </w:p>
    <w:p>
      <w:pPr>
        <w:spacing w:line="360" w:lineRule="auto"/>
        <w:rPr>
          <w:rFonts w:ascii="Arial" w:hAnsi="Arial" w:eastAsia="宋体" w:cs="Arial"/>
          <w:highlight w:val="none"/>
        </w:rPr>
      </w:pPr>
      <w:r>
        <w:rPr>
          <w:rFonts w:hint="eastAsia" w:ascii="Arial" w:hAnsi="Arial" w:eastAsia="宋体" w:cs="Arial"/>
          <w:highlight w:val="none"/>
        </w:rPr>
        <w:t>2、</w:t>
      </w:r>
      <w:r>
        <w:rPr>
          <w:rFonts w:ascii="Arial" w:hAnsi="Arial" w:eastAsia="宋体" w:cs="Arial"/>
          <w:highlight w:val="none"/>
        </w:rPr>
        <w:t>投标人认为需要提供的其它商务资料和说明。</w:t>
      </w:r>
      <w:r>
        <w:rPr>
          <w:rFonts w:ascii="Arial" w:hAnsi="Arial" w:eastAsia="宋体" w:cs="Arial"/>
          <w:highlight w:val="none"/>
        </w:rPr>
        <w:br w:type="page"/>
      </w:r>
    </w:p>
    <w:p>
      <w:pPr>
        <w:keepNext/>
        <w:keepLines/>
        <w:widowControl w:val="0"/>
        <w:spacing w:before="260" w:after="260" w:line="413" w:lineRule="auto"/>
        <w:jc w:val="both"/>
        <w:outlineLvl w:val="1"/>
        <w:rPr>
          <w:rFonts w:ascii="Arial" w:hAnsi="Arial" w:eastAsia="黑体" w:cs="Arial"/>
          <w:b/>
          <w:bCs w:val="0"/>
          <w:kern w:val="2"/>
          <w:sz w:val="32"/>
          <w:szCs w:val="32"/>
          <w:highlight w:val="none"/>
          <w:lang w:val="en-US" w:eastAsia="zh-CN" w:bidi="ar-SA"/>
        </w:rPr>
      </w:pPr>
      <w:bookmarkStart w:id="1086" w:name="_Toc430813371"/>
      <w:bookmarkStart w:id="1087" w:name="_Toc432367439"/>
      <w:bookmarkStart w:id="1088" w:name="_Toc29901"/>
      <w:bookmarkStart w:id="1089" w:name="_Toc24951"/>
      <w:r>
        <w:rPr>
          <w:rFonts w:hint="eastAsia" w:ascii="Arial" w:hAnsi="Arial" w:eastAsia="黑体" w:cs="Arial"/>
          <w:b/>
          <w:bCs w:val="0"/>
          <w:kern w:val="2"/>
          <w:sz w:val="32"/>
          <w:szCs w:val="32"/>
          <w:highlight w:val="none"/>
          <w:lang w:val="en-US" w:eastAsia="zh-CN" w:bidi="ar-SA"/>
        </w:rPr>
        <w:t>四、技术</w:t>
      </w:r>
      <w:r>
        <w:rPr>
          <w:rFonts w:ascii="Arial" w:hAnsi="Arial" w:eastAsia="黑体" w:cs="Arial"/>
          <w:b/>
          <w:bCs w:val="0"/>
          <w:kern w:val="2"/>
          <w:sz w:val="32"/>
          <w:szCs w:val="32"/>
          <w:highlight w:val="none"/>
          <w:lang w:val="en-US" w:eastAsia="zh-CN" w:bidi="ar-SA"/>
        </w:rPr>
        <w:t>文件</w:t>
      </w:r>
      <w:bookmarkEnd w:id="1086"/>
      <w:bookmarkEnd w:id="1087"/>
      <w:bookmarkEnd w:id="1088"/>
      <w:bookmarkEnd w:id="1089"/>
    </w:p>
    <w:p>
      <w:pPr>
        <w:keepNext/>
        <w:keepLines/>
        <w:widowControl w:val="0"/>
        <w:snapToGrid w:val="0"/>
        <w:spacing w:before="120" w:after="120" w:line="360" w:lineRule="auto"/>
        <w:jc w:val="both"/>
        <w:outlineLvl w:val="1"/>
        <w:rPr>
          <w:rFonts w:hint="eastAsia" w:ascii="Arial" w:hAnsi="Arial" w:eastAsia="黑体" w:cs="Arial"/>
          <w:b/>
          <w:bCs w:val="0"/>
          <w:kern w:val="2"/>
          <w:sz w:val="32"/>
          <w:szCs w:val="32"/>
          <w:highlight w:val="none"/>
          <w:lang w:val="en-US" w:eastAsia="zh-CN" w:bidi="ar-SA"/>
        </w:rPr>
      </w:pPr>
      <w:bookmarkStart w:id="1090" w:name="_Toc431964667"/>
      <w:bookmarkStart w:id="1091" w:name="_Toc10305"/>
      <w:bookmarkStart w:id="1092" w:name="_Toc485936398"/>
      <w:bookmarkStart w:id="1093" w:name="_Toc25643"/>
      <w:r>
        <w:rPr>
          <w:rFonts w:hint="eastAsia" w:ascii="Arial" w:hAnsi="Arial" w:eastAsia="黑体" w:cs="Arial"/>
          <w:b/>
          <w:bCs w:val="0"/>
          <w:kern w:val="2"/>
          <w:sz w:val="32"/>
          <w:szCs w:val="32"/>
          <w:highlight w:val="none"/>
          <w:lang w:val="en-US" w:eastAsia="zh-CN" w:bidi="ar-SA"/>
        </w:rPr>
        <w:t>（一）项目实施方案</w:t>
      </w:r>
      <w:bookmarkEnd w:id="1090"/>
      <w:bookmarkEnd w:id="1091"/>
      <w:bookmarkEnd w:id="1092"/>
      <w:bookmarkEnd w:id="1093"/>
    </w:p>
    <w:p>
      <w:pPr>
        <w:spacing w:line="300" w:lineRule="auto"/>
        <w:rPr>
          <w:rFonts w:ascii="Arial" w:hAnsi="Arial" w:eastAsia="宋体" w:cs="Arial"/>
          <w:highlight w:val="none"/>
          <w:u w:val="single"/>
        </w:rPr>
      </w:pPr>
      <w:r>
        <w:rPr>
          <w:rFonts w:ascii="Arial" w:hAnsi="Arial" w:eastAsia="宋体" w:cs="Arial"/>
          <w:highlight w:val="none"/>
        </w:rPr>
        <w:br w:type="page"/>
      </w:r>
    </w:p>
    <w:p>
      <w:pPr>
        <w:keepNext/>
        <w:keepLines/>
        <w:widowControl w:val="0"/>
        <w:snapToGrid w:val="0"/>
        <w:spacing w:before="120" w:after="120" w:line="360" w:lineRule="auto"/>
        <w:jc w:val="both"/>
        <w:outlineLvl w:val="1"/>
        <w:rPr>
          <w:rFonts w:hint="eastAsia" w:ascii="Arial" w:hAnsi="Arial" w:eastAsia="黑体" w:cs="Arial"/>
          <w:b/>
          <w:bCs w:val="0"/>
          <w:kern w:val="2"/>
          <w:sz w:val="32"/>
          <w:szCs w:val="32"/>
          <w:highlight w:val="none"/>
          <w:lang w:val="en-US" w:eastAsia="zh-CN" w:bidi="ar-SA"/>
        </w:rPr>
      </w:pPr>
      <w:bookmarkStart w:id="1094" w:name="_Toc431964668"/>
      <w:bookmarkStart w:id="1095" w:name="_Toc26997"/>
      <w:bookmarkStart w:id="1096" w:name="_Toc14809"/>
      <w:bookmarkStart w:id="1097" w:name="_Toc485936399"/>
      <w:r>
        <w:rPr>
          <w:rFonts w:hint="eastAsia" w:ascii="Arial" w:hAnsi="Arial" w:eastAsia="黑体" w:cs="Arial"/>
          <w:b/>
          <w:bCs w:val="0"/>
          <w:kern w:val="2"/>
          <w:sz w:val="32"/>
          <w:szCs w:val="32"/>
          <w:highlight w:val="none"/>
          <w:lang w:val="en-US" w:eastAsia="zh-CN" w:bidi="ar-SA"/>
        </w:rPr>
        <w:t>（二）拟投入人员情况</w:t>
      </w:r>
      <w:bookmarkEnd w:id="1094"/>
      <w:bookmarkEnd w:id="1095"/>
      <w:bookmarkEnd w:id="1096"/>
      <w:bookmarkEnd w:id="1097"/>
    </w:p>
    <w:p>
      <w:pPr>
        <w:adjustRightInd w:val="0"/>
        <w:snapToGrid w:val="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项</w:t>
      </w:r>
      <w:r>
        <w:rPr>
          <w:rFonts w:hint="eastAsia" w:ascii="宋体" w:hAnsi="宋体" w:eastAsia="宋体" w:cs="Times New Roman"/>
          <w:color w:val="auto"/>
          <w:szCs w:val="21"/>
          <w:highlight w:val="none"/>
        </w:rPr>
        <w:t>目名</w:t>
      </w:r>
      <w:r>
        <w:rPr>
          <w:rFonts w:ascii="宋体" w:hAnsi="宋体" w:eastAsia="宋体" w:cs="Times New Roman"/>
          <w:color w:val="auto"/>
          <w:szCs w:val="21"/>
          <w:highlight w:val="none"/>
        </w:rPr>
        <w:t>称</w:t>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项</w:t>
      </w:r>
      <w:r>
        <w:rPr>
          <w:rFonts w:hint="eastAsia" w:ascii="宋体" w:hAnsi="宋体" w:eastAsia="宋体" w:cs="Times New Roman"/>
          <w:color w:val="auto"/>
          <w:szCs w:val="21"/>
          <w:highlight w:val="none"/>
        </w:rPr>
        <w:t>目</w:t>
      </w:r>
      <w:r>
        <w:rPr>
          <w:rFonts w:ascii="宋体" w:hAnsi="宋体" w:eastAsia="宋体" w:cs="Times New Roman"/>
          <w:color w:val="auto"/>
          <w:szCs w:val="21"/>
          <w:highlight w:val="none"/>
        </w:rPr>
        <w:t>编号</w:t>
      </w:r>
      <w:r>
        <w:rPr>
          <w:rFonts w:hint="eastAsia"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lang w:val="en-US" w:eastAsia="zh-CN"/>
        </w:rPr>
        <w:t xml:space="preserve"> </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929"/>
        <w:gridCol w:w="1081"/>
        <w:gridCol w:w="850"/>
        <w:gridCol w:w="1381"/>
        <w:gridCol w:w="1764"/>
        <w:gridCol w:w="1177"/>
        <w:gridCol w:w="9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序号</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姓名</w:t>
            </w: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职务/</w:t>
            </w:r>
          </w:p>
          <w:p>
            <w:pPr>
              <w:snapToGrid w:val="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职称</w:t>
            </w: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学历</w:t>
            </w:r>
          </w:p>
        </w:tc>
        <w:tc>
          <w:tcPr>
            <w:tcW w:w="1381"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专业资</w:t>
            </w:r>
            <w:r>
              <w:rPr>
                <w:rFonts w:hint="eastAsia" w:ascii="宋体" w:hAnsi="宋体" w:eastAsia="宋体" w:cs="Times New Roman"/>
                <w:color w:val="auto"/>
                <w:szCs w:val="21"/>
                <w:highlight w:val="none"/>
              </w:rPr>
              <w:t>格</w:t>
            </w:r>
          </w:p>
        </w:tc>
        <w:tc>
          <w:tcPr>
            <w:tcW w:w="1764"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在本</w:t>
            </w:r>
            <w:r>
              <w:rPr>
                <w:rFonts w:ascii="宋体" w:hAnsi="宋体" w:eastAsia="宋体" w:cs="Times New Roman"/>
                <w:color w:val="auto"/>
                <w:szCs w:val="21"/>
                <w:highlight w:val="none"/>
              </w:rPr>
              <w:t>项目</w:t>
            </w:r>
            <w:r>
              <w:rPr>
                <w:rFonts w:hint="eastAsia" w:ascii="宋体" w:hAnsi="宋体" w:eastAsia="宋体" w:cs="Times New Roman"/>
                <w:color w:val="auto"/>
                <w:szCs w:val="21"/>
                <w:highlight w:val="none"/>
              </w:rPr>
              <w:t>中</w:t>
            </w:r>
            <w:r>
              <w:rPr>
                <w:rFonts w:ascii="宋体" w:hAnsi="宋体" w:eastAsia="宋体" w:cs="Times New Roman"/>
                <w:color w:val="auto"/>
                <w:szCs w:val="21"/>
                <w:highlight w:val="none"/>
              </w:rPr>
              <w:t>担</w:t>
            </w:r>
            <w:r>
              <w:rPr>
                <w:rFonts w:hint="eastAsia" w:ascii="宋体" w:hAnsi="宋体" w:eastAsia="宋体" w:cs="Times New Roman"/>
                <w:color w:val="auto"/>
                <w:szCs w:val="21"/>
                <w:highlight w:val="none"/>
              </w:rPr>
              <w:t>任的工作</w:t>
            </w: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工作</w:t>
            </w:r>
            <w:r>
              <w:rPr>
                <w:rFonts w:ascii="宋体" w:hAnsi="宋体" w:eastAsia="宋体" w:cs="Times New Roman"/>
                <w:color w:val="auto"/>
                <w:szCs w:val="21"/>
                <w:highlight w:val="none"/>
              </w:rPr>
              <w:t>经历</w:t>
            </w: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类</w:t>
            </w:r>
            <w:r>
              <w:rPr>
                <w:rFonts w:hint="eastAsia" w:ascii="宋体" w:hAnsi="宋体" w:eastAsia="宋体" w:cs="Times New Roman"/>
                <w:color w:val="auto"/>
                <w:szCs w:val="21"/>
                <w:highlight w:val="none"/>
              </w:rPr>
              <w:t>似</w:t>
            </w:r>
          </w:p>
          <w:p>
            <w:pPr>
              <w:snapToGrid w:val="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1</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eastAsia="宋体" w:cs="Times New Roman"/>
                <w:color w:val="auto"/>
                <w:szCs w:val="21"/>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eastAsia="宋体" w:cs="Times New Roman"/>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2</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eastAsia="宋体" w:cs="Times New Roman"/>
                <w:color w:val="auto"/>
                <w:szCs w:val="21"/>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eastAsia="宋体" w:cs="Times New Roman"/>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3</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eastAsia="宋体" w:cs="Times New Roman"/>
                <w:color w:val="auto"/>
                <w:szCs w:val="21"/>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eastAsia="宋体" w:cs="Times New Roman"/>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4</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eastAsia="宋体" w:cs="Times New Roman"/>
                <w:color w:val="auto"/>
                <w:szCs w:val="21"/>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eastAsia="宋体" w:cs="Times New Roman"/>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5</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eastAsia="宋体" w:cs="Times New Roman"/>
                <w:color w:val="auto"/>
                <w:szCs w:val="21"/>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eastAsia="宋体" w:cs="Times New Roman"/>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eastAsia="宋体" w:cs="Times New Roman"/>
                <w:color w:val="auto"/>
                <w:szCs w:val="21"/>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eastAsia="宋体" w:cs="Times New Roman"/>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eastAsia="宋体" w:cs="Times New Roman"/>
                <w:color w:val="auto"/>
                <w:szCs w:val="21"/>
                <w:highlight w:val="none"/>
              </w:rPr>
            </w:pPr>
          </w:p>
        </w:tc>
      </w:tr>
    </w:tbl>
    <w:p>
      <w:pPr>
        <w:spacing w:before="120" w:beforeLines="50" w:after="120" w:afterLines="50" w:line="300" w:lineRule="auto"/>
        <w:ind w:left="420" w:hanging="420" w:hangingChars="200"/>
        <w:rPr>
          <w:rFonts w:hint="eastAsia" w:ascii="宋体" w:hAnsi="宋体" w:eastAsia="宋体" w:cs="Times New Roman"/>
          <w:bCs/>
          <w:color w:val="auto"/>
          <w:kern w:val="0"/>
          <w:szCs w:val="21"/>
          <w:highlight w:val="none"/>
        </w:rPr>
      </w:pPr>
      <w:r>
        <w:rPr>
          <w:rFonts w:hint="eastAsia" w:ascii="宋体" w:hAnsi="宋体" w:eastAsia="宋体" w:cs="Times New Roman"/>
          <w:color w:val="auto"/>
          <w:szCs w:val="21"/>
          <w:highlight w:val="none"/>
        </w:rPr>
        <w:t>注：表后</w:t>
      </w:r>
      <w:r>
        <w:rPr>
          <w:rFonts w:ascii="宋体" w:hAnsi="宋体" w:eastAsia="宋体" w:cs="Times New Roman"/>
          <w:color w:val="auto"/>
          <w:szCs w:val="21"/>
          <w:highlight w:val="none"/>
        </w:rPr>
        <w:t>须附拟</w:t>
      </w:r>
      <w:r>
        <w:rPr>
          <w:rFonts w:hint="eastAsia" w:ascii="宋体" w:hAnsi="宋体" w:eastAsia="宋体" w:cs="Times New Roman"/>
          <w:color w:val="auto"/>
          <w:szCs w:val="21"/>
          <w:highlight w:val="none"/>
        </w:rPr>
        <w:t>投入人</w:t>
      </w:r>
      <w:r>
        <w:rPr>
          <w:rFonts w:ascii="宋体" w:hAnsi="宋体" w:eastAsia="宋体" w:cs="Times New Roman"/>
          <w:color w:val="auto"/>
          <w:szCs w:val="21"/>
          <w:highlight w:val="none"/>
        </w:rPr>
        <w:t>员</w:t>
      </w:r>
      <w:r>
        <w:rPr>
          <w:rFonts w:hint="eastAsia" w:ascii="宋体" w:hAnsi="宋体" w:eastAsia="宋体" w:cs="Times New Roman"/>
          <w:color w:val="auto"/>
          <w:szCs w:val="21"/>
          <w:highlight w:val="none"/>
        </w:rPr>
        <w:t>的</w:t>
      </w:r>
      <w:r>
        <w:rPr>
          <w:rFonts w:ascii="宋体" w:hAnsi="宋体" w:eastAsia="宋体" w:cs="Times New Roman"/>
          <w:color w:val="auto"/>
          <w:szCs w:val="21"/>
          <w:highlight w:val="none"/>
        </w:rPr>
        <w:t>职称证书</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学历证书</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资质证书</w:t>
      </w:r>
      <w:r>
        <w:rPr>
          <w:rFonts w:hint="eastAsia" w:ascii="宋体" w:hAnsi="宋体" w:eastAsia="宋体" w:cs="Times New Roman"/>
          <w:color w:val="auto"/>
          <w:szCs w:val="21"/>
          <w:highlight w:val="none"/>
        </w:rPr>
        <w:t>、上</w:t>
      </w:r>
      <w:r>
        <w:rPr>
          <w:rFonts w:ascii="宋体" w:hAnsi="宋体" w:eastAsia="宋体" w:cs="Times New Roman"/>
          <w:color w:val="auto"/>
          <w:szCs w:val="21"/>
          <w:highlight w:val="none"/>
        </w:rPr>
        <w:t>岗证书</w:t>
      </w:r>
      <w:r>
        <w:rPr>
          <w:rFonts w:ascii="宋体" w:hAnsi="宋体" w:eastAsia="宋体" w:cs="Times New Roman"/>
          <w:bCs/>
          <w:color w:val="auto"/>
          <w:kern w:val="0"/>
          <w:szCs w:val="21"/>
          <w:highlight w:val="none"/>
        </w:rPr>
        <w:t>等证</w:t>
      </w:r>
      <w:r>
        <w:rPr>
          <w:rFonts w:hint="eastAsia" w:ascii="宋体" w:hAnsi="宋体" w:eastAsia="宋体" w:cs="Times New Roman"/>
          <w:bCs/>
          <w:color w:val="auto"/>
          <w:kern w:val="0"/>
          <w:szCs w:val="21"/>
          <w:highlight w:val="none"/>
        </w:rPr>
        <w:t>明文件和有</w:t>
      </w:r>
      <w:r>
        <w:rPr>
          <w:rFonts w:ascii="宋体" w:hAnsi="宋体" w:eastAsia="宋体" w:cs="Times New Roman"/>
          <w:bCs/>
          <w:color w:val="auto"/>
          <w:kern w:val="0"/>
          <w:szCs w:val="21"/>
          <w:highlight w:val="none"/>
        </w:rPr>
        <w:t>关证书</w:t>
      </w:r>
      <w:r>
        <w:rPr>
          <w:rFonts w:hint="eastAsia" w:ascii="宋体" w:hAnsi="宋体" w:eastAsia="宋体" w:cs="Times New Roman"/>
          <w:bCs/>
          <w:color w:val="auto"/>
          <w:kern w:val="0"/>
          <w:szCs w:val="21"/>
          <w:highlight w:val="none"/>
        </w:rPr>
        <w:t>复印件，</w:t>
      </w:r>
      <w:r>
        <w:rPr>
          <w:rFonts w:ascii="宋体" w:hAnsi="宋体" w:eastAsia="宋体" w:cs="Times New Roman"/>
          <w:bCs/>
          <w:color w:val="auto"/>
          <w:kern w:val="0"/>
          <w:szCs w:val="21"/>
          <w:highlight w:val="none"/>
        </w:rPr>
        <w:t>类</w:t>
      </w:r>
      <w:r>
        <w:rPr>
          <w:rFonts w:hint="eastAsia" w:ascii="宋体" w:hAnsi="宋体" w:eastAsia="宋体" w:cs="Times New Roman"/>
          <w:bCs/>
          <w:color w:val="auto"/>
          <w:kern w:val="0"/>
          <w:szCs w:val="21"/>
          <w:highlight w:val="none"/>
        </w:rPr>
        <w:t>似</w:t>
      </w:r>
      <w:r>
        <w:rPr>
          <w:rFonts w:ascii="宋体" w:hAnsi="宋体" w:eastAsia="宋体" w:cs="Times New Roman"/>
          <w:bCs/>
          <w:color w:val="auto"/>
          <w:kern w:val="0"/>
          <w:szCs w:val="21"/>
          <w:highlight w:val="none"/>
        </w:rPr>
        <w:t>经验应</w:t>
      </w:r>
      <w:r>
        <w:rPr>
          <w:rFonts w:hint="eastAsia" w:ascii="宋体" w:hAnsi="宋体" w:eastAsia="宋体" w:cs="Times New Roman"/>
          <w:bCs/>
          <w:color w:val="auto"/>
          <w:kern w:val="0"/>
          <w:szCs w:val="21"/>
          <w:highlight w:val="none"/>
        </w:rPr>
        <w:t>提供合同复印件等能</w:t>
      </w:r>
      <w:r>
        <w:rPr>
          <w:rFonts w:ascii="宋体" w:hAnsi="宋体" w:eastAsia="宋体" w:cs="Times New Roman"/>
          <w:bCs/>
          <w:color w:val="auto"/>
          <w:kern w:val="0"/>
          <w:szCs w:val="21"/>
          <w:highlight w:val="none"/>
        </w:rPr>
        <w:t>证</w:t>
      </w:r>
      <w:r>
        <w:rPr>
          <w:rFonts w:hint="eastAsia" w:ascii="宋体" w:hAnsi="宋体" w:eastAsia="宋体" w:cs="Times New Roman"/>
          <w:bCs/>
          <w:color w:val="auto"/>
          <w:kern w:val="0"/>
          <w:szCs w:val="21"/>
          <w:highlight w:val="none"/>
        </w:rPr>
        <w:t>明其真</w:t>
      </w:r>
      <w:r>
        <w:rPr>
          <w:rFonts w:ascii="宋体" w:hAnsi="宋体" w:eastAsia="宋体" w:cs="Times New Roman"/>
          <w:bCs/>
          <w:color w:val="auto"/>
          <w:kern w:val="0"/>
          <w:szCs w:val="21"/>
          <w:highlight w:val="none"/>
        </w:rPr>
        <w:t>实</w:t>
      </w:r>
      <w:r>
        <w:rPr>
          <w:rFonts w:hint="eastAsia" w:ascii="宋体" w:hAnsi="宋体" w:eastAsia="宋体" w:cs="Times New Roman"/>
          <w:bCs/>
          <w:color w:val="auto"/>
          <w:kern w:val="0"/>
          <w:szCs w:val="21"/>
          <w:highlight w:val="none"/>
        </w:rPr>
        <w:t>性的材料。</w:t>
      </w:r>
      <w:r>
        <w:rPr>
          <w:rFonts w:ascii="宋体" w:hAnsi="宋体" w:eastAsia="宋体" w:cs="Times New Roman"/>
          <w:color w:val="auto"/>
          <w:szCs w:val="21"/>
          <w:highlight w:val="none"/>
        </w:rPr>
        <w:t>无证</w:t>
      </w:r>
      <w:r>
        <w:rPr>
          <w:rFonts w:hint="eastAsia" w:ascii="宋体" w:hAnsi="宋体" w:eastAsia="宋体" w:cs="Times New Roman"/>
          <w:color w:val="auto"/>
          <w:szCs w:val="21"/>
          <w:highlight w:val="none"/>
        </w:rPr>
        <w:t>明材料的</w:t>
      </w:r>
      <w:r>
        <w:rPr>
          <w:rFonts w:ascii="宋体" w:hAnsi="宋体" w:eastAsia="宋体" w:cs="Times New Roman"/>
          <w:color w:val="auto"/>
          <w:szCs w:val="21"/>
          <w:highlight w:val="none"/>
        </w:rPr>
        <w:t>内</w:t>
      </w:r>
      <w:r>
        <w:rPr>
          <w:rFonts w:hint="eastAsia" w:ascii="宋体" w:hAnsi="宋体" w:eastAsia="宋体" w:cs="Times New Roman"/>
          <w:color w:val="auto"/>
          <w:szCs w:val="21"/>
          <w:highlight w:val="none"/>
        </w:rPr>
        <w:t>容</w:t>
      </w:r>
      <w:r>
        <w:rPr>
          <w:rFonts w:ascii="宋体" w:hAnsi="宋体" w:eastAsia="宋体" w:cs="Times New Roman"/>
          <w:color w:val="auto"/>
          <w:szCs w:val="21"/>
          <w:highlight w:val="none"/>
        </w:rPr>
        <w:t>专</w:t>
      </w:r>
      <w:r>
        <w:rPr>
          <w:rFonts w:hint="eastAsia" w:ascii="宋体" w:hAnsi="宋体" w:eastAsia="宋体" w:cs="Times New Roman"/>
          <w:color w:val="auto"/>
          <w:szCs w:val="21"/>
          <w:highlight w:val="none"/>
        </w:rPr>
        <w:t>家在</w:t>
      </w:r>
      <w:r>
        <w:rPr>
          <w:rFonts w:ascii="宋体" w:hAnsi="宋体" w:eastAsia="宋体" w:cs="Times New Roman"/>
          <w:color w:val="auto"/>
          <w:szCs w:val="21"/>
          <w:highlight w:val="none"/>
        </w:rPr>
        <w:t>评审时将</w:t>
      </w:r>
      <w:r>
        <w:rPr>
          <w:rFonts w:hint="eastAsia" w:ascii="宋体" w:hAnsi="宋体" w:eastAsia="宋体" w:cs="Times New Roman"/>
          <w:color w:val="auto"/>
          <w:szCs w:val="21"/>
          <w:highlight w:val="none"/>
        </w:rPr>
        <w:t>不予考</w:t>
      </w:r>
      <w:r>
        <w:rPr>
          <w:rFonts w:ascii="宋体" w:hAnsi="宋体" w:eastAsia="宋体" w:cs="Times New Roman"/>
          <w:color w:val="auto"/>
          <w:szCs w:val="21"/>
          <w:highlight w:val="none"/>
        </w:rPr>
        <w:t>虑</w:t>
      </w:r>
      <w:r>
        <w:rPr>
          <w:rFonts w:hint="eastAsia" w:ascii="宋体" w:hAnsi="宋体" w:eastAsia="宋体" w:cs="Times New Roman"/>
          <w:bCs/>
          <w:color w:val="auto"/>
          <w:kern w:val="0"/>
          <w:szCs w:val="21"/>
          <w:highlight w:val="none"/>
        </w:rPr>
        <w:t>。</w:t>
      </w:r>
    </w:p>
    <w:p>
      <w:pPr>
        <w:autoSpaceDE w:val="0"/>
        <w:autoSpaceDN w:val="0"/>
        <w:spacing w:before="120" w:beforeLines="50" w:after="120" w:afterLines="50" w:line="300" w:lineRule="auto"/>
        <w:rPr>
          <w:rFonts w:hint="eastAsia" w:ascii="宋体" w:hAnsi="宋体" w:eastAsia="宋体" w:cs="Times New Roman"/>
          <w:bCs/>
          <w:color w:val="auto"/>
          <w:kern w:val="0"/>
          <w:szCs w:val="21"/>
          <w:highlight w:val="none"/>
        </w:rPr>
      </w:pPr>
    </w:p>
    <w:p>
      <w:pPr>
        <w:autoSpaceDE w:val="0"/>
        <w:autoSpaceDN w:val="0"/>
        <w:spacing w:before="120" w:beforeLines="50" w:after="120" w:afterLines="50" w:line="300" w:lineRule="auto"/>
        <w:rPr>
          <w:rFonts w:hint="eastAsia" w:ascii="宋体" w:hAnsi="宋体" w:eastAsia="宋体" w:cs="Times New Roman"/>
          <w:bCs/>
          <w:color w:val="auto"/>
          <w:kern w:val="0"/>
          <w:sz w:val="24"/>
          <w:highlight w:val="none"/>
        </w:rPr>
      </w:pPr>
    </w:p>
    <w:p>
      <w:pPr>
        <w:rPr>
          <w:rFonts w:ascii="Arial" w:hAnsi="Arial" w:eastAsia="宋体" w:cs="Arial"/>
          <w:color w:val="auto"/>
          <w:highlight w:val="none"/>
          <w:u w:val="single"/>
        </w:rPr>
      </w:pPr>
      <w:r>
        <w:rPr>
          <w:rFonts w:ascii="Arial" w:hAnsi="Arial" w:eastAsia="宋体" w:cs="Arial"/>
          <w:color w:val="auto"/>
          <w:highlight w:val="none"/>
        </w:rPr>
        <w:t>投标人名称：（盖章）</w:t>
      </w:r>
      <w:r>
        <w:rPr>
          <w:rFonts w:ascii="Arial" w:hAnsi="Arial" w:eastAsia="宋体" w:cs="Arial"/>
          <w:color w:val="auto"/>
          <w:highlight w:val="none"/>
          <w:u w:val="single"/>
        </w:rPr>
        <w:t xml:space="preserve">                     </w:t>
      </w:r>
    </w:p>
    <w:p>
      <w:pPr>
        <w:spacing w:line="360" w:lineRule="auto"/>
        <w:ind w:firstLine="120"/>
        <w:jc w:val="center"/>
        <w:rPr>
          <w:rFonts w:ascii="Arial" w:hAnsi="Arial" w:eastAsia="宋体" w:cs="Arial"/>
          <w:b/>
          <w:bCs/>
          <w:color w:val="auto"/>
          <w:highlight w:val="none"/>
        </w:rPr>
      </w:pPr>
    </w:p>
    <w:p>
      <w:pPr>
        <w:widowControl w:val="0"/>
        <w:tabs>
          <w:tab w:val="left" w:pos="3075"/>
        </w:tabs>
        <w:spacing w:after="120" w:line="300" w:lineRule="auto"/>
        <w:jc w:val="both"/>
        <w:rPr>
          <w:rFonts w:hint="eastAsia" w:ascii="Arial" w:hAnsi="Arial" w:eastAsia="宋体" w:cs="Arial"/>
          <w:color w:val="auto"/>
          <w:kern w:val="2"/>
          <w:sz w:val="21"/>
          <w:szCs w:val="24"/>
          <w:highlight w:val="none"/>
          <w:lang w:val="en-US" w:eastAsia="zh-CN" w:bidi="ar-SA"/>
        </w:rPr>
      </w:pPr>
      <w:r>
        <w:rPr>
          <w:rFonts w:hint="eastAsia" w:ascii="Arial" w:hAnsi="Arial" w:eastAsia="宋体" w:cs="Arial"/>
          <w:color w:val="auto"/>
          <w:kern w:val="2"/>
          <w:sz w:val="21"/>
          <w:szCs w:val="24"/>
          <w:highlight w:val="none"/>
          <w:lang w:val="en-US" w:eastAsia="zh-CN" w:bidi="ar-SA"/>
        </w:rPr>
        <w:t>法定代表人或投标人授权代表</w:t>
      </w:r>
      <w:r>
        <w:rPr>
          <w:rFonts w:ascii="Arial" w:hAnsi="Arial" w:eastAsia="宋体" w:cs="Arial"/>
          <w:color w:val="auto"/>
          <w:kern w:val="2"/>
          <w:sz w:val="21"/>
          <w:szCs w:val="24"/>
          <w:highlight w:val="none"/>
          <w:lang w:val="en-US" w:eastAsia="zh-CN" w:bidi="ar-SA"/>
        </w:rPr>
        <w:t>签字：</w:t>
      </w:r>
      <w:r>
        <w:rPr>
          <w:rFonts w:ascii="Arial" w:hAnsi="Arial" w:eastAsia="宋体" w:cs="Arial"/>
          <w:color w:val="auto"/>
          <w:kern w:val="2"/>
          <w:sz w:val="21"/>
          <w:szCs w:val="24"/>
          <w:highlight w:val="none"/>
          <w:u w:val="single"/>
          <w:lang w:val="en-US" w:eastAsia="zh-CN" w:bidi="ar-SA"/>
        </w:rPr>
        <w:t xml:space="preserve">                  </w:t>
      </w:r>
      <w:r>
        <w:rPr>
          <w:rFonts w:hint="eastAsia" w:ascii="Arial" w:hAnsi="Arial" w:eastAsia="宋体" w:cs="Arial"/>
          <w:color w:val="auto"/>
          <w:kern w:val="2"/>
          <w:sz w:val="21"/>
          <w:szCs w:val="24"/>
          <w:highlight w:val="none"/>
          <w:u w:val="single"/>
          <w:lang w:val="en-US" w:eastAsia="zh-CN" w:bidi="ar-SA"/>
        </w:rPr>
        <w:t xml:space="preserve"> </w:t>
      </w:r>
      <w:r>
        <w:rPr>
          <w:rFonts w:ascii="Arial" w:hAnsi="Arial" w:eastAsia="宋体" w:cs="Arial"/>
          <w:color w:val="auto"/>
          <w:kern w:val="2"/>
          <w:sz w:val="21"/>
          <w:szCs w:val="24"/>
          <w:highlight w:val="none"/>
          <w:u w:val="single"/>
          <w:lang w:val="en-US" w:eastAsia="zh-CN" w:bidi="ar-SA"/>
        </w:rPr>
        <w:t xml:space="preserve">     </w:t>
      </w:r>
      <w:r>
        <w:rPr>
          <w:rFonts w:ascii="Arial" w:hAnsi="Arial" w:eastAsia="宋体" w:cs="Arial"/>
          <w:color w:val="auto"/>
          <w:kern w:val="2"/>
          <w:sz w:val="21"/>
          <w:szCs w:val="24"/>
          <w:highlight w:val="none"/>
          <w:lang w:val="en-US" w:eastAsia="zh-CN" w:bidi="ar-SA"/>
        </w:rPr>
        <w:t xml:space="preserve">        </w:t>
      </w:r>
      <w:r>
        <w:rPr>
          <w:rFonts w:hint="eastAsia" w:ascii="Arial" w:hAnsi="Arial" w:eastAsia="宋体" w:cs="Arial"/>
          <w:color w:val="auto"/>
          <w:kern w:val="2"/>
          <w:sz w:val="21"/>
          <w:szCs w:val="24"/>
          <w:highlight w:val="none"/>
          <w:lang w:val="en-US" w:eastAsia="zh-CN" w:bidi="ar-SA"/>
        </w:rPr>
        <w:t xml:space="preserve">           </w:t>
      </w:r>
    </w:p>
    <w:p>
      <w:pPr>
        <w:widowControl w:val="0"/>
        <w:tabs>
          <w:tab w:val="left" w:pos="3075"/>
        </w:tabs>
        <w:spacing w:after="120" w:line="300" w:lineRule="auto"/>
        <w:jc w:val="both"/>
        <w:rPr>
          <w:rFonts w:hint="eastAsia" w:ascii="Arial" w:hAnsi="Arial" w:eastAsia="宋体" w:cs="Arial"/>
          <w:color w:val="auto"/>
          <w:kern w:val="2"/>
          <w:sz w:val="21"/>
          <w:szCs w:val="24"/>
          <w:highlight w:val="none"/>
          <w:lang w:val="en-US" w:eastAsia="zh-CN" w:bidi="ar-SA"/>
        </w:rPr>
      </w:pPr>
    </w:p>
    <w:p>
      <w:pPr>
        <w:widowControl w:val="0"/>
        <w:tabs>
          <w:tab w:val="left" w:pos="3075"/>
        </w:tabs>
        <w:spacing w:after="120" w:line="300" w:lineRule="auto"/>
        <w:jc w:val="both"/>
        <w:rPr>
          <w:rFonts w:ascii="Arial" w:hAnsi="Arial" w:eastAsia="宋体" w:cs="Arial"/>
          <w:color w:val="auto"/>
          <w:kern w:val="2"/>
          <w:sz w:val="21"/>
          <w:szCs w:val="24"/>
          <w:highlight w:val="none"/>
          <w:lang w:val="en-US" w:eastAsia="zh-CN" w:bidi="ar-SA"/>
        </w:rPr>
      </w:pPr>
      <w:r>
        <w:rPr>
          <w:rFonts w:ascii="Arial" w:hAnsi="Arial" w:eastAsia="宋体" w:cs="Arial"/>
          <w:color w:val="auto"/>
          <w:kern w:val="2"/>
          <w:sz w:val="21"/>
          <w:szCs w:val="24"/>
          <w:highlight w:val="none"/>
          <w:lang w:val="en-US" w:eastAsia="zh-CN" w:bidi="ar-SA"/>
        </w:rPr>
        <w:t>日期：</w:t>
      </w:r>
      <w:r>
        <w:rPr>
          <w:rFonts w:ascii="Arial" w:hAnsi="Arial" w:eastAsia="宋体" w:cs="Arial"/>
          <w:color w:val="auto"/>
          <w:kern w:val="2"/>
          <w:sz w:val="21"/>
          <w:szCs w:val="24"/>
          <w:highlight w:val="none"/>
          <w:u w:val="single"/>
          <w:lang w:val="en-US" w:eastAsia="zh-CN" w:bidi="ar-SA"/>
        </w:rPr>
        <w:t xml:space="preserve">             </w:t>
      </w:r>
    </w:p>
    <w:p>
      <w:pPr>
        <w:keepNext/>
        <w:keepLines/>
        <w:widowControl w:val="0"/>
        <w:snapToGrid w:val="0"/>
        <w:spacing w:before="120" w:after="120" w:line="360" w:lineRule="auto"/>
        <w:jc w:val="both"/>
        <w:outlineLvl w:val="1"/>
        <w:rPr>
          <w:rFonts w:hint="eastAsia" w:ascii="Arial" w:hAnsi="Arial" w:eastAsia="黑体" w:cs="Arial"/>
          <w:b/>
          <w:bCs w:val="0"/>
          <w:kern w:val="2"/>
          <w:sz w:val="32"/>
          <w:szCs w:val="32"/>
          <w:highlight w:val="none"/>
          <w:lang w:val="en-US" w:eastAsia="zh-CN" w:bidi="ar-SA"/>
        </w:rPr>
      </w:pPr>
      <w:r>
        <w:rPr>
          <w:rFonts w:ascii="Arial" w:hAnsi="Arial" w:eastAsia="黑体" w:cs="Times New Roman"/>
          <w:b/>
          <w:bCs/>
          <w:kern w:val="2"/>
          <w:sz w:val="32"/>
          <w:szCs w:val="32"/>
          <w:highlight w:val="none"/>
          <w:lang w:val="en-US" w:eastAsia="zh-CN" w:bidi="ar-SA"/>
        </w:rPr>
        <w:br w:type="page"/>
      </w:r>
      <w:bookmarkStart w:id="1098" w:name="_Toc22804"/>
      <w:bookmarkStart w:id="1099" w:name="_Toc485936400"/>
      <w:bookmarkStart w:id="1100" w:name="_Toc431964669"/>
      <w:bookmarkStart w:id="1101" w:name="_Toc22803"/>
      <w:r>
        <w:rPr>
          <w:rFonts w:hint="eastAsia" w:ascii="Arial" w:hAnsi="Arial" w:eastAsia="黑体" w:cs="Arial"/>
          <w:b/>
          <w:bCs w:val="0"/>
          <w:kern w:val="2"/>
          <w:sz w:val="32"/>
          <w:szCs w:val="32"/>
          <w:highlight w:val="none"/>
          <w:lang w:val="en-US" w:eastAsia="zh-CN" w:bidi="ar-SA"/>
        </w:rPr>
        <w:t>（三）拟投入设备、工具情况（如有）</w:t>
      </w:r>
      <w:bookmarkEnd w:id="1098"/>
      <w:bookmarkEnd w:id="1099"/>
      <w:bookmarkEnd w:id="1100"/>
      <w:bookmarkEnd w:id="1101"/>
    </w:p>
    <w:p>
      <w:pPr>
        <w:adjustRightInd w:val="0"/>
        <w:snapToGrid w:val="0"/>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项</w:t>
      </w:r>
      <w:r>
        <w:rPr>
          <w:rFonts w:hint="eastAsia" w:ascii="宋体" w:hAnsi="宋体" w:eastAsia="宋体" w:cs="Times New Roman"/>
          <w:color w:val="auto"/>
          <w:szCs w:val="21"/>
          <w:highlight w:val="none"/>
        </w:rPr>
        <w:t>目名</w:t>
      </w:r>
      <w:r>
        <w:rPr>
          <w:rFonts w:ascii="宋体" w:hAnsi="宋体" w:eastAsia="宋体" w:cs="Times New Roman"/>
          <w:color w:val="auto"/>
          <w:szCs w:val="21"/>
          <w:highlight w:val="none"/>
        </w:rPr>
        <w:t>称</w:t>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项</w:t>
      </w:r>
      <w:r>
        <w:rPr>
          <w:rFonts w:hint="eastAsia" w:ascii="宋体" w:hAnsi="宋体" w:eastAsia="宋体" w:cs="Times New Roman"/>
          <w:color w:val="auto"/>
          <w:szCs w:val="21"/>
          <w:highlight w:val="none"/>
        </w:rPr>
        <w:t>目</w:t>
      </w:r>
      <w:r>
        <w:rPr>
          <w:rFonts w:ascii="宋体" w:hAnsi="宋体" w:eastAsia="宋体" w:cs="Times New Roman"/>
          <w:color w:val="auto"/>
          <w:szCs w:val="21"/>
          <w:highlight w:val="none"/>
        </w:rPr>
        <w:t>编号</w:t>
      </w:r>
      <w:r>
        <w:rPr>
          <w:rFonts w:hint="eastAsia"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lang w:val="en-US" w:eastAsia="zh-CN"/>
        </w:rPr>
        <w:t xml:space="preserve"> </w:t>
      </w:r>
      <w:r>
        <w:rPr>
          <w:rFonts w:hint="eastAsia" w:ascii="Arial" w:hAnsi="Arial" w:eastAsia="宋体" w:cs="Arial"/>
          <w:szCs w:val="21"/>
          <w:highlight w:val="none"/>
        </w:rPr>
        <w:t xml:space="preserve"> </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515"/>
        <w:gridCol w:w="1299"/>
        <w:gridCol w:w="1156"/>
        <w:gridCol w:w="1301"/>
        <w:gridCol w:w="1446"/>
        <w:gridCol w:w="1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eastAsia="宋体" w:cs="Times New Roman"/>
                <w:szCs w:val="21"/>
                <w:highlight w:val="none"/>
              </w:rPr>
            </w:pPr>
            <w:r>
              <w:rPr>
                <w:rFonts w:ascii="宋体" w:hAnsi="宋体" w:eastAsia="宋体" w:cs="Times New Roman"/>
                <w:szCs w:val="21"/>
                <w:highlight w:val="none"/>
              </w:rPr>
              <w:t>序号</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eastAsia="宋体" w:cs="Times New Roman"/>
                <w:szCs w:val="21"/>
                <w:highlight w:val="none"/>
              </w:rPr>
            </w:pPr>
            <w:r>
              <w:rPr>
                <w:rFonts w:hint="eastAsia" w:ascii="宋体" w:hAnsi="宋体" w:eastAsia="宋体" w:cs="Times New Roman"/>
                <w:szCs w:val="21"/>
                <w:highlight w:val="none"/>
              </w:rPr>
              <w:t>名</w:t>
            </w:r>
            <w:r>
              <w:rPr>
                <w:rFonts w:ascii="宋体" w:hAnsi="宋体" w:eastAsia="宋体" w:cs="Times New Roman"/>
                <w:szCs w:val="21"/>
                <w:highlight w:val="none"/>
              </w:rPr>
              <w:t xml:space="preserve">  称</w:t>
            </w: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eastAsia="宋体" w:cs="Times New Roman"/>
                <w:szCs w:val="21"/>
                <w:highlight w:val="none"/>
              </w:rPr>
            </w:pPr>
            <w:r>
              <w:rPr>
                <w:rFonts w:ascii="宋体" w:hAnsi="宋体" w:eastAsia="宋体" w:cs="Times New Roman"/>
                <w:szCs w:val="21"/>
                <w:highlight w:val="none"/>
              </w:rPr>
              <w:t>规</w:t>
            </w:r>
            <w:r>
              <w:rPr>
                <w:rFonts w:hint="eastAsia" w:ascii="宋体" w:hAnsi="宋体" w:eastAsia="宋体" w:cs="Times New Roman"/>
                <w:szCs w:val="21"/>
                <w:highlight w:val="none"/>
              </w:rPr>
              <w:t>格型</w:t>
            </w:r>
            <w:r>
              <w:rPr>
                <w:rFonts w:ascii="宋体" w:hAnsi="宋体" w:eastAsia="宋体" w:cs="Times New Roman"/>
                <w:szCs w:val="21"/>
                <w:highlight w:val="none"/>
              </w:rPr>
              <w:t>号</w:t>
            </w: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eastAsia="宋体" w:cs="Times New Roman"/>
                <w:szCs w:val="21"/>
                <w:highlight w:val="none"/>
              </w:rPr>
            </w:pPr>
            <w:r>
              <w:rPr>
                <w:rFonts w:ascii="宋体" w:hAnsi="宋体" w:eastAsia="宋体" w:cs="Times New Roman"/>
                <w:szCs w:val="21"/>
                <w:highlight w:val="none"/>
              </w:rPr>
              <w:t xml:space="preserve">单 </w:t>
            </w:r>
            <w:r>
              <w:rPr>
                <w:rFonts w:hint="eastAsia" w:ascii="宋体" w:hAnsi="宋体" w:eastAsia="宋体" w:cs="Times New Roman"/>
                <w:szCs w:val="21"/>
                <w:highlight w:val="none"/>
              </w:rPr>
              <w:t>位</w:t>
            </w: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eastAsia="宋体" w:cs="Times New Roman"/>
                <w:szCs w:val="21"/>
                <w:highlight w:val="none"/>
              </w:rPr>
            </w:pPr>
            <w:r>
              <w:rPr>
                <w:rFonts w:ascii="宋体" w:hAnsi="宋体" w:eastAsia="宋体" w:cs="Times New Roman"/>
                <w:szCs w:val="21"/>
                <w:highlight w:val="none"/>
              </w:rPr>
              <w:t xml:space="preserve">数 </w:t>
            </w:r>
            <w:r>
              <w:rPr>
                <w:rFonts w:hint="eastAsia" w:ascii="宋体" w:hAnsi="宋体" w:eastAsia="宋体" w:cs="Times New Roman"/>
                <w:szCs w:val="21"/>
                <w:highlight w:val="none"/>
              </w:rPr>
              <w:t>量</w:t>
            </w:r>
          </w:p>
        </w:tc>
        <w:tc>
          <w:tcPr>
            <w:tcW w:w="144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eastAsia="宋体" w:cs="Times New Roman"/>
                <w:szCs w:val="21"/>
                <w:highlight w:val="none"/>
              </w:rPr>
            </w:pPr>
            <w:r>
              <w:rPr>
                <w:rFonts w:ascii="宋体" w:hAnsi="宋体" w:eastAsia="宋体" w:cs="Times New Roman"/>
                <w:szCs w:val="21"/>
                <w:highlight w:val="none"/>
              </w:rPr>
              <w:t>国别/</w:t>
            </w:r>
            <w:r>
              <w:rPr>
                <w:rFonts w:hint="eastAsia" w:ascii="宋体" w:hAnsi="宋体" w:eastAsia="宋体" w:cs="Times New Roman"/>
                <w:szCs w:val="21"/>
                <w:highlight w:val="none"/>
              </w:rPr>
              <w:t>生</w:t>
            </w:r>
            <w:r>
              <w:rPr>
                <w:rFonts w:ascii="宋体" w:hAnsi="宋体" w:eastAsia="宋体" w:cs="Times New Roman"/>
                <w:szCs w:val="21"/>
                <w:highlight w:val="none"/>
              </w:rPr>
              <w:t>产</w:t>
            </w:r>
            <w:r>
              <w:rPr>
                <w:rFonts w:hint="eastAsia" w:ascii="宋体" w:hAnsi="宋体" w:eastAsia="宋体" w:cs="Times New Roman"/>
                <w:szCs w:val="21"/>
                <w:highlight w:val="none"/>
              </w:rPr>
              <w:t>企</w:t>
            </w:r>
            <w:r>
              <w:rPr>
                <w:rFonts w:ascii="宋体" w:hAnsi="宋体" w:eastAsia="宋体" w:cs="Times New Roman"/>
                <w:szCs w:val="21"/>
                <w:highlight w:val="none"/>
              </w:rPr>
              <w:t>业</w:t>
            </w:r>
          </w:p>
        </w:tc>
        <w:tc>
          <w:tcPr>
            <w:tcW w:w="1433"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eastAsia="宋体" w:cs="Times New Roman"/>
                <w:szCs w:val="21"/>
                <w:highlight w:val="none"/>
              </w:rPr>
            </w:pPr>
            <w:r>
              <w:rPr>
                <w:rFonts w:ascii="宋体" w:hAnsi="宋体" w:eastAsia="宋体" w:cs="Times New Roman"/>
                <w:szCs w:val="21"/>
                <w:highlight w:val="none"/>
              </w:rPr>
              <w:t xml:space="preserve">备  </w:t>
            </w:r>
            <w:r>
              <w:rPr>
                <w:rFonts w:hint="eastAsia" w:ascii="宋体" w:hAnsi="宋体" w:eastAsia="宋体" w:cs="Times New Roman"/>
                <w:szCs w:val="21"/>
                <w:highlight w:val="none"/>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eastAsia="宋体" w:cs="Times New Roman"/>
                <w:szCs w:val="21"/>
                <w:highlight w:val="none"/>
              </w:rPr>
            </w:pPr>
            <w:r>
              <w:rPr>
                <w:rFonts w:ascii="宋体" w:hAnsi="宋体" w:eastAsia="宋体" w:cs="Times New Roman"/>
                <w:szCs w:val="21"/>
                <w:highlight w:val="none"/>
              </w:rPr>
              <w:t>1</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446"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eastAsia="宋体" w:cs="Times New Roman"/>
                <w:szCs w:val="21"/>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eastAsia="宋体" w:cs="Times New Roman"/>
                <w:szCs w:val="21"/>
                <w:highlight w:val="none"/>
              </w:rPr>
            </w:pPr>
            <w:r>
              <w:rPr>
                <w:rFonts w:ascii="宋体" w:hAnsi="宋体" w:eastAsia="宋体" w:cs="Times New Roman"/>
                <w:szCs w:val="21"/>
                <w:highlight w:val="none"/>
              </w:rPr>
              <w:t>2</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446"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eastAsia="宋体" w:cs="Times New Roman"/>
                <w:szCs w:val="21"/>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eastAsia="宋体" w:cs="Times New Roman"/>
                <w:szCs w:val="21"/>
                <w:highlight w:val="none"/>
              </w:rPr>
            </w:pPr>
            <w:r>
              <w:rPr>
                <w:rFonts w:ascii="宋体" w:hAnsi="宋体" w:eastAsia="宋体" w:cs="Times New Roman"/>
                <w:szCs w:val="21"/>
                <w:highlight w:val="none"/>
              </w:rPr>
              <w:t>3</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446"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eastAsia="宋体" w:cs="Times New Roman"/>
                <w:szCs w:val="21"/>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eastAsia="宋体" w:cs="Times New Roman"/>
                <w:szCs w:val="21"/>
                <w:highlight w:val="none"/>
              </w:rPr>
            </w:pPr>
            <w:r>
              <w:rPr>
                <w:rFonts w:ascii="宋体" w:hAnsi="宋体" w:eastAsia="宋体" w:cs="Times New Roman"/>
                <w:szCs w:val="21"/>
                <w:highlight w:val="none"/>
              </w:rPr>
              <w:t>4</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446"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eastAsia="宋体" w:cs="Times New Roman"/>
                <w:szCs w:val="21"/>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eastAsia="宋体" w:cs="Times New Roman"/>
                <w:szCs w:val="21"/>
                <w:highlight w:val="none"/>
              </w:rPr>
            </w:pPr>
            <w:r>
              <w:rPr>
                <w:rFonts w:ascii="宋体" w:hAnsi="宋体" w:eastAsia="宋体" w:cs="Times New Roman"/>
                <w:szCs w:val="21"/>
                <w:highlight w:val="none"/>
              </w:rPr>
              <w:t>5</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446"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eastAsia="宋体" w:cs="Times New Roman"/>
                <w:szCs w:val="21"/>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eastAsia="宋体"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eastAsia="宋体" w:cs="Times New Roman"/>
                <w:szCs w:val="21"/>
                <w:highlight w:val="none"/>
              </w:rPr>
            </w:pPr>
            <w:r>
              <w:rPr>
                <w:rFonts w:ascii="宋体" w:hAnsi="宋体" w:eastAsia="宋体" w:cs="Times New Roman"/>
                <w:szCs w:val="21"/>
                <w:highlight w:val="none"/>
              </w:rPr>
              <w:t>…</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eastAsia="宋体" w:cs="Times New Roman"/>
                <w:szCs w:val="21"/>
                <w:highlight w:val="none"/>
              </w:rPr>
            </w:pPr>
          </w:p>
        </w:tc>
        <w:tc>
          <w:tcPr>
            <w:tcW w:w="1446"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eastAsia="宋体" w:cs="Times New Roman"/>
                <w:szCs w:val="21"/>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eastAsia="宋体" w:cs="Times New Roman"/>
                <w:szCs w:val="21"/>
                <w:highlight w:val="none"/>
              </w:rPr>
            </w:pPr>
          </w:p>
        </w:tc>
      </w:tr>
    </w:tbl>
    <w:p>
      <w:pPr>
        <w:autoSpaceDE w:val="0"/>
        <w:autoSpaceDN w:val="0"/>
        <w:spacing w:before="120" w:beforeLines="50" w:after="120" w:afterLines="50" w:line="300" w:lineRule="auto"/>
        <w:ind w:left="420" w:hanging="420" w:hangingChars="200"/>
        <w:rPr>
          <w:rFonts w:hint="eastAsia" w:ascii="宋体" w:hAnsi="宋体" w:eastAsia="宋体" w:cs="Times New Roman"/>
          <w:bCs/>
          <w:kern w:val="0"/>
          <w:szCs w:val="21"/>
          <w:highlight w:val="none"/>
        </w:rPr>
      </w:pPr>
      <w:r>
        <w:rPr>
          <w:rFonts w:hint="eastAsia" w:ascii="宋体" w:hAnsi="宋体" w:eastAsia="宋体" w:cs="Times New Roman"/>
          <w:bCs/>
          <w:kern w:val="0"/>
          <w:szCs w:val="21"/>
          <w:highlight w:val="none"/>
        </w:rPr>
        <w:t>注：投标人</w:t>
      </w:r>
      <w:r>
        <w:rPr>
          <w:rFonts w:ascii="宋体" w:hAnsi="宋体" w:eastAsia="宋体" w:cs="Times New Roman"/>
          <w:bCs/>
          <w:kern w:val="0"/>
          <w:szCs w:val="21"/>
          <w:highlight w:val="none"/>
        </w:rPr>
        <w:t>为</w:t>
      </w:r>
      <w:r>
        <w:rPr>
          <w:rFonts w:hint="eastAsia" w:ascii="宋体" w:hAnsi="宋体" w:eastAsia="宋体" w:cs="Times New Roman"/>
          <w:bCs/>
          <w:kern w:val="0"/>
          <w:szCs w:val="21"/>
          <w:highlight w:val="none"/>
        </w:rPr>
        <w:t>本</w:t>
      </w:r>
      <w:r>
        <w:rPr>
          <w:rFonts w:ascii="宋体" w:hAnsi="宋体" w:eastAsia="宋体" w:cs="Times New Roman"/>
          <w:bCs/>
          <w:kern w:val="0"/>
          <w:szCs w:val="21"/>
          <w:highlight w:val="none"/>
        </w:rPr>
        <w:t>项目拟</w:t>
      </w:r>
      <w:r>
        <w:rPr>
          <w:rFonts w:hint="eastAsia" w:ascii="宋体" w:hAnsi="宋体" w:eastAsia="宋体" w:cs="Times New Roman"/>
          <w:bCs/>
          <w:kern w:val="0"/>
          <w:szCs w:val="21"/>
          <w:highlight w:val="none"/>
        </w:rPr>
        <w:t>配置的主要</w:t>
      </w:r>
      <w:r>
        <w:rPr>
          <w:rFonts w:ascii="宋体" w:hAnsi="宋体" w:eastAsia="宋体" w:cs="Times New Roman"/>
          <w:bCs/>
          <w:kern w:val="0"/>
          <w:szCs w:val="21"/>
          <w:highlight w:val="none"/>
        </w:rPr>
        <w:t>设备、</w:t>
      </w:r>
      <w:r>
        <w:rPr>
          <w:rFonts w:hint="eastAsia" w:ascii="宋体" w:hAnsi="宋体" w:eastAsia="宋体" w:cs="Times New Roman"/>
          <w:bCs/>
          <w:kern w:val="0"/>
          <w:szCs w:val="21"/>
          <w:highlight w:val="none"/>
        </w:rPr>
        <w:t>工具、材料</w:t>
      </w:r>
      <w:r>
        <w:rPr>
          <w:rFonts w:ascii="宋体" w:hAnsi="宋体" w:eastAsia="宋体" w:cs="Times New Roman"/>
          <w:bCs/>
          <w:kern w:val="0"/>
          <w:szCs w:val="21"/>
          <w:highlight w:val="none"/>
        </w:rPr>
        <w:t>请对</w:t>
      </w:r>
      <w:r>
        <w:rPr>
          <w:rFonts w:hint="eastAsia" w:ascii="宋体" w:hAnsi="宋体" w:eastAsia="宋体" w:cs="Times New Roman"/>
          <w:bCs/>
          <w:kern w:val="0"/>
          <w:szCs w:val="21"/>
          <w:highlight w:val="none"/>
        </w:rPr>
        <w:t>照招</w:t>
      </w:r>
      <w:r>
        <w:rPr>
          <w:rFonts w:ascii="宋体" w:hAnsi="宋体" w:eastAsia="宋体" w:cs="Times New Roman"/>
          <w:bCs/>
          <w:kern w:val="0"/>
          <w:szCs w:val="21"/>
          <w:highlight w:val="none"/>
        </w:rPr>
        <w:t>标</w:t>
      </w:r>
      <w:r>
        <w:rPr>
          <w:rFonts w:hint="eastAsia" w:ascii="宋体" w:hAnsi="宋体" w:eastAsia="宋体" w:cs="Times New Roman"/>
          <w:bCs/>
          <w:kern w:val="0"/>
          <w:szCs w:val="21"/>
          <w:highlight w:val="none"/>
        </w:rPr>
        <w:t>文件第三章</w:t>
      </w:r>
      <w:r>
        <w:rPr>
          <w:rFonts w:ascii="宋体" w:hAnsi="宋体" w:eastAsia="宋体" w:cs="Times New Roman"/>
          <w:bCs/>
          <w:kern w:val="0"/>
          <w:szCs w:val="21"/>
          <w:highlight w:val="none"/>
        </w:rPr>
        <w:t>项目</w:t>
      </w:r>
      <w:r>
        <w:rPr>
          <w:rFonts w:hint="eastAsia" w:ascii="宋体" w:hAnsi="宋体" w:eastAsia="宋体" w:cs="Times New Roman"/>
          <w:bCs/>
          <w:kern w:val="0"/>
          <w:szCs w:val="21"/>
          <w:highlight w:val="none"/>
        </w:rPr>
        <w:t>采</w:t>
      </w:r>
      <w:r>
        <w:rPr>
          <w:rFonts w:ascii="宋体" w:hAnsi="宋体" w:eastAsia="宋体" w:cs="Times New Roman"/>
          <w:bCs/>
          <w:kern w:val="0"/>
          <w:szCs w:val="21"/>
          <w:highlight w:val="none"/>
        </w:rPr>
        <w:t>购</w:t>
      </w:r>
      <w:r>
        <w:rPr>
          <w:rFonts w:hint="eastAsia" w:ascii="宋体" w:hAnsi="宋体" w:eastAsia="宋体" w:cs="Times New Roman"/>
          <w:bCs/>
          <w:kern w:val="0"/>
          <w:szCs w:val="21"/>
          <w:highlight w:val="none"/>
        </w:rPr>
        <w:t>需求中技</w:t>
      </w:r>
      <w:r>
        <w:rPr>
          <w:rFonts w:ascii="宋体" w:hAnsi="宋体" w:eastAsia="宋体" w:cs="Times New Roman"/>
          <w:bCs/>
          <w:kern w:val="0"/>
          <w:szCs w:val="21"/>
          <w:highlight w:val="none"/>
        </w:rPr>
        <w:t>术</w:t>
      </w:r>
      <w:r>
        <w:rPr>
          <w:rFonts w:hint="eastAsia" w:ascii="宋体" w:hAnsi="宋体" w:eastAsia="宋体" w:cs="Times New Roman"/>
          <w:bCs/>
          <w:kern w:val="0"/>
          <w:szCs w:val="21"/>
          <w:highlight w:val="none"/>
        </w:rPr>
        <w:t>要求的</w:t>
      </w:r>
      <w:r>
        <w:rPr>
          <w:rFonts w:ascii="宋体" w:hAnsi="宋体" w:eastAsia="宋体" w:cs="Times New Roman"/>
          <w:bCs/>
          <w:kern w:val="0"/>
          <w:szCs w:val="21"/>
          <w:highlight w:val="none"/>
        </w:rPr>
        <w:t>内</w:t>
      </w:r>
      <w:r>
        <w:rPr>
          <w:rFonts w:hint="eastAsia" w:ascii="宋体" w:hAnsi="宋体" w:eastAsia="宋体" w:cs="Times New Roman"/>
          <w:bCs/>
          <w:kern w:val="0"/>
          <w:szCs w:val="21"/>
          <w:highlight w:val="none"/>
        </w:rPr>
        <w:t>容</w:t>
      </w:r>
      <w:r>
        <w:rPr>
          <w:rFonts w:ascii="宋体" w:hAnsi="宋体" w:eastAsia="宋体" w:cs="Times New Roman"/>
          <w:bCs/>
          <w:kern w:val="0"/>
          <w:szCs w:val="21"/>
          <w:highlight w:val="none"/>
        </w:rPr>
        <w:t>详细说</w:t>
      </w:r>
      <w:r>
        <w:rPr>
          <w:rFonts w:hint="eastAsia" w:ascii="宋体" w:hAnsi="宋体" w:eastAsia="宋体" w:cs="Times New Roman"/>
          <w:bCs/>
          <w:kern w:val="0"/>
          <w:szCs w:val="21"/>
          <w:highlight w:val="none"/>
        </w:rPr>
        <w:t>明</w:t>
      </w:r>
    </w:p>
    <w:p>
      <w:pPr>
        <w:autoSpaceDE w:val="0"/>
        <w:autoSpaceDN w:val="0"/>
        <w:spacing w:before="120" w:beforeLines="50" w:after="120" w:afterLines="50" w:line="300" w:lineRule="auto"/>
        <w:rPr>
          <w:rFonts w:hint="eastAsia" w:ascii="宋体" w:hAnsi="宋体" w:eastAsia="宋体" w:cs="Times New Roman"/>
          <w:bCs/>
          <w:kern w:val="0"/>
          <w:sz w:val="24"/>
          <w:highlight w:val="none"/>
        </w:rPr>
      </w:pPr>
    </w:p>
    <w:p>
      <w:pPr>
        <w:rPr>
          <w:rFonts w:ascii="Arial" w:hAnsi="Arial" w:eastAsia="宋体" w:cs="Arial"/>
          <w:highlight w:val="none"/>
          <w:u w:val="single"/>
        </w:rPr>
      </w:pPr>
      <w:r>
        <w:rPr>
          <w:rFonts w:ascii="Arial" w:hAnsi="Arial" w:eastAsia="宋体" w:cs="Arial"/>
          <w:highlight w:val="none"/>
        </w:rPr>
        <w:t>投标人名称：（盖章）</w:t>
      </w:r>
      <w:r>
        <w:rPr>
          <w:rFonts w:ascii="Arial" w:hAnsi="Arial" w:eastAsia="宋体" w:cs="Arial"/>
          <w:highlight w:val="none"/>
          <w:u w:val="single"/>
        </w:rPr>
        <w:t xml:space="preserve">                     </w:t>
      </w:r>
    </w:p>
    <w:p>
      <w:pPr>
        <w:spacing w:line="360" w:lineRule="auto"/>
        <w:ind w:firstLine="120"/>
        <w:jc w:val="center"/>
        <w:rPr>
          <w:rFonts w:ascii="Arial" w:hAnsi="Arial" w:eastAsia="宋体" w:cs="Arial"/>
          <w:b/>
          <w:bCs/>
          <w:highlight w:val="none"/>
        </w:rPr>
      </w:pPr>
    </w:p>
    <w:p>
      <w:pPr>
        <w:tabs>
          <w:tab w:val="left" w:pos="3075"/>
        </w:tabs>
        <w:spacing w:line="300" w:lineRule="auto"/>
        <w:rPr>
          <w:rFonts w:ascii="Arial" w:hAnsi="Arial" w:eastAsia="宋体" w:cs="Arial"/>
          <w:sz w:val="24"/>
          <w:highlight w:val="none"/>
        </w:rPr>
      </w:pPr>
      <w:r>
        <w:rPr>
          <w:rFonts w:ascii="Arial" w:hAnsi="Arial" w:eastAsia="宋体" w:cs="Arial"/>
          <w:highlight w:val="none"/>
        </w:rPr>
        <w:t>投标人授权代表签字：</w:t>
      </w:r>
      <w:r>
        <w:rPr>
          <w:rFonts w:ascii="Arial" w:hAnsi="Arial" w:eastAsia="宋体" w:cs="Arial"/>
          <w:highlight w:val="none"/>
          <w:u w:val="single"/>
        </w:rPr>
        <w:t xml:space="preserve">                  </w:t>
      </w:r>
      <w:r>
        <w:rPr>
          <w:rFonts w:hint="eastAsia" w:ascii="Arial" w:hAnsi="Arial" w:eastAsia="宋体" w:cs="Arial"/>
          <w:highlight w:val="none"/>
          <w:u w:val="single"/>
        </w:rPr>
        <w:t xml:space="preserve"> </w:t>
      </w:r>
      <w:r>
        <w:rPr>
          <w:rFonts w:ascii="Arial" w:hAnsi="Arial" w:eastAsia="宋体" w:cs="Arial"/>
          <w:highlight w:val="none"/>
          <w:u w:val="single"/>
        </w:rPr>
        <w:t xml:space="preserve">     </w:t>
      </w:r>
      <w:r>
        <w:rPr>
          <w:rFonts w:ascii="Arial" w:hAnsi="Arial" w:eastAsia="宋体" w:cs="Arial"/>
          <w:highlight w:val="none"/>
        </w:rPr>
        <w:t xml:space="preserve">        </w:t>
      </w:r>
      <w:r>
        <w:rPr>
          <w:rFonts w:hint="eastAsia" w:ascii="Arial" w:hAnsi="Arial" w:eastAsia="宋体" w:cs="Arial"/>
          <w:highlight w:val="none"/>
        </w:rPr>
        <w:t xml:space="preserve">           </w:t>
      </w:r>
      <w:r>
        <w:rPr>
          <w:rFonts w:ascii="Arial" w:hAnsi="Arial" w:eastAsia="宋体" w:cs="Arial"/>
          <w:highlight w:val="none"/>
        </w:rPr>
        <w:t>日期：</w:t>
      </w:r>
      <w:r>
        <w:rPr>
          <w:rFonts w:ascii="Arial" w:hAnsi="Arial" w:eastAsia="宋体" w:cs="Arial"/>
          <w:highlight w:val="none"/>
          <w:u w:val="single"/>
        </w:rPr>
        <w:t xml:space="preserve">             </w:t>
      </w:r>
    </w:p>
    <w:p>
      <w:pPr>
        <w:tabs>
          <w:tab w:val="left" w:pos="3075"/>
        </w:tabs>
        <w:spacing w:line="300" w:lineRule="auto"/>
        <w:jc w:val="center"/>
        <w:rPr>
          <w:rFonts w:ascii="Arial" w:hAnsi="Arial" w:eastAsia="宋体" w:cs="Arial"/>
          <w:sz w:val="24"/>
          <w:highlight w:val="none"/>
        </w:rPr>
      </w:pPr>
    </w:p>
    <w:p>
      <w:pPr>
        <w:spacing w:line="360" w:lineRule="auto"/>
        <w:rPr>
          <w:rFonts w:hint="eastAsia" w:ascii="Arial" w:hAnsi="Arial" w:eastAsia="宋体" w:cs="Arial"/>
          <w:highlight w:val="none"/>
        </w:rPr>
      </w:pPr>
    </w:p>
    <w:p>
      <w:pPr>
        <w:spacing w:line="300" w:lineRule="auto"/>
        <w:rPr>
          <w:rFonts w:ascii="Arial" w:hAnsi="Arial" w:eastAsia="宋体" w:cs="Arial"/>
          <w:highlight w:val="none"/>
          <w:u w:val="single"/>
        </w:rPr>
      </w:pPr>
    </w:p>
    <w:p>
      <w:pPr>
        <w:keepNext/>
        <w:keepLines/>
        <w:widowControl w:val="0"/>
        <w:snapToGrid w:val="0"/>
        <w:spacing w:before="120" w:after="120" w:line="360" w:lineRule="auto"/>
        <w:jc w:val="both"/>
        <w:outlineLvl w:val="1"/>
        <w:rPr>
          <w:rFonts w:hint="eastAsia" w:ascii="Arial" w:hAnsi="Arial" w:eastAsia="黑体" w:cs="Arial"/>
          <w:b/>
          <w:bCs w:val="0"/>
          <w:color w:val="auto"/>
          <w:kern w:val="2"/>
          <w:sz w:val="32"/>
          <w:szCs w:val="32"/>
          <w:highlight w:val="none"/>
          <w:lang w:val="en-US" w:eastAsia="zh-CN" w:bidi="ar-SA"/>
        </w:rPr>
      </w:pPr>
      <w:bookmarkStart w:id="1102" w:name="_Toc431964670"/>
      <w:bookmarkStart w:id="1103" w:name="_Toc485936401"/>
      <w:r>
        <w:rPr>
          <w:rFonts w:ascii="Arial" w:hAnsi="Arial" w:eastAsia="黑体" w:cs="Arial"/>
          <w:b/>
          <w:bCs w:val="0"/>
          <w:kern w:val="2"/>
          <w:sz w:val="32"/>
          <w:szCs w:val="32"/>
          <w:highlight w:val="none"/>
          <w:lang w:val="en-US" w:eastAsia="zh-CN" w:bidi="ar-SA"/>
        </w:rPr>
        <w:br w:type="page"/>
      </w:r>
      <w:bookmarkEnd w:id="1102"/>
      <w:bookmarkEnd w:id="1103"/>
      <w:bookmarkStart w:id="1104" w:name="_Toc18184"/>
      <w:bookmarkStart w:id="1105" w:name="_Toc21680"/>
      <w:bookmarkStart w:id="1106" w:name="_Toc15745"/>
      <w:r>
        <w:rPr>
          <w:rFonts w:hint="eastAsia" w:ascii="Arial" w:hAnsi="Arial" w:eastAsia="黑体" w:cs="Arial"/>
          <w:b/>
          <w:bCs w:val="0"/>
          <w:color w:val="auto"/>
          <w:kern w:val="2"/>
          <w:sz w:val="32"/>
          <w:szCs w:val="32"/>
          <w:highlight w:val="none"/>
          <w:lang w:val="en-US" w:eastAsia="zh-CN" w:bidi="ar-SA"/>
        </w:rPr>
        <w:t>（四）质量保证计划</w:t>
      </w:r>
      <w:bookmarkEnd w:id="1104"/>
      <w:bookmarkEnd w:id="1105"/>
      <w:bookmarkEnd w:id="1106"/>
    </w:p>
    <w:p>
      <w:pPr>
        <w:tabs>
          <w:tab w:val="left" w:pos="3075"/>
        </w:tabs>
        <w:spacing w:before="120" w:beforeLines="50" w:after="120" w:afterLines="50" w:line="300" w:lineRule="auto"/>
        <w:ind w:firstLine="540" w:firstLineChars="225"/>
        <w:rPr>
          <w:rFonts w:hint="eastAsia" w:ascii="宋体" w:hAnsi="宋体" w:eastAsia="宋体" w:cs="Times New Roman"/>
          <w:color w:val="auto"/>
          <w:sz w:val="24"/>
          <w:highlight w:val="none"/>
        </w:rPr>
      </w:pPr>
    </w:p>
    <w:p>
      <w:pPr>
        <w:tabs>
          <w:tab w:val="left" w:pos="3075"/>
        </w:tabs>
        <w:spacing w:before="120" w:beforeLines="50" w:after="120" w:afterLines="50" w:line="300" w:lineRule="auto"/>
        <w:ind w:firstLine="577" w:firstLineChars="27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1、投标人应按照招标文件的要求，提出详尽的服务质量保证计划和措施。</w:t>
      </w:r>
    </w:p>
    <w:p>
      <w:pPr>
        <w:tabs>
          <w:tab w:val="left" w:pos="3075"/>
        </w:tabs>
        <w:spacing w:before="120" w:beforeLines="50" w:after="120" w:afterLines="50" w:line="300" w:lineRule="auto"/>
        <w:ind w:firstLine="472" w:firstLineChars="22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2、</w:t>
      </w:r>
      <w:r>
        <w:rPr>
          <w:rFonts w:ascii="宋体" w:hAnsi="宋体" w:eastAsia="宋体" w:cs="Times New Roman"/>
          <w:color w:val="auto"/>
          <w:szCs w:val="21"/>
          <w:highlight w:val="none"/>
        </w:rPr>
        <w:t>保证</w:t>
      </w:r>
      <w:r>
        <w:rPr>
          <w:rFonts w:hint="eastAsia" w:ascii="宋体" w:hAnsi="宋体" w:eastAsia="宋体" w:cs="Times New Roman"/>
          <w:color w:val="auto"/>
          <w:szCs w:val="21"/>
          <w:highlight w:val="none"/>
        </w:rPr>
        <w:t>服务质量</w:t>
      </w:r>
      <w:r>
        <w:rPr>
          <w:rFonts w:ascii="宋体" w:hAnsi="宋体" w:eastAsia="宋体" w:cs="Times New Roman"/>
          <w:color w:val="auto"/>
          <w:szCs w:val="21"/>
          <w:highlight w:val="none"/>
        </w:rPr>
        <w:t>的措施</w:t>
      </w:r>
      <w:r>
        <w:rPr>
          <w:rFonts w:hint="eastAsia" w:ascii="宋体" w:hAnsi="宋体" w:eastAsia="宋体" w:cs="Times New Roman"/>
          <w:color w:val="auto"/>
          <w:szCs w:val="21"/>
          <w:highlight w:val="none"/>
        </w:rPr>
        <w:t>及处罚细则</w:t>
      </w:r>
      <w:r>
        <w:rPr>
          <w:rFonts w:ascii="宋体" w:hAnsi="宋体" w:eastAsia="宋体" w:cs="Times New Roman"/>
          <w:color w:val="auto"/>
          <w:szCs w:val="21"/>
          <w:highlight w:val="none"/>
        </w:rPr>
        <w:t>。</w:t>
      </w:r>
    </w:p>
    <w:p>
      <w:pPr>
        <w:rPr>
          <w:rFonts w:ascii="Times New Roman" w:hAnsi="Times New Roman" w:eastAsia="宋体" w:cs="Times New Roman"/>
          <w:color w:val="auto"/>
          <w:szCs w:val="21"/>
          <w:highlight w:val="none"/>
        </w:rPr>
      </w:pPr>
    </w:p>
    <w:p>
      <w:pPr>
        <w:tabs>
          <w:tab w:val="left" w:pos="3075"/>
        </w:tabs>
        <w:spacing w:line="360" w:lineRule="auto"/>
        <w:jc w:val="center"/>
        <w:rPr>
          <w:rFonts w:ascii="Arial" w:hAnsi="Arial" w:eastAsia="宋体" w:cs="Arial"/>
          <w:color w:val="auto"/>
          <w:szCs w:val="21"/>
          <w:highlight w:val="none"/>
        </w:rPr>
      </w:pPr>
    </w:p>
    <w:p>
      <w:pPr>
        <w:rPr>
          <w:rFonts w:ascii="Arial" w:hAnsi="Arial" w:eastAsia="宋体" w:cs="Arial"/>
          <w:color w:val="auto"/>
          <w:szCs w:val="21"/>
          <w:highlight w:val="none"/>
        </w:rPr>
      </w:pPr>
    </w:p>
    <w:p>
      <w:pPr>
        <w:rPr>
          <w:rFonts w:ascii="Arial" w:hAnsi="Arial" w:eastAsia="宋体" w:cs="Arial"/>
          <w:color w:val="auto"/>
          <w:szCs w:val="21"/>
          <w:highlight w:val="none"/>
        </w:rPr>
      </w:pPr>
    </w:p>
    <w:p>
      <w:pPr>
        <w:rPr>
          <w:rFonts w:ascii="Arial" w:hAnsi="Arial" w:eastAsia="宋体" w:cs="Arial"/>
          <w:color w:val="auto"/>
          <w:szCs w:val="21"/>
          <w:highlight w:val="none"/>
        </w:rPr>
      </w:pPr>
    </w:p>
    <w:p>
      <w:pPr>
        <w:rPr>
          <w:rFonts w:ascii="Arial" w:hAnsi="Arial" w:eastAsia="宋体" w:cs="Arial"/>
          <w:color w:val="auto"/>
          <w:sz w:val="24"/>
          <w:highlight w:val="none"/>
        </w:rPr>
      </w:pPr>
    </w:p>
    <w:p>
      <w:pPr>
        <w:rPr>
          <w:rFonts w:ascii="Arial" w:hAnsi="Arial" w:eastAsia="宋体" w:cs="Arial"/>
          <w:color w:val="auto"/>
          <w:sz w:val="24"/>
          <w:highlight w:val="none"/>
        </w:rPr>
      </w:pPr>
    </w:p>
    <w:p>
      <w:pPr>
        <w:rPr>
          <w:rFonts w:ascii="Arial" w:hAnsi="Arial" w:eastAsia="宋体" w:cs="Arial"/>
          <w:color w:val="auto"/>
          <w:sz w:val="24"/>
          <w:highlight w:val="none"/>
        </w:rPr>
      </w:pPr>
    </w:p>
    <w:p>
      <w:pPr>
        <w:rPr>
          <w:rFonts w:ascii="Arial" w:hAnsi="Arial" w:eastAsia="宋体" w:cs="Arial"/>
          <w:color w:val="auto"/>
          <w:sz w:val="24"/>
          <w:highlight w:val="none"/>
        </w:rPr>
      </w:pPr>
    </w:p>
    <w:p>
      <w:pPr>
        <w:rPr>
          <w:rFonts w:ascii="Arial" w:hAnsi="Arial" w:eastAsia="宋体" w:cs="Arial"/>
          <w:color w:val="auto"/>
          <w:sz w:val="24"/>
          <w:highlight w:val="none"/>
        </w:rPr>
      </w:pPr>
    </w:p>
    <w:p>
      <w:pPr>
        <w:rPr>
          <w:rFonts w:ascii="Arial" w:hAnsi="Arial" w:eastAsia="宋体" w:cs="Arial"/>
          <w:color w:val="auto"/>
          <w:sz w:val="24"/>
          <w:highlight w:val="none"/>
        </w:rPr>
      </w:pPr>
    </w:p>
    <w:p>
      <w:pPr>
        <w:rPr>
          <w:rFonts w:ascii="Arial" w:hAnsi="Arial" w:eastAsia="宋体" w:cs="Arial"/>
          <w:color w:val="auto"/>
          <w:sz w:val="24"/>
          <w:highlight w:val="none"/>
        </w:rPr>
      </w:pPr>
    </w:p>
    <w:p>
      <w:pPr>
        <w:rPr>
          <w:rFonts w:ascii="Arial" w:hAnsi="Arial" w:eastAsia="宋体" w:cs="Arial"/>
          <w:color w:val="auto"/>
          <w:highlight w:val="none"/>
          <w:u w:val="single"/>
        </w:rPr>
      </w:pPr>
      <w:r>
        <w:rPr>
          <w:rFonts w:ascii="Arial" w:hAnsi="Arial" w:eastAsia="宋体" w:cs="Arial"/>
          <w:color w:val="auto"/>
          <w:highlight w:val="none"/>
        </w:rPr>
        <w:t>投标人名称：（盖章）</w:t>
      </w:r>
      <w:r>
        <w:rPr>
          <w:rFonts w:ascii="Arial" w:hAnsi="Arial" w:eastAsia="宋体" w:cs="Arial"/>
          <w:color w:val="auto"/>
          <w:highlight w:val="none"/>
          <w:u w:val="single"/>
        </w:rPr>
        <w:t xml:space="preserve">                     </w:t>
      </w:r>
    </w:p>
    <w:p>
      <w:pPr>
        <w:spacing w:line="360" w:lineRule="auto"/>
        <w:ind w:firstLine="120"/>
        <w:jc w:val="center"/>
        <w:rPr>
          <w:rFonts w:ascii="Arial" w:hAnsi="Arial" w:eastAsia="宋体" w:cs="Arial"/>
          <w:b/>
          <w:bCs/>
          <w:color w:val="auto"/>
          <w:highlight w:val="none"/>
        </w:rPr>
      </w:pPr>
    </w:p>
    <w:p>
      <w:pPr>
        <w:spacing w:line="360" w:lineRule="auto"/>
        <w:rPr>
          <w:rFonts w:hint="eastAsia" w:ascii="Arial" w:hAnsi="Arial" w:eastAsia="宋体" w:cs="Arial"/>
          <w:color w:val="auto"/>
          <w:highlight w:val="none"/>
        </w:rPr>
      </w:pPr>
      <w:r>
        <w:rPr>
          <w:rFonts w:hint="eastAsia" w:ascii="Arial" w:hAnsi="Arial" w:eastAsia="宋体" w:cs="Arial"/>
          <w:color w:val="auto"/>
          <w:highlight w:val="none"/>
          <w:lang w:eastAsia="zh-CN"/>
        </w:rPr>
        <w:t>法定代表人或投标人授权代表</w:t>
      </w:r>
      <w:r>
        <w:rPr>
          <w:rFonts w:ascii="Arial" w:hAnsi="Arial" w:eastAsia="宋体" w:cs="Arial"/>
          <w:color w:val="auto"/>
          <w:highlight w:val="none"/>
        </w:rPr>
        <w:t>签字：</w:t>
      </w:r>
      <w:r>
        <w:rPr>
          <w:rFonts w:ascii="Arial" w:hAnsi="Arial" w:eastAsia="宋体" w:cs="Arial"/>
          <w:color w:val="auto"/>
          <w:highlight w:val="none"/>
          <w:u w:val="single"/>
        </w:rPr>
        <w:t xml:space="preserve">                  </w:t>
      </w:r>
      <w:r>
        <w:rPr>
          <w:rFonts w:hint="eastAsia" w:ascii="Arial" w:hAnsi="Arial" w:eastAsia="宋体" w:cs="Arial"/>
          <w:color w:val="auto"/>
          <w:highlight w:val="none"/>
          <w:u w:val="single"/>
        </w:rPr>
        <w:t xml:space="preserve"> </w:t>
      </w:r>
      <w:r>
        <w:rPr>
          <w:rFonts w:ascii="Arial" w:hAnsi="Arial" w:eastAsia="宋体" w:cs="Arial"/>
          <w:color w:val="auto"/>
          <w:highlight w:val="none"/>
          <w:u w:val="single"/>
        </w:rPr>
        <w:t xml:space="preserve">     </w:t>
      </w:r>
      <w:r>
        <w:rPr>
          <w:rFonts w:ascii="Arial" w:hAnsi="Arial" w:eastAsia="宋体" w:cs="Arial"/>
          <w:color w:val="auto"/>
          <w:highlight w:val="none"/>
        </w:rPr>
        <w:t xml:space="preserve">        </w:t>
      </w:r>
      <w:r>
        <w:rPr>
          <w:rFonts w:hint="eastAsia" w:ascii="Arial" w:hAnsi="Arial" w:eastAsia="宋体" w:cs="Arial"/>
          <w:color w:val="auto"/>
          <w:highlight w:val="none"/>
        </w:rPr>
        <w:t xml:space="preserve">           </w:t>
      </w:r>
    </w:p>
    <w:p>
      <w:pPr>
        <w:spacing w:line="360" w:lineRule="auto"/>
        <w:rPr>
          <w:rFonts w:hint="eastAsia" w:ascii="Arial" w:hAnsi="Arial" w:eastAsia="宋体" w:cs="Arial"/>
          <w:color w:val="auto"/>
          <w:highlight w:val="none"/>
        </w:rPr>
      </w:pPr>
    </w:p>
    <w:p>
      <w:pPr>
        <w:spacing w:line="360" w:lineRule="auto"/>
        <w:rPr>
          <w:rFonts w:ascii="Arial" w:hAnsi="Arial" w:eastAsia="宋体" w:cs="Arial"/>
          <w:color w:val="auto"/>
          <w:highlight w:val="none"/>
          <w:u w:val="single"/>
        </w:rPr>
      </w:pPr>
      <w:r>
        <w:rPr>
          <w:rFonts w:ascii="Arial" w:hAnsi="Arial" w:eastAsia="宋体" w:cs="Arial"/>
          <w:color w:val="auto"/>
          <w:highlight w:val="none"/>
        </w:rPr>
        <w:t>日期：</w:t>
      </w:r>
      <w:r>
        <w:rPr>
          <w:rFonts w:ascii="Arial" w:hAnsi="Arial" w:eastAsia="宋体" w:cs="Arial"/>
          <w:color w:val="auto"/>
          <w:highlight w:val="none"/>
          <w:u w:val="single"/>
        </w:rPr>
        <w:t xml:space="preserve">              </w:t>
      </w:r>
    </w:p>
    <w:p>
      <w:pPr>
        <w:spacing w:line="360" w:lineRule="auto"/>
        <w:rPr>
          <w:rFonts w:ascii="Arial" w:hAnsi="Arial" w:eastAsia="宋体" w:cs="Arial"/>
          <w:highlight w:val="none"/>
          <w:u w:val="single"/>
        </w:rPr>
      </w:pPr>
    </w:p>
    <w:p>
      <w:pPr>
        <w:keepNext/>
        <w:keepLines/>
        <w:widowControl w:val="0"/>
        <w:numPr>
          <w:ilvl w:val="0"/>
          <w:numId w:val="16"/>
        </w:numPr>
        <w:snapToGrid w:val="0"/>
        <w:spacing w:before="120" w:after="120" w:line="360" w:lineRule="auto"/>
        <w:jc w:val="both"/>
        <w:outlineLvl w:val="1"/>
        <w:rPr>
          <w:rFonts w:hint="eastAsia" w:ascii="Arial" w:hAnsi="Arial" w:eastAsia="黑体" w:cs="Arial"/>
          <w:b/>
          <w:bCs w:val="0"/>
          <w:kern w:val="2"/>
          <w:sz w:val="32"/>
          <w:szCs w:val="32"/>
          <w:highlight w:val="none"/>
          <w:lang w:val="en-US" w:eastAsia="zh-CN" w:bidi="ar-SA"/>
        </w:rPr>
      </w:pPr>
      <w:r>
        <w:rPr>
          <w:rFonts w:ascii="Arial" w:hAnsi="Arial" w:eastAsia="黑体" w:cs="Arial"/>
          <w:b/>
          <w:bCs/>
          <w:kern w:val="2"/>
          <w:sz w:val="32"/>
          <w:szCs w:val="32"/>
          <w:highlight w:val="none"/>
          <w:u w:val="single"/>
          <w:lang w:val="en-US" w:eastAsia="zh-CN" w:bidi="ar-SA"/>
        </w:rPr>
        <w:br w:type="page"/>
      </w:r>
      <w:bookmarkStart w:id="1107" w:name="_Toc21478"/>
      <w:bookmarkStart w:id="1108" w:name="_Toc26531"/>
      <w:bookmarkStart w:id="1109" w:name="_Toc138838485"/>
      <w:bookmarkStart w:id="1110" w:name="_Toc260903011"/>
      <w:bookmarkStart w:id="1111" w:name="_Toc415646555"/>
      <w:bookmarkStart w:id="1112" w:name="_Toc485936403"/>
      <w:bookmarkStart w:id="1113" w:name="_Toc431964672"/>
      <w:bookmarkStart w:id="1114" w:name="_Toc428651630"/>
      <w:bookmarkStart w:id="1115" w:name="_Toc431940821"/>
      <w:r>
        <w:rPr>
          <w:rFonts w:hint="eastAsia" w:ascii="Arial" w:hAnsi="Arial" w:eastAsia="黑体" w:cs="Arial"/>
          <w:b/>
          <w:bCs w:val="0"/>
          <w:kern w:val="2"/>
          <w:sz w:val="32"/>
          <w:szCs w:val="32"/>
          <w:highlight w:val="none"/>
          <w:lang w:val="en-US" w:eastAsia="zh-CN" w:bidi="ar-SA"/>
        </w:rPr>
        <w:t>标注“★”的条款的响应情况</w:t>
      </w:r>
      <w:bookmarkEnd w:id="1107"/>
      <w:bookmarkEnd w:id="1108"/>
    </w:p>
    <w:p>
      <w:pPr>
        <w:spacing w:line="360" w:lineRule="auto"/>
        <w:ind w:firstLine="525" w:firstLineChars="250"/>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t>根据招标文件要求提交相应证明材料。</w:t>
      </w:r>
    </w:p>
    <w:p>
      <w:pPr>
        <w:keepNext/>
        <w:keepLines/>
        <w:widowControl w:val="0"/>
        <w:snapToGrid w:val="0"/>
        <w:spacing w:before="120" w:beforeLines="0" w:after="120" w:afterLines="0" w:line="360" w:lineRule="auto"/>
        <w:jc w:val="both"/>
        <w:outlineLvl w:val="1"/>
        <w:rPr>
          <w:rFonts w:hint="default" w:ascii="宋体" w:hAnsi="宋体" w:eastAsia="宋体" w:cs="宋体"/>
          <w:b/>
          <w:bCs w:val="0"/>
          <w:color w:val="auto"/>
          <w:kern w:val="2"/>
          <w:sz w:val="32"/>
          <w:szCs w:val="32"/>
          <w:highlight w:val="none"/>
          <w:lang w:val="en-US" w:eastAsia="zh-CN" w:bidi="ar-SA"/>
        </w:rPr>
      </w:pPr>
      <w:bookmarkStart w:id="1116" w:name="_Toc12855"/>
      <w:bookmarkStart w:id="1117" w:name="_Toc430813372"/>
      <w:bookmarkStart w:id="1118" w:name="_Toc432367440"/>
      <w:bookmarkStart w:id="1119" w:name="_Toc5311"/>
      <w:bookmarkStart w:id="1120" w:name="_Toc11742"/>
      <w:r>
        <w:rPr>
          <w:rFonts w:hint="eastAsia" w:ascii="宋体" w:hAnsi="宋体" w:eastAsia="宋体" w:cs="宋体"/>
          <w:b/>
          <w:bCs w:val="0"/>
          <w:color w:val="auto"/>
          <w:kern w:val="2"/>
          <w:sz w:val="32"/>
          <w:szCs w:val="32"/>
          <w:highlight w:val="none"/>
          <w:lang w:val="en-US" w:eastAsia="zh-CN" w:bidi="ar-SA"/>
        </w:rPr>
        <w:t>（六）所涉及的硬件部分的技术规格书</w:t>
      </w:r>
      <w:bookmarkEnd w:id="1116"/>
      <w:bookmarkEnd w:id="1117"/>
      <w:bookmarkEnd w:id="1118"/>
      <w:r>
        <w:rPr>
          <w:rFonts w:hint="eastAsia" w:ascii="宋体" w:hAnsi="宋体" w:eastAsia="宋体" w:cs="宋体"/>
          <w:b/>
          <w:bCs w:val="0"/>
          <w:color w:val="auto"/>
          <w:kern w:val="2"/>
          <w:sz w:val="32"/>
          <w:szCs w:val="32"/>
          <w:highlight w:val="none"/>
          <w:lang w:val="en-US" w:eastAsia="zh-CN" w:bidi="ar-SA"/>
        </w:rPr>
        <w:t>等材料</w:t>
      </w:r>
    </w:p>
    <w:p>
      <w:pPr>
        <w:spacing w:line="300" w:lineRule="auto"/>
        <w:ind w:left="851"/>
        <w:rPr>
          <w:rFonts w:hint="eastAsia" w:ascii="宋体" w:hAnsi="宋体" w:eastAsia="宋体" w:cs="宋体"/>
          <w:color w:val="auto"/>
          <w:highlight w:val="none"/>
        </w:rPr>
      </w:pPr>
      <w:r>
        <w:rPr>
          <w:rFonts w:hint="eastAsia" w:ascii="宋体" w:hAnsi="宋体" w:eastAsia="宋体" w:cs="宋体"/>
          <w:color w:val="auto"/>
          <w:highlight w:val="none"/>
        </w:rPr>
        <w:t>货物技术规格书至少包括</w:t>
      </w:r>
    </w:p>
    <w:p>
      <w:pPr>
        <w:numPr>
          <w:ilvl w:val="0"/>
          <w:numId w:val="17"/>
        </w:numPr>
        <w:spacing w:line="300" w:lineRule="auto"/>
        <w:ind w:left="851" w:hanging="851"/>
        <w:rPr>
          <w:rFonts w:hint="eastAsia" w:ascii="宋体" w:hAnsi="宋体" w:eastAsia="宋体" w:cs="宋体"/>
          <w:color w:val="auto"/>
          <w:kern w:val="2"/>
          <w:sz w:val="21"/>
          <w:szCs w:val="24"/>
          <w:highlight w:val="none"/>
        </w:rPr>
      </w:pPr>
      <w:r>
        <w:rPr>
          <w:rFonts w:hint="eastAsia" w:ascii="宋体" w:hAnsi="宋体" w:eastAsia="宋体" w:cs="宋体"/>
          <w:color w:val="auto"/>
          <w:kern w:val="2"/>
          <w:sz w:val="21"/>
          <w:szCs w:val="24"/>
          <w:highlight w:val="none"/>
        </w:rPr>
        <w:t>货物技术规格书应按招标文件第三章采购需求要求中的技术规格</w:t>
      </w:r>
      <w:r>
        <w:rPr>
          <w:rFonts w:hint="eastAsia" w:ascii="宋体" w:hAnsi="宋体" w:eastAsia="宋体" w:cs="宋体"/>
          <w:color w:val="auto"/>
          <w:kern w:val="2"/>
          <w:sz w:val="21"/>
          <w:szCs w:val="21"/>
          <w:highlight w:val="none"/>
        </w:rPr>
        <w:t>逐条响应，</w:t>
      </w:r>
      <w:r>
        <w:rPr>
          <w:rFonts w:hint="eastAsia" w:ascii="宋体" w:hAnsi="宋体" w:eastAsia="宋体" w:cs="宋体"/>
          <w:color w:val="auto"/>
          <w:kern w:val="2"/>
          <w:sz w:val="21"/>
          <w:szCs w:val="24"/>
          <w:highlight w:val="none"/>
        </w:rPr>
        <w:t>提供</w:t>
      </w:r>
      <w:r>
        <w:rPr>
          <w:rFonts w:hint="eastAsia" w:ascii="宋体" w:hAnsi="宋体" w:eastAsia="宋体" w:cs="宋体"/>
          <w:b/>
          <w:color w:val="auto"/>
          <w:kern w:val="2"/>
          <w:sz w:val="21"/>
          <w:szCs w:val="24"/>
          <w:highlight w:val="none"/>
        </w:rPr>
        <w:t>具体的货物性能参数，</w:t>
      </w:r>
      <w:r>
        <w:rPr>
          <w:rFonts w:hint="eastAsia" w:ascii="宋体" w:hAnsi="宋体" w:eastAsia="宋体" w:cs="宋体"/>
          <w:color w:val="auto"/>
          <w:kern w:val="2"/>
          <w:sz w:val="21"/>
          <w:szCs w:val="21"/>
          <w:highlight w:val="none"/>
        </w:rPr>
        <w:t>并进行详细说明，附上相关证明资料</w:t>
      </w:r>
      <w:r>
        <w:rPr>
          <w:rFonts w:hint="eastAsia" w:ascii="宋体" w:hAnsi="宋体" w:eastAsia="宋体" w:cs="宋体"/>
          <w:color w:val="auto"/>
          <w:kern w:val="2"/>
          <w:sz w:val="21"/>
          <w:szCs w:val="24"/>
          <w:highlight w:val="none"/>
        </w:rPr>
        <w:t>。</w:t>
      </w:r>
    </w:p>
    <w:p>
      <w:pPr>
        <w:numPr>
          <w:ilvl w:val="0"/>
          <w:numId w:val="17"/>
        </w:numPr>
        <w:spacing w:line="300" w:lineRule="auto"/>
        <w:ind w:left="851" w:hanging="851"/>
        <w:rPr>
          <w:rFonts w:hint="eastAsia" w:ascii="宋体" w:hAnsi="宋体" w:eastAsia="宋体" w:cs="宋体"/>
          <w:color w:val="auto"/>
          <w:kern w:val="2"/>
          <w:sz w:val="21"/>
          <w:szCs w:val="24"/>
          <w:highlight w:val="none"/>
        </w:rPr>
      </w:pPr>
      <w:r>
        <w:rPr>
          <w:rFonts w:hint="eastAsia" w:ascii="宋体" w:hAnsi="宋体" w:eastAsia="宋体" w:cs="宋体"/>
          <w:color w:val="auto"/>
          <w:kern w:val="2"/>
          <w:sz w:val="21"/>
          <w:szCs w:val="24"/>
          <w:highlight w:val="none"/>
        </w:rPr>
        <w:t>投标人认为需要提供的其他技术资料。</w:t>
      </w:r>
    </w:p>
    <w:p>
      <w:pPr>
        <w:rPr>
          <w:rFonts w:hint="eastAsia" w:ascii="Arial" w:hAnsi="Arial" w:eastAsia="黑体" w:cs="Arial"/>
          <w:b/>
          <w:bCs w:val="0"/>
          <w:kern w:val="2"/>
          <w:sz w:val="32"/>
          <w:szCs w:val="32"/>
          <w:highlight w:val="none"/>
          <w:lang w:val="en-US" w:eastAsia="zh-CN" w:bidi="ar-SA"/>
        </w:rPr>
      </w:pPr>
      <w:r>
        <w:rPr>
          <w:rFonts w:hint="eastAsia" w:ascii="Arial" w:hAnsi="Arial" w:eastAsia="黑体" w:cs="Arial"/>
          <w:b/>
          <w:bCs w:val="0"/>
          <w:kern w:val="2"/>
          <w:sz w:val="32"/>
          <w:szCs w:val="32"/>
          <w:highlight w:val="none"/>
          <w:lang w:val="en-US" w:eastAsia="zh-CN" w:bidi="ar-SA"/>
        </w:rPr>
        <w:br w:type="page"/>
      </w:r>
    </w:p>
    <w:p>
      <w:pPr>
        <w:keepNext/>
        <w:keepLines/>
        <w:widowControl w:val="0"/>
        <w:snapToGrid w:val="0"/>
        <w:spacing w:before="120" w:after="120" w:line="360" w:lineRule="auto"/>
        <w:jc w:val="both"/>
        <w:outlineLvl w:val="1"/>
        <w:rPr>
          <w:rFonts w:hint="eastAsia" w:ascii="Arial" w:hAnsi="Arial" w:eastAsia="黑体" w:cs="Arial"/>
          <w:b/>
          <w:bCs w:val="0"/>
          <w:kern w:val="2"/>
          <w:sz w:val="32"/>
          <w:szCs w:val="32"/>
          <w:highlight w:val="none"/>
          <w:lang w:val="en-US" w:eastAsia="zh-CN" w:bidi="ar-SA"/>
        </w:rPr>
      </w:pPr>
      <w:r>
        <w:rPr>
          <w:rFonts w:hint="eastAsia" w:ascii="Arial" w:hAnsi="Arial" w:eastAsia="黑体" w:cs="Arial"/>
          <w:b/>
          <w:bCs w:val="0"/>
          <w:kern w:val="2"/>
          <w:sz w:val="32"/>
          <w:szCs w:val="32"/>
          <w:highlight w:val="none"/>
          <w:lang w:val="en-US" w:eastAsia="zh-CN" w:bidi="ar-SA"/>
        </w:rPr>
        <w:t>（七）</w:t>
      </w:r>
      <w:r>
        <w:rPr>
          <w:rFonts w:ascii="Arial" w:hAnsi="Arial" w:eastAsia="黑体" w:cs="Arial"/>
          <w:b/>
          <w:bCs w:val="0"/>
          <w:kern w:val="2"/>
          <w:sz w:val="32"/>
          <w:szCs w:val="32"/>
          <w:highlight w:val="none"/>
          <w:lang w:val="en-US" w:eastAsia="zh-CN" w:bidi="ar-SA"/>
        </w:rPr>
        <w:t>其</w:t>
      </w:r>
      <w:bookmarkEnd w:id="1109"/>
      <w:bookmarkEnd w:id="1110"/>
      <w:r>
        <w:rPr>
          <w:rFonts w:hint="eastAsia" w:ascii="Arial" w:hAnsi="Arial" w:eastAsia="黑体" w:cs="Arial"/>
          <w:b/>
          <w:bCs w:val="0"/>
          <w:kern w:val="2"/>
          <w:sz w:val="32"/>
          <w:szCs w:val="32"/>
          <w:highlight w:val="none"/>
          <w:lang w:val="en-US" w:eastAsia="zh-CN" w:bidi="ar-SA"/>
        </w:rPr>
        <w:t>它</w:t>
      </w:r>
      <w:bookmarkEnd w:id="1111"/>
      <w:bookmarkEnd w:id="1112"/>
      <w:bookmarkEnd w:id="1113"/>
      <w:bookmarkEnd w:id="1114"/>
      <w:bookmarkEnd w:id="1115"/>
      <w:bookmarkEnd w:id="1119"/>
      <w:bookmarkEnd w:id="1120"/>
    </w:p>
    <w:p>
      <w:pPr>
        <w:spacing w:line="360" w:lineRule="auto"/>
        <w:ind w:firstLine="525" w:firstLineChars="250"/>
        <w:jc w:val="left"/>
        <w:rPr>
          <w:rFonts w:ascii="Arial" w:hAnsi="Arial" w:eastAsia="宋体" w:cs="Arial"/>
          <w:highlight w:val="none"/>
        </w:rPr>
      </w:pPr>
      <w:r>
        <w:rPr>
          <w:rFonts w:ascii="Arial" w:hAnsi="Arial" w:eastAsia="宋体" w:cs="Arial"/>
          <w:highlight w:val="none"/>
        </w:rPr>
        <w:t>本文件应包括如下内容：</w:t>
      </w:r>
    </w:p>
    <w:p>
      <w:pPr>
        <w:spacing w:line="360" w:lineRule="auto"/>
        <w:ind w:firstLine="525" w:firstLineChars="250"/>
        <w:jc w:val="left"/>
        <w:rPr>
          <w:rFonts w:ascii="Arial" w:hAnsi="Arial" w:eastAsia="宋体" w:cs="Arial"/>
          <w:highlight w:val="none"/>
        </w:rPr>
      </w:pPr>
      <w:r>
        <w:rPr>
          <w:rFonts w:hint="eastAsia" w:ascii="Arial" w:hAnsi="Arial" w:eastAsia="宋体" w:cs="Arial"/>
          <w:highlight w:val="none"/>
        </w:rPr>
        <w:t>1、</w:t>
      </w:r>
      <w:r>
        <w:rPr>
          <w:rFonts w:ascii="Arial" w:hAnsi="Arial" w:eastAsia="宋体" w:cs="Arial"/>
          <w:highlight w:val="none"/>
        </w:rPr>
        <w:t>招标文件要求投标人须提交的其它技术资料；</w:t>
      </w:r>
    </w:p>
    <w:p>
      <w:pPr>
        <w:spacing w:line="360" w:lineRule="auto"/>
        <w:ind w:firstLine="525" w:firstLineChars="250"/>
        <w:jc w:val="left"/>
        <w:rPr>
          <w:rFonts w:ascii="Arial" w:hAnsi="Arial" w:eastAsia="宋体" w:cs="Arial"/>
          <w:highlight w:val="none"/>
        </w:rPr>
      </w:pPr>
      <w:r>
        <w:rPr>
          <w:rFonts w:hint="eastAsia" w:ascii="Arial" w:hAnsi="Arial" w:eastAsia="宋体" w:cs="Arial"/>
          <w:highlight w:val="none"/>
        </w:rPr>
        <w:t>2、</w:t>
      </w:r>
      <w:r>
        <w:rPr>
          <w:rFonts w:ascii="Arial" w:hAnsi="Arial" w:eastAsia="宋体" w:cs="Arial"/>
          <w:highlight w:val="none"/>
        </w:rPr>
        <w:t>投标人认为需加以说明的其它内容。</w:t>
      </w: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spacing w:line="360" w:lineRule="auto"/>
        <w:ind w:firstLine="120"/>
        <w:jc w:val="center"/>
        <w:rPr>
          <w:rFonts w:ascii="Arial" w:hAnsi="Arial" w:eastAsia="宋体" w:cs="Arial"/>
          <w:b/>
          <w:bCs/>
          <w:sz w:val="24"/>
          <w:highlight w:val="none"/>
        </w:rPr>
      </w:pPr>
    </w:p>
    <w:p>
      <w:pPr>
        <w:rPr>
          <w:rFonts w:ascii="Arial" w:hAnsi="Arial" w:eastAsia="宋体" w:cs="Arial"/>
          <w:highlight w:val="none"/>
          <w:u w:val="single"/>
        </w:rPr>
      </w:pPr>
      <w:r>
        <w:rPr>
          <w:rFonts w:ascii="Arial" w:hAnsi="Arial" w:eastAsia="宋体" w:cs="Arial"/>
          <w:highlight w:val="none"/>
        </w:rPr>
        <w:t>投标人名称：（盖章）</w:t>
      </w:r>
      <w:r>
        <w:rPr>
          <w:rFonts w:ascii="Arial" w:hAnsi="Arial" w:eastAsia="宋体" w:cs="Arial"/>
          <w:highlight w:val="none"/>
          <w:u w:val="single"/>
        </w:rPr>
        <w:t xml:space="preserve">                     </w:t>
      </w:r>
    </w:p>
    <w:p>
      <w:pPr>
        <w:spacing w:line="360" w:lineRule="auto"/>
        <w:ind w:firstLine="120"/>
        <w:jc w:val="center"/>
        <w:rPr>
          <w:rFonts w:ascii="Arial" w:hAnsi="Arial" w:eastAsia="宋体" w:cs="Arial"/>
          <w:b/>
          <w:bCs/>
          <w:highlight w:val="none"/>
        </w:rPr>
      </w:pPr>
    </w:p>
    <w:p>
      <w:pPr>
        <w:spacing w:line="360" w:lineRule="auto"/>
        <w:rPr>
          <w:rFonts w:ascii="Arial" w:hAnsi="Arial" w:eastAsia="宋体" w:cs="Arial"/>
          <w:b/>
          <w:bCs/>
          <w:highlight w:val="none"/>
        </w:rPr>
      </w:pPr>
      <w:r>
        <w:rPr>
          <w:rFonts w:ascii="Arial" w:hAnsi="Arial" w:eastAsia="宋体" w:cs="Arial"/>
          <w:highlight w:val="none"/>
        </w:rPr>
        <w:t>投标人授权代表签字：</w:t>
      </w:r>
      <w:r>
        <w:rPr>
          <w:rFonts w:ascii="Arial" w:hAnsi="Arial" w:eastAsia="宋体" w:cs="Arial"/>
          <w:highlight w:val="none"/>
          <w:u w:val="single"/>
        </w:rPr>
        <w:t xml:space="preserve">                  </w:t>
      </w:r>
      <w:r>
        <w:rPr>
          <w:rFonts w:hint="eastAsia" w:ascii="Arial" w:hAnsi="Arial" w:eastAsia="宋体" w:cs="Arial"/>
          <w:highlight w:val="none"/>
          <w:u w:val="single"/>
        </w:rPr>
        <w:t xml:space="preserve"> </w:t>
      </w:r>
      <w:r>
        <w:rPr>
          <w:rFonts w:ascii="Arial" w:hAnsi="Arial" w:eastAsia="宋体" w:cs="Arial"/>
          <w:highlight w:val="none"/>
          <w:u w:val="single"/>
        </w:rPr>
        <w:t xml:space="preserve">     </w:t>
      </w:r>
      <w:r>
        <w:rPr>
          <w:rFonts w:ascii="Arial" w:hAnsi="Arial" w:eastAsia="宋体" w:cs="Arial"/>
          <w:highlight w:val="none"/>
        </w:rPr>
        <w:t xml:space="preserve">        </w:t>
      </w:r>
      <w:r>
        <w:rPr>
          <w:rFonts w:hint="eastAsia" w:ascii="Arial" w:hAnsi="Arial" w:eastAsia="宋体" w:cs="Arial"/>
          <w:highlight w:val="none"/>
        </w:rPr>
        <w:t xml:space="preserve">           </w:t>
      </w:r>
      <w:r>
        <w:rPr>
          <w:rFonts w:ascii="Arial" w:hAnsi="Arial" w:eastAsia="宋体" w:cs="Arial"/>
          <w:highlight w:val="none"/>
        </w:rPr>
        <w:t>日期：</w:t>
      </w:r>
      <w:r>
        <w:rPr>
          <w:rFonts w:ascii="Arial" w:hAnsi="Arial" w:eastAsia="宋体" w:cs="Arial"/>
          <w:highlight w:val="none"/>
          <w:u w:val="single"/>
        </w:rPr>
        <w:t xml:space="preserve">              </w:t>
      </w:r>
    </w:p>
    <w:p>
      <w:pPr>
        <w:spacing w:line="360" w:lineRule="auto"/>
        <w:rPr>
          <w:rFonts w:ascii="Arial" w:hAnsi="Arial" w:eastAsia="宋体" w:cs="Arial"/>
          <w:b/>
          <w:bCs/>
          <w:highlight w:val="none"/>
        </w:rPr>
      </w:pPr>
    </w:p>
    <w:p>
      <w:pPr>
        <w:spacing w:line="360" w:lineRule="auto"/>
        <w:rPr>
          <w:rFonts w:ascii="Arial" w:hAnsi="Arial" w:eastAsia="宋体" w:cs="Arial"/>
          <w:b/>
          <w:bCs/>
          <w:highlight w:val="none"/>
        </w:rPr>
      </w:pPr>
      <w:bookmarkStart w:id="1121" w:name="_Toc468910952"/>
      <w:r>
        <w:rPr>
          <w:rFonts w:ascii="Times New Roman" w:hAnsi="Times New Roman" w:eastAsia="宋体" w:cs="Times New Roman"/>
          <w:highlight w:val="none"/>
        </w:rPr>
        <w:t xml:space="preserve"> </w:t>
      </w:r>
    </w:p>
    <w:p>
      <w:pPr>
        <w:keepNext/>
        <w:keepLines/>
        <w:widowControl w:val="0"/>
        <w:spacing w:before="260" w:after="260" w:line="413" w:lineRule="auto"/>
        <w:jc w:val="both"/>
        <w:outlineLvl w:val="1"/>
        <w:rPr>
          <w:rFonts w:ascii="Arial" w:hAnsi="Arial" w:eastAsia="黑体" w:cs="Arial"/>
          <w:b/>
          <w:bCs w:val="0"/>
          <w:kern w:val="2"/>
          <w:sz w:val="32"/>
          <w:szCs w:val="32"/>
          <w:highlight w:val="none"/>
          <w:lang w:val="en-US" w:eastAsia="zh-CN" w:bidi="ar-SA"/>
        </w:rPr>
      </w:pPr>
      <w:r>
        <w:rPr>
          <w:rFonts w:ascii="Arial" w:hAnsi="Arial" w:eastAsia="黑体" w:cs="Arial"/>
          <w:b w:val="0"/>
          <w:bCs w:val="0"/>
          <w:kern w:val="2"/>
          <w:sz w:val="32"/>
          <w:szCs w:val="32"/>
          <w:highlight w:val="none"/>
          <w:lang w:val="en-US" w:eastAsia="zh-CN" w:bidi="ar-SA"/>
        </w:rPr>
        <w:br w:type="page"/>
      </w:r>
      <w:bookmarkStart w:id="1122" w:name="_Toc27810"/>
      <w:bookmarkStart w:id="1123" w:name="_Toc6365"/>
      <w:r>
        <w:rPr>
          <w:rFonts w:hint="eastAsia" w:ascii="Arial" w:hAnsi="Arial" w:eastAsia="黑体" w:cs="Arial"/>
          <w:b/>
          <w:bCs w:val="0"/>
          <w:kern w:val="2"/>
          <w:sz w:val="32"/>
          <w:szCs w:val="32"/>
          <w:highlight w:val="none"/>
          <w:lang w:val="en-US" w:eastAsia="zh-CN" w:bidi="ar-SA"/>
        </w:rPr>
        <w:t>附件：</w:t>
      </w:r>
      <w:r>
        <w:rPr>
          <w:rFonts w:ascii="Arial" w:hAnsi="Arial" w:eastAsia="黑体" w:cs="Arial"/>
          <w:b w:val="0"/>
          <w:bCs/>
          <w:kern w:val="2"/>
          <w:sz w:val="32"/>
          <w:szCs w:val="32"/>
          <w:highlight w:val="none"/>
          <w:lang w:val="en-US" w:eastAsia="zh-CN" w:bidi="ar-SA"/>
        </w:rPr>
        <w:t>关于印发中小企业划型标准规定的通知</w:t>
      </w:r>
      <w:bookmarkEnd w:id="1122"/>
      <w:bookmarkEnd w:id="1123"/>
    </w:p>
    <w:p>
      <w:pPr>
        <w:jc w:val="center"/>
        <w:rPr>
          <w:rFonts w:ascii="Times New Roman" w:hAnsi="Times New Roman" w:eastAsia="宋体" w:cs="Times New Roman"/>
          <w:szCs w:val="21"/>
          <w:highlight w:val="none"/>
        </w:rPr>
      </w:pPr>
      <w:r>
        <w:rPr>
          <w:rStyle w:val="91"/>
          <w:rFonts w:ascii="Times New Roman" w:hAnsi="Times New Roman" w:eastAsia="宋体" w:cs="Times New Roman"/>
          <w:szCs w:val="21"/>
          <w:highlight w:val="none"/>
        </w:rPr>
        <w:t>关于印发中小企业划型标准规定的通知</w:t>
      </w:r>
      <w:r>
        <w:rPr>
          <w:rFonts w:ascii="Times New Roman" w:hAnsi="Times New Roman" w:eastAsia="宋体" w:cs="Times New Roman"/>
          <w:b/>
          <w:bCs/>
          <w:szCs w:val="21"/>
          <w:highlight w:val="none"/>
        </w:rPr>
        <w:br w:type="textWrapping"/>
      </w:r>
      <w:r>
        <w:rPr>
          <w:rFonts w:ascii="Times New Roman" w:hAnsi="Times New Roman" w:eastAsia="宋体" w:cs="Times New Roman"/>
          <w:szCs w:val="21"/>
          <w:highlight w:val="none"/>
        </w:rPr>
        <w:t>　　</w:t>
      </w:r>
    </w:p>
    <w:p>
      <w:pPr>
        <w:ind w:firstLine="2940" w:firstLineChars="1400"/>
        <w:jc w:val="left"/>
        <w:rPr>
          <w:rFonts w:hint="eastAsia" w:ascii="Times New Roman" w:hAnsi="Times New Roman" w:eastAsia="宋体" w:cs="Times New Roman"/>
          <w:highlight w:val="none"/>
        </w:rPr>
      </w:pPr>
      <w:r>
        <w:rPr>
          <w:rFonts w:ascii="Times New Roman" w:hAnsi="Times New Roman" w:eastAsia="宋体" w:cs="Times New Roman"/>
          <w:szCs w:val="21"/>
          <w:highlight w:val="none"/>
        </w:rPr>
        <w:t>工信部联企业[2011]300号</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各省、自治区、直辖市人民政府，国务院各部委、各直属机构及有关单位：</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工业和信息化部          国家统计局</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国家发展和改革委员会       财政部</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二○一一年六月十八日</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xml:space="preserve">　　                                                            </w:t>
      </w:r>
      <w:r>
        <w:rPr>
          <w:rStyle w:val="91"/>
          <w:rFonts w:ascii="Times New Roman" w:hAnsi="Times New Roman" w:eastAsia="宋体" w:cs="Times New Roman"/>
          <w:szCs w:val="21"/>
          <w:highlight w:val="none"/>
        </w:rPr>
        <w:t>中小企业划型标准规定</w:t>
      </w:r>
      <w:r>
        <w:rPr>
          <w:rFonts w:ascii="Times New Roman" w:hAnsi="Times New Roman" w:eastAsia="宋体" w:cs="Times New Roman"/>
          <w:b/>
          <w:bCs/>
          <w:szCs w:val="21"/>
          <w:highlight w:val="none"/>
        </w:rPr>
        <w:br w:type="textWrapping"/>
      </w:r>
      <w:r>
        <w:rPr>
          <w:rFonts w:ascii="Times New Roman" w:hAnsi="Times New Roman" w:eastAsia="宋体" w:cs="Times New Roman"/>
          <w:b/>
          <w:bCs/>
          <w:szCs w:val="21"/>
          <w:highlight w:val="none"/>
        </w:rPr>
        <w:br w:type="textWrapping"/>
      </w:r>
      <w:r>
        <w:rPr>
          <w:rFonts w:ascii="Times New Roman" w:hAnsi="Times New Roman" w:eastAsia="宋体" w:cs="Times New Roman"/>
          <w:szCs w:val="21"/>
          <w:highlight w:val="none"/>
        </w:rPr>
        <w:t>　　一、根据《中华人民共和国中小企业促进法》和《国务院关于进一步促进中小企业发展的若干意见》(国发[2009]36号)，制定本规定。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二、中小企业划分为中型、小型、微型三种类型，具体标准根据企业从业人员、营业收入、资产总额等指标，结合行业特点制定。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四、各行业划型标准为：</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（十六）其他未列明行业。从业人员300人以下的为中小微型企业。其中，从业人员100人及以上的为中型企业；从业人员10人及以上的为小型企业；从业人员10人以下的为微型企业。</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五、企业类型的划分以统计部门的统计数据为依据。</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六、本规定适用于在中华人民共和国境内依法设立的各类所有制和各种组织形式的企业。个体工商户和本规定以外的行业，参照本规定进行划型。</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七、本规定的中型企业标准上限即为大型企业标准的下限，国家统计部门据此制定大中小微型企业的统计分类。国务院有关部门据此进行相关数据分析，不得制定与本规定不一致的企业划型标准。</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八、本规定由工业和信息化部、国家统计局会同有关部门根据《国民经济行业分类》修订情况和企业发展变化情况适时修订。</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九、本规定由工业和信息化部、国家统计局会同有关部门负责解释。</w:t>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br w:type="textWrapping"/>
      </w:r>
      <w:r>
        <w:rPr>
          <w:rFonts w:ascii="Times New Roman" w:hAnsi="Times New Roman" w:eastAsia="宋体" w:cs="Times New Roman"/>
          <w:szCs w:val="21"/>
          <w:highlight w:val="none"/>
        </w:rPr>
        <w:t>　　十、本规定自发布之日起执行，原国家经贸委、原国家计委、财政部和国家统计局2003年颁布的《中小企业标准暂行规定》同时废止。</w:t>
      </w:r>
    </w:p>
    <w:bookmarkEnd w:id="1121"/>
    <w:p>
      <w:pPr>
        <w:rPr>
          <w:rFonts w:hint="eastAsia" w:ascii="Times New Roman" w:hAnsi="Times New Roman" w:eastAsia="宋体" w:cs="Times New Roman"/>
          <w:highlight w:val="none"/>
        </w:rPr>
      </w:pPr>
    </w:p>
    <w:p>
      <w:pPr>
        <w:spacing w:line="360" w:lineRule="auto"/>
        <w:ind w:firstLine="120"/>
        <w:jc w:val="center"/>
        <w:rPr>
          <w:rFonts w:ascii="宋体" w:hAnsi="宋体" w:eastAsia="宋体" w:cs="宋体"/>
          <w:b/>
          <w:bCs/>
          <w:highlight w:val="none"/>
        </w:rPr>
      </w:pPr>
    </w:p>
    <w:p>
      <w:pPr>
        <w:rPr>
          <w:rFonts w:ascii="宋体" w:hAnsi="宋体" w:eastAsia="宋体" w:cs="宋体"/>
          <w:highlight w:val="none"/>
        </w:rPr>
      </w:pPr>
    </w:p>
    <w:p>
      <w:pPr>
        <w:pStyle w:val="97"/>
        <w:ind w:left="0" w:leftChars="0" w:firstLine="0" w:firstLineChars="0"/>
        <w:rPr>
          <w:rFonts w:hint="eastAsia"/>
        </w:rPr>
      </w:pPr>
    </w:p>
    <w:p>
      <w:pPr>
        <w:adjustRightInd w:val="0"/>
        <w:snapToGrid w:val="0"/>
        <w:spacing w:line="360" w:lineRule="auto"/>
        <w:rPr>
          <w:rFonts w:ascii="宋体" w:hAnsi="宋体" w:cs="宋体"/>
          <w:highlight w:val="none"/>
        </w:rPr>
      </w:pPr>
    </w:p>
    <w:sectPr>
      <w:headerReference r:id="rId11" w:type="default"/>
      <w:footerReference r:id="rId12" w:type="default"/>
      <w:type w:val="nextColumn"/>
      <w:pgSz w:w="11906" w:h="16838"/>
      <w:pgMar w:top="1247" w:right="1588" w:bottom="1418" w:left="1588" w:header="851" w:footer="992" w:gutter="0"/>
      <w:cols w:space="720" w:num="1"/>
      <w:docGrid w:linePitch="312" w:charSpace="0"/>
    </w:sectPr>
  </w:body>
</w:document>
</file>

<file path=word/customizations.xml><?xml version="1.0" encoding="utf-8"?>
<wne:tcg xmlns:r="http://schemas.openxmlformats.org/officeDocument/2006/relationships" xmlns:wne="http://schemas.microsoft.com/office/word/2006/wordml">
  <wne:keymaps>
    <wne:keymap wne:kcmPrimary="0250" wne:mask="1"/>
    <wne:keymap wne:kcmPrimary="0253" wne:mask="1"/>
  </wne:keymaps>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
    <w:altName w:val="Times New Roman"/>
    <w:panose1 w:val="00000000000000000000"/>
    <w:charset w:val="00"/>
    <w:family w:val="roman"/>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00000" w:csb1="00000000"/>
  </w:font>
  <w:font w:name="StarSymbol">
    <w:altName w:val="微软雅黑"/>
    <w:panose1 w:val="00000000000000000000"/>
    <w:charset w:val="02"/>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Arial Black">
    <w:panose1 w:val="020B0A04020102020204"/>
    <w:charset w:val="00"/>
    <w:family w:val="swiss"/>
    <w:pitch w:val="default"/>
    <w:sig w:usb0="A00002AF" w:usb1="400078FB" w:usb2="00000000" w:usb3="00000000" w:csb0="6000009F" w:csb1="DFD7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AR PL ShanHeiSun Uni">
    <w:altName w:val="Arial"/>
    <w:panose1 w:val="00000000000000000000"/>
    <w:charset w:val="00"/>
    <w:family w:val="swiss"/>
    <w:pitch w:val="default"/>
    <w:sig w:usb0="00000000" w:usb1="00000000" w:usb2="00000000" w:usb3="00000000" w:csb0="00040001" w:csb1="00000000"/>
  </w:font>
  <w:font w:name="..">
    <w:altName w:val="宋体"/>
    <w:panose1 w:val="00000000000000000000"/>
    <w:charset w:val="86"/>
    <w:family w:val="auto"/>
    <w:pitch w:val="default"/>
    <w:sig w:usb0="00000000" w:usb1="00000000" w:usb2="00000010" w:usb3="00000000" w:csb0="00040000" w:csb1="00000000"/>
  </w:font>
  <w:font w:name="Helvetica-Condensed-Bold">
    <w:altName w:val="黑体"/>
    <w:panose1 w:val="00000000000000000000"/>
    <w:charset w:val="86"/>
    <w:family w:val="auto"/>
    <w:pitch w:val="default"/>
    <w:sig w:usb0="00000000" w:usb1="00000000" w:usb2="00000010" w:usb3="00000000" w:csb0="00040000" w:csb1="00000000"/>
  </w:font>
  <w:font w:name="Segoe UI">
    <w:panose1 w:val="020B0502040204020203"/>
    <w:charset w:val="00"/>
    <w:family w:val="swiss"/>
    <w:pitch w:val="default"/>
    <w:sig w:usb0="E4002EFF" w:usb1="C000E47F"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framePr w:wrap="around" w:vAnchor="text" w:hAnchor="margin" w:xAlign="center" w:y="1"/>
      <w:rPr>
        <w:rStyle w:val="92"/>
      </w:rPr>
    </w:pPr>
    <w:r>
      <w:fldChar w:fldCharType="begin"/>
    </w:r>
    <w:r>
      <w:rPr>
        <w:rStyle w:val="92"/>
      </w:rPr>
      <w:instrText xml:space="preserve">PAGE  </w:instrText>
    </w:r>
    <w:r>
      <w:fldChar w:fldCharType="end"/>
    </w:r>
  </w:p>
  <w:p>
    <w:pPr>
      <w:pStyle w:val="5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adjustRightInd w:val="0"/>
      <w:snapToGrid w:val="0"/>
      <w:rPr>
        <w:rFonts w:ascii="宋体" w:hAnsi="宋体"/>
        <w:sz w:val="18"/>
        <w:szCs w:val="18"/>
      </w:rPr>
    </w:pPr>
    <w:r>
      <w:rPr>
        <w:rFonts w:hint="eastAsia" w:ascii="宋体" w:hAnsi="宋体"/>
        <w:sz w:val="18"/>
        <w:szCs w:val="18"/>
        <w:lang w:eastAsia="zh-CN"/>
      </w:rPr>
      <w:t>中南民族大学</w:t>
    </w:r>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rPr>
      <w:t>4</w:t>
    </w:r>
    <w:r>
      <w:rPr>
        <w:rFonts w:ascii="宋体" w:hAnsi="宋体"/>
        <w:sz w:val="18"/>
        <w:szCs w:val="18"/>
      </w:rPr>
      <w:fldChar w:fldCharType="end"/>
    </w:r>
    <w:r>
      <w:rPr>
        <w:rFonts w:hint="eastAsia" w:ascii="宋体" w:hAnsi="宋体"/>
        <w:sz w:val="18"/>
        <w:szCs w:val="18"/>
      </w:rPr>
      <w:t xml:space="preserve">          </w:t>
    </w:r>
    <w:r>
      <w:rPr>
        <w:rFonts w:hint="eastAsia" w:ascii="宋体" w:hAnsi="宋体"/>
        <w:sz w:val="18"/>
        <w:szCs w:val="18"/>
        <w:lang w:val="en-US" w:eastAsia="zh-CN"/>
      </w:rPr>
      <w:t xml:space="preserve">   </w:t>
    </w:r>
    <w:r>
      <w:rPr>
        <w:rFonts w:hint="eastAsia" w:ascii="宋体" w:hAnsi="宋体"/>
        <w:sz w:val="18"/>
        <w:szCs w:val="18"/>
      </w:rPr>
      <w:t xml:space="preserve">    </w:t>
    </w:r>
    <w:r>
      <w:rPr>
        <w:rFonts w:hint="eastAsia" w:ascii="宋体" w:hAnsi="宋体"/>
        <w:sz w:val="18"/>
        <w:szCs w:val="18"/>
        <w:lang w:val="en-US" w:eastAsia="zh-CN"/>
      </w:rPr>
      <w:t xml:space="preserve">    </w:t>
    </w:r>
    <w:r>
      <w:rPr>
        <w:rFonts w:hint="eastAsia" w:ascii="宋体" w:hAnsi="宋体"/>
        <w:sz w:val="18"/>
        <w:szCs w:val="18"/>
      </w:rPr>
      <w:t>湖北省招标股份有限公司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rPr>
        <w:rStyle w:val="92"/>
      </w:rPr>
    </w:pPr>
    <w:r>
      <w:fldChar w:fldCharType="begin"/>
    </w:r>
    <w:r>
      <w:rPr>
        <w:rStyle w:val="92"/>
      </w:rPr>
      <w:instrText xml:space="preserve">PAGE  </w:instrText>
    </w:r>
    <w:r>
      <w:fldChar w:fldCharType="separate"/>
    </w:r>
    <w:r>
      <w:rPr>
        <w:rStyle w:val="92"/>
      </w:rPr>
      <w:t>56</w:t>
    </w:r>
    <w:r>
      <w:fldChar w:fldCharType="end"/>
    </w:r>
  </w:p>
  <w:p>
    <w:pPr>
      <w:pBdr>
        <w:top w:val="single" w:color="auto" w:sz="4" w:space="1"/>
      </w:pBdr>
      <w:adjustRightInd w:val="0"/>
      <w:snapToGrid w:val="0"/>
      <w:ind w:left="180" w:right="540" w:hanging="180" w:hangingChars="100"/>
      <w:jc w:val="left"/>
      <w:rPr>
        <w:rFonts w:ascii="宋体" w:hAnsi="宋体"/>
        <w:sz w:val="18"/>
        <w:szCs w:val="18"/>
      </w:rPr>
    </w:pPr>
    <w:r>
      <w:rPr>
        <w:rFonts w:hint="eastAsia" w:ascii="宋体" w:hAnsi="宋体"/>
        <w:sz w:val="18"/>
        <w:szCs w:val="18"/>
        <w:lang w:eastAsia="zh-CN"/>
      </w:rPr>
      <w:t>中南民族大学</w:t>
    </w:r>
    <w:r>
      <w:rPr>
        <w:rFonts w:hint="eastAsia" w:ascii="宋体" w:hAnsi="宋体"/>
        <w:sz w:val="18"/>
        <w:szCs w:val="18"/>
      </w:rPr>
      <w:t xml:space="preserve">            </w:t>
    </w:r>
    <w:r>
      <w:rPr>
        <w:rFonts w:hint="eastAsia" w:ascii="宋体" w:hAnsi="宋体"/>
        <w:sz w:val="18"/>
        <w:szCs w:val="18"/>
        <w:lang w:val="en-US" w:eastAsia="zh-CN"/>
      </w:rPr>
      <w:t xml:space="preserve">                                  </w:t>
    </w:r>
    <w:r>
      <w:rPr>
        <w:rFonts w:hint="eastAsia" w:ascii="宋体" w:hAnsi="宋体"/>
        <w:sz w:val="18"/>
        <w:szCs w:val="18"/>
      </w:rPr>
      <w:t xml:space="preserve">           湖北省招标股份有限公司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widowControl w:val="0"/>
      <w:snapToGrid w:val="0"/>
      <w:jc w:val="left"/>
      <w:rPr>
        <w:rStyle w:val="92"/>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Style w:val="92"/>
        <w:rFonts w:ascii="Times New Roman" w:hAnsi="Times New Roman" w:eastAsia="宋体" w:cs="Times New Roman"/>
        <w:kern w:val="2"/>
        <w:sz w:val="18"/>
        <w:szCs w:val="18"/>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end"/>
    </w:r>
  </w:p>
  <w:p>
    <w:pPr>
      <w:widowControl w:val="0"/>
      <w:snapToGrid w:val="0"/>
      <w:jc w:val="left"/>
      <w:rPr>
        <w:rFonts w:ascii="Times New Roman" w:hAnsi="Times New Roman"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0"/>
      </w:pBdr>
      <w:adjustRightInd w:v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ascii="宋体" w:hAnsi="宋体"/>
        <w:sz w:val="18"/>
        <w:szCs w:val="18"/>
        <w:u w:val="single"/>
      </w:rPr>
    </w:pPr>
    <w:r>
      <w:rPr>
        <w:rFonts w:hint="eastAsia" w:ascii="宋体" w:hAnsi="宋体"/>
        <w:color w:val="000000"/>
        <w:sz w:val="18"/>
        <w:szCs w:val="18"/>
        <w:u w:val="single"/>
        <w:lang w:val="en-US" w:eastAsia="zh-CN"/>
      </w:rPr>
      <w:t xml:space="preserve">                              </w:t>
    </w:r>
    <w:r>
      <w:rPr>
        <w:rFonts w:hint="eastAsia" w:ascii="宋体" w:hAnsi="宋体"/>
        <w:color w:val="000000"/>
        <w:sz w:val="18"/>
        <w:szCs w:val="18"/>
        <w:u w:val="single"/>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top w:val="none" w:color="auto" w:sz="0" w:space="0"/>
        <w:left w:val="none" w:color="auto" w:sz="0" w:space="0"/>
        <w:bottom w:val="none" w:color="auto" w:sz="0" w:space="1"/>
        <w:right w:val="none" w:color="auto" w:sz="0" w:space="0"/>
        <w:between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3D64A9"/>
    <w:multiLevelType w:val="singleLevel"/>
    <w:tmpl w:val="823D64A9"/>
    <w:lvl w:ilvl="0" w:tentative="0">
      <w:start w:val="1"/>
      <w:numFmt w:val="decimal"/>
      <w:suff w:val="nothing"/>
      <w:lvlText w:val="%1、"/>
      <w:lvlJc w:val="left"/>
    </w:lvl>
  </w:abstractNum>
  <w:abstractNum w:abstractNumId="1">
    <w:nsid w:val="E271613B"/>
    <w:multiLevelType w:val="singleLevel"/>
    <w:tmpl w:val="E271613B"/>
    <w:lvl w:ilvl="0" w:tentative="0">
      <w:start w:val="5"/>
      <w:numFmt w:val="decimal"/>
      <w:suff w:val="nothing"/>
      <w:lvlText w:val="%1）"/>
      <w:lvlJc w:val="left"/>
    </w:lvl>
  </w:abstractNum>
  <w:abstractNum w:abstractNumId="2">
    <w:nsid w:val="E6369D56"/>
    <w:multiLevelType w:val="singleLevel"/>
    <w:tmpl w:val="E6369D56"/>
    <w:lvl w:ilvl="0" w:tentative="0">
      <w:start w:val="1"/>
      <w:numFmt w:val="decimal"/>
      <w:suff w:val="nothing"/>
      <w:lvlText w:val="%1、"/>
      <w:lvlJc w:val="left"/>
    </w:lvl>
  </w:abstractNum>
  <w:abstractNum w:abstractNumId="3">
    <w:nsid w:val="F3B6E2EF"/>
    <w:multiLevelType w:val="singleLevel"/>
    <w:tmpl w:val="F3B6E2EF"/>
    <w:lvl w:ilvl="0" w:tentative="0">
      <w:start w:val="5"/>
      <w:numFmt w:val="chineseCounting"/>
      <w:suff w:val="nothing"/>
      <w:lvlText w:val="（%1）"/>
      <w:lvlJc w:val="left"/>
      <w:rPr>
        <w:rFonts w:hint="eastAsia"/>
      </w:rPr>
    </w:lvl>
  </w:abstractNum>
  <w:abstractNum w:abstractNumId="4">
    <w:nsid w:val="00000006"/>
    <w:multiLevelType w:val="multilevel"/>
    <w:tmpl w:val="00000006"/>
    <w:lvl w:ilvl="0" w:tentative="0">
      <w:start w:val="1"/>
      <w:numFmt w:val="decimal"/>
      <w:lvlText w:val="%1、"/>
      <w:lvlJc w:val="left"/>
      <w:pPr>
        <w:tabs>
          <w:tab w:val="left" w:pos="851"/>
        </w:tabs>
        <w:ind w:left="851" w:hanging="851"/>
      </w:pPr>
      <w:rPr>
        <w:rFonts w:ascii="Times New Roman" w:hAnsi="Times New Roman" w:eastAsia="宋体" w:cs="Times New Roman"/>
        <w:b/>
        <w:i w:val="0"/>
        <w:sz w:val="24"/>
      </w:rPr>
    </w:lvl>
    <w:lvl w:ilvl="1" w:tentative="0">
      <w:start w:val="1"/>
      <w:numFmt w:val="decimal"/>
      <w:lvlText w:val="%1.%2"/>
      <w:lvlJc w:val="left"/>
      <w:pPr>
        <w:tabs>
          <w:tab w:val="left" w:pos="851"/>
        </w:tabs>
        <w:ind w:left="851" w:hanging="851"/>
      </w:pPr>
      <w:rPr>
        <w:rFonts w:hint="eastAsia" w:ascii="宋体" w:eastAsia="宋体"/>
        <w:b w:val="0"/>
        <w:i w:val="0"/>
        <w:sz w:val="24"/>
      </w:rPr>
    </w:lvl>
    <w:lvl w:ilvl="2" w:tentative="0">
      <w:start w:val="1"/>
      <w:numFmt w:val="decimal"/>
      <w:lvlText w:val="%1.%2.%3"/>
      <w:lvlJc w:val="left"/>
      <w:pPr>
        <w:tabs>
          <w:tab w:val="left" w:pos="851"/>
        </w:tabs>
        <w:ind w:left="851" w:hanging="851"/>
      </w:pPr>
      <w:rPr>
        <w:rFonts w:hint="eastAsia" w:ascii="宋体" w:eastAsia="宋体"/>
        <w:b w:val="0"/>
        <w:i w:val="0"/>
        <w:sz w:val="24"/>
      </w:rPr>
    </w:lvl>
    <w:lvl w:ilvl="3" w:tentative="0">
      <w:start w:val="1"/>
      <w:numFmt w:val="decimal"/>
      <w:lvlText w:val="%1.%2.%3.%4"/>
      <w:lvlJc w:val="left"/>
      <w:pPr>
        <w:tabs>
          <w:tab w:val="left" w:pos="1134"/>
        </w:tabs>
        <w:ind w:left="1134" w:hanging="1134"/>
      </w:pPr>
      <w:rPr>
        <w:rFonts w:hint="eastAsia" w:ascii="宋体" w:eastAsia="宋体"/>
        <w:b w:val="0"/>
        <w:i w:val="0"/>
        <w:sz w:val="24"/>
      </w:rPr>
    </w:lvl>
    <w:lvl w:ilvl="4" w:tentative="0">
      <w:start w:val="1"/>
      <w:numFmt w:val="decimal"/>
      <w:lvlText w:val="%1.%2.%3.%4.%5"/>
      <w:lvlJc w:val="left"/>
      <w:pPr>
        <w:tabs>
          <w:tab w:val="left" w:pos="1134"/>
        </w:tabs>
        <w:ind w:left="1134" w:hanging="1134"/>
      </w:pPr>
      <w:rPr>
        <w:rFonts w:hint="eastAsia" w:ascii="宋体" w:eastAsia="宋体"/>
        <w:b w:val="0"/>
        <w:i w:val="0"/>
        <w:sz w:val="24"/>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0A"/>
    <w:multiLevelType w:val="multilevel"/>
    <w:tmpl w:val="0000000A"/>
    <w:lvl w:ilvl="0" w:tentative="0">
      <w:start w:val="1"/>
      <w:numFmt w:val="japaneseCounting"/>
      <w:lvlText w:val="第%1章"/>
      <w:lvlJc w:val="left"/>
      <w:pPr>
        <w:tabs>
          <w:tab w:val="left" w:pos="0"/>
        </w:tabs>
        <w:ind w:left="0" w:firstLine="0"/>
      </w:pPr>
      <w:rPr>
        <w:rFonts w:hint="eastAsia" w:ascii="宋体" w:hAnsi="宋体" w:eastAsia="宋体"/>
        <w:b/>
        <w:i w:val="0"/>
        <w:sz w:val="32"/>
        <w:szCs w:val="32"/>
      </w:rPr>
    </w:lvl>
    <w:lvl w:ilvl="1" w:tentative="0">
      <w:start w:val="1"/>
      <w:numFmt w:val="chineseCountingThousand"/>
      <w:lvlText w:val="%2、"/>
      <w:lvlJc w:val="left"/>
      <w:pPr>
        <w:tabs>
          <w:tab w:val="left" w:pos="680"/>
        </w:tabs>
        <w:ind w:left="680" w:hanging="680"/>
      </w:pPr>
      <w:rPr>
        <w:rFonts w:hint="eastAsia" w:ascii="宋体" w:eastAsia="宋体"/>
        <w:b/>
        <w:i w:val="0"/>
        <w:sz w:val="24"/>
        <w:szCs w:val="24"/>
      </w:rPr>
    </w:lvl>
    <w:lvl w:ilvl="2" w:tentative="0">
      <w:start w:val="1"/>
      <w:numFmt w:val="decimal"/>
      <w:lvlText w:val="（%3）"/>
      <w:lvlJc w:val="left"/>
      <w:pPr>
        <w:tabs>
          <w:tab w:val="left" w:pos="1560"/>
        </w:tabs>
        <w:ind w:left="1560" w:hanging="720"/>
      </w:pPr>
      <w:rPr>
        <w:rFonts w:hint="default"/>
      </w:rPr>
    </w:lvl>
    <w:lvl w:ilvl="3" w:tentative="0">
      <w:start w:val="1"/>
      <w:numFmt w:val="decimal"/>
      <w:lvlText w:val="%4."/>
      <w:lvlJc w:val="left"/>
      <w:pPr>
        <w:tabs>
          <w:tab w:val="left" w:pos="874"/>
        </w:tabs>
        <w:ind w:left="874" w:hanging="420"/>
      </w:pPr>
      <w:rPr>
        <w:rFonts w:hint="eastAsia"/>
        <w:b/>
        <w:i w:val="0"/>
        <w:sz w:val="32"/>
        <w:szCs w:val="32"/>
      </w:rPr>
    </w:lvl>
    <w:lvl w:ilvl="4" w:tentative="0">
      <w:start w:val="1"/>
      <w:numFmt w:val="decimal"/>
      <w:lvlText w:val="%5）"/>
      <w:lvlJc w:val="left"/>
      <w:pPr>
        <w:tabs>
          <w:tab w:val="left" w:pos="851"/>
        </w:tabs>
        <w:ind w:left="964" w:hanging="284"/>
      </w:pPr>
      <w:rPr>
        <w:rFonts w:hint="default"/>
        <w:b w:val="0"/>
        <w:i w:val="0"/>
        <w:sz w:val="24"/>
        <w:szCs w:val="24"/>
      </w:rPr>
    </w:lvl>
    <w:lvl w:ilvl="5" w:tentative="0">
      <w:start w:val="1"/>
      <w:numFmt w:val="lowerLetter"/>
      <w:lvlText w:val="%6、"/>
      <w:lvlJc w:val="left"/>
      <w:pPr>
        <w:tabs>
          <w:tab w:val="left" w:pos="2460"/>
        </w:tabs>
        <w:ind w:left="2460" w:hanging="360"/>
      </w:pPr>
      <w:rPr>
        <w:rFonts w:hint="default"/>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1"/>
    <w:multiLevelType w:val="multilevel"/>
    <w:tmpl w:val="00000011"/>
    <w:lvl w:ilvl="0" w:tentative="0">
      <w:start w:val="1"/>
      <w:numFmt w:val="decimal"/>
      <w:pStyle w:val="288"/>
      <w:lvlText w:val="%1."/>
      <w:lvlJc w:val="left"/>
      <w:pPr>
        <w:tabs>
          <w:tab w:val="left" w:pos="420"/>
        </w:tabs>
        <w:ind w:left="430" w:hanging="430"/>
      </w:pPr>
      <w:rPr>
        <w:rFonts w:hint="eastAsia"/>
      </w:rPr>
    </w:lvl>
    <w:lvl w:ilvl="1" w:tentative="0">
      <w:start w:val="1"/>
      <w:numFmt w:val="decimal"/>
      <w:lvlText w:val="%1.%2"/>
      <w:lvlJc w:val="left"/>
      <w:pPr>
        <w:tabs>
          <w:tab w:val="left" w:pos="700"/>
        </w:tabs>
        <w:ind w:left="700" w:hanging="700"/>
      </w:pPr>
      <w:rPr>
        <w:rFonts w:hint="eastAsia"/>
        <w:lang w:val="en-GB"/>
      </w:rPr>
    </w:lvl>
    <w:lvl w:ilvl="2" w:tentative="0">
      <w:start w:val="1"/>
      <w:numFmt w:val="decimal"/>
      <w:pStyle w:val="321"/>
      <w:lvlText w:val="%1.%2.%3"/>
      <w:lvlJc w:val="left"/>
      <w:pPr>
        <w:tabs>
          <w:tab w:val="left" w:pos="1000"/>
        </w:tabs>
        <w:ind w:left="1000" w:hanging="1000"/>
      </w:pPr>
      <w:rPr>
        <w:rFonts w:hint="eastAsia"/>
      </w:rPr>
    </w:lvl>
    <w:lvl w:ilvl="3" w:tentative="0">
      <w:start w:val="1"/>
      <w:numFmt w:val="decimal"/>
      <w:lvlText w:val="%1.%2.%3.%4"/>
      <w:lvlJc w:val="left"/>
      <w:pPr>
        <w:tabs>
          <w:tab w:val="left" w:pos="0"/>
        </w:tabs>
        <w:ind w:left="1984" w:hanging="1984"/>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00000013"/>
    <w:multiLevelType w:val="multilevel"/>
    <w:tmpl w:val="00000013"/>
    <w:lvl w:ilvl="0" w:tentative="0">
      <w:start w:val="1"/>
      <w:numFmt w:val="ideographDigital"/>
      <w:pStyle w:val="21"/>
      <w:suff w:val="space"/>
      <w:lvlText w:val="第%1章 "/>
      <w:lvlJc w:val="left"/>
      <w:pPr>
        <w:ind w:left="0" w:firstLine="0"/>
      </w:pPr>
      <w:rPr>
        <w:rFonts w:hint="eastAsia"/>
        <w:b/>
      </w:rPr>
    </w:lvl>
    <w:lvl w:ilvl="1" w:tentative="0">
      <w:start w:val="1"/>
      <w:numFmt w:val="decimal"/>
      <w:isLgl/>
      <w:suff w:val="space"/>
      <w:lvlText w:val="%1.%2 "/>
      <w:lvlJc w:val="left"/>
      <w:pPr>
        <w:ind w:left="567" w:hanging="567"/>
      </w:pPr>
      <w:rPr>
        <w:rFonts w:hint="default" w:ascii="Times New Roman" w:hAnsi="Times New Roman"/>
      </w:rPr>
    </w:lvl>
    <w:lvl w:ilvl="2" w:tentative="0">
      <w:start w:val="1"/>
      <w:numFmt w:val="decimal"/>
      <w:isLgl/>
      <w:suff w:val="space"/>
      <w:lvlText w:val="%1.%2.%3 "/>
      <w:lvlJc w:val="left"/>
      <w:pPr>
        <w:ind w:left="567" w:hanging="567"/>
      </w:pPr>
      <w:rPr>
        <w:rFonts w:hint="eastAsia"/>
      </w:rPr>
    </w:lvl>
    <w:lvl w:ilvl="3" w:tentative="0">
      <w:start w:val="1"/>
      <w:numFmt w:val="decimal"/>
      <w:isLgl/>
      <w:lvlText w:val="%1.%2.%3.%4 "/>
      <w:lvlJc w:val="left"/>
      <w:rPr>
        <w:rFonts w:hint="eastAsia" w:ascii="Times New Roman" w:hAnsi="Times New Roman" w:cs="Times New Roman"/>
        <w:b w:val="0"/>
        <w:i w:val="0"/>
        <w:iCs w:val="0"/>
        <w:caps w:val="0"/>
        <w:smallCaps w:val="0"/>
        <w:strike w:val="0"/>
        <w:dstrike w:val="0"/>
        <w:vanish w:val="0"/>
        <w:spacing w:val="0"/>
        <w:position w:val="0"/>
        <w:u w:val="none"/>
        <w:vertAlign w:val="baseline"/>
      </w:rPr>
    </w:lvl>
    <w:lvl w:ilvl="4" w:tentative="0">
      <w:start w:val="1"/>
      <w:numFmt w:val="decimal"/>
      <w:isLgl/>
      <w:suff w:val="space"/>
      <w:lvlText w:val="%1.%2.%3.%4.%5 "/>
      <w:lvlJc w:val="left"/>
      <w:pPr>
        <w:ind w:left="567" w:hanging="567"/>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8">
    <w:nsid w:val="0C2D483C"/>
    <w:multiLevelType w:val="multilevel"/>
    <w:tmpl w:val="0C2D483C"/>
    <w:lvl w:ilvl="0" w:tentative="0">
      <w:start w:val="1"/>
      <w:numFmt w:val="decimal"/>
      <w:lvlText w:val="%1."/>
      <w:lvlJc w:val="left"/>
      <w:pPr>
        <w:tabs>
          <w:tab w:val="left" w:pos="720"/>
        </w:tabs>
        <w:ind w:left="720" w:hanging="360"/>
      </w:pPr>
      <w:rPr>
        <w:rFonts w:hint="eastAsia"/>
      </w:rPr>
    </w:lvl>
    <w:lvl w:ilvl="1" w:tentative="0">
      <w:start w:val="1"/>
      <w:numFmt w:val="decimal"/>
      <w:lvlText w:val="%2."/>
      <w:lvlJc w:val="left"/>
      <w:pPr>
        <w:tabs>
          <w:tab w:val="left" w:pos="1140"/>
        </w:tabs>
        <w:ind w:left="1140" w:hanging="360"/>
      </w:pPr>
      <w:rPr>
        <w:rFonts w:hint="eastAsia"/>
      </w:rPr>
    </w:lvl>
    <w:lvl w:ilvl="2" w:tentative="0">
      <w:start w:val="1"/>
      <w:numFmt w:val="japaneseCounting"/>
      <w:lvlText w:val="%3、"/>
      <w:lvlJc w:val="left"/>
      <w:pPr>
        <w:tabs>
          <w:tab w:val="left" w:pos="1560"/>
        </w:tabs>
        <w:ind w:left="1560" w:hanging="360"/>
      </w:pPr>
      <w:rPr>
        <w:rFonts w:hint="eastAsia"/>
      </w:rPr>
    </w:lvl>
    <w:lvl w:ilvl="3" w:tentative="0">
      <w:start w:val="1"/>
      <w:numFmt w:val="decimal"/>
      <w:lvlText w:val="%4."/>
      <w:lvlJc w:val="left"/>
      <w:pPr>
        <w:tabs>
          <w:tab w:val="left" w:pos="2040"/>
        </w:tabs>
        <w:ind w:left="2040" w:hanging="420"/>
      </w:pPr>
    </w:lvl>
    <w:lvl w:ilvl="4" w:tentative="0">
      <w:start w:val="1"/>
      <w:numFmt w:val="decimal"/>
      <w:lvlText w:val="（%5）"/>
      <w:lvlJc w:val="left"/>
      <w:pPr>
        <w:tabs>
          <w:tab w:val="left" w:pos="2760"/>
        </w:tabs>
        <w:ind w:left="2760" w:hanging="720"/>
      </w:pPr>
      <w:rPr>
        <w:rFonts w:hint="eastAsia"/>
      </w:r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9">
    <w:nsid w:val="1DCF3670"/>
    <w:multiLevelType w:val="multilevel"/>
    <w:tmpl w:val="1DCF367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22793F4C"/>
    <w:multiLevelType w:val="multilevel"/>
    <w:tmpl w:val="22793F4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AE1B900"/>
    <w:multiLevelType w:val="singleLevel"/>
    <w:tmpl w:val="2AE1B900"/>
    <w:lvl w:ilvl="0" w:tentative="0">
      <w:start w:val="1"/>
      <w:numFmt w:val="decimal"/>
      <w:suff w:val="nothing"/>
      <w:lvlText w:val="%1、"/>
      <w:lvlJc w:val="left"/>
    </w:lvl>
  </w:abstractNum>
  <w:abstractNum w:abstractNumId="12">
    <w:nsid w:val="2BB1521E"/>
    <w:multiLevelType w:val="multilevel"/>
    <w:tmpl w:val="2BB1521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3A0105B5"/>
    <w:multiLevelType w:val="multilevel"/>
    <w:tmpl w:val="3A0105B5"/>
    <w:lvl w:ilvl="0" w:tentative="0">
      <w:start w:val="1"/>
      <w:numFmt w:val="decimal"/>
      <w:lvlText w:val="%1."/>
      <w:lvlJc w:val="left"/>
      <w:pPr>
        <w:tabs>
          <w:tab w:val="left" w:pos="720"/>
        </w:tabs>
        <w:ind w:left="720" w:hanging="360"/>
      </w:pPr>
      <w:rPr>
        <w:rFonts w:hint="eastAsia"/>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4">
    <w:nsid w:val="4FE36F1A"/>
    <w:multiLevelType w:val="multilevel"/>
    <w:tmpl w:val="4FE36F1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4872D77"/>
    <w:multiLevelType w:val="multilevel"/>
    <w:tmpl w:val="74872D77"/>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7D1B59F0"/>
    <w:multiLevelType w:val="multilevel"/>
    <w:tmpl w:val="7D1B59F0"/>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num w:numId="1">
    <w:abstractNumId w:val="7"/>
  </w:num>
  <w:num w:numId="2">
    <w:abstractNumId w:val="6"/>
  </w:num>
  <w:num w:numId="3">
    <w:abstractNumId w:val="5"/>
  </w:num>
  <w:num w:numId="4">
    <w:abstractNumId w:val="16"/>
  </w:num>
  <w:num w:numId="5">
    <w:abstractNumId w:val="1"/>
  </w:num>
  <w:num w:numId="6">
    <w:abstractNumId w:val="11"/>
  </w:num>
  <w:num w:numId="7">
    <w:abstractNumId w:val="0"/>
  </w:num>
  <w:num w:numId="8">
    <w:abstractNumId w:val="2"/>
  </w:num>
  <w:num w:numId="9">
    <w:abstractNumId w:val="14"/>
  </w:num>
  <w:num w:numId="10">
    <w:abstractNumId w:val="9"/>
  </w:num>
  <w:num w:numId="11">
    <w:abstractNumId w:val="10"/>
  </w:num>
  <w:num w:numId="12">
    <w:abstractNumId w:val="12"/>
  </w:num>
  <w:num w:numId="13">
    <w:abstractNumId w:val="8"/>
  </w:num>
  <w:num w:numId="14">
    <w:abstractNumId w:val="13"/>
  </w:num>
  <w:num w:numId="15">
    <w:abstractNumId w:val="15"/>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gutterAtTop/>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JhZDNiNDVlNzcxZWZhODYyNGVjZjE1YTNhYjI1MjUifQ=="/>
    <w:docVar w:name="KSO_WPS_MARK_KEY" w:val="b062da0d-97e0-499d-a315-7b2841500da2"/>
  </w:docVars>
  <w:rsids>
    <w:rsidRoot w:val="00172A27"/>
    <w:rsid w:val="00001188"/>
    <w:rsid w:val="00001E51"/>
    <w:rsid w:val="00001E7B"/>
    <w:rsid w:val="00002603"/>
    <w:rsid w:val="00003654"/>
    <w:rsid w:val="00004CB1"/>
    <w:rsid w:val="00005C15"/>
    <w:rsid w:val="00006AB9"/>
    <w:rsid w:val="00007A5F"/>
    <w:rsid w:val="00010555"/>
    <w:rsid w:val="00011264"/>
    <w:rsid w:val="00012964"/>
    <w:rsid w:val="00012F13"/>
    <w:rsid w:val="0001387A"/>
    <w:rsid w:val="0001391A"/>
    <w:rsid w:val="00014AE8"/>
    <w:rsid w:val="00015086"/>
    <w:rsid w:val="00016A92"/>
    <w:rsid w:val="00020C9A"/>
    <w:rsid w:val="00021531"/>
    <w:rsid w:val="00022CC4"/>
    <w:rsid w:val="00022CC7"/>
    <w:rsid w:val="00023B7A"/>
    <w:rsid w:val="00023DA6"/>
    <w:rsid w:val="00025098"/>
    <w:rsid w:val="000260A7"/>
    <w:rsid w:val="00026AE7"/>
    <w:rsid w:val="00026E62"/>
    <w:rsid w:val="00030AE0"/>
    <w:rsid w:val="00032747"/>
    <w:rsid w:val="00033457"/>
    <w:rsid w:val="0003551E"/>
    <w:rsid w:val="00036CF1"/>
    <w:rsid w:val="000372C8"/>
    <w:rsid w:val="00037389"/>
    <w:rsid w:val="00037DC4"/>
    <w:rsid w:val="00041387"/>
    <w:rsid w:val="00041B4F"/>
    <w:rsid w:val="00042266"/>
    <w:rsid w:val="00042E83"/>
    <w:rsid w:val="00043206"/>
    <w:rsid w:val="00044019"/>
    <w:rsid w:val="00045AFA"/>
    <w:rsid w:val="000463E3"/>
    <w:rsid w:val="0004662A"/>
    <w:rsid w:val="00046EB4"/>
    <w:rsid w:val="0004798E"/>
    <w:rsid w:val="000479AD"/>
    <w:rsid w:val="00047F58"/>
    <w:rsid w:val="000515A0"/>
    <w:rsid w:val="00051FB6"/>
    <w:rsid w:val="000536AF"/>
    <w:rsid w:val="00053923"/>
    <w:rsid w:val="000542A1"/>
    <w:rsid w:val="00055E9E"/>
    <w:rsid w:val="000560A4"/>
    <w:rsid w:val="00057912"/>
    <w:rsid w:val="00057C54"/>
    <w:rsid w:val="00057E8F"/>
    <w:rsid w:val="0006266E"/>
    <w:rsid w:val="00062841"/>
    <w:rsid w:val="000629B9"/>
    <w:rsid w:val="00062CE5"/>
    <w:rsid w:val="00064534"/>
    <w:rsid w:val="00064936"/>
    <w:rsid w:val="00066081"/>
    <w:rsid w:val="000660C1"/>
    <w:rsid w:val="000675DF"/>
    <w:rsid w:val="00067C4D"/>
    <w:rsid w:val="00067EC3"/>
    <w:rsid w:val="00070A71"/>
    <w:rsid w:val="000723D6"/>
    <w:rsid w:val="00072DA5"/>
    <w:rsid w:val="00072F4C"/>
    <w:rsid w:val="00074F41"/>
    <w:rsid w:val="00075117"/>
    <w:rsid w:val="000809EB"/>
    <w:rsid w:val="00083949"/>
    <w:rsid w:val="00084FEA"/>
    <w:rsid w:val="0008634A"/>
    <w:rsid w:val="00086CF1"/>
    <w:rsid w:val="000875D1"/>
    <w:rsid w:val="0009110F"/>
    <w:rsid w:val="0009260C"/>
    <w:rsid w:val="00094033"/>
    <w:rsid w:val="00094160"/>
    <w:rsid w:val="00095D99"/>
    <w:rsid w:val="00097010"/>
    <w:rsid w:val="000A342E"/>
    <w:rsid w:val="000A3C8F"/>
    <w:rsid w:val="000A3E8B"/>
    <w:rsid w:val="000A49E7"/>
    <w:rsid w:val="000A554F"/>
    <w:rsid w:val="000A5B3D"/>
    <w:rsid w:val="000A5CD3"/>
    <w:rsid w:val="000B198A"/>
    <w:rsid w:val="000B2139"/>
    <w:rsid w:val="000B2E2B"/>
    <w:rsid w:val="000B4897"/>
    <w:rsid w:val="000B493B"/>
    <w:rsid w:val="000B4D06"/>
    <w:rsid w:val="000B5B64"/>
    <w:rsid w:val="000B6A4D"/>
    <w:rsid w:val="000B6D74"/>
    <w:rsid w:val="000B7348"/>
    <w:rsid w:val="000C03AB"/>
    <w:rsid w:val="000C1B33"/>
    <w:rsid w:val="000C257B"/>
    <w:rsid w:val="000C29BE"/>
    <w:rsid w:val="000C2C6F"/>
    <w:rsid w:val="000C6384"/>
    <w:rsid w:val="000C6D53"/>
    <w:rsid w:val="000C70FE"/>
    <w:rsid w:val="000D0EA9"/>
    <w:rsid w:val="000D1116"/>
    <w:rsid w:val="000D1D0C"/>
    <w:rsid w:val="000D2157"/>
    <w:rsid w:val="000D3312"/>
    <w:rsid w:val="000D3AE1"/>
    <w:rsid w:val="000D59F4"/>
    <w:rsid w:val="000D65A7"/>
    <w:rsid w:val="000D755E"/>
    <w:rsid w:val="000E10FE"/>
    <w:rsid w:val="000E3004"/>
    <w:rsid w:val="000E4727"/>
    <w:rsid w:val="000E55BC"/>
    <w:rsid w:val="000E6C22"/>
    <w:rsid w:val="000E771A"/>
    <w:rsid w:val="000F05A0"/>
    <w:rsid w:val="000F085A"/>
    <w:rsid w:val="000F1102"/>
    <w:rsid w:val="000F35F8"/>
    <w:rsid w:val="000F5456"/>
    <w:rsid w:val="000F5457"/>
    <w:rsid w:val="000F7FF3"/>
    <w:rsid w:val="00100EA6"/>
    <w:rsid w:val="0010137D"/>
    <w:rsid w:val="0010227A"/>
    <w:rsid w:val="00102D7D"/>
    <w:rsid w:val="00105CF0"/>
    <w:rsid w:val="00105EEE"/>
    <w:rsid w:val="00105F08"/>
    <w:rsid w:val="00106986"/>
    <w:rsid w:val="0010698B"/>
    <w:rsid w:val="00106E26"/>
    <w:rsid w:val="00110D8B"/>
    <w:rsid w:val="00111954"/>
    <w:rsid w:val="00113641"/>
    <w:rsid w:val="0011449C"/>
    <w:rsid w:val="00114CDB"/>
    <w:rsid w:val="00114EE8"/>
    <w:rsid w:val="00117475"/>
    <w:rsid w:val="00117859"/>
    <w:rsid w:val="001206AA"/>
    <w:rsid w:val="0012087D"/>
    <w:rsid w:val="001215F2"/>
    <w:rsid w:val="00121F72"/>
    <w:rsid w:val="001223A6"/>
    <w:rsid w:val="00122BF5"/>
    <w:rsid w:val="00122D41"/>
    <w:rsid w:val="00124238"/>
    <w:rsid w:val="0012438A"/>
    <w:rsid w:val="00124AFB"/>
    <w:rsid w:val="00125B86"/>
    <w:rsid w:val="00126135"/>
    <w:rsid w:val="00127F35"/>
    <w:rsid w:val="00130F7C"/>
    <w:rsid w:val="0013152C"/>
    <w:rsid w:val="0013386B"/>
    <w:rsid w:val="00135085"/>
    <w:rsid w:val="001354F4"/>
    <w:rsid w:val="00141781"/>
    <w:rsid w:val="00142988"/>
    <w:rsid w:val="00142EC0"/>
    <w:rsid w:val="00143501"/>
    <w:rsid w:val="001452FF"/>
    <w:rsid w:val="00146392"/>
    <w:rsid w:val="001479D6"/>
    <w:rsid w:val="001521CB"/>
    <w:rsid w:val="00152832"/>
    <w:rsid w:val="00153A55"/>
    <w:rsid w:val="00154483"/>
    <w:rsid w:val="00154544"/>
    <w:rsid w:val="00154E3E"/>
    <w:rsid w:val="00155C1D"/>
    <w:rsid w:val="00156048"/>
    <w:rsid w:val="00160079"/>
    <w:rsid w:val="00161EF2"/>
    <w:rsid w:val="0016253C"/>
    <w:rsid w:val="00162840"/>
    <w:rsid w:val="001648F4"/>
    <w:rsid w:val="001651F6"/>
    <w:rsid w:val="00166BC7"/>
    <w:rsid w:val="00170113"/>
    <w:rsid w:val="00171BD1"/>
    <w:rsid w:val="00172A27"/>
    <w:rsid w:val="001734D8"/>
    <w:rsid w:val="0017432D"/>
    <w:rsid w:val="001748D3"/>
    <w:rsid w:val="00174E86"/>
    <w:rsid w:val="00176A16"/>
    <w:rsid w:val="001775C1"/>
    <w:rsid w:val="0018432B"/>
    <w:rsid w:val="00185870"/>
    <w:rsid w:val="00186AEB"/>
    <w:rsid w:val="0019070F"/>
    <w:rsid w:val="00190CA7"/>
    <w:rsid w:val="001926D0"/>
    <w:rsid w:val="001926FF"/>
    <w:rsid w:val="00192E57"/>
    <w:rsid w:val="001938F2"/>
    <w:rsid w:val="00194841"/>
    <w:rsid w:val="00194F6B"/>
    <w:rsid w:val="001958D7"/>
    <w:rsid w:val="001974F1"/>
    <w:rsid w:val="00197892"/>
    <w:rsid w:val="001A06D4"/>
    <w:rsid w:val="001A6576"/>
    <w:rsid w:val="001A68FA"/>
    <w:rsid w:val="001A6AE4"/>
    <w:rsid w:val="001A6E3A"/>
    <w:rsid w:val="001A7093"/>
    <w:rsid w:val="001A70B8"/>
    <w:rsid w:val="001A7566"/>
    <w:rsid w:val="001A7613"/>
    <w:rsid w:val="001A7D36"/>
    <w:rsid w:val="001B3993"/>
    <w:rsid w:val="001B4E3A"/>
    <w:rsid w:val="001B54CC"/>
    <w:rsid w:val="001B6D7A"/>
    <w:rsid w:val="001C38A5"/>
    <w:rsid w:val="001C4CEC"/>
    <w:rsid w:val="001C507E"/>
    <w:rsid w:val="001C5AC1"/>
    <w:rsid w:val="001C6CB8"/>
    <w:rsid w:val="001D2758"/>
    <w:rsid w:val="001D30E2"/>
    <w:rsid w:val="001D50EC"/>
    <w:rsid w:val="001D632D"/>
    <w:rsid w:val="001D6A95"/>
    <w:rsid w:val="001D7880"/>
    <w:rsid w:val="001E0089"/>
    <w:rsid w:val="001E2235"/>
    <w:rsid w:val="001E2729"/>
    <w:rsid w:val="001E31ED"/>
    <w:rsid w:val="001E3A6E"/>
    <w:rsid w:val="001E40B3"/>
    <w:rsid w:val="001E433B"/>
    <w:rsid w:val="001E455D"/>
    <w:rsid w:val="001E49EB"/>
    <w:rsid w:val="001E61A2"/>
    <w:rsid w:val="001E6CFC"/>
    <w:rsid w:val="001E73C5"/>
    <w:rsid w:val="001E7CBE"/>
    <w:rsid w:val="001F00F5"/>
    <w:rsid w:val="001F07F6"/>
    <w:rsid w:val="001F136A"/>
    <w:rsid w:val="001F3ADA"/>
    <w:rsid w:val="001F453A"/>
    <w:rsid w:val="001F4AFD"/>
    <w:rsid w:val="001F747D"/>
    <w:rsid w:val="001F79EE"/>
    <w:rsid w:val="002017DB"/>
    <w:rsid w:val="00201AB9"/>
    <w:rsid w:val="002024D4"/>
    <w:rsid w:val="00203966"/>
    <w:rsid w:val="00203B3B"/>
    <w:rsid w:val="002045E5"/>
    <w:rsid w:val="002048FF"/>
    <w:rsid w:val="00204994"/>
    <w:rsid w:val="00204BC6"/>
    <w:rsid w:val="0020548C"/>
    <w:rsid w:val="002062B3"/>
    <w:rsid w:val="00206902"/>
    <w:rsid w:val="00207EF6"/>
    <w:rsid w:val="002105A2"/>
    <w:rsid w:val="00210CBB"/>
    <w:rsid w:val="0021143E"/>
    <w:rsid w:val="00212295"/>
    <w:rsid w:val="00212973"/>
    <w:rsid w:val="0021457D"/>
    <w:rsid w:val="00214BC1"/>
    <w:rsid w:val="00215281"/>
    <w:rsid w:val="00215DC6"/>
    <w:rsid w:val="002162A8"/>
    <w:rsid w:val="002165FF"/>
    <w:rsid w:val="002167F3"/>
    <w:rsid w:val="00217552"/>
    <w:rsid w:val="00217560"/>
    <w:rsid w:val="00217BCC"/>
    <w:rsid w:val="00217FF5"/>
    <w:rsid w:val="00221B05"/>
    <w:rsid w:val="002232DB"/>
    <w:rsid w:val="002239ED"/>
    <w:rsid w:val="00223DB1"/>
    <w:rsid w:val="00225662"/>
    <w:rsid w:val="00226250"/>
    <w:rsid w:val="00226967"/>
    <w:rsid w:val="00230054"/>
    <w:rsid w:val="00230E39"/>
    <w:rsid w:val="00232FDF"/>
    <w:rsid w:val="00234398"/>
    <w:rsid w:val="00234DE0"/>
    <w:rsid w:val="002351AA"/>
    <w:rsid w:val="00235270"/>
    <w:rsid w:val="0023541D"/>
    <w:rsid w:val="00236836"/>
    <w:rsid w:val="00236917"/>
    <w:rsid w:val="00236E5E"/>
    <w:rsid w:val="00237E83"/>
    <w:rsid w:val="00237FA5"/>
    <w:rsid w:val="00237FF5"/>
    <w:rsid w:val="00241A31"/>
    <w:rsid w:val="00242F79"/>
    <w:rsid w:val="0024371B"/>
    <w:rsid w:val="0024647F"/>
    <w:rsid w:val="002478B7"/>
    <w:rsid w:val="002478D2"/>
    <w:rsid w:val="002479EF"/>
    <w:rsid w:val="00247D1C"/>
    <w:rsid w:val="002505EF"/>
    <w:rsid w:val="00250B11"/>
    <w:rsid w:val="00251443"/>
    <w:rsid w:val="00251F79"/>
    <w:rsid w:val="002532D7"/>
    <w:rsid w:val="00255ADA"/>
    <w:rsid w:val="00257CB3"/>
    <w:rsid w:val="00260517"/>
    <w:rsid w:val="002624A9"/>
    <w:rsid w:val="002647EA"/>
    <w:rsid w:val="002648B6"/>
    <w:rsid w:val="00264A6B"/>
    <w:rsid w:val="00265E8B"/>
    <w:rsid w:val="00267134"/>
    <w:rsid w:val="00267B68"/>
    <w:rsid w:val="002715D2"/>
    <w:rsid w:val="00271B01"/>
    <w:rsid w:val="00272A61"/>
    <w:rsid w:val="00273D83"/>
    <w:rsid w:val="00275B17"/>
    <w:rsid w:val="00277317"/>
    <w:rsid w:val="00277902"/>
    <w:rsid w:val="0028044D"/>
    <w:rsid w:val="0028065C"/>
    <w:rsid w:val="00282A95"/>
    <w:rsid w:val="00283574"/>
    <w:rsid w:val="0028394E"/>
    <w:rsid w:val="00286550"/>
    <w:rsid w:val="00286B39"/>
    <w:rsid w:val="00287205"/>
    <w:rsid w:val="00291374"/>
    <w:rsid w:val="0029145F"/>
    <w:rsid w:val="002959CB"/>
    <w:rsid w:val="00297CDD"/>
    <w:rsid w:val="002A089C"/>
    <w:rsid w:val="002A0F10"/>
    <w:rsid w:val="002A0F86"/>
    <w:rsid w:val="002A1466"/>
    <w:rsid w:val="002A1645"/>
    <w:rsid w:val="002A18E7"/>
    <w:rsid w:val="002A1F6F"/>
    <w:rsid w:val="002A3C40"/>
    <w:rsid w:val="002A5951"/>
    <w:rsid w:val="002A59AF"/>
    <w:rsid w:val="002A5FAD"/>
    <w:rsid w:val="002B0737"/>
    <w:rsid w:val="002B0FFD"/>
    <w:rsid w:val="002B11BA"/>
    <w:rsid w:val="002B247F"/>
    <w:rsid w:val="002B323C"/>
    <w:rsid w:val="002B36C5"/>
    <w:rsid w:val="002B3C5F"/>
    <w:rsid w:val="002B432E"/>
    <w:rsid w:val="002B4597"/>
    <w:rsid w:val="002B469E"/>
    <w:rsid w:val="002B4E46"/>
    <w:rsid w:val="002B5D26"/>
    <w:rsid w:val="002B7551"/>
    <w:rsid w:val="002C0E6C"/>
    <w:rsid w:val="002C0EB3"/>
    <w:rsid w:val="002C24D2"/>
    <w:rsid w:val="002C311F"/>
    <w:rsid w:val="002C60D3"/>
    <w:rsid w:val="002C65AC"/>
    <w:rsid w:val="002D190F"/>
    <w:rsid w:val="002D1FBE"/>
    <w:rsid w:val="002D280F"/>
    <w:rsid w:val="002D2B2E"/>
    <w:rsid w:val="002D3E75"/>
    <w:rsid w:val="002D54B4"/>
    <w:rsid w:val="002D6671"/>
    <w:rsid w:val="002E00E7"/>
    <w:rsid w:val="002E07C8"/>
    <w:rsid w:val="002E15D7"/>
    <w:rsid w:val="002E2B79"/>
    <w:rsid w:val="002E302A"/>
    <w:rsid w:val="002E438E"/>
    <w:rsid w:val="002E51EB"/>
    <w:rsid w:val="002E6B75"/>
    <w:rsid w:val="002E7A84"/>
    <w:rsid w:val="002E7B50"/>
    <w:rsid w:val="002F0DA8"/>
    <w:rsid w:val="002F19D2"/>
    <w:rsid w:val="002F73C2"/>
    <w:rsid w:val="00301040"/>
    <w:rsid w:val="00301E52"/>
    <w:rsid w:val="00301F15"/>
    <w:rsid w:val="003025E2"/>
    <w:rsid w:val="00302B9A"/>
    <w:rsid w:val="00303148"/>
    <w:rsid w:val="003053D4"/>
    <w:rsid w:val="00306116"/>
    <w:rsid w:val="003065E8"/>
    <w:rsid w:val="003069B7"/>
    <w:rsid w:val="00306B04"/>
    <w:rsid w:val="00307523"/>
    <w:rsid w:val="00310528"/>
    <w:rsid w:val="00310F9A"/>
    <w:rsid w:val="003128CD"/>
    <w:rsid w:val="00312D0A"/>
    <w:rsid w:val="00312D79"/>
    <w:rsid w:val="00312F15"/>
    <w:rsid w:val="00313560"/>
    <w:rsid w:val="00313D21"/>
    <w:rsid w:val="0032084D"/>
    <w:rsid w:val="00320D65"/>
    <w:rsid w:val="00322941"/>
    <w:rsid w:val="00323508"/>
    <w:rsid w:val="003246BD"/>
    <w:rsid w:val="00325693"/>
    <w:rsid w:val="00325742"/>
    <w:rsid w:val="003268EB"/>
    <w:rsid w:val="00326F8D"/>
    <w:rsid w:val="00331AC7"/>
    <w:rsid w:val="00332ECA"/>
    <w:rsid w:val="003349D4"/>
    <w:rsid w:val="00336268"/>
    <w:rsid w:val="00340330"/>
    <w:rsid w:val="003443AD"/>
    <w:rsid w:val="00345B41"/>
    <w:rsid w:val="00345C9C"/>
    <w:rsid w:val="00345D2D"/>
    <w:rsid w:val="003479CE"/>
    <w:rsid w:val="00347F46"/>
    <w:rsid w:val="0035054D"/>
    <w:rsid w:val="00350F26"/>
    <w:rsid w:val="00351126"/>
    <w:rsid w:val="003531A9"/>
    <w:rsid w:val="00353F00"/>
    <w:rsid w:val="0035485E"/>
    <w:rsid w:val="0036137A"/>
    <w:rsid w:val="00361399"/>
    <w:rsid w:val="00362360"/>
    <w:rsid w:val="00363D03"/>
    <w:rsid w:val="00363E35"/>
    <w:rsid w:val="003648E5"/>
    <w:rsid w:val="00364A7D"/>
    <w:rsid w:val="00364C89"/>
    <w:rsid w:val="00365A0D"/>
    <w:rsid w:val="003673AA"/>
    <w:rsid w:val="003677D7"/>
    <w:rsid w:val="00370C6B"/>
    <w:rsid w:val="00371734"/>
    <w:rsid w:val="0037279B"/>
    <w:rsid w:val="00372C3F"/>
    <w:rsid w:val="003770A3"/>
    <w:rsid w:val="003774CE"/>
    <w:rsid w:val="00380970"/>
    <w:rsid w:val="003810F8"/>
    <w:rsid w:val="00381C4F"/>
    <w:rsid w:val="00381D11"/>
    <w:rsid w:val="0038231D"/>
    <w:rsid w:val="0038276E"/>
    <w:rsid w:val="00382BB3"/>
    <w:rsid w:val="00382FC1"/>
    <w:rsid w:val="00383853"/>
    <w:rsid w:val="00383F87"/>
    <w:rsid w:val="00386D93"/>
    <w:rsid w:val="00387B82"/>
    <w:rsid w:val="00387CFD"/>
    <w:rsid w:val="0039039A"/>
    <w:rsid w:val="003904B6"/>
    <w:rsid w:val="00390E3E"/>
    <w:rsid w:val="0039412A"/>
    <w:rsid w:val="00394526"/>
    <w:rsid w:val="003945B9"/>
    <w:rsid w:val="0039480B"/>
    <w:rsid w:val="00394D09"/>
    <w:rsid w:val="00395865"/>
    <w:rsid w:val="00395CA6"/>
    <w:rsid w:val="00395E83"/>
    <w:rsid w:val="00396803"/>
    <w:rsid w:val="00397FEA"/>
    <w:rsid w:val="003A0F7F"/>
    <w:rsid w:val="003A176D"/>
    <w:rsid w:val="003A23D8"/>
    <w:rsid w:val="003A24A7"/>
    <w:rsid w:val="003A40FE"/>
    <w:rsid w:val="003A5BCF"/>
    <w:rsid w:val="003A5BDB"/>
    <w:rsid w:val="003A613D"/>
    <w:rsid w:val="003A6665"/>
    <w:rsid w:val="003A676C"/>
    <w:rsid w:val="003A7069"/>
    <w:rsid w:val="003A7A46"/>
    <w:rsid w:val="003A7AFA"/>
    <w:rsid w:val="003B00BE"/>
    <w:rsid w:val="003B461D"/>
    <w:rsid w:val="003B60D4"/>
    <w:rsid w:val="003B6907"/>
    <w:rsid w:val="003B7179"/>
    <w:rsid w:val="003B71A1"/>
    <w:rsid w:val="003B72B7"/>
    <w:rsid w:val="003B7FDF"/>
    <w:rsid w:val="003C0D4E"/>
    <w:rsid w:val="003C108D"/>
    <w:rsid w:val="003C1217"/>
    <w:rsid w:val="003C16C8"/>
    <w:rsid w:val="003C2576"/>
    <w:rsid w:val="003C2E85"/>
    <w:rsid w:val="003C3816"/>
    <w:rsid w:val="003C633D"/>
    <w:rsid w:val="003C7623"/>
    <w:rsid w:val="003D1031"/>
    <w:rsid w:val="003D209F"/>
    <w:rsid w:val="003D3354"/>
    <w:rsid w:val="003D3CB3"/>
    <w:rsid w:val="003D4044"/>
    <w:rsid w:val="003D4F85"/>
    <w:rsid w:val="003D56F4"/>
    <w:rsid w:val="003E3E31"/>
    <w:rsid w:val="003E4BE1"/>
    <w:rsid w:val="003E5C76"/>
    <w:rsid w:val="003E6B40"/>
    <w:rsid w:val="003E7AD8"/>
    <w:rsid w:val="003F0AB1"/>
    <w:rsid w:val="003F3A6E"/>
    <w:rsid w:val="003F497F"/>
    <w:rsid w:val="003F57E8"/>
    <w:rsid w:val="003F5CEB"/>
    <w:rsid w:val="003F6056"/>
    <w:rsid w:val="003F6273"/>
    <w:rsid w:val="003F7FF7"/>
    <w:rsid w:val="00400485"/>
    <w:rsid w:val="0040144A"/>
    <w:rsid w:val="0040194E"/>
    <w:rsid w:val="004019C4"/>
    <w:rsid w:val="00402D94"/>
    <w:rsid w:val="00403200"/>
    <w:rsid w:val="00403684"/>
    <w:rsid w:val="004060B7"/>
    <w:rsid w:val="00406B1D"/>
    <w:rsid w:val="0040722C"/>
    <w:rsid w:val="00407405"/>
    <w:rsid w:val="00407C1C"/>
    <w:rsid w:val="004127B9"/>
    <w:rsid w:val="00412A0A"/>
    <w:rsid w:val="00414EB2"/>
    <w:rsid w:val="00414F15"/>
    <w:rsid w:val="00417076"/>
    <w:rsid w:val="00417089"/>
    <w:rsid w:val="00417BA1"/>
    <w:rsid w:val="00417D43"/>
    <w:rsid w:val="00417F88"/>
    <w:rsid w:val="00420E6C"/>
    <w:rsid w:val="00422BF5"/>
    <w:rsid w:val="00423C6D"/>
    <w:rsid w:val="004248FE"/>
    <w:rsid w:val="00427475"/>
    <w:rsid w:val="00427889"/>
    <w:rsid w:val="00430C8E"/>
    <w:rsid w:val="00433B11"/>
    <w:rsid w:val="00433DF1"/>
    <w:rsid w:val="00434082"/>
    <w:rsid w:val="00434158"/>
    <w:rsid w:val="00434758"/>
    <w:rsid w:val="0043490F"/>
    <w:rsid w:val="0043500F"/>
    <w:rsid w:val="004351FD"/>
    <w:rsid w:val="0043533A"/>
    <w:rsid w:val="0043556F"/>
    <w:rsid w:val="00435C0C"/>
    <w:rsid w:val="00436478"/>
    <w:rsid w:val="0044107E"/>
    <w:rsid w:val="00441352"/>
    <w:rsid w:val="00441518"/>
    <w:rsid w:val="004416B9"/>
    <w:rsid w:val="004479E5"/>
    <w:rsid w:val="0045057A"/>
    <w:rsid w:val="004518FA"/>
    <w:rsid w:val="00451BD4"/>
    <w:rsid w:val="00451FDE"/>
    <w:rsid w:val="0045266F"/>
    <w:rsid w:val="00453058"/>
    <w:rsid w:val="004530FB"/>
    <w:rsid w:val="004550D2"/>
    <w:rsid w:val="00455E9F"/>
    <w:rsid w:val="00461330"/>
    <w:rsid w:val="0046294E"/>
    <w:rsid w:val="00462F1D"/>
    <w:rsid w:val="00463E24"/>
    <w:rsid w:val="00464C88"/>
    <w:rsid w:val="004661B6"/>
    <w:rsid w:val="004679B2"/>
    <w:rsid w:val="00467EC0"/>
    <w:rsid w:val="00467F31"/>
    <w:rsid w:val="004703FD"/>
    <w:rsid w:val="00472BF2"/>
    <w:rsid w:val="0047404E"/>
    <w:rsid w:val="0047616C"/>
    <w:rsid w:val="00476218"/>
    <w:rsid w:val="00476AFE"/>
    <w:rsid w:val="004810A2"/>
    <w:rsid w:val="00481700"/>
    <w:rsid w:val="00481738"/>
    <w:rsid w:val="00483270"/>
    <w:rsid w:val="00484DBC"/>
    <w:rsid w:val="004854A3"/>
    <w:rsid w:val="00487ACA"/>
    <w:rsid w:val="00490D9E"/>
    <w:rsid w:val="004924DD"/>
    <w:rsid w:val="00492D14"/>
    <w:rsid w:val="0049441E"/>
    <w:rsid w:val="0049479A"/>
    <w:rsid w:val="004950DE"/>
    <w:rsid w:val="00497781"/>
    <w:rsid w:val="004A1314"/>
    <w:rsid w:val="004A1573"/>
    <w:rsid w:val="004A2CBE"/>
    <w:rsid w:val="004A3F01"/>
    <w:rsid w:val="004A4353"/>
    <w:rsid w:val="004A6639"/>
    <w:rsid w:val="004B0D05"/>
    <w:rsid w:val="004B166C"/>
    <w:rsid w:val="004B21E7"/>
    <w:rsid w:val="004B41B2"/>
    <w:rsid w:val="004B5EF3"/>
    <w:rsid w:val="004B7914"/>
    <w:rsid w:val="004C0EF8"/>
    <w:rsid w:val="004C1463"/>
    <w:rsid w:val="004C16A2"/>
    <w:rsid w:val="004C1C0E"/>
    <w:rsid w:val="004C1F50"/>
    <w:rsid w:val="004C3289"/>
    <w:rsid w:val="004C45A5"/>
    <w:rsid w:val="004C49EB"/>
    <w:rsid w:val="004C4E6D"/>
    <w:rsid w:val="004C5B57"/>
    <w:rsid w:val="004C5D47"/>
    <w:rsid w:val="004C767B"/>
    <w:rsid w:val="004C7843"/>
    <w:rsid w:val="004C78CE"/>
    <w:rsid w:val="004D1A41"/>
    <w:rsid w:val="004D2146"/>
    <w:rsid w:val="004D5F0A"/>
    <w:rsid w:val="004D74DD"/>
    <w:rsid w:val="004D7513"/>
    <w:rsid w:val="004E0CA3"/>
    <w:rsid w:val="004E2B44"/>
    <w:rsid w:val="004E397F"/>
    <w:rsid w:val="004E3A6D"/>
    <w:rsid w:val="004E3BEA"/>
    <w:rsid w:val="004E6251"/>
    <w:rsid w:val="004E6E69"/>
    <w:rsid w:val="004E7B40"/>
    <w:rsid w:val="004F0112"/>
    <w:rsid w:val="004F0227"/>
    <w:rsid w:val="004F0E66"/>
    <w:rsid w:val="004F1FC8"/>
    <w:rsid w:val="004F2689"/>
    <w:rsid w:val="004F26E1"/>
    <w:rsid w:val="004F275B"/>
    <w:rsid w:val="004F38E2"/>
    <w:rsid w:val="004F45C7"/>
    <w:rsid w:val="004F5A6E"/>
    <w:rsid w:val="004F66F7"/>
    <w:rsid w:val="004F698B"/>
    <w:rsid w:val="004F709A"/>
    <w:rsid w:val="0050022C"/>
    <w:rsid w:val="0050073F"/>
    <w:rsid w:val="00501973"/>
    <w:rsid w:val="00501F82"/>
    <w:rsid w:val="00504158"/>
    <w:rsid w:val="005043C1"/>
    <w:rsid w:val="005049DE"/>
    <w:rsid w:val="00510361"/>
    <w:rsid w:val="00510C65"/>
    <w:rsid w:val="005133D8"/>
    <w:rsid w:val="00513D63"/>
    <w:rsid w:val="00513F90"/>
    <w:rsid w:val="00514C37"/>
    <w:rsid w:val="0051538C"/>
    <w:rsid w:val="00515E4C"/>
    <w:rsid w:val="00516305"/>
    <w:rsid w:val="00517243"/>
    <w:rsid w:val="00520A72"/>
    <w:rsid w:val="0052165D"/>
    <w:rsid w:val="00521C94"/>
    <w:rsid w:val="005224C8"/>
    <w:rsid w:val="005249B1"/>
    <w:rsid w:val="005278FC"/>
    <w:rsid w:val="00530F0E"/>
    <w:rsid w:val="005319B9"/>
    <w:rsid w:val="00532334"/>
    <w:rsid w:val="0053383A"/>
    <w:rsid w:val="005342A1"/>
    <w:rsid w:val="005372C7"/>
    <w:rsid w:val="0054043E"/>
    <w:rsid w:val="005432C5"/>
    <w:rsid w:val="00543B0D"/>
    <w:rsid w:val="00543B3B"/>
    <w:rsid w:val="00544946"/>
    <w:rsid w:val="005455AA"/>
    <w:rsid w:val="00545F4C"/>
    <w:rsid w:val="00546C5A"/>
    <w:rsid w:val="00547078"/>
    <w:rsid w:val="005520FB"/>
    <w:rsid w:val="005523BA"/>
    <w:rsid w:val="0055473D"/>
    <w:rsid w:val="00555504"/>
    <w:rsid w:val="00556349"/>
    <w:rsid w:val="0055666A"/>
    <w:rsid w:val="00557401"/>
    <w:rsid w:val="005579FF"/>
    <w:rsid w:val="005621BD"/>
    <w:rsid w:val="005623D3"/>
    <w:rsid w:val="005635C7"/>
    <w:rsid w:val="005637A5"/>
    <w:rsid w:val="00565FD9"/>
    <w:rsid w:val="0056620B"/>
    <w:rsid w:val="00566726"/>
    <w:rsid w:val="005765DA"/>
    <w:rsid w:val="0057673C"/>
    <w:rsid w:val="005815C2"/>
    <w:rsid w:val="00581BA1"/>
    <w:rsid w:val="00581FD1"/>
    <w:rsid w:val="005837CF"/>
    <w:rsid w:val="00585000"/>
    <w:rsid w:val="00586D44"/>
    <w:rsid w:val="00586E55"/>
    <w:rsid w:val="0058780B"/>
    <w:rsid w:val="00587942"/>
    <w:rsid w:val="00587D7A"/>
    <w:rsid w:val="00591447"/>
    <w:rsid w:val="00591924"/>
    <w:rsid w:val="00591E93"/>
    <w:rsid w:val="005929DD"/>
    <w:rsid w:val="00592FA1"/>
    <w:rsid w:val="005934B1"/>
    <w:rsid w:val="00597921"/>
    <w:rsid w:val="005A041B"/>
    <w:rsid w:val="005A3021"/>
    <w:rsid w:val="005A5C20"/>
    <w:rsid w:val="005A63DE"/>
    <w:rsid w:val="005A6E73"/>
    <w:rsid w:val="005A7B35"/>
    <w:rsid w:val="005B01C9"/>
    <w:rsid w:val="005B06EC"/>
    <w:rsid w:val="005B0F6C"/>
    <w:rsid w:val="005B1F4A"/>
    <w:rsid w:val="005B43AE"/>
    <w:rsid w:val="005B6527"/>
    <w:rsid w:val="005C0209"/>
    <w:rsid w:val="005C112C"/>
    <w:rsid w:val="005C4F55"/>
    <w:rsid w:val="005C54C0"/>
    <w:rsid w:val="005C5F52"/>
    <w:rsid w:val="005C6ADC"/>
    <w:rsid w:val="005D0001"/>
    <w:rsid w:val="005D1F14"/>
    <w:rsid w:val="005D230A"/>
    <w:rsid w:val="005D29F5"/>
    <w:rsid w:val="005D3553"/>
    <w:rsid w:val="005D594E"/>
    <w:rsid w:val="005D5A8F"/>
    <w:rsid w:val="005D5EE9"/>
    <w:rsid w:val="005D6610"/>
    <w:rsid w:val="005D6890"/>
    <w:rsid w:val="005E1190"/>
    <w:rsid w:val="005E132A"/>
    <w:rsid w:val="005E13A8"/>
    <w:rsid w:val="005E2073"/>
    <w:rsid w:val="005E20BD"/>
    <w:rsid w:val="005E26FE"/>
    <w:rsid w:val="005E359C"/>
    <w:rsid w:val="005E3AF1"/>
    <w:rsid w:val="005E7F45"/>
    <w:rsid w:val="005F04BA"/>
    <w:rsid w:val="005F1049"/>
    <w:rsid w:val="005F4952"/>
    <w:rsid w:val="005F49EA"/>
    <w:rsid w:val="005F52BC"/>
    <w:rsid w:val="005F5939"/>
    <w:rsid w:val="005F7259"/>
    <w:rsid w:val="00600661"/>
    <w:rsid w:val="00600D5F"/>
    <w:rsid w:val="00600DAD"/>
    <w:rsid w:val="006014ED"/>
    <w:rsid w:val="00602881"/>
    <w:rsid w:val="00602BF6"/>
    <w:rsid w:val="006062F8"/>
    <w:rsid w:val="00606F53"/>
    <w:rsid w:val="006071A5"/>
    <w:rsid w:val="0060796E"/>
    <w:rsid w:val="006079C4"/>
    <w:rsid w:val="006101A4"/>
    <w:rsid w:val="00610796"/>
    <w:rsid w:val="00611685"/>
    <w:rsid w:val="00612090"/>
    <w:rsid w:val="006122BE"/>
    <w:rsid w:val="00615664"/>
    <w:rsid w:val="00616651"/>
    <w:rsid w:val="006166EE"/>
    <w:rsid w:val="00616C73"/>
    <w:rsid w:val="006174F1"/>
    <w:rsid w:val="006219E1"/>
    <w:rsid w:val="00621AD9"/>
    <w:rsid w:val="006221E9"/>
    <w:rsid w:val="0062320B"/>
    <w:rsid w:val="00624932"/>
    <w:rsid w:val="006267E1"/>
    <w:rsid w:val="006279EC"/>
    <w:rsid w:val="00630088"/>
    <w:rsid w:val="00630A09"/>
    <w:rsid w:val="00631408"/>
    <w:rsid w:val="0063561D"/>
    <w:rsid w:val="00635C24"/>
    <w:rsid w:val="00635E47"/>
    <w:rsid w:val="00637333"/>
    <w:rsid w:val="00637440"/>
    <w:rsid w:val="0063786C"/>
    <w:rsid w:val="00641045"/>
    <w:rsid w:val="00641789"/>
    <w:rsid w:val="006418E6"/>
    <w:rsid w:val="0064375F"/>
    <w:rsid w:val="00645807"/>
    <w:rsid w:val="00646172"/>
    <w:rsid w:val="00646430"/>
    <w:rsid w:val="00646B32"/>
    <w:rsid w:val="00646D76"/>
    <w:rsid w:val="0064788A"/>
    <w:rsid w:val="00647FDD"/>
    <w:rsid w:val="00650FF9"/>
    <w:rsid w:val="00651095"/>
    <w:rsid w:val="00652797"/>
    <w:rsid w:val="00653762"/>
    <w:rsid w:val="0065420E"/>
    <w:rsid w:val="0065489F"/>
    <w:rsid w:val="0065594C"/>
    <w:rsid w:val="00656023"/>
    <w:rsid w:val="00656332"/>
    <w:rsid w:val="006566F8"/>
    <w:rsid w:val="00660108"/>
    <w:rsid w:val="00661858"/>
    <w:rsid w:val="006639B1"/>
    <w:rsid w:val="00663B27"/>
    <w:rsid w:val="006650F8"/>
    <w:rsid w:val="00667591"/>
    <w:rsid w:val="00670FC6"/>
    <w:rsid w:val="006727DD"/>
    <w:rsid w:val="006740F9"/>
    <w:rsid w:val="00674E91"/>
    <w:rsid w:val="006779A5"/>
    <w:rsid w:val="00680DDD"/>
    <w:rsid w:val="006818D5"/>
    <w:rsid w:val="00681988"/>
    <w:rsid w:val="00681D90"/>
    <w:rsid w:val="006840FC"/>
    <w:rsid w:val="00684374"/>
    <w:rsid w:val="006848A9"/>
    <w:rsid w:val="006863EE"/>
    <w:rsid w:val="00686C31"/>
    <w:rsid w:val="00687926"/>
    <w:rsid w:val="00693577"/>
    <w:rsid w:val="00696326"/>
    <w:rsid w:val="006968F5"/>
    <w:rsid w:val="00696D54"/>
    <w:rsid w:val="006970E3"/>
    <w:rsid w:val="00697E9A"/>
    <w:rsid w:val="006A2277"/>
    <w:rsid w:val="006A3291"/>
    <w:rsid w:val="006A580E"/>
    <w:rsid w:val="006A6620"/>
    <w:rsid w:val="006B1561"/>
    <w:rsid w:val="006B2389"/>
    <w:rsid w:val="006B2F11"/>
    <w:rsid w:val="006B311B"/>
    <w:rsid w:val="006B377F"/>
    <w:rsid w:val="006B5234"/>
    <w:rsid w:val="006B5479"/>
    <w:rsid w:val="006B5BFC"/>
    <w:rsid w:val="006C0056"/>
    <w:rsid w:val="006C4AC2"/>
    <w:rsid w:val="006C4FA6"/>
    <w:rsid w:val="006C5091"/>
    <w:rsid w:val="006C6FDD"/>
    <w:rsid w:val="006C7231"/>
    <w:rsid w:val="006C7905"/>
    <w:rsid w:val="006D006F"/>
    <w:rsid w:val="006D17AA"/>
    <w:rsid w:val="006D245E"/>
    <w:rsid w:val="006D347A"/>
    <w:rsid w:val="006D3F53"/>
    <w:rsid w:val="006D551F"/>
    <w:rsid w:val="006D6AA1"/>
    <w:rsid w:val="006E0CDD"/>
    <w:rsid w:val="006E2BFE"/>
    <w:rsid w:val="006E2DCA"/>
    <w:rsid w:val="006E3680"/>
    <w:rsid w:val="006E3A86"/>
    <w:rsid w:val="006E5344"/>
    <w:rsid w:val="006E70DE"/>
    <w:rsid w:val="006E7B66"/>
    <w:rsid w:val="006F0AD2"/>
    <w:rsid w:val="006F0D46"/>
    <w:rsid w:val="006F1509"/>
    <w:rsid w:val="006F2977"/>
    <w:rsid w:val="006F2B77"/>
    <w:rsid w:val="006F2E10"/>
    <w:rsid w:val="006F3563"/>
    <w:rsid w:val="006F3915"/>
    <w:rsid w:val="006F3AF4"/>
    <w:rsid w:val="006F41FD"/>
    <w:rsid w:val="006F4E2A"/>
    <w:rsid w:val="006F58F6"/>
    <w:rsid w:val="006F708A"/>
    <w:rsid w:val="00702EF4"/>
    <w:rsid w:val="007073E0"/>
    <w:rsid w:val="00707F5C"/>
    <w:rsid w:val="00711072"/>
    <w:rsid w:val="007110BE"/>
    <w:rsid w:val="00712069"/>
    <w:rsid w:val="0071268D"/>
    <w:rsid w:val="0071349D"/>
    <w:rsid w:val="00715EC2"/>
    <w:rsid w:val="00716309"/>
    <w:rsid w:val="00716AE3"/>
    <w:rsid w:val="007170D5"/>
    <w:rsid w:val="0072010E"/>
    <w:rsid w:val="00720381"/>
    <w:rsid w:val="007207A5"/>
    <w:rsid w:val="0072133F"/>
    <w:rsid w:val="00721F78"/>
    <w:rsid w:val="00722251"/>
    <w:rsid w:val="007231C7"/>
    <w:rsid w:val="00724CA0"/>
    <w:rsid w:val="00724F20"/>
    <w:rsid w:val="00724F9F"/>
    <w:rsid w:val="00725C92"/>
    <w:rsid w:val="00726689"/>
    <w:rsid w:val="00726B72"/>
    <w:rsid w:val="00734B0F"/>
    <w:rsid w:val="00734D6F"/>
    <w:rsid w:val="00734EBE"/>
    <w:rsid w:val="00737709"/>
    <w:rsid w:val="00740361"/>
    <w:rsid w:val="00741B80"/>
    <w:rsid w:val="00742D09"/>
    <w:rsid w:val="007430D7"/>
    <w:rsid w:val="007436CE"/>
    <w:rsid w:val="00745E6D"/>
    <w:rsid w:val="0074782D"/>
    <w:rsid w:val="007515F8"/>
    <w:rsid w:val="00751BF3"/>
    <w:rsid w:val="007521FD"/>
    <w:rsid w:val="007526D2"/>
    <w:rsid w:val="007544E3"/>
    <w:rsid w:val="00754B49"/>
    <w:rsid w:val="00755DEF"/>
    <w:rsid w:val="00756B7D"/>
    <w:rsid w:val="00756F8D"/>
    <w:rsid w:val="00756FCA"/>
    <w:rsid w:val="00757CD9"/>
    <w:rsid w:val="00757F4C"/>
    <w:rsid w:val="00760763"/>
    <w:rsid w:val="007610BD"/>
    <w:rsid w:val="00762368"/>
    <w:rsid w:val="007623E2"/>
    <w:rsid w:val="0076255F"/>
    <w:rsid w:val="007625EB"/>
    <w:rsid w:val="0076286D"/>
    <w:rsid w:val="00763125"/>
    <w:rsid w:val="00764E32"/>
    <w:rsid w:val="00770AF2"/>
    <w:rsid w:val="00773916"/>
    <w:rsid w:val="00774925"/>
    <w:rsid w:val="00775D7E"/>
    <w:rsid w:val="00776F25"/>
    <w:rsid w:val="00777E57"/>
    <w:rsid w:val="007839E7"/>
    <w:rsid w:val="00786567"/>
    <w:rsid w:val="00786F40"/>
    <w:rsid w:val="007872B8"/>
    <w:rsid w:val="0078749B"/>
    <w:rsid w:val="00791407"/>
    <w:rsid w:val="00794A84"/>
    <w:rsid w:val="00794C2E"/>
    <w:rsid w:val="00794CC5"/>
    <w:rsid w:val="00795281"/>
    <w:rsid w:val="00795C80"/>
    <w:rsid w:val="0079615C"/>
    <w:rsid w:val="00797321"/>
    <w:rsid w:val="00797B07"/>
    <w:rsid w:val="007A057D"/>
    <w:rsid w:val="007A1B8E"/>
    <w:rsid w:val="007A2651"/>
    <w:rsid w:val="007A267B"/>
    <w:rsid w:val="007A67EA"/>
    <w:rsid w:val="007A7D50"/>
    <w:rsid w:val="007B1716"/>
    <w:rsid w:val="007B1EEF"/>
    <w:rsid w:val="007B578D"/>
    <w:rsid w:val="007B6801"/>
    <w:rsid w:val="007B7087"/>
    <w:rsid w:val="007C03D2"/>
    <w:rsid w:val="007C149D"/>
    <w:rsid w:val="007C24F0"/>
    <w:rsid w:val="007C3751"/>
    <w:rsid w:val="007C38B8"/>
    <w:rsid w:val="007C5AC2"/>
    <w:rsid w:val="007C5E30"/>
    <w:rsid w:val="007D03F6"/>
    <w:rsid w:val="007D1E83"/>
    <w:rsid w:val="007D5289"/>
    <w:rsid w:val="007D760F"/>
    <w:rsid w:val="007D7BB3"/>
    <w:rsid w:val="007D7BD3"/>
    <w:rsid w:val="007E0B04"/>
    <w:rsid w:val="007E0F6C"/>
    <w:rsid w:val="007E29C8"/>
    <w:rsid w:val="007E2A6D"/>
    <w:rsid w:val="007E3B9F"/>
    <w:rsid w:val="007E4DD7"/>
    <w:rsid w:val="007E5E3B"/>
    <w:rsid w:val="007E6225"/>
    <w:rsid w:val="007E7356"/>
    <w:rsid w:val="007F14C0"/>
    <w:rsid w:val="007F14CA"/>
    <w:rsid w:val="007F5225"/>
    <w:rsid w:val="007F5B38"/>
    <w:rsid w:val="007F5CD7"/>
    <w:rsid w:val="007F7669"/>
    <w:rsid w:val="007F7E92"/>
    <w:rsid w:val="007F7F50"/>
    <w:rsid w:val="00800372"/>
    <w:rsid w:val="0080158E"/>
    <w:rsid w:val="00801C20"/>
    <w:rsid w:val="00801CE8"/>
    <w:rsid w:val="00801FE5"/>
    <w:rsid w:val="00802429"/>
    <w:rsid w:val="00802E86"/>
    <w:rsid w:val="008030F8"/>
    <w:rsid w:val="0080344A"/>
    <w:rsid w:val="008039AE"/>
    <w:rsid w:val="00804297"/>
    <w:rsid w:val="0080664C"/>
    <w:rsid w:val="008115D7"/>
    <w:rsid w:val="00812115"/>
    <w:rsid w:val="00812207"/>
    <w:rsid w:val="00812CF4"/>
    <w:rsid w:val="00812FB3"/>
    <w:rsid w:val="00813A91"/>
    <w:rsid w:val="00814661"/>
    <w:rsid w:val="00815856"/>
    <w:rsid w:val="00815ACD"/>
    <w:rsid w:val="0081678E"/>
    <w:rsid w:val="00820438"/>
    <w:rsid w:val="00820D09"/>
    <w:rsid w:val="00822142"/>
    <w:rsid w:val="00822395"/>
    <w:rsid w:val="008242AB"/>
    <w:rsid w:val="008242F4"/>
    <w:rsid w:val="00824AF3"/>
    <w:rsid w:val="00827672"/>
    <w:rsid w:val="00827715"/>
    <w:rsid w:val="008320C5"/>
    <w:rsid w:val="00832688"/>
    <w:rsid w:val="00834054"/>
    <w:rsid w:val="00834A61"/>
    <w:rsid w:val="00834BF2"/>
    <w:rsid w:val="0083606E"/>
    <w:rsid w:val="00836AAF"/>
    <w:rsid w:val="00837910"/>
    <w:rsid w:val="00837E95"/>
    <w:rsid w:val="00837F72"/>
    <w:rsid w:val="008422D9"/>
    <w:rsid w:val="008453E7"/>
    <w:rsid w:val="008456D9"/>
    <w:rsid w:val="00845BE0"/>
    <w:rsid w:val="008465C6"/>
    <w:rsid w:val="00850604"/>
    <w:rsid w:val="00850E80"/>
    <w:rsid w:val="008512A2"/>
    <w:rsid w:val="00851B5F"/>
    <w:rsid w:val="0085231D"/>
    <w:rsid w:val="00853A92"/>
    <w:rsid w:val="00856021"/>
    <w:rsid w:val="0085640F"/>
    <w:rsid w:val="008627D8"/>
    <w:rsid w:val="00862983"/>
    <w:rsid w:val="00863358"/>
    <w:rsid w:val="00863D7D"/>
    <w:rsid w:val="00864D43"/>
    <w:rsid w:val="00867061"/>
    <w:rsid w:val="00867F76"/>
    <w:rsid w:val="008713E6"/>
    <w:rsid w:val="00872552"/>
    <w:rsid w:val="00872AB6"/>
    <w:rsid w:val="00872EA9"/>
    <w:rsid w:val="00874540"/>
    <w:rsid w:val="00875855"/>
    <w:rsid w:val="00876081"/>
    <w:rsid w:val="008762C7"/>
    <w:rsid w:val="0087630D"/>
    <w:rsid w:val="00876413"/>
    <w:rsid w:val="00876853"/>
    <w:rsid w:val="00876867"/>
    <w:rsid w:val="008776A3"/>
    <w:rsid w:val="00877F9E"/>
    <w:rsid w:val="0088069D"/>
    <w:rsid w:val="00883283"/>
    <w:rsid w:val="00884E0F"/>
    <w:rsid w:val="00886ED9"/>
    <w:rsid w:val="00887022"/>
    <w:rsid w:val="00887B8E"/>
    <w:rsid w:val="00892087"/>
    <w:rsid w:val="0089253E"/>
    <w:rsid w:val="00894074"/>
    <w:rsid w:val="008952DE"/>
    <w:rsid w:val="0089582B"/>
    <w:rsid w:val="00896583"/>
    <w:rsid w:val="008A0F5D"/>
    <w:rsid w:val="008A1F17"/>
    <w:rsid w:val="008A3C7A"/>
    <w:rsid w:val="008A41FF"/>
    <w:rsid w:val="008A54F9"/>
    <w:rsid w:val="008A5C60"/>
    <w:rsid w:val="008A6229"/>
    <w:rsid w:val="008A65BD"/>
    <w:rsid w:val="008A7881"/>
    <w:rsid w:val="008A7DA0"/>
    <w:rsid w:val="008B1BC0"/>
    <w:rsid w:val="008B3029"/>
    <w:rsid w:val="008B3D36"/>
    <w:rsid w:val="008B3E88"/>
    <w:rsid w:val="008B443E"/>
    <w:rsid w:val="008B461E"/>
    <w:rsid w:val="008B6598"/>
    <w:rsid w:val="008B7784"/>
    <w:rsid w:val="008C0289"/>
    <w:rsid w:val="008C1D9E"/>
    <w:rsid w:val="008C3AAE"/>
    <w:rsid w:val="008C3DE1"/>
    <w:rsid w:val="008C41A9"/>
    <w:rsid w:val="008C4635"/>
    <w:rsid w:val="008C507B"/>
    <w:rsid w:val="008C5E9D"/>
    <w:rsid w:val="008C6195"/>
    <w:rsid w:val="008C67C7"/>
    <w:rsid w:val="008C6CE0"/>
    <w:rsid w:val="008C6E03"/>
    <w:rsid w:val="008C70B2"/>
    <w:rsid w:val="008C757D"/>
    <w:rsid w:val="008C7C68"/>
    <w:rsid w:val="008D0DB7"/>
    <w:rsid w:val="008D523A"/>
    <w:rsid w:val="008D5D10"/>
    <w:rsid w:val="008D5ECE"/>
    <w:rsid w:val="008D72E1"/>
    <w:rsid w:val="008E0E4D"/>
    <w:rsid w:val="008E10B9"/>
    <w:rsid w:val="008E2C03"/>
    <w:rsid w:val="008E3E54"/>
    <w:rsid w:val="008E5820"/>
    <w:rsid w:val="008E6933"/>
    <w:rsid w:val="008E6B55"/>
    <w:rsid w:val="008E7A26"/>
    <w:rsid w:val="008F01CB"/>
    <w:rsid w:val="008F0FB4"/>
    <w:rsid w:val="008F2E22"/>
    <w:rsid w:val="008F460A"/>
    <w:rsid w:val="008F7968"/>
    <w:rsid w:val="0090092C"/>
    <w:rsid w:val="00900999"/>
    <w:rsid w:val="00900BA7"/>
    <w:rsid w:val="00901528"/>
    <w:rsid w:val="00904023"/>
    <w:rsid w:val="0090445D"/>
    <w:rsid w:val="0090463C"/>
    <w:rsid w:val="00904756"/>
    <w:rsid w:val="00904863"/>
    <w:rsid w:val="00904BC3"/>
    <w:rsid w:val="00906571"/>
    <w:rsid w:val="00910C9F"/>
    <w:rsid w:val="009124B8"/>
    <w:rsid w:val="00912AB6"/>
    <w:rsid w:val="00912E31"/>
    <w:rsid w:val="009138E9"/>
    <w:rsid w:val="00913D80"/>
    <w:rsid w:val="00914E95"/>
    <w:rsid w:val="0091552A"/>
    <w:rsid w:val="0091561C"/>
    <w:rsid w:val="009163AE"/>
    <w:rsid w:val="009201A3"/>
    <w:rsid w:val="00920D58"/>
    <w:rsid w:val="00922062"/>
    <w:rsid w:val="0092391D"/>
    <w:rsid w:val="0092442F"/>
    <w:rsid w:val="009254FC"/>
    <w:rsid w:val="00925661"/>
    <w:rsid w:val="009262B4"/>
    <w:rsid w:val="0092633F"/>
    <w:rsid w:val="009265AF"/>
    <w:rsid w:val="009318A8"/>
    <w:rsid w:val="009325BB"/>
    <w:rsid w:val="00934717"/>
    <w:rsid w:val="00935CA2"/>
    <w:rsid w:val="00936D6A"/>
    <w:rsid w:val="0093708C"/>
    <w:rsid w:val="00937A7F"/>
    <w:rsid w:val="00941501"/>
    <w:rsid w:val="009423F1"/>
    <w:rsid w:val="0094360A"/>
    <w:rsid w:val="00943965"/>
    <w:rsid w:val="00945959"/>
    <w:rsid w:val="00947088"/>
    <w:rsid w:val="0095057B"/>
    <w:rsid w:val="00950EF8"/>
    <w:rsid w:val="00952410"/>
    <w:rsid w:val="00952556"/>
    <w:rsid w:val="00953B4B"/>
    <w:rsid w:val="00953CEC"/>
    <w:rsid w:val="00955407"/>
    <w:rsid w:val="00955D0D"/>
    <w:rsid w:val="00955F49"/>
    <w:rsid w:val="0095629C"/>
    <w:rsid w:val="00956D25"/>
    <w:rsid w:val="00957238"/>
    <w:rsid w:val="00957328"/>
    <w:rsid w:val="0096153C"/>
    <w:rsid w:val="00961763"/>
    <w:rsid w:val="009619AF"/>
    <w:rsid w:val="00961DDE"/>
    <w:rsid w:val="0096304E"/>
    <w:rsid w:val="009633C7"/>
    <w:rsid w:val="009654B6"/>
    <w:rsid w:val="009663D7"/>
    <w:rsid w:val="009678E8"/>
    <w:rsid w:val="00970181"/>
    <w:rsid w:val="00970DA7"/>
    <w:rsid w:val="00970ED7"/>
    <w:rsid w:val="00971A27"/>
    <w:rsid w:val="009735C1"/>
    <w:rsid w:val="00973FB8"/>
    <w:rsid w:val="00973FC3"/>
    <w:rsid w:val="00974E97"/>
    <w:rsid w:val="009757C2"/>
    <w:rsid w:val="009766B8"/>
    <w:rsid w:val="00981238"/>
    <w:rsid w:val="00981C09"/>
    <w:rsid w:val="0098421E"/>
    <w:rsid w:val="00986DA6"/>
    <w:rsid w:val="00987612"/>
    <w:rsid w:val="00987AC3"/>
    <w:rsid w:val="009902EE"/>
    <w:rsid w:val="00990A3D"/>
    <w:rsid w:val="00991283"/>
    <w:rsid w:val="0099220E"/>
    <w:rsid w:val="009923FD"/>
    <w:rsid w:val="00992A11"/>
    <w:rsid w:val="00992E46"/>
    <w:rsid w:val="00993282"/>
    <w:rsid w:val="00995F86"/>
    <w:rsid w:val="009979C7"/>
    <w:rsid w:val="009A0227"/>
    <w:rsid w:val="009A128F"/>
    <w:rsid w:val="009A2665"/>
    <w:rsid w:val="009A32D8"/>
    <w:rsid w:val="009A47D5"/>
    <w:rsid w:val="009A4AE0"/>
    <w:rsid w:val="009A554B"/>
    <w:rsid w:val="009A7A1F"/>
    <w:rsid w:val="009B05D1"/>
    <w:rsid w:val="009B061F"/>
    <w:rsid w:val="009B2426"/>
    <w:rsid w:val="009B25E1"/>
    <w:rsid w:val="009B279B"/>
    <w:rsid w:val="009B35B5"/>
    <w:rsid w:val="009B3926"/>
    <w:rsid w:val="009B3D1E"/>
    <w:rsid w:val="009B3E06"/>
    <w:rsid w:val="009B4315"/>
    <w:rsid w:val="009B4D06"/>
    <w:rsid w:val="009B72CE"/>
    <w:rsid w:val="009B7CE6"/>
    <w:rsid w:val="009C418A"/>
    <w:rsid w:val="009C42A2"/>
    <w:rsid w:val="009C4464"/>
    <w:rsid w:val="009C4B21"/>
    <w:rsid w:val="009C5515"/>
    <w:rsid w:val="009C6073"/>
    <w:rsid w:val="009C6C07"/>
    <w:rsid w:val="009C7C7F"/>
    <w:rsid w:val="009D01EB"/>
    <w:rsid w:val="009D2618"/>
    <w:rsid w:val="009D2BE0"/>
    <w:rsid w:val="009D2F3A"/>
    <w:rsid w:val="009D3217"/>
    <w:rsid w:val="009D4CD0"/>
    <w:rsid w:val="009D5CA5"/>
    <w:rsid w:val="009D5DCF"/>
    <w:rsid w:val="009D5FAF"/>
    <w:rsid w:val="009D6DA2"/>
    <w:rsid w:val="009D764F"/>
    <w:rsid w:val="009E060E"/>
    <w:rsid w:val="009E15A8"/>
    <w:rsid w:val="009E1FE1"/>
    <w:rsid w:val="009E2DD8"/>
    <w:rsid w:val="009E6064"/>
    <w:rsid w:val="009E6418"/>
    <w:rsid w:val="009F0650"/>
    <w:rsid w:val="009F20F7"/>
    <w:rsid w:val="009F2D60"/>
    <w:rsid w:val="009F3A9B"/>
    <w:rsid w:val="009F3FCA"/>
    <w:rsid w:val="009F7800"/>
    <w:rsid w:val="00A01565"/>
    <w:rsid w:val="00A01831"/>
    <w:rsid w:val="00A05E6C"/>
    <w:rsid w:val="00A07B67"/>
    <w:rsid w:val="00A07BA7"/>
    <w:rsid w:val="00A12043"/>
    <w:rsid w:val="00A126A2"/>
    <w:rsid w:val="00A139B4"/>
    <w:rsid w:val="00A14122"/>
    <w:rsid w:val="00A1534A"/>
    <w:rsid w:val="00A1651C"/>
    <w:rsid w:val="00A1673C"/>
    <w:rsid w:val="00A21D70"/>
    <w:rsid w:val="00A2231F"/>
    <w:rsid w:val="00A225C2"/>
    <w:rsid w:val="00A22676"/>
    <w:rsid w:val="00A2363E"/>
    <w:rsid w:val="00A24DF0"/>
    <w:rsid w:val="00A25032"/>
    <w:rsid w:val="00A2676B"/>
    <w:rsid w:val="00A27633"/>
    <w:rsid w:val="00A3000F"/>
    <w:rsid w:val="00A30B4E"/>
    <w:rsid w:val="00A31247"/>
    <w:rsid w:val="00A3185B"/>
    <w:rsid w:val="00A32C30"/>
    <w:rsid w:val="00A33463"/>
    <w:rsid w:val="00A33A02"/>
    <w:rsid w:val="00A35D74"/>
    <w:rsid w:val="00A37694"/>
    <w:rsid w:val="00A413DE"/>
    <w:rsid w:val="00A44658"/>
    <w:rsid w:val="00A451BF"/>
    <w:rsid w:val="00A460A7"/>
    <w:rsid w:val="00A46A48"/>
    <w:rsid w:val="00A4710F"/>
    <w:rsid w:val="00A51A8A"/>
    <w:rsid w:val="00A53896"/>
    <w:rsid w:val="00A53A18"/>
    <w:rsid w:val="00A54765"/>
    <w:rsid w:val="00A55921"/>
    <w:rsid w:val="00A56698"/>
    <w:rsid w:val="00A56B7B"/>
    <w:rsid w:val="00A56DFC"/>
    <w:rsid w:val="00A5701D"/>
    <w:rsid w:val="00A57482"/>
    <w:rsid w:val="00A574FE"/>
    <w:rsid w:val="00A57F62"/>
    <w:rsid w:val="00A6090D"/>
    <w:rsid w:val="00A61AFA"/>
    <w:rsid w:val="00A65349"/>
    <w:rsid w:val="00A65F33"/>
    <w:rsid w:val="00A67062"/>
    <w:rsid w:val="00A67280"/>
    <w:rsid w:val="00A6749B"/>
    <w:rsid w:val="00A7043F"/>
    <w:rsid w:val="00A7317D"/>
    <w:rsid w:val="00A74553"/>
    <w:rsid w:val="00A751E7"/>
    <w:rsid w:val="00A77079"/>
    <w:rsid w:val="00A80491"/>
    <w:rsid w:val="00A814B4"/>
    <w:rsid w:val="00A81F0E"/>
    <w:rsid w:val="00A8204E"/>
    <w:rsid w:val="00A82145"/>
    <w:rsid w:val="00A84A35"/>
    <w:rsid w:val="00A84EDC"/>
    <w:rsid w:val="00A854D5"/>
    <w:rsid w:val="00A85A5F"/>
    <w:rsid w:val="00A8617F"/>
    <w:rsid w:val="00A865DA"/>
    <w:rsid w:val="00A86D92"/>
    <w:rsid w:val="00A90A6A"/>
    <w:rsid w:val="00A90D33"/>
    <w:rsid w:val="00A90E4C"/>
    <w:rsid w:val="00A9298F"/>
    <w:rsid w:val="00A92D85"/>
    <w:rsid w:val="00A93D73"/>
    <w:rsid w:val="00A94AF7"/>
    <w:rsid w:val="00A95AE3"/>
    <w:rsid w:val="00A96016"/>
    <w:rsid w:val="00A96E8A"/>
    <w:rsid w:val="00A96F37"/>
    <w:rsid w:val="00A975D4"/>
    <w:rsid w:val="00A97978"/>
    <w:rsid w:val="00AA08E4"/>
    <w:rsid w:val="00AA0980"/>
    <w:rsid w:val="00AA2E13"/>
    <w:rsid w:val="00AA4312"/>
    <w:rsid w:val="00AA4FF8"/>
    <w:rsid w:val="00AA5DE5"/>
    <w:rsid w:val="00AA725E"/>
    <w:rsid w:val="00AA7335"/>
    <w:rsid w:val="00AA74EF"/>
    <w:rsid w:val="00AB361C"/>
    <w:rsid w:val="00AB3C68"/>
    <w:rsid w:val="00AB3DD7"/>
    <w:rsid w:val="00AB4690"/>
    <w:rsid w:val="00AB54B7"/>
    <w:rsid w:val="00AC0D09"/>
    <w:rsid w:val="00AC0DEF"/>
    <w:rsid w:val="00AC22B6"/>
    <w:rsid w:val="00AC2962"/>
    <w:rsid w:val="00AC309F"/>
    <w:rsid w:val="00AC3833"/>
    <w:rsid w:val="00AC38BE"/>
    <w:rsid w:val="00AC43A6"/>
    <w:rsid w:val="00AC4AD5"/>
    <w:rsid w:val="00AC5287"/>
    <w:rsid w:val="00AC6D17"/>
    <w:rsid w:val="00AC7118"/>
    <w:rsid w:val="00AD1077"/>
    <w:rsid w:val="00AD1109"/>
    <w:rsid w:val="00AD1741"/>
    <w:rsid w:val="00AD1745"/>
    <w:rsid w:val="00AD32A9"/>
    <w:rsid w:val="00AD3394"/>
    <w:rsid w:val="00AD4BE5"/>
    <w:rsid w:val="00AD4DBC"/>
    <w:rsid w:val="00AD5764"/>
    <w:rsid w:val="00AD5ADA"/>
    <w:rsid w:val="00AD5F6F"/>
    <w:rsid w:val="00AD625A"/>
    <w:rsid w:val="00AD628F"/>
    <w:rsid w:val="00AD77D2"/>
    <w:rsid w:val="00AE0275"/>
    <w:rsid w:val="00AE05A6"/>
    <w:rsid w:val="00AE16A3"/>
    <w:rsid w:val="00AE2E62"/>
    <w:rsid w:val="00AE52BD"/>
    <w:rsid w:val="00AE6C96"/>
    <w:rsid w:val="00AE76E9"/>
    <w:rsid w:val="00AF0566"/>
    <w:rsid w:val="00AF0A31"/>
    <w:rsid w:val="00AF3322"/>
    <w:rsid w:val="00AF3A27"/>
    <w:rsid w:val="00AF3F6A"/>
    <w:rsid w:val="00AF4D48"/>
    <w:rsid w:val="00AF526A"/>
    <w:rsid w:val="00AF5343"/>
    <w:rsid w:val="00AF548A"/>
    <w:rsid w:val="00AF63FE"/>
    <w:rsid w:val="00AF6AED"/>
    <w:rsid w:val="00AF73C0"/>
    <w:rsid w:val="00B002A2"/>
    <w:rsid w:val="00B00F82"/>
    <w:rsid w:val="00B015EC"/>
    <w:rsid w:val="00B01F7F"/>
    <w:rsid w:val="00B023A7"/>
    <w:rsid w:val="00B02D9E"/>
    <w:rsid w:val="00B03333"/>
    <w:rsid w:val="00B03E2E"/>
    <w:rsid w:val="00B03F40"/>
    <w:rsid w:val="00B04690"/>
    <w:rsid w:val="00B048A5"/>
    <w:rsid w:val="00B058CD"/>
    <w:rsid w:val="00B05C1C"/>
    <w:rsid w:val="00B05FCE"/>
    <w:rsid w:val="00B06B26"/>
    <w:rsid w:val="00B0738E"/>
    <w:rsid w:val="00B1052C"/>
    <w:rsid w:val="00B1266D"/>
    <w:rsid w:val="00B1285C"/>
    <w:rsid w:val="00B12AAD"/>
    <w:rsid w:val="00B17052"/>
    <w:rsid w:val="00B17814"/>
    <w:rsid w:val="00B21B93"/>
    <w:rsid w:val="00B21D80"/>
    <w:rsid w:val="00B22095"/>
    <w:rsid w:val="00B23F55"/>
    <w:rsid w:val="00B25B96"/>
    <w:rsid w:val="00B26493"/>
    <w:rsid w:val="00B2706E"/>
    <w:rsid w:val="00B31CC5"/>
    <w:rsid w:val="00B33000"/>
    <w:rsid w:val="00B3310C"/>
    <w:rsid w:val="00B349D3"/>
    <w:rsid w:val="00B367E7"/>
    <w:rsid w:val="00B37192"/>
    <w:rsid w:val="00B37C8B"/>
    <w:rsid w:val="00B40344"/>
    <w:rsid w:val="00B413BA"/>
    <w:rsid w:val="00B42F10"/>
    <w:rsid w:val="00B42F24"/>
    <w:rsid w:val="00B43D51"/>
    <w:rsid w:val="00B44E04"/>
    <w:rsid w:val="00B45A01"/>
    <w:rsid w:val="00B46F00"/>
    <w:rsid w:val="00B470DB"/>
    <w:rsid w:val="00B50637"/>
    <w:rsid w:val="00B525D9"/>
    <w:rsid w:val="00B52BE8"/>
    <w:rsid w:val="00B5398D"/>
    <w:rsid w:val="00B53EED"/>
    <w:rsid w:val="00B53FB0"/>
    <w:rsid w:val="00B54A2A"/>
    <w:rsid w:val="00B54ACD"/>
    <w:rsid w:val="00B54DFD"/>
    <w:rsid w:val="00B551B9"/>
    <w:rsid w:val="00B55282"/>
    <w:rsid w:val="00B554FA"/>
    <w:rsid w:val="00B55C68"/>
    <w:rsid w:val="00B57803"/>
    <w:rsid w:val="00B57881"/>
    <w:rsid w:val="00B609AE"/>
    <w:rsid w:val="00B60B82"/>
    <w:rsid w:val="00B61940"/>
    <w:rsid w:val="00B64CFA"/>
    <w:rsid w:val="00B72C74"/>
    <w:rsid w:val="00B73C69"/>
    <w:rsid w:val="00B741DF"/>
    <w:rsid w:val="00B74455"/>
    <w:rsid w:val="00B7570A"/>
    <w:rsid w:val="00B75F6D"/>
    <w:rsid w:val="00B76110"/>
    <w:rsid w:val="00B763F1"/>
    <w:rsid w:val="00B76E07"/>
    <w:rsid w:val="00B770E4"/>
    <w:rsid w:val="00B77A6B"/>
    <w:rsid w:val="00B83DCB"/>
    <w:rsid w:val="00B85B8F"/>
    <w:rsid w:val="00B8677C"/>
    <w:rsid w:val="00B8700B"/>
    <w:rsid w:val="00B9136F"/>
    <w:rsid w:val="00B91FD1"/>
    <w:rsid w:val="00B94E68"/>
    <w:rsid w:val="00B950CF"/>
    <w:rsid w:val="00B96118"/>
    <w:rsid w:val="00B97118"/>
    <w:rsid w:val="00B97A9B"/>
    <w:rsid w:val="00BA1316"/>
    <w:rsid w:val="00BA21F9"/>
    <w:rsid w:val="00BA4058"/>
    <w:rsid w:val="00BA4552"/>
    <w:rsid w:val="00BA54E6"/>
    <w:rsid w:val="00BA5687"/>
    <w:rsid w:val="00BA614F"/>
    <w:rsid w:val="00BA6AC3"/>
    <w:rsid w:val="00BA7212"/>
    <w:rsid w:val="00BB0C4B"/>
    <w:rsid w:val="00BB0F1C"/>
    <w:rsid w:val="00BB2827"/>
    <w:rsid w:val="00BB2AAD"/>
    <w:rsid w:val="00BB3D93"/>
    <w:rsid w:val="00BB4AA8"/>
    <w:rsid w:val="00BB4B55"/>
    <w:rsid w:val="00BB6894"/>
    <w:rsid w:val="00BB79D4"/>
    <w:rsid w:val="00BB7BBB"/>
    <w:rsid w:val="00BC1050"/>
    <w:rsid w:val="00BC160A"/>
    <w:rsid w:val="00BC2D83"/>
    <w:rsid w:val="00BC3485"/>
    <w:rsid w:val="00BC3E84"/>
    <w:rsid w:val="00BC407D"/>
    <w:rsid w:val="00BC4D11"/>
    <w:rsid w:val="00BC4F05"/>
    <w:rsid w:val="00BC5945"/>
    <w:rsid w:val="00BC6187"/>
    <w:rsid w:val="00BC65C9"/>
    <w:rsid w:val="00BD0318"/>
    <w:rsid w:val="00BD1AB9"/>
    <w:rsid w:val="00BD2514"/>
    <w:rsid w:val="00BD3530"/>
    <w:rsid w:val="00BD47C3"/>
    <w:rsid w:val="00BD5350"/>
    <w:rsid w:val="00BD55F1"/>
    <w:rsid w:val="00BD6C7A"/>
    <w:rsid w:val="00BE0BC7"/>
    <w:rsid w:val="00BE0DFA"/>
    <w:rsid w:val="00BE1BEC"/>
    <w:rsid w:val="00BE25F7"/>
    <w:rsid w:val="00BE298E"/>
    <w:rsid w:val="00BE31A9"/>
    <w:rsid w:val="00BE36AE"/>
    <w:rsid w:val="00BE55DE"/>
    <w:rsid w:val="00BE66CA"/>
    <w:rsid w:val="00BF0DC6"/>
    <w:rsid w:val="00BF2FE1"/>
    <w:rsid w:val="00BF557F"/>
    <w:rsid w:val="00BF5892"/>
    <w:rsid w:val="00BF5994"/>
    <w:rsid w:val="00BF65DE"/>
    <w:rsid w:val="00BF6E06"/>
    <w:rsid w:val="00BF7353"/>
    <w:rsid w:val="00C0048F"/>
    <w:rsid w:val="00C005DE"/>
    <w:rsid w:val="00C00C21"/>
    <w:rsid w:val="00C03C88"/>
    <w:rsid w:val="00C0536E"/>
    <w:rsid w:val="00C0749E"/>
    <w:rsid w:val="00C1016E"/>
    <w:rsid w:val="00C11CDE"/>
    <w:rsid w:val="00C120E4"/>
    <w:rsid w:val="00C1258C"/>
    <w:rsid w:val="00C12666"/>
    <w:rsid w:val="00C127F0"/>
    <w:rsid w:val="00C12ED5"/>
    <w:rsid w:val="00C13406"/>
    <w:rsid w:val="00C2173A"/>
    <w:rsid w:val="00C21C84"/>
    <w:rsid w:val="00C22919"/>
    <w:rsid w:val="00C22B10"/>
    <w:rsid w:val="00C2385F"/>
    <w:rsid w:val="00C2460D"/>
    <w:rsid w:val="00C25F98"/>
    <w:rsid w:val="00C25FFF"/>
    <w:rsid w:val="00C263F0"/>
    <w:rsid w:val="00C27CBA"/>
    <w:rsid w:val="00C31697"/>
    <w:rsid w:val="00C324E6"/>
    <w:rsid w:val="00C32BE9"/>
    <w:rsid w:val="00C351C7"/>
    <w:rsid w:val="00C364A7"/>
    <w:rsid w:val="00C37179"/>
    <w:rsid w:val="00C41C76"/>
    <w:rsid w:val="00C424A4"/>
    <w:rsid w:val="00C42BBB"/>
    <w:rsid w:val="00C4402D"/>
    <w:rsid w:val="00C455B5"/>
    <w:rsid w:val="00C46215"/>
    <w:rsid w:val="00C50754"/>
    <w:rsid w:val="00C50C68"/>
    <w:rsid w:val="00C50EAC"/>
    <w:rsid w:val="00C51384"/>
    <w:rsid w:val="00C5151F"/>
    <w:rsid w:val="00C51D96"/>
    <w:rsid w:val="00C528D4"/>
    <w:rsid w:val="00C53A68"/>
    <w:rsid w:val="00C5403F"/>
    <w:rsid w:val="00C54B40"/>
    <w:rsid w:val="00C55FED"/>
    <w:rsid w:val="00C5725A"/>
    <w:rsid w:val="00C5728F"/>
    <w:rsid w:val="00C57A58"/>
    <w:rsid w:val="00C57B4D"/>
    <w:rsid w:val="00C63306"/>
    <w:rsid w:val="00C6356B"/>
    <w:rsid w:val="00C64D5D"/>
    <w:rsid w:val="00C65C0A"/>
    <w:rsid w:val="00C66B37"/>
    <w:rsid w:val="00C66B72"/>
    <w:rsid w:val="00C723D4"/>
    <w:rsid w:val="00C729BF"/>
    <w:rsid w:val="00C73BAF"/>
    <w:rsid w:val="00C75C6E"/>
    <w:rsid w:val="00C76CE1"/>
    <w:rsid w:val="00C779DE"/>
    <w:rsid w:val="00C8011E"/>
    <w:rsid w:val="00C80E1F"/>
    <w:rsid w:val="00C81E02"/>
    <w:rsid w:val="00C8281F"/>
    <w:rsid w:val="00C82AAE"/>
    <w:rsid w:val="00C8503D"/>
    <w:rsid w:val="00C85F3C"/>
    <w:rsid w:val="00C86FBB"/>
    <w:rsid w:val="00C8766E"/>
    <w:rsid w:val="00C90EA2"/>
    <w:rsid w:val="00C91C17"/>
    <w:rsid w:val="00C920E2"/>
    <w:rsid w:val="00C9278A"/>
    <w:rsid w:val="00C93569"/>
    <w:rsid w:val="00C94384"/>
    <w:rsid w:val="00C94EC8"/>
    <w:rsid w:val="00C956D5"/>
    <w:rsid w:val="00CA3733"/>
    <w:rsid w:val="00CA388A"/>
    <w:rsid w:val="00CA4725"/>
    <w:rsid w:val="00CA58C2"/>
    <w:rsid w:val="00CA6BAE"/>
    <w:rsid w:val="00CA6CFC"/>
    <w:rsid w:val="00CB155A"/>
    <w:rsid w:val="00CB1ADC"/>
    <w:rsid w:val="00CB22F5"/>
    <w:rsid w:val="00CB2658"/>
    <w:rsid w:val="00CB362B"/>
    <w:rsid w:val="00CB46C2"/>
    <w:rsid w:val="00CB4CED"/>
    <w:rsid w:val="00CB5714"/>
    <w:rsid w:val="00CB65F4"/>
    <w:rsid w:val="00CB7086"/>
    <w:rsid w:val="00CC00EB"/>
    <w:rsid w:val="00CC1DE3"/>
    <w:rsid w:val="00CC2A3B"/>
    <w:rsid w:val="00CC34B8"/>
    <w:rsid w:val="00CC3C49"/>
    <w:rsid w:val="00CC4035"/>
    <w:rsid w:val="00CC41A1"/>
    <w:rsid w:val="00CC4750"/>
    <w:rsid w:val="00CC4AE2"/>
    <w:rsid w:val="00CC5268"/>
    <w:rsid w:val="00CC6607"/>
    <w:rsid w:val="00CD0AE0"/>
    <w:rsid w:val="00CD20D6"/>
    <w:rsid w:val="00CD2DBD"/>
    <w:rsid w:val="00CD666D"/>
    <w:rsid w:val="00CD68F9"/>
    <w:rsid w:val="00CD715B"/>
    <w:rsid w:val="00CD787C"/>
    <w:rsid w:val="00CD7AC5"/>
    <w:rsid w:val="00CE0D1F"/>
    <w:rsid w:val="00CE1078"/>
    <w:rsid w:val="00CE1DE6"/>
    <w:rsid w:val="00CE2CC8"/>
    <w:rsid w:val="00CE2D91"/>
    <w:rsid w:val="00CE5480"/>
    <w:rsid w:val="00CE55DE"/>
    <w:rsid w:val="00CF02DF"/>
    <w:rsid w:val="00CF11EA"/>
    <w:rsid w:val="00CF362E"/>
    <w:rsid w:val="00CF4C6E"/>
    <w:rsid w:val="00CF5521"/>
    <w:rsid w:val="00D00135"/>
    <w:rsid w:val="00D01C2F"/>
    <w:rsid w:val="00D026EE"/>
    <w:rsid w:val="00D02921"/>
    <w:rsid w:val="00D032BF"/>
    <w:rsid w:val="00D05320"/>
    <w:rsid w:val="00D05A47"/>
    <w:rsid w:val="00D06B6C"/>
    <w:rsid w:val="00D11663"/>
    <w:rsid w:val="00D13F45"/>
    <w:rsid w:val="00D15359"/>
    <w:rsid w:val="00D16434"/>
    <w:rsid w:val="00D1667D"/>
    <w:rsid w:val="00D1744E"/>
    <w:rsid w:val="00D17A20"/>
    <w:rsid w:val="00D211E4"/>
    <w:rsid w:val="00D2250D"/>
    <w:rsid w:val="00D22770"/>
    <w:rsid w:val="00D23367"/>
    <w:rsid w:val="00D2736F"/>
    <w:rsid w:val="00D30CBC"/>
    <w:rsid w:val="00D30FAB"/>
    <w:rsid w:val="00D31F30"/>
    <w:rsid w:val="00D329E8"/>
    <w:rsid w:val="00D33009"/>
    <w:rsid w:val="00D331F2"/>
    <w:rsid w:val="00D34794"/>
    <w:rsid w:val="00D34D50"/>
    <w:rsid w:val="00D34D7F"/>
    <w:rsid w:val="00D35210"/>
    <w:rsid w:val="00D36275"/>
    <w:rsid w:val="00D376DA"/>
    <w:rsid w:val="00D37E80"/>
    <w:rsid w:val="00D40D1C"/>
    <w:rsid w:val="00D41F5D"/>
    <w:rsid w:val="00D42023"/>
    <w:rsid w:val="00D422EE"/>
    <w:rsid w:val="00D430F9"/>
    <w:rsid w:val="00D434EB"/>
    <w:rsid w:val="00D43A8D"/>
    <w:rsid w:val="00D441F8"/>
    <w:rsid w:val="00D44387"/>
    <w:rsid w:val="00D46840"/>
    <w:rsid w:val="00D51635"/>
    <w:rsid w:val="00D51989"/>
    <w:rsid w:val="00D52027"/>
    <w:rsid w:val="00D52D0F"/>
    <w:rsid w:val="00D53242"/>
    <w:rsid w:val="00D539E1"/>
    <w:rsid w:val="00D54392"/>
    <w:rsid w:val="00D54716"/>
    <w:rsid w:val="00D54EAB"/>
    <w:rsid w:val="00D551C9"/>
    <w:rsid w:val="00D56435"/>
    <w:rsid w:val="00D5688F"/>
    <w:rsid w:val="00D568E8"/>
    <w:rsid w:val="00D57532"/>
    <w:rsid w:val="00D60CD7"/>
    <w:rsid w:val="00D62209"/>
    <w:rsid w:val="00D6268C"/>
    <w:rsid w:val="00D62929"/>
    <w:rsid w:val="00D62E8D"/>
    <w:rsid w:val="00D63360"/>
    <w:rsid w:val="00D633C7"/>
    <w:rsid w:val="00D64CF2"/>
    <w:rsid w:val="00D65116"/>
    <w:rsid w:val="00D65BB7"/>
    <w:rsid w:val="00D6741A"/>
    <w:rsid w:val="00D67DD1"/>
    <w:rsid w:val="00D704BB"/>
    <w:rsid w:val="00D70E1C"/>
    <w:rsid w:val="00D725AD"/>
    <w:rsid w:val="00D72696"/>
    <w:rsid w:val="00D72E88"/>
    <w:rsid w:val="00D73910"/>
    <w:rsid w:val="00D8218F"/>
    <w:rsid w:val="00D8438A"/>
    <w:rsid w:val="00D84A0B"/>
    <w:rsid w:val="00D8654C"/>
    <w:rsid w:val="00D874BB"/>
    <w:rsid w:val="00D91A71"/>
    <w:rsid w:val="00D91DCE"/>
    <w:rsid w:val="00D9294A"/>
    <w:rsid w:val="00D9309F"/>
    <w:rsid w:val="00D9366B"/>
    <w:rsid w:val="00D94734"/>
    <w:rsid w:val="00D952E8"/>
    <w:rsid w:val="00D9535D"/>
    <w:rsid w:val="00D9650A"/>
    <w:rsid w:val="00D971B9"/>
    <w:rsid w:val="00D97FB9"/>
    <w:rsid w:val="00DA26C8"/>
    <w:rsid w:val="00DA37B7"/>
    <w:rsid w:val="00DA42EE"/>
    <w:rsid w:val="00DA7025"/>
    <w:rsid w:val="00DB0089"/>
    <w:rsid w:val="00DB0984"/>
    <w:rsid w:val="00DB194A"/>
    <w:rsid w:val="00DB1B76"/>
    <w:rsid w:val="00DB2754"/>
    <w:rsid w:val="00DB31F5"/>
    <w:rsid w:val="00DB3A0E"/>
    <w:rsid w:val="00DB3D65"/>
    <w:rsid w:val="00DB3E60"/>
    <w:rsid w:val="00DB481C"/>
    <w:rsid w:val="00DB4821"/>
    <w:rsid w:val="00DB7CDA"/>
    <w:rsid w:val="00DC0164"/>
    <w:rsid w:val="00DC0CDC"/>
    <w:rsid w:val="00DC0F07"/>
    <w:rsid w:val="00DC140D"/>
    <w:rsid w:val="00DC1CC5"/>
    <w:rsid w:val="00DC23FD"/>
    <w:rsid w:val="00DC25E2"/>
    <w:rsid w:val="00DC3CF5"/>
    <w:rsid w:val="00DC42D2"/>
    <w:rsid w:val="00DC6410"/>
    <w:rsid w:val="00DC764F"/>
    <w:rsid w:val="00DC7DDA"/>
    <w:rsid w:val="00DC7DFB"/>
    <w:rsid w:val="00DD066E"/>
    <w:rsid w:val="00DD07A4"/>
    <w:rsid w:val="00DD1A48"/>
    <w:rsid w:val="00DD1AA1"/>
    <w:rsid w:val="00DD4218"/>
    <w:rsid w:val="00DD4C66"/>
    <w:rsid w:val="00DD5A12"/>
    <w:rsid w:val="00DD5A60"/>
    <w:rsid w:val="00DD61EB"/>
    <w:rsid w:val="00DD799B"/>
    <w:rsid w:val="00DD7C36"/>
    <w:rsid w:val="00DE1A01"/>
    <w:rsid w:val="00DE2239"/>
    <w:rsid w:val="00DE3A4E"/>
    <w:rsid w:val="00DE3B26"/>
    <w:rsid w:val="00DE4341"/>
    <w:rsid w:val="00DE4E12"/>
    <w:rsid w:val="00DE5437"/>
    <w:rsid w:val="00DE6ED5"/>
    <w:rsid w:val="00DF159F"/>
    <w:rsid w:val="00DF25FD"/>
    <w:rsid w:val="00DF2D77"/>
    <w:rsid w:val="00DF3FDE"/>
    <w:rsid w:val="00DF6045"/>
    <w:rsid w:val="00E011BD"/>
    <w:rsid w:val="00E0120A"/>
    <w:rsid w:val="00E02066"/>
    <w:rsid w:val="00E0292D"/>
    <w:rsid w:val="00E03558"/>
    <w:rsid w:val="00E04DDA"/>
    <w:rsid w:val="00E0589B"/>
    <w:rsid w:val="00E06FC7"/>
    <w:rsid w:val="00E10263"/>
    <w:rsid w:val="00E12F83"/>
    <w:rsid w:val="00E139B7"/>
    <w:rsid w:val="00E13B80"/>
    <w:rsid w:val="00E15C28"/>
    <w:rsid w:val="00E1643F"/>
    <w:rsid w:val="00E1677F"/>
    <w:rsid w:val="00E17B83"/>
    <w:rsid w:val="00E17F0D"/>
    <w:rsid w:val="00E200AE"/>
    <w:rsid w:val="00E21057"/>
    <w:rsid w:val="00E23482"/>
    <w:rsid w:val="00E23731"/>
    <w:rsid w:val="00E2433A"/>
    <w:rsid w:val="00E243A6"/>
    <w:rsid w:val="00E24ACE"/>
    <w:rsid w:val="00E2780A"/>
    <w:rsid w:val="00E311E3"/>
    <w:rsid w:val="00E3229A"/>
    <w:rsid w:val="00E350B0"/>
    <w:rsid w:val="00E35A22"/>
    <w:rsid w:val="00E35C39"/>
    <w:rsid w:val="00E4081D"/>
    <w:rsid w:val="00E42403"/>
    <w:rsid w:val="00E44EEC"/>
    <w:rsid w:val="00E456E7"/>
    <w:rsid w:val="00E45DD4"/>
    <w:rsid w:val="00E4710D"/>
    <w:rsid w:val="00E504B2"/>
    <w:rsid w:val="00E5080C"/>
    <w:rsid w:val="00E50A14"/>
    <w:rsid w:val="00E51591"/>
    <w:rsid w:val="00E53455"/>
    <w:rsid w:val="00E56630"/>
    <w:rsid w:val="00E56993"/>
    <w:rsid w:val="00E57949"/>
    <w:rsid w:val="00E6143B"/>
    <w:rsid w:val="00E6278A"/>
    <w:rsid w:val="00E6279C"/>
    <w:rsid w:val="00E63224"/>
    <w:rsid w:val="00E6448E"/>
    <w:rsid w:val="00E659B9"/>
    <w:rsid w:val="00E65EEA"/>
    <w:rsid w:val="00E667F4"/>
    <w:rsid w:val="00E67C97"/>
    <w:rsid w:val="00E70733"/>
    <w:rsid w:val="00E73099"/>
    <w:rsid w:val="00E7356C"/>
    <w:rsid w:val="00E7381B"/>
    <w:rsid w:val="00E73A01"/>
    <w:rsid w:val="00E73E61"/>
    <w:rsid w:val="00E7468F"/>
    <w:rsid w:val="00E7538A"/>
    <w:rsid w:val="00E759D9"/>
    <w:rsid w:val="00E75E1E"/>
    <w:rsid w:val="00E77C24"/>
    <w:rsid w:val="00E81D86"/>
    <w:rsid w:val="00E826F2"/>
    <w:rsid w:val="00E834FC"/>
    <w:rsid w:val="00E83B17"/>
    <w:rsid w:val="00E915CA"/>
    <w:rsid w:val="00E9278F"/>
    <w:rsid w:val="00E941F8"/>
    <w:rsid w:val="00E9424B"/>
    <w:rsid w:val="00E95680"/>
    <w:rsid w:val="00E957D8"/>
    <w:rsid w:val="00E97E6A"/>
    <w:rsid w:val="00EA2228"/>
    <w:rsid w:val="00EA2578"/>
    <w:rsid w:val="00EA4AC8"/>
    <w:rsid w:val="00EA5309"/>
    <w:rsid w:val="00EA58FD"/>
    <w:rsid w:val="00EA73CB"/>
    <w:rsid w:val="00EA7B4C"/>
    <w:rsid w:val="00EA7CB8"/>
    <w:rsid w:val="00EB02AB"/>
    <w:rsid w:val="00EB10C5"/>
    <w:rsid w:val="00EB337B"/>
    <w:rsid w:val="00EB58C5"/>
    <w:rsid w:val="00EB61AD"/>
    <w:rsid w:val="00EB706B"/>
    <w:rsid w:val="00EB720A"/>
    <w:rsid w:val="00EB7214"/>
    <w:rsid w:val="00EB7751"/>
    <w:rsid w:val="00EC0058"/>
    <w:rsid w:val="00EC0A9E"/>
    <w:rsid w:val="00EC0E4C"/>
    <w:rsid w:val="00EC264C"/>
    <w:rsid w:val="00EC3401"/>
    <w:rsid w:val="00EC494C"/>
    <w:rsid w:val="00EC51B4"/>
    <w:rsid w:val="00EC5461"/>
    <w:rsid w:val="00EC5BDE"/>
    <w:rsid w:val="00EC788B"/>
    <w:rsid w:val="00EC79E7"/>
    <w:rsid w:val="00ED1319"/>
    <w:rsid w:val="00ED376B"/>
    <w:rsid w:val="00ED3A39"/>
    <w:rsid w:val="00ED52D7"/>
    <w:rsid w:val="00ED5A42"/>
    <w:rsid w:val="00ED5BFA"/>
    <w:rsid w:val="00ED601E"/>
    <w:rsid w:val="00ED6D42"/>
    <w:rsid w:val="00ED6E4B"/>
    <w:rsid w:val="00EE0424"/>
    <w:rsid w:val="00EE0817"/>
    <w:rsid w:val="00EE0B8F"/>
    <w:rsid w:val="00EE1EFD"/>
    <w:rsid w:val="00EE5D74"/>
    <w:rsid w:val="00EE748A"/>
    <w:rsid w:val="00EF03B9"/>
    <w:rsid w:val="00EF0BCB"/>
    <w:rsid w:val="00EF12E2"/>
    <w:rsid w:val="00EF2060"/>
    <w:rsid w:val="00EF3C11"/>
    <w:rsid w:val="00EF454E"/>
    <w:rsid w:val="00EF4848"/>
    <w:rsid w:val="00F0299F"/>
    <w:rsid w:val="00F032D7"/>
    <w:rsid w:val="00F04E3A"/>
    <w:rsid w:val="00F0663A"/>
    <w:rsid w:val="00F06807"/>
    <w:rsid w:val="00F06D20"/>
    <w:rsid w:val="00F076F9"/>
    <w:rsid w:val="00F10484"/>
    <w:rsid w:val="00F1052E"/>
    <w:rsid w:val="00F1140F"/>
    <w:rsid w:val="00F12961"/>
    <w:rsid w:val="00F12998"/>
    <w:rsid w:val="00F13310"/>
    <w:rsid w:val="00F143F3"/>
    <w:rsid w:val="00F15E60"/>
    <w:rsid w:val="00F16BBB"/>
    <w:rsid w:val="00F172FC"/>
    <w:rsid w:val="00F2047D"/>
    <w:rsid w:val="00F20CB9"/>
    <w:rsid w:val="00F230FA"/>
    <w:rsid w:val="00F2310A"/>
    <w:rsid w:val="00F23D48"/>
    <w:rsid w:val="00F23FAB"/>
    <w:rsid w:val="00F24442"/>
    <w:rsid w:val="00F31FA7"/>
    <w:rsid w:val="00F326CC"/>
    <w:rsid w:val="00F3282A"/>
    <w:rsid w:val="00F345CA"/>
    <w:rsid w:val="00F3528B"/>
    <w:rsid w:val="00F359BE"/>
    <w:rsid w:val="00F35CC9"/>
    <w:rsid w:val="00F35DE4"/>
    <w:rsid w:val="00F3771A"/>
    <w:rsid w:val="00F40AE1"/>
    <w:rsid w:val="00F431F0"/>
    <w:rsid w:val="00F43AFE"/>
    <w:rsid w:val="00F46A63"/>
    <w:rsid w:val="00F46F56"/>
    <w:rsid w:val="00F4732C"/>
    <w:rsid w:val="00F503C2"/>
    <w:rsid w:val="00F50A1B"/>
    <w:rsid w:val="00F522BC"/>
    <w:rsid w:val="00F52757"/>
    <w:rsid w:val="00F529E0"/>
    <w:rsid w:val="00F52E1B"/>
    <w:rsid w:val="00F53A6B"/>
    <w:rsid w:val="00F543E1"/>
    <w:rsid w:val="00F555A5"/>
    <w:rsid w:val="00F55942"/>
    <w:rsid w:val="00F55ABC"/>
    <w:rsid w:val="00F603AD"/>
    <w:rsid w:val="00F61BAC"/>
    <w:rsid w:val="00F624FA"/>
    <w:rsid w:val="00F63760"/>
    <w:rsid w:val="00F64695"/>
    <w:rsid w:val="00F64AD6"/>
    <w:rsid w:val="00F67BD7"/>
    <w:rsid w:val="00F67F71"/>
    <w:rsid w:val="00F71302"/>
    <w:rsid w:val="00F71B50"/>
    <w:rsid w:val="00F71C88"/>
    <w:rsid w:val="00F72D0B"/>
    <w:rsid w:val="00F72D68"/>
    <w:rsid w:val="00F74D5F"/>
    <w:rsid w:val="00F77BC0"/>
    <w:rsid w:val="00F77D3D"/>
    <w:rsid w:val="00F80229"/>
    <w:rsid w:val="00F806B7"/>
    <w:rsid w:val="00F80FD3"/>
    <w:rsid w:val="00F82287"/>
    <w:rsid w:val="00F82D59"/>
    <w:rsid w:val="00F82D5B"/>
    <w:rsid w:val="00F83287"/>
    <w:rsid w:val="00F83E40"/>
    <w:rsid w:val="00F84B7B"/>
    <w:rsid w:val="00F914E5"/>
    <w:rsid w:val="00F91E0C"/>
    <w:rsid w:val="00F92B62"/>
    <w:rsid w:val="00F92C71"/>
    <w:rsid w:val="00F92DAB"/>
    <w:rsid w:val="00F93BA0"/>
    <w:rsid w:val="00F93C32"/>
    <w:rsid w:val="00F945E3"/>
    <w:rsid w:val="00F94BF0"/>
    <w:rsid w:val="00F95924"/>
    <w:rsid w:val="00F96232"/>
    <w:rsid w:val="00F969FF"/>
    <w:rsid w:val="00FA1FF0"/>
    <w:rsid w:val="00FA3391"/>
    <w:rsid w:val="00FA490D"/>
    <w:rsid w:val="00FA60D3"/>
    <w:rsid w:val="00FB00F1"/>
    <w:rsid w:val="00FB0304"/>
    <w:rsid w:val="00FB072B"/>
    <w:rsid w:val="00FB1A51"/>
    <w:rsid w:val="00FB1C9A"/>
    <w:rsid w:val="00FC1888"/>
    <w:rsid w:val="00FC1D5F"/>
    <w:rsid w:val="00FC2072"/>
    <w:rsid w:val="00FC2439"/>
    <w:rsid w:val="00FC2E91"/>
    <w:rsid w:val="00FC4772"/>
    <w:rsid w:val="00FC5537"/>
    <w:rsid w:val="00FC5E70"/>
    <w:rsid w:val="00FC6F52"/>
    <w:rsid w:val="00FC7296"/>
    <w:rsid w:val="00FD0886"/>
    <w:rsid w:val="00FD0A48"/>
    <w:rsid w:val="00FD6D5A"/>
    <w:rsid w:val="00FD71EF"/>
    <w:rsid w:val="00FE0ED4"/>
    <w:rsid w:val="00FE1050"/>
    <w:rsid w:val="00FE1C24"/>
    <w:rsid w:val="00FE23AC"/>
    <w:rsid w:val="00FE2D92"/>
    <w:rsid w:val="00FE33ED"/>
    <w:rsid w:val="00FE5372"/>
    <w:rsid w:val="00FF1182"/>
    <w:rsid w:val="00FF1F30"/>
    <w:rsid w:val="00FF2ACE"/>
    <w:rsid w:val="00FF35B8"/>
    <w:rsid w:val="00FF35C0"/>
    <w:rsid w:val="00FF4255"/>
    <w:rsid w:val="00FF4500"/>
    <w:rsid w:val="00FF4D8A"/>
    <w:rsid w:val="00FF75E7"/>
    <w:rsid w:val="01121891"/>
    <w:rsid w:val="011B0745"/>
    <w:rsid w:val="013C06BC"/>
    <w:rsid w:val="01695955"/>
    <w:rsid w:val="016F45ED"/>
    <w:rsid w:val="018F03BE"/>
    <w:rsid w:val="01960061"/>
    <w:rsid w:val="01993D60"/>
    <w:rsid w:val="01A52705"/>
    <w:rsid w:val="01AD1052"/>
    <w:rsid w:val="01C0591B"/>
    <w:rsid w:val="01C11512"/>
    <w:rsid w:val="01CB62D1"/>
    <w:rsid w:val="01EB45BC"/>
    <w:rsid w:val="01FD7164"/>
    <w:rsid w:val="0216715F"/>
    <w:rsid w:val="023B4C75"/>
    <w:rsid w:val="024E06A7"/>
    <w:rsid w:val="026343D0"/>
    <w:rsid w:val="028027CF"/>
    <w:rsid w:val="02A46519"/>
    <w:rsid w:val="02AB52F6"/>
    <w:rsid w:val="02B02539"/>
    <w:rsid w:val="02CD5A6F"/>
    <w:rsid w:val="02D52B76"/>
    <w:rsid w:val="02E132C9"/>
    <w:rsid w:val="02EF0084"/>
    <w:rsid w:val="02EF1DAA"/>
    <w:rsid w:val="02F91D73"/>
    <w:rsid w:val="03044C13"/>
    <w:rsid w:val="0305345B"/>
    <w:rsid w:val="030C34AA"/>
    <w:rsid w:val="030E058C"/>
    <w:rsid w:val="031C69F7"/>
    <w:rsid w:val="03205C6E"/>
    <w:rsid w:val="0328714A"/>
    <w:rsid w:val="03373831"/>
    <w:rsid w:val="033C49A3"/>
    <w:rsid w:val="033D4312"/>
    <w:rsid w:val="03443858"/>
    <w:rsid w:val="034F0B7A"/>
    <w:rsid w:val="035267A2"/>
    <w:rsid w:val="0371289F"/>
    <w:rsid w:val="03753FAD"/>
    <w:rsid w:val="03880764"/>
    <w:rsid w:val="0396140E"/>
    <w:rsid w:val="03A644DC"/>
    <w:rsid w:val="03AB63E8"/>
    <w:rsid w:val="03AD3817"/>
    <w:rsid w:val="03CE7CF1"/>
    <w:rsid w:val="03D90444"/>
    <w:rsid w:val="04043713"/>
    <w:rsid w:val="04074FB1"/>
    <w:rsid w:val="04155920"/>
    <w:rsid w:val="041A2F36"/>
    <w:rsid w:val="041D78BE"/>
    <w:rsid w:val="041F679F"/>
    <w:rsid w:val="04221DEB"/>
    <w:rsid w:val="04357D70"/>
    <w:rsid w:val="04370025"/>
    <w:rsid w:val="044730A1"/>
    <w:rsid w:val="04511EA2"/>
    <w:rsid w:val="04570FEB"/>
    <w:rsid w:val="04577756"/>
    <w:rsid w:val="04602913"/>
    <w:rsid w:val="046B0E47"/>
    <w:rsid w:val="04780BCB"/>
    <w:rsid w:val="048B5CF5"/>
    <w:rsid w:val="04B907F2"/>
    <w:rsid w:val="04F75865"/>
    <w:rsid w:val="04FC088E"/>
    <w:rsid w:val="051931EE"/>
    <w:rsid w:val="051C683A"/>
    <w:rsid w:val="052252C1"/>
    <w:rsid w:val="0523406D"/>
    <w:rsid w:val="05281683"/>
    <w:rsid w:val="05283431"/>
    <w:rsid w:val="052D4EEB"/>
    <w:rsid w:val="05353DA0"/>
    <w:rsid w:val="05365E90"/>
    <w:rsid w:val="054022C8"/>
    <w:rsid w:val="05445D91"/>
    <w:rsid w:val="0551465B"/>
    <w:rsid w:val="05595CE0"/>
    <w:rsid w:val="056D178C"/>
    <w:rsid w:val="05704DD8"/>
    <w:rsid w:val="05934824"/>
    <w:rsid w:val="0599221B"/>
    <w:rsid w:val="05A005A7"/>
    <w:rsid w:val="05A30D0A"/>
    <w:rsid w:val="05B20F4D"/>
    <w:rsid w:val="05C173E2"/>
    <w:rsid w:val="05D36F30"/>
    <w:rsid w:val="05E80E12"/>
    <w:rsid w:val="060E0879"/>
    <w:rsid w:val="0616597F"/>
    <w:rsid w:val="062A688C"/>
    <w:rsid w:val="064A5629"/>
    <w:rsid w:val="066433D1"/>
    <w:rsid w:val="06667380"/>
    <w:rsid w:val="06693D01"/>
    <w:rsid w:val="0687687D"/>
    <w:rsid w:val="06B01930"/>
    <w:rsid w:val="06C76C7A"/>
    <w:rsid w:val="06D373CC"/>
    <w:rsid w:val="06E53B5E"/>
    <w:rsid w:val="06EF12AA"/>
    <w:rsid w:val="0709503F"/>
    <w:rsid w:val="07177C01"/>
    <w:rsid w:val="073C4824"/>
    <w:rsid w:val="074F739B"/>
    <w:rsid w:val="0764271A"/>
    <w:rsid w:val="076C0488"/>
    <w:rsid w:val="07797F74"/>
    <w:rsid w:val="07AD055F"/>
    <w:rsid w:val="07AD2986"/>
    <w:rsid w:val="07BB058C"/>
    <w:rsid w:val="07BE62CF"/>
    <w:rsid w:val="07D53E7E"/>
    <w:rsid w:val="07D57174"/>
    <w:rsid w:val="0811309B"/>
    <w:rsid w:val="081B102B"/>
    <w:rsid w:val="08275C22"/>
    <w:rsid w:val="082E4B44"/>
    <w:rsid w:val="08412F4D"/>
    <w:rsid w:val="08440841"/>
    <w:rsid w:val="086F75C9"/>
    <w:rsid w:val="08803584"/>
    <w:rsid w:val="08874912"/>
    <w:rsid w:val="089452F1"/>
    <w:rsid w:val="08977556"/>
    <w:rsid w:val="08AC61C8"/>
    <w:rsid w:val="08BB636A"/>
    <w:rsid w:val="08CC67C9"/>
    <w:rsid w:val="08E07478"/>
    <w:rsid w:val="08E27D9B"/>
    <w:rsid w:val="08E43EE6"/>
    <w:rsid w:val="09045F63"/>
    <w:rsid w:val="091B0E87"/>
    <w:rsid w:val="09246605"/>
    <w:rsid w:val="09424B8B"/>
    <w:rsid w:val="094445B2"/>
    <w:rsid w:val="095E1B17"/>
    <w:rsid w:val="09865938"/>
    <w:rsid w:val="09981B16"/>
    <w:rsid w:val="09BA2AC6"/>
    <w:rsid w:val="09C851E3"/>
    <w:rsid w:val="09C97B58"/>
    <w:rsid w:val="09ED35DB"/>
    <w:rsid w:val="09F14739"/>
    <w:rsid w:val="0A0A57FB"/>
    <w:rsid w:val="0A0F4BBF"/>
    <w:rsid w:val="0A200B7B"/>
    <w:rsid w:val="0A5B59FD"/>
    <w:rsid w:val="0A660225"/>
    <w:rsid w:val="0A6C2012"/>
    <w:rsid w:val="0A742C74"/>
    <w:rsid w:val="0A80786B"/>
    <w:rsid w:val="0A903AF3"/>
    <w:rsid w:val="0AAE277D"/>
    <w:rsid w:val="0AB07190"/>
    <w:rsid w:val="0AB614DF"/>
    <w:rsid w:val="0ABE2142"/>
    <w:rsid w:val="0AC05ACE"/>
    <w:rsid w:val="0AD1446F"/>
    <w:rsid w:val="0AD21C13"/>
    <w:rsid w:val="0AE24082"/>
    <w:rsid w:val="0AEC6CAF"/>
    <w:rsid w:val="0AFB2C3F"/>
    <w:rsid w:val="0B116715"/>
    <w:rsid w:val="0B2E376B"/>
    <w:rsid w:val="0B427382"/>
    <w:rsid w:val="0B4B116C"/>
    <w:rsid w:val="0B6B2AB0"/>
    <w:rsid w:val="0B6E5916"/>
    <w:rsid w:val="0B815649"/>
    <w:rsid w:val="0B826E8F"/>
    <w:rsid w:val="0B865355"/>
    <w:rsid w:val="0BB14CDC"/>
    <w:rsid w:val="0BC056F1"/>
    <w:rsid w:val="0BC62CE6"/>
    <w:rsid w:val="0BD165F1"/>
    <w:rsid w:val="0BD87233"/>
    <w:rsid w:val="0BD92D22"/>
    <w:rsid w:val="0C063DA0"/>
    <w:rsid w:val="0C36643E"/>
    <w:rsid w:val="0C493709"/>
    <w:rsid w:val="0C525237"/>
    <w:rsid w:val="0C7204DF"/>
    <w:rsid w:val="0C8A677F"/>
    <w:rsid w:val="0C8F3D96"/>
    <w:rsid w:val="0CA23AC9"/>
    <w:rsid w:val="0CAB55AE"/>
    <w:rsid w:val="0CAD6B6C"/>
    <w:rsid w:val="0CB90E13"/>
    <w:rsid w:val="0CE2480D"/>
    <w:rsid w:val="0CF307C8"/>
    <w:rsid w:val="0CFF0F1B"/>
    <w:rsid w:val="0D094C2E"/>
    <w:rsid w:val="0D0B3D64"/>
    <w:rsid w:val="0D0B5B12"/>
    <w:rsid w:val="0D10137A"/>
    <w:rsid w:val="0D19309C"/>
    <w:rsid w:val="0D3021CC"/>
    <w:rsid w:val="0D3A01A5"/>
    <w:rsid w:val="0D4B0BC6"/>
    <w:rsid w:val="0D4C612B"/>
    <w:rsid w:val="0D5C636E"/>
    <w:rsid w:val="0D696CDD"/>
    <w:rsid w:val="0D801C4C"/>
    <w:rsid w:val="0D9B76E8"/>
    <w:rsid w:val="0DA25D4B"/>
    <w:rsid w:val="0DA34AD2"/>
    <w:rsid w:val="0DAD0977"/>
    <w:rsid w:val="0DB34F8A"/>
    <w:rsid w:val="0DB5782C"/>
    <w:rsid w:val="0DF75B9E"/>
    <w:rsid w:val="0E06452B"/>
    <w:rsid w:val="0E1529C0"/>
    <w:rsid w:val="0E1916AC"/>
    <w:rsid w:val="0E213113"/>
    <w:rsid w:val="0E2C21E4"/>
    <w:rsid w:val="0E2C5319"/>
    <w:rsid w:val="0E344BF5"/>
    <w:rsid w:val="0E372937"/>
    <w:rsid w:val="0E43308A"/>
    <w:rsid w:val="0E746EA7"/>
    <w:rsid w:val="0E770F85"/>
    <w:rsid w:val="0E806AF9"/>
    <w:rsid w:val="0E8B67DF"/>
    <w:rsid w:val="0EC0292C"/>
    <w:rsid w:val="0ED06C84"/>
    <w:rsid w:val="0ED308B1"/>
    <w:rsid w:val="0EFF0F08"/>
    <w:rsid w:val="0F07055B"/>
    <w:rsid w:val="0F16254C"/>
    <w:rsid w:val="0F362BEE"/>
    <w:rsid w:val="0F36499C"/>
    <w:rsid w:val="0F580DB7"/>
    <w:rsid w:val="0F5965E2"/>
    <w:rsid w:val="0F6E265A"/>
    <w:rsid w:val="0F81030D"/>
    <w:rsid w:val="0F8A6A96"/>
    <w:rsid w:val="0F9022FF"/>
    <w:rsid w:val="0F987405"/>
    <w:rsid w:val="0F9B1A44"/>
    <w:rsid w:val="0FC25C7D"/>
    <w:rsid w:val="0FD072B6"/>
    <w:rsid w:val="0FD57666"/>
    <w:rsid w:val="0FDF5034"/>
    <w:rsid w:val="0FEA2409"/>
    <w:rsid w:val="0FEB39D9"/>
    <w:rsid w:val="0FF72EFB"/>
    <w:rsid w:val="0FFC7994"/>
    <w:rsid w:val="10032985"/>
    <w:rsid w:val="10190546"/>
    <w:rsid w:val="101F0E66"/>
    <w:rsid w:val="10280789"/>
    <w:rsid w:val="103A226A"/>
    <w:rsid w:val="105E6B9C"/>
    <w:rsid w:val="106926DB"/>
    <w:rsid w:val="1079156B"/>
    <w:rsid w:val="107A521A"/>
    <w:rsid w:val="107E2BFA"/>
    <w:rsid w:val="10862CCF"/>
    <w:rsid w:val="108C2ADB"/>
    <w:rsid w:val="10B12CBB"/>
    <w:rsid w:val="10BC7123"/>
    <w:rsid w:val="10C17093"/>
    <w:rsid w:val="10C375FF"/>
    <w:rsid w:val="10CA1840"/>
    <w:rsid w:val="10CE75B6"/>
    <w:rsid w:val="11002D55"/>
    <w:rsid w:val="1109435D"/>
    <w:rsid w:val="111016B8"/>
    <w:rsid w:val="11277C30"/>
    <w:rsid w:val="112E0021"/>
    <w:rsid w:val="11345C26"/>
    <w:rsid w:val="115B7645"/>
    <w:rsid w:val="11652253"/>
    <w:rsid w:val="11872EC4"/>
    <w:rsid w:val="11A227BD"/>
    <w:rsid w:val="11B81FE1"/>
    <w:rsid w:val="11D16BFE"/>
    <w:rsid w:val="11DB4B8D"/>
    <w:rsid w:val="11F56D91"/>
    <w:rsid w:val="120F69BB"/>
    <w:rsid w:val="12134480"/>
    <w:rsid w:val="12235399"/>
    <w:rsid w:val="122F5FD6"/>
    <w:rsid w:val="12337F00"/>
    <w:rsid w:val="123553DF"/>
    <w:rsid w:val="12750005"/>
    <w:rsid w:val="127D04BE"/>
    <w:rsid w:val="12922832"/>
    <w:rsid w:val="12971BF6"/>
    <w:rsid w:val="12A5482A"/>
    <w:rsid w:val="12BB3B36"/>
    <w:rsid w:val="12BC5481"/>
    <w:rsid w:val="12CD6737"/>
    <w:rsid w:val="12D4494D"/>
    <w:rsid w:val="12E56E05"/>
    <w:rsid w:val="12EF558E"/>
    <w:rsid w:val="130A23C8"/>
    <w:rsid w:val="13143247"/>
    <w:rsid w:val="132A2A6A"/>
    <w:rsid w:val="13363E1E"/>
    <w:rsid w:val="133E02C4"/>
    <w:rsid w:val="13433B2C"/>
    <w:rsid w:val="13555442"/>
    <w:rsid w:val="136715C8"/>
    <w:rsid w:val="136F4E34"/>
    <w:rsid w:val="137361BF"/>
    <w:rsid w:val="137B5E51"/>
    <w:rsid w:val="139323BD"/>
    <w:rsid w:val="13B62550"/>
    <w:rsid w:val="13C95DDF"/>
    <w:rsid w:val="13F56435"/>
    <w:rsid w:val="13FC4407"/>
    <w:rsid w:val="140A0F23"/>
    <w:rsid w:val="14117786"/>
    <w:rsid w:val="14174D31"/>
    <w:rsid w:val="14215C1B"/>
    <w:rsid w:val="142A0701"/>
    <w:rsid w:val="1433594E"/>
    <w:rsid w:val="14411E19"/>
    <w:rsid w:val="14434830"/>
    <w:rsid w:val="144B2C98"/>
    <w:rsid w:val="145204CA"/>
    <w:rsid w:val="14586B3F"/>
    <w:rsid w:val="146D3F52"/>
    <w:rsid w:val="14771904"/>
    <w:rsid w:val="14952165"/>
    <w:rsid w:val="149E6F05"/>
    <w:rsid w:val="14B00D4D"/>
    <w:rsid w:val="14B940A6"/>
    <w:rsid w:val="14BA4EEA"/>
    <w:rsid w:val="14D26F15"/>
    <w:rsid w:val="1504385E"/>
    <w:rsid w:val="150B756B"/>
    <w:rsid w:val="1513675D"/>
    <w:rsid w:val="15164DFE"/>
    <w:rsid w:val="15200185"/>
    <w:rsid w:val="15282FD9"/>
    <w:rsid w:val="15323E58"/>
    <w:rsid w:val="154047C7"/>
    <w:rsid w:val="154C5AEB"/>
    <w:rsid w:val="156277E8"/>
    <w:rsid w:val="156649D2"/>
    <w:rsid w:val="15693513"/>
    <w:rsid w:val="156A35F2"/>
    <w:rsid w:val="15897F1C"/>
    <w:rsid w:val="15A5287C"/>
    <w:rsid w:val="15BA207A"/>
    <w:rsid w:val="15C42D02"/>
    <w:rsid w:val="15C54CCC"/>
    <w:rsid w:val="15CE592F"/>
    <w:rsid w:val="15D36E91"/>
    <w:rsid w:val="15DF7B3C"/>
    <w:rsid w:val="15E05662"/>
    <w:rsid w:val="15FF1F8C"/>
    <w:rsid w:val="16027A14"/>
    <w:rsid w:val="160C0A32"/>
    <w:rsid w:val="16302145"/>
    <w:rsid w:val="163559AE"/>
    <w:rsid w:val="16556050"/>
    <w:rsid w:val="165F4CB9"/>
    <w:rsid w:val="16745E3E"/>
    <w:rsid w:val="16873D30"/>
    <w:rsid w:val="16925429"/>
    <w:rsid w:val="16C531D6"/>
    <w:rsid w:val="16D3576A"/>
    <w:rsid w:val="16E15B36"/>
    <w:rsid w:val="16E178E4"/>
    <w:rsid w:val="16FC471D"/>
    <w:rsid w:val="170110A3"/>
    <w:rsid w:val="17012AEA"/>
    <w:rsid w:val="17044DC6"/>
    <w:rsid w:val="170F0188"/>
    <w:rsid w:val="172E7FFF"/>
    <w:rsid w:val="17343EB7"/>
    <w:rsid w:val="173739A8"/>
    <w:rsid w:val="175052C2"/>
    <w:rsid w:val="176862B9"/>
    <w:rsid w:val="17753C5F"/>
    <w:rsid w:val="17824C23"/>
    <w:rsid w:val="17B9616B"/>
    <w:rsid w:val="17D734C7"/>
    <w:rsid w:val="17E21B65"/>
    <w:rsid w:val="17FD65D0"/>
    <w:rsid w:val="180526B5"/>
    <w:rsid w:val="18154D0C"/>
    <w:rsid w:val="18187335"/>
    <w:rsid w:val="181A13D3"/>
    <w:rsid w:val="182313BA"/>
    <w:rsid w:val="18354804"/>
    <w:rsid w:val="18422604"/>
    <w:rsid w:val="18597DC9"/>
    <w:rsid w:val="18636A0E"/>
    <w:rsid w:val="18636CAE"/>
    <w:rsid w:val="18670D2E"/>
    <w:rsid w:val="18B0756E"/>
    <w:rsid w:val="18DA4A28"/>
    <w:rsid w:val="18F27B86"/>
    <w:rsid w:val="19013F4B"/>
    <w:rsid w:val="19266D72"/>
    <w:rsid w:val="19393A2E"/>
    <w:rsid w:val="193B3B10"/>
    <w:rsid w:val="193C739A"/>
    <w:rsid w:val="19483C4A"/>
    <w:rsid w:val="19486114"/>
    <w:rsid w:val="197A66F1"/>
    <w:rsid w:val="197D7D98"/>
    <w:rsid w:val="19B65A0A"/>
    <w:rsid w:val="19B83AE6"/>
    <w:rsid w:val="19BE1D02"/>
    <w:rsid w:val="19D70E32"/>
    <w:rsid w:val="1A044015"/>
    <w:rsid w:val="1A0A0EFF"/>
    <w:rsid w:val="1A0C38BE"/>
    <w:rsid w:val="1A1F2BFD"/>
    <w:rsid w:val="1A2521DD"/>
    <w:rsid w:val="1A255D39"/>
    <w:rsid w:val="1A2828E7"/>
    <w:rsid w:val="1A3B730B"/>
    <w:rsid w:val="1A4C24C0"/>
    <w:rsid w:val="1A524D67"/>
    <w:rsid w:val="1A530AF8"/>
    <w:rsid w:val="1A766595"/>
    <w:rsid w:val="1A7C4072"/>
    <w:rsid w:val="1A8F7DFD"/>
    <w:rsid w:val="1AAE6D1A"/>
    <w:rsid w:val="1AB83204"/>
    <w:rsid w:val="1AC11F06"/>
    <w:rsid w:val="1AD0039B"/>
    <w:rsid w:val="1AEF6A73"/>
    <w:rsid w:val="1AF22F3B"/>
    <w:rsid w:val="1AFC3C01"/>
    <w:rsid w:val="1AFE3183"/>
    <w:rsid w:val="1B2868C0"/>
    <w:rsid w:val="1B3C333B"/>
    <w:rsid w:val="1B4B5C73"/>
    <w:rsid w:val="1B55264E"/>
    <w:rsid w:val="1B5763C6"/>
    <w:rsid w:val="1B5A1A13"/>
    <w:rsid w:val="1B6540FA"/>
    <w:rsid w:val="1B697EA8"/>
    <w:rsid w:val="1B75684C"/>
    <w:rsid w:val="1BA500C9"/>
    <w:rsid w:val="1BB04ED2"/>
    <w:rsid w:val="1BB235FD"/>
    <w:rsid w:val="1BB5039E"/>
    <w:rsid w:val="1BBB6955"/>
    <w:rsid w:val="1BC34224"/>
    <w:rsid w:val="1BCA6B98"/>
    <w:rsid w:val="1BD712B5"/>
    <w:rsid w:val="1C13262F"/>
    <w:rsid w:val="1C16002F"/>
    <w:rsid w:val="1C171483"/>
    <w:rsid w:val="1C1A2809"/>
    <w:rsid w:val="1C2564C4"/>
    <w:rsid w:val="1C361CB5"/>
    <w:rsid w:val="1C3861F8"/>
    <w:rsid w:val="1C4A1A87"/>
    <w:rsid w:val="1C5A616E"/>
    <w:rsid w:val="1C6A25B6"/>
    <w:rsid w:val="1C760ACE"/>
    <w:rsid w:val="1C9378D2"/>
    <w:rsid w:val="1C9D3684"/>
    <w:rsid w:val="1CA643DD"/>
    <w:rsid w:val="1CAC610C"/>
    <w:rsid w:val="1CB769D3"/>
    <w:rsid w:val="1CBA215E"/>
    <w:rsid w:val="1CBF5FD1"/>
    <w:rsid w:val="1CC23D13"/>
    <w:rsid w:val="1CD04682"/>
    <w:rsid w:val="1D0205B4"/>
    <w:rsid w:val="1D0647FA"/>
    <w:rsid w:val="1D1722B1"/>
    <w:rsid w:val="1D1F2F14"/>
    <w:rsid w:val="1D2D6F56"/>
    <w:rsid w:val="1D3A7D4E"/>
    <w:rsid w:val="1D436C02"/>
    <w:rsid w:val="1D497F91"/>
    <w:rsid w:val="1D5706DC"/>
    <w:rsid w:val="1D5C67F0"/>
    <w:rsid w:val="1D6B43AB"/>
    <w:rsid w:val="1D9751A0"/>
    <w:rsid w:val="1DD377A6"/>
    <w:rsid w:val="1DE32193"/>
    <w:rsid w:val="1DE5415D"/>
    <w:rsid w:val="1DED2DA5"/>
    <w:rsid w:val="1DED4DC0"/>
    <w:rsid w:val="1DF95FF6"/>
    <w:rsid w:val="1DFA08E6"/>
    <w:rsid w:val="1E110AAE"/>
    <w:rsid w:val="1E126D87"/>
    <w:rsid w:val="1E145B8D"/>
    <w:rsid w:val="1E262080"/>
    <w:rsid w:val="1E42335E"/>
    <w:rsid w:val="1E442E2D"/>
    <w:rsid w:val="1E450758"/>
    <w:rsid w:val="1E652BA8"/>
    <w:rsid w:val="1E7B3501"/>
    <w:rsid w:val="1E802283"/>
    <w:rsid w:val="1EC975DB"/>
    <w:rsid w:val="1ED146E2"/>
    <w:rsid w:val="1EE461C3"/>
    <w:rsid w:val="1F2160AC"/>
    <w:rsid w:val="1F422EEA"/>
    <w:rsid w:val="1F59095F"/>
    <w:rsid w:val="1F901D47"/>
    <w:rsid w:val="1FAD36D5"/>
    <w:rsid w:val="1FBD430C"/>
    <w:rsid w:val="1FCB7B15"/>
    <w:rsid w:val="1FCD30FB"/>
    <w:rsid w:val="1FCE3F40"/>
    <w:rsid w:val="1FE04BDC"/>
    <w:rsid w:val="20085EE1"/>
    <w:rsid w:val="200B127A"/>
    <w:rsid w:val="202919B6"/>
    <w:rsid w:val="20390790"/>
    <w:rsid w:val="20495B8C"/>
    <w:rsid w:val="206E043A"/>
    <w:rsid w:val="20773711"/>
    <w:rsid w:val="207D067D"/>
    <w:rsid w:val="208F03B0"/>
    <w:rsid w:val="208F1E39"/>
    <w:rsid w:val="20947775"/>
    <w:rsid w:val="20973CE5"/>
    <w:rsid w:val="209A3DB5"/>
    <w:rsid w:val="209A7A85"/>
    <w:rsid w:val="20A16631"/>
    <w:rsid w:val="20A51982"/>
    <w:rsid w:val="20AC4ABE"/>
    <w:rsid w:val="20B971DB"/>
    <w:rsid w:val="20F82FD5"/>
    <w:rsid w:val="210668C5"/>
    <w:rsid w:val="210A7821"/>
    <w:rsid w:val="212D20A3"/>
    <w:rsid w:val="2148051F"/>
    <w:rsid w:val="21525AB7"/>
    <w:rsid w:val="21677A63"/>
    <w:rsid w:val="217318DF"/>
    <w:rsid w:val="21747CD2"/>
    <w:rsid w:val="21AE4866"/>
    <w:rsid w:val="21BC51D5"/>
    <w:rsid w:val="21BE2CFB"/>
    <w:rsid w:val="21CE2224"/>
    <w:rsid w:val="21D20555"/>
    <w:rsid w:val="21E87D78"/>
    <w:rsid w:val="21EF6727"/>
    <w:rsid w:val="21F26E49"/>
    <w:rsid w:val="21F93F4C"/>
    <w:rsid w:val="220340B2"/>
    <w:rsid w:val="221A1EFC"/>
    <w:rsid w:val="221E7C1C"/>
    <w:rsid w:val="2221328A"/>
    <w:rsid w:val="225278E7"/>
    <w:rsid w:val="22761828"/>
    <w:rsid w:val="228966EE"/>
    <w:rsid w:val="228C4BA7"/>
    <w:rsid w:val="228F6446"/>
    <w:rsid w:val="22A26935"/>
    <w:rsid w:val="22B45523"/>
    <w:rsid w:val="22BD1205"/>
    <w:rsid w:val="22C252A7"/>
    <w:rsid w:val="22CD6F6E"/>
    <w:rsid w:val="22DF73CD"/>
    <w:rsid w:val="22F83FEB"/>
    <w:rsid w:val="23005249"/>
    <w:rsid w:val="23024E6A"/>
    <w:rsid w:val="230505A1"/>
    <w:rsid w:val="23052BAC"/>
    <w:rsid w:val="231828DF"/>
    <w:rsid w:val="231F5CFA"/>
    <w:rsid w:val="23243032"/>
    <w:rsid w:val="23244DE0"/>
    <w:rsid w:val="23292926"/>
    <w:rsid w:val="234E6301"/>
    <w:rsid w:val="235F22BC"/>
    <w:rsid w:val="23681034"/>
    <w:rsid w:val="23706277"/>
    <w:rsid w:val="23721086"/>
    <w:rsid w:val="23874C53"/>
    <w:rsid w:val="23985EE5"/>
    <w:rsid w:val="239E6EE4"/>
    <w:rsid w:val="23A423C5"/>
    <w:rsid w:val="23AC56FC"/>
    <w:rsid w:val="23BD61E6"/>
    <w:rsid w:val="23D41D37"/>
    <w:rsid w:val="240E5241"/>
    <w:rsid w:val="240F5A90"/>
    <w:rsid w:val="24125580"/>
    <w:rsid w:val="242F7EE0"/>
    <w:rsid w:val="2442744A"/>
    <w:rsid w:val="244D480A"/>
    <w:rsid w:val="245513DF"/>
    <w:rsid w:val="24703C5D"/>
    <w:rsid w:val="24743B45"/>
    <w:rsid w:val="247A404C"/>
    <w:rsid w:val="247F7868"/>
    <w:rsid w:val="248144B4"/>
    <w:rsid w:val="249C2E52"/>
    <w:rsid w:val="24D46F82"/>
    <w:rsid w:val="24ED38F7"/>
    <w:rsid w:val="24F0344F"/>
    <w:rsid w:val="250A4358"/>
    <w:rsid w:val="253432D4"/>
    <w:rsid w:val="253E0477"/>
    <w:rsid w:val="253F0E87"/>
    <w:rsid w:val="25496D80"/>
    <w:rsid w:val="25585215"/>
    <w:rsid w:val="255874B6"/>
    <w:rsid w:val="255F51D3"/>
    <w:rsid w:val="256C0CC0"/>
    <w:rsid w:val="25846352"/>
    <w:rsid w:val="25902C01"/>
    <w:rsid w:val="25A0096A"/>
    <w:rsid w:val="25A327A2"/>
    <w:rsid w:val="25AE12D9"/>
    <w:rsid w:val="25B3203A"/>
    <w:rsid w:val="25CD79B1"/>
    <w:rsid w:val="25D16D75"/>
    <w:rsid w:val="25D53C51"/>
    <w:rsid w:val="25DA20CE"/>
    <w:rsid w:val="260B672B"/>
    <w:rsid w:val="260E1D77"/>
    <w:rsid w:val="26121ABE"/>
    <w:rsid w:val="26125071"/>
    <w:rsid w:val="2628667A"/>
    <w:rsid w:val="26404627"/>
    <w:rsid w:val="264A7253"/>
    <w:rsid w:val="264B2FCC"/>
    <w:rsid w:val="266165C3"/>
    <w:rsid w:val="26655E3B"/>
    <w:rsid w:val="266876DA"/>
    <w:rsid w:val="26A9043E"/>
    <w:rsid w:val="26AA4552"/>
    <w:rsid w:val="26AE4A01"/>
    <w:rsid w:val="26BC0149"/>
    <w:rsid w:val="26E87A63"/>
    <w:rsid w:val="26F70A5D"/>
    <w:rsid w:val="27070CA1"/>
    <w:rsid w:val="270A39E9"/>
    <w:rsid w:val="2730575B"/>
    <w:rsid w:val="27400656"/>
    <w:rsid w:val="274078D1"/>
    <w:rsid w:val="274A5031"/>
    <w:rsid w:val="274C0DA9"/>
    <w:rsid w:val="275F5FB9"/>
    <w:rsid w:val="27932534"/>
    <w:rsid w:val="27AF41A5"/>
    <w:rsid w:val="27DE7487"/>
    <w:rsid w:val="28285372"/>
    <w:rsid w:val="283C5561"/>
    <w:rsid w:val="283F201D"/>
    <w:rsid w:val="28445F24"/>
    <w:rsid w:val="284877C3"/>
    <w:rsid w:val="284D5A9D"/>
    <w:rsid w:val="2859377E"/>
    <w:rsid w:val="285C14C0"/>
    <w:rsid w:val="285E0D94"/>
    <w:rsid w:val="2864751D"/>
    <w:rsid w:val="2867051D"/>
    <w:rsid w:val="286943E5"/>
    <w:rsid w:val="28924F6B"/>
    <w:rsid w:val="28A30E9D"/>
    <w:rsid w:val="28A30FB2"/>
    <w:rsid w:val="28AB15F7"/>
    <w:rsid w:val="28B94130"/>
    <w:rsid w:val="28BE626C"/>
    <w:rsid w:val="28C76B60"/>
    <w:rsid w:val="28D663D3"/>
    <w:rsid w:val="28D94026"/>
    <w:rsid w:val="28F540B7"/>
    <w:rsid w:val="29037B8D"/>
    <w:rsid w:val="29192F0D"/>
    <w:rsid w:val="293D19A5"/>
    <w:rsid w:val="293D24FB"/>
    <w:rsid w:val="29422464"/>
    <w:rsid w:val="29514455"/>
    <w:rsid w:val="296D3483"/>
    <w:rsid w:val="2976210D"/>
    <w:rsid w:val="29B76ABF"/>
    <w:rsid w:val="29C94933"/>
    <w:rsid w:val="29CF4681"/>
    <w:rsid w:val="29DB4666"/>
    <w:rsid w:val="29FF0355"/>
    <w:rsid w:val="2A144611"/>
    <w:rsid w:val="2A217AE0"/>
    <w:rsid w:val="2A2D7FB9"/>
    <w:rsid w:val="2A347B14"/>
    <w:rsid w:val="2A3B4B92"/>
    <w:rsid w:val="2A3E287E"/>
    <w:rsid w:val="2A5166B4"/>
    <w:rsid w:val="2A6F3191"/>
    <w:rsid w:val="2A706EC2"/>
    <w:rsid w:val="2A742AF1"/>
    <w:rsid w:val="2A7530F1"/>
    <w:rsid w:val="2AE13EFE"/>
    <w:rsid w:val="2B033E75"/>
    <w:rsid w:val="2B065713"/>
    <w:rsid w:val="2B1E2F97"/>
    <w:rsid w:val="2B304296"/>
    <w:rsid w:val="2B3202B6"/>
    <w:rsid w:val="2B33475A"/>
    <w:rsid w:val="2B40509D"/>
    <w:rsid w:val="2B70182D"/>
    <w:rsid w:val="2B7F799F"/>
    <w:rsid w:val="2B876E19"/>
    <w:rsid w:val="2B8C5C18"/>
    <w:rsid w:val="2B9D1BD3"/>
    <w:rsid w:val="2B9E76FA"/>
    <w:rsid w:val="2BA56CDA"/>
    <w:rsid w:val="2BB37649"/>
    <w:rsid w:val="2BC01D66"/>
    <w:rsid w:val="2BC96AFA"/>
    <w:rsid w:val="2BD53024"/>
    <w:rsid w:val="2BEC283D"/>
    <w:rsid w:val="2C00219B"/>
    <w:rsid w:val="2C047EA4"/>
    <w:rsid w:val="2C3238C0"/>
    <w:rsid w:val="2C567467"/>
    <w:rsid w:val="2C66290D"/>
    <w:rsid w:val="2C6B3A80"/>
    <w:rsid w:val="2C701096"/>
    <w:rsid w:val="2C792640"/>
    <w:rsid w:val="2C7C50B3"/>
    <w:rsid w:val="2C884632"/>
    <w:rsid w:val="2C910172"/>
    <w:rsid w:val="2C9A6113"/>
    <w:rsid w:val="2C9F197B"/>
    <w:rsid w:val="2CA3587A"/>
    <w:rsid w:val="2CBE62A5"/>
    <w:rsid w:val="2CC26C89"/>
    <w:rsid w:val="2CCB6C14"/>
    <w:rsid w:val="2CCE2260"/>
    <w:rsid w:val="2CF5678B"/>
    <w:rsid w:val="2D2B2945"/>
    <w:rsid w:val="2D44229A"/>
    <w:rsid w:val="2D795FEF"/>
    <w:rsid w:val="2D8E0BAB"/>
    <w:rsid w:val="2D942178"/>
    <w:rsid w:val="2DAB7EBB"/>
    <w:rsid w:val="2DBA0B17"/>
    <w:rsid w:val="2DDE371D"/>
    <w:rsid w:val="2DE754AE"/>
    <w:rsid w:val="2E0F2B31"/>
    <w:rsid w:val="2E110657"/>
    <w:rsid w:val="2E187C37"/>
    <w:rsid w:val="2E2E1209"/>
    <w:rsid w:val="2E2E745B"/>
    <w:rsid w:val="2E3D769E"/>
    <w:rsid w:val="2E522BCA"/>
    <w:rsid w:val="2E6E5AA9"/>
    <w:rsid w:val="2E875C48"/>
    <w:rsid w:val="2E89643F"/>
    <w:rsid w:val="2E8C3807"/>
    <w:rsid w:val="2EAC037F"/>
    <w:rsid w:val="2EBE6C6C"/>
    <w:rsid w:val="2ED2428A"/>
    <w:rsid w:val="2EDB0AAC"/>
    <w:rsid w:val="2EF22236"/>
    <w:rsid w:val="2F0857AF"/>
    <w:rsid w:val="2F0B154A"/>
    <w:rsid w:val="2F1A178D"/>
    <w:rsid w:val="2F2D53A6"/>
    <w:rsid w:val="2F3B1E2F"/>
    <w:rsid w:val="2F5F04B7"/>
    <w:rsid w:val="2F7112CC"/>
    <w:rsid w:val="2F762E67"/>
    <w:rsid w:val="2F7B047E"/>
    <w:rsid w:val="2F8530AA"/>
    <w:rsid w:val="2FBC5793"/>
    <w:rsid w:val="2FF124EE"/>
    <w:rsid w:val="300A6B1E"/>
    <w:rsid w:val="300F2FB7"/>
    <w:rsid w:val="30216B85"/>
    <w:rsid w:val="30380553"/>
    <w:rsid w:val="30386F50"/>
    <w:rsid w:val="30427416"/>
    <w:rsid w:val="304F1DBB"/>
    <w:rsid w:val="30550CCF"/>
    <w:rsid w:val="30647164"/>
    <w:rsid w:val="30675D48"/>
    <w:rsid w:val="306C7206"/>
    <w:rsid w:val="307750E9"/>
    <w:rsid w:val="307849BD"/>
    <w:rsid w:val="3078676B"/>
    <w:rsid w:val="30813A82"/>
    <w:rsid w:val="30850E88"/>
    <w:rsid w:val="30986E0D"/>
    <w:rsid w:val="309F019C"/>
    <w:rsid w:val="30A13F14"/>
    <w:rsid w:val="30A612CD"/>
    <w:rsid w:val="30C41882"/>
    <w:rsid w:val="30CB71E3"/>
    <w:rsid w:val="30D830F8"/>
    <w:rsid w:val="30F10937"/>
    <w:rsid w:val="30F623DC"/>
    <w:rsid w:val="30FA4120"/>
    <w:rsid w:val="3103697D"/>
    <w:rsid w:val="31210BB1"/>
    <w:rsid w:val="313D1CA2"/>
    <w:rsid w:val="313E5C07"/>
    <w:rsid w:val="313E79B5"/>
    <w:rsid w:val="31462116"/>
    <w:rsid w:val="318178A1"/>
    <w:rsid w:val="319B4E07"/>
    <w:rsid w:val="31A67907"/>
    <w:rsid w:val="31A72ACE"/>
    <w:rsid w:val="31B27665"/>
    <w:rsid w:val="31B859B9"/>
    <w:rsid w:val="31C376AE"/>
    <w:rsid w:val="31C81974"/>
    <w:rsid w:val="31E22A36"/>
    <w:rsid w:val="31EB3AD4"/>
    <w:rsid w:val="321E0BC9"/>
    <w:rsid w:val="321E67EA"/>
    <w:rsid w:val="3220355E"/>
    <w:rsid w:val="32221084"/>
    <w:rsid w:val="32284E39"/>
    <w:rsid w:val="32560D2E"/>
    <w:rsid w:val="327E05EA"/>
    <w:rsid w:val="32A53B87"/>
    <w:rsid w:val="32CD7117"/>
    <w:rsid w:val="32E751E1"/>
    <w:rsid w:val="32E97DF4"/>
    <w:rsid w:val="32F347CF"/>
    <w:rsid w:val="33000B3F"/>
    <w:rsid w:val="331F746E"/>
    <w:rsid w:val="332E1CAB"/>
    <w:rsid w:val="335039CF"/>
    <w:rsid w:val="3350577D"/>
    <w:rsid w:val="337D7031"/>
    <w:rsid w:val="337E22EA"/>
    <w:rsid w:val="338B4A07"/>
    <w:rsid w:val="339972BC"/>
    <w:rsid w:val="33AD09DB"/>
    <w:rsid w:val="33B0446E"/>
    <w:rsid w:val="33B2645F"/>
    <w:rsid w:val="33B713F6"/>
    <w:rsid w:val="33D15AD5"/>
    <w:rsid w:val="33D6112D"/>
    <w:rsid w:val="33EF31E8"/>
    <w:rsid w:val="33F374E1"/>
    <w:rsid w:val="33F702EF"/>
    <w:rsid w:val="340053F5"/>
    <w:rsid w:val="340E6053"/>
    <w:rsid w:val="34110534"/>
    <w:rsid w:val="3421711A"/>
    <w:rsid w:val="34275AB7"/>
    <w:rsid w:val="342F7A89"/>
    <w:rsid w:val="343D03F7"/>
    <w:rsid w:val="344A6FB9"/>
    <w:rsid w:val="34554EBA"/>
    <w:rsid w:val="346911EC"/>
    <w:rsid w:val="347C1CAD"/>
    <w:rsid w:val="34802092"/>
    <w:rsid w:val="34807EFB"/>
    <w:rsid w:val="3487303E"/>
    <w:rsid w:val="348A2F11"/>
    <w:rsid w:val="3491429F"/>
    <w:rsid w:val="3495278A"/>
    <w:rsid w:val="34A46F60"/>
    <w:rsid w:val="34D128EE"/>
    <w:rsid w:val="34D8334B"/>
    <w:rsid w:val="34E645EB"/>
    <w:rsid w:val="34E96505"/>
    <w:rsid w:val="351778BA"/>
    <w:rsid w:val="35220D97"/>
    <w:rsid w:val="3542559A"/>
    <w:rsid w:val="3545589D"/>
    <w:rsid w:val="3547648D"/>
    <w:rsid w:val="354C4FE6"/>
    <w:rsid w:val="355552CD"/>
    <w:rsid w:val="355869ED"/>
    <w:rsid w:val="355E2212"/>
    <w:rsid w:val="35691B2B"/>
    <w:rsid w:val="3579427A"/>
    <w:rsid w:val="358F4C83"/>
    <w:rsid w:val="35A90BDC"/>
    <w:rsid w:val="35BA2C12"/>
    <w:rsid w:val="35C8288F"/>
    <w:rsid w:val="35E36D7D"/>
    <w:rsid w:val="36062A6B"/>
    <w:rsid w:val="36102A0C"/>
    <w:rsid w:val="3619279E"/>
    <w:rsid w:val="361A5EDF"/>
    <w:rsid w:val="361B02C4"/>
    <w:rsid w:val="36437D28"/>
    <w:rsid w:val="36554903"/>
    <w:rsid w:val="36555CDB"/>
    <w:rsid w:val="3659703F"/>
    <w:rsid w:val="366C6D72"/>
    <w:rsid w:val="366F23BE"/>
    <w:rsid w:val="369736C3"/>
    <w:rsid w:val="369B7657"/>
    <w:rsid w:val="36A758C1"/>
    <w:rsid w:val="36B91AF8"/>
    <w:rsid w:val="36C02C1A"/>
    <w:rsid w:val="36CE5337"/>
    <w:rsid w:val="36E56DF5"/>
    <w:rsid w:val="36E763F9"/>
    <w:rsid w:val="36F154B4"/>
    <w:rsid w:val="37021484"/>
    <w:rsid w:val="37025991"/>
    <w:rsid w:val="37035B21"/>
    <w:rsid w:val="371C37DC"/>
    <w:rsid w:val="371F5B92"/>
    <w:rsid w:val="373F7FE3"/>
    <w:rsid w:val="374B26ED"/>
    <w:rsid w:val="37642A9A"/>
    <w:rsid w:val="3768578B"/>
    <w:rsid w:val="37753923"/>
    <w:rsid w:val="379F757E"/>
    <w:rsid w:val="37A05D52"/>
    <w:rsid w:val="37B409D1"/>
    <w:rsid w:val="37DC1CD5"/>
    <w:rsid w:val="37E24032"/>
    <w:rsid w:val="38090DC9"/>
    <w:rsid w:val="380A6843"/>
    <w:rsid w:val="380B6117"/>
    <w:rsid w:val="384B416A"/>
    <w:rsid w:val="384B5809"/>
    <w:rsid w:val="384D116D"/>
    <w:rsid w:val="385950D4"/>
    <w:rsid w:val="385B52F0"/>
    <w:rsid w:val="38710670"/>
    <w:rsid w:val="3872263A"/>
    <w:rsid w:val="387D3C7B"/>
    <w:rsid w:val="3881104A"/>
    <w:rsid w:val="388760E5"/>
    <w:rsid w:val="389205E6"/>
    <w:rsid w:val="38A26B77"/>
    <w:rsid w:val="38A52DBE"/>
    <w:rsid w:val="38A81BB8"/>
    <w:rsid w:val="38B844F1"/>
    <w:rsid w:val="38CF183A"/>
    <w:rsid w:val="38CF5396"/>
    <w:rsid w:val="38E726E0"/>
    <w:rsid w:val="391D7CAB"/>
    <w:rsid w:val="39243934"/>
    <w:rsid w:val="393A114C"/>
    <w:rsid w:val="39561B76"/>
    <w:rsid w:val="39561F33"/>
    <w:rsid w:val="39602492"/>
    <w:rsid w:val="3967673D"/>
    <w:rsid w:val="396C52DB"/>
    <w:rsid w:val="396E1053"/>
    <w:rsid w:val="397A17A6"/>
    <w:rsid w:val="397D1296"/>
    <w:rsid w:val="39893797"/>
    <w:rsid w:val="399A721B"/>
    <w:rsid w:val="399C1EB5"/>
    <w:rsid w:val="39A82D24"/>
    <w:rsid w:val="39B747A8"/>
    <w:rsid w:val="39BE6CB4"/>
    <w:rsid w:val="39CD2AE4"/>
    <w:rsid w:val="39FA6443"/>
    <w:rsid w:val="39FB684B"/>
    <w:rsid w:val="3A127D55"/>
    <w:rsid w:val="3A2B6F44"/>
    <w:rsid w:val="3A3F02FA"/>
    <w:rsid w:val="3A540249"/>
    <w:rsid w:val="3A7E4A8C"/>
    <w:rsid w:val="3A7F1818"/>
    <w:rsid w:val="3A8D72B7"/>
    <w:rsid w:val="3A9218E6"/>
    <w:rsid w:val="3A974416"/>
    <w:rsid w:val="3A991BBE"/>
    <w:rsid w:val="3AB962FE"/>
    <w:rsid w:val="3AC21168"/>
    <w:rsid w:val="3AC23405"/>
    <w:rsid w:val="3AD153F6"/>
    <w:rsid w:val="3ADF1B1C"/>
    <w:rsid w:val="3AF235BE"/>
    <w:rsid w:val="3AFB06C4"/>
    <w:rsid w:val="3B0C4680"/>
    <w:rsid w:val="3B1E43B3"/>
    <w:rsid w:val="3B2A71FC"/>
    <w:rsid w:val="3B385475"/>
    <w:rsid w:val="3B3C60A5"/>
    <w:rsid w:val="3B4A33FA"/>
    <w:rsid w:val="3B7D61A1"/>
    <w:rsid w:val="3B8A5C21"/>
    <w:rsid w:val="3B9D5C20"/>
    <w:rsid w:val="3BBA40DC"/>
    <w:rsid w:val="3BBD1E1E"/>
    <w:rsid w:val="3BC81471"/>
    <w:rsid w:val="3BD11425"/>
    <w:rsid w:val="3BE5505D"/>
    <w:rsid w:val="3BF770DE"/>
    <w:rsid w:val="3BFB239C"/>
    <w:rsid w:val="3BFF5F92"/>
    <w:rsid w:val="3C045EAE"/>
    <w:rsid w:val="3C090BBF"/>
    <w:rsid w:val="3C326368"/>
    <w:rsid w:val="3C5A766D"/>
    <w:rsid w:val="3C7A1ABD"/>
    <w:rsid w:val="3C917532"/>
    <w:rsid w:val="3CA64660"/>
    <w:rsid w:val="3CA8662A"/>
    <w:rsid w:val="3CB21257"/>
    <w:rsid w:val="3CB7061B"/>
    <w:rsid w:val="3CC50F8A"/>
    <w:rsid w:val="3CC77524"/>
    <w:rsid w:val="3CD64F45"/>
    <w:rsid w:val="3CD70CBD"/>
    <w:rsid w:val="3CE753A4"/>
    <w:rsid w:val="3CEA615B"/>
    <w:rsid w:val="3CF61143"/>
    <w:rsid w:val="3D115F7D"/>
    <w:rsid w:val="3D31435C"/>
    <w:rsid w:val="3D3F1F87"/>
    <w:rsid w:val="3D4445A5"/>
    <w:rsid w:val="3D542066"/>
    <w:rsid w:val="3D567E34"/>
    <w:rsid w:val="3D5D6062"/>
    <w:rsid w:val="3D605157"/>
    <w:rsid w:val="3D707DB0"/>
    <w:rsid w:val="3D793B23"/>
    <w:rsid w:val="3D8449A1"/>
    <w:rsid w:val="3D98669F"/>
    <w:rsid w:val="3DAD746C"/>
    <w:rsid w:val="3DC2196D"/>
    <w:rsid w:val="3DC723DA"/>
    <w:rsid w:val="3DFF227A"/>
    <w:rsid w:val="3E2609B2"/>
    <w:rsid w:val="3E2E2AE2"/>
    <w:rsid w:val="3E2F331B"/>
    <w:rsid w:val="3E43485C"/>
    <w:rsid w:val="3E557779"/>
    <w:rsid w:val="3E5F0F6A"/>
    <w:rsid w:val="3E742C68"/>
    <w:rsid w:val="3E7517F2"/>
    <w:rsid w:val="3E861193"/>
    <w:rsid w:val="3E962118"/>
    <w:rsid w:val="3EA01CAF"/>
    <w:rsid w:val="3EA80B63"/>
    <w:rsid w:val="3ECA0ADA"/>
    <w:rsid w:val="3EF402E4"/>
    <w:rsid w:val="3EF75647"/>
    <w:rsid w:val="3EF773F5"/>
    <w:rsid w:val="3F0B0FB8"/>
    <w:rsid w:val="3F4940F4"/>
    <w:rsid w:val="3F5900B0"/>
    <w:rsid w:val="3F681770"/>
    <w:rsid w:val="3F6D1396"/>
    <w:rsid w:val="3F8073EA"/>
    <w:rsid w:val="3F9476F3"/>
    <w:rsid w:val="3FBE60F5"/>
    <w:rsid w:val="3FC25C55"/>
    <w:rsid w:val="3FC4377B"/>
    <w:rsid w:val="3FC74EAA"/>
    <w:rsid w:val="3FD85478"/>
    <w:rsid w:val="3FE77469"/>
    <w:rsid w:val="3FEC4A80"/>
    <w:rsid w:val="40076B24"/>
    <w:rsid w:val="40280651"/>
    <w:rsid w:val="404C551E"/>
    <w:rsid w:val="404E68BB"/>
    <w:rsid w:val="405D054A"/>
    <w:rsid w:val="405F34A4"/>
    <w:rsid w:val="4069110A"/>
    <w:rsid w:val="409B4C9D"/>
    <w:rsid w:val="40AC1CF6"/>
    <w:rsid w:val="40AC61A6"/>
    <w:rsid w:val="40C17CBA"/>
    <w:rsid w:val="40C94DC1"/>
    <w:rsid w:val="40CA3013"/>
    <w:rsid w:val="40FA6626"/>
    <w:rsid w:val="41005D58"/>
    <w:rsid w:val="410A1661"/>
    <w:rsid w:val="410A3974"/>
    <w:rsid w:val="41334BB6"/>
    <w:rsid w:val="41356DFC"/>
    <w:rsid w:val="413B5CBF"/>
    <w:rsid w:val="413E755D"/>
    <w:rsid w:val="4141465F"/>
    <w:rsid w:val="41571FCA"/>
    <w:rsid w:val="416D1BF0"/>
    <w:rsid w:val="416F3BBA"/>
    <w:rsid w:val="41765BEF"/>
    <w:rsid w:val="418F1B67"/>
    <w:rsid w:val="41911D83"/>
    <w:rsid w:val="41950E9A"/>
    <w:rsid w:val="41A90B5B"/>
    <w:rsid w:val="41B63597"/>
    <w:rsid w:val="41D0525D"/>
    <w:rsid w:val="41D50BF9"/>
    <w:rsid w:val="41EA1401"/>
    <w:rsid w:val="41FF4F3E"/>
    <w:rsid w:val="422229DB"/>
    <w:rsid w:val="422E75D1"/>
    <w:rsid w:val="423F533B"/>
    <w:rsid w:val="424A47ED"/>
    <w:rsid w:val="425E7594"/>
    <w:rsid w:val="425F3C2F"/>
    <w:rsid w:val="42664FBD"/>
    <w:rsid w:val="42667DD4"/>
    <w:rsid w:val="426D7DE0"/>
    <w:rsid w:val="428B2CF1"/>
    <w:rsid w:val="42952E48"/>
    <w:rsid w:val="429733C9"/>
    <w:rsid w:val="42A868A9"/>
    <w:rsid w:val="42B31885"/>
    <w:rsid w:val="42D31F27"/>
    <w:rsid w:val="42E93EC4"/>
    <w:rsid w:val="42FE3FCB"/>
    <w:rsid w:val="42FF4ACA"/>
    <w:rsid w:val="430D71E7"/>
    <w:rsid w:val="43111FC4"/>
    <w:rsid w:val="431F1109"/>
    <w:rsid w:val="4355293C"/>
    <w:rsid w:val="435E2CA3"/>
    <w:rsid w:val="43682A8A"/>
    <w:rsid w:val="436D237B"/>
    <w:rsid w:val="43866F99"/>
    <w:rsid w:val="43AC4C52"/>
    <w:rsid w:val="43B753A5"/>
    <w:rsid w:val="43BC2914"/>
    <w:rsid w:val="43D21AB6"/>
    <w:rsid w:val="43D23F8D"/>
    <w:rsid w:val="43D87FA5"/>
    <w:rsid w:val="43E65D02"/>
    <w:rsid w:val="43E919DC"/>
    <w:rsid w:val="440305EA"/>
    <w:rsid w:val="4414290E"/>
    <w:rsid w:val="441445A5"/>
    <w:rsid w:val="446C2C80"/>
    <w:rsid w:val="446C5795"/>
    <w:rsid w:val="449556E6"/>
    <w:rsid w:val="44985E20"/>
    <w:rsid w:val="449A71A0"/>
    <w:rsid w:val="44BC6AA8"/>
    <w:rsid w:val="44C9538F"/>
    <w:rsid w:val="44D0720B"/>
    <w:rsid w:val="44E54A5F"/>
    <w:rsid w:val="44F05189"/>
    <w:rsid w:val="454A4722"/>
    <w:rsid w:val="45604B00"/>
    <w:rsid w:val="45667082"/>
    <w:rsid w:val="457572C5"/>
    <w:rsid w:val="45BD2E51"/>
    <w:rsid w:val="45BE6EBE"/>
    <w:rsid w:val="45CC3389"/>
    <w:rsid w:val="45CD7101"/>
    <w:rsid w:val="45D872AB"/>
    <w:rsid w:val="45DC168E"/>
    <w:rsid w:val="45F97EF6"/>
    <w:rsid w:val="46024FFD"/>
    <w:rsid w:val="46081EE8"/>
    <w:rsid w:val="46115240"/>
    <w:rsid w:val="461669AD"/>
    <w:rsid w:val="463866B1"/>
    <w:rsid w:val="4642189D"/>
    <w:rsid w:val="464F7B16"/>
    <w:rsid w:val="46576B48"/>
    <w:rsid w:val="46737CA9"/>
    <w:rsid w:val="467F4B50"/>
    <w:rsid w:val="468839D7"/>
    <w:rsid w:val="46A936CA"/>
    <w:rsid w:val="46B1257F"/>
    <w:rsid w:val="46BB51AC"/>
    <w:rsid w:val="46D06EA9"/>
    <w:rsid w:val="46DA3884"/>
    <w:rsid w:val="46E42955"/>
    <w:rsid w:val="46F74436"/>
    <w:rsid w:val="46FD57C4"/>
    <w:rsid w:val="46FF778E"/>
    <w:rsid w:val="471C5FC6"/>
    <w:rsid w:val="4737190F"/>
    <w:rsid w:val="47375C19"/>
    <w:rsid w:val="473867FC"/>
    <w:rsid w:val="47472969"/>
    <w:rsid w:val="47510F2B"/>
    <w:rsid w:val="47543636"/>
    <w:rsid w:val="47620B70"/>
    <w:rsid w:val="476F66C2"/>
    <w:rsid w:val="477063E4"/>
    <w:rsid w:val="477334C4"/>
    <w:rsid w:val="478554DD"/>
    <w:rsid w:val="478D6B48"/>
    <w:rsid w:val="47A3636C"/>
    <w:rsid w:val="47BB3867"/>
    <w:rsid w:val="47BC742D"/>
    <w:rsid w:val="47BE75C1"/>
    <w:rsid w:val="47C02A7A"/>
    <w:rsid w:val="47DD7AD0"/>
    <w:rsid w:val="480856C1"/>
    <w:rsid w:val="48147269"/>
    <w:rsid w:val="482079BC"/>
    <w:rsid w:val="483D40CA"/>
    <w:rsid w:val="483E64CB"/>
    <w:rsid w:val="484511D1"/>
    <w:rsid w:val="48912668"/>
    <w:rsid w:val="48A24875"/>
    <w:rsid w:val="48BB4F33"/>
    <w:rsid w:val="48BD345D"/>
    <w:rsid w:val="48CF0379"/>
    <w:rsid w:val="490525E9"/>
    <w:rsid w:val="491350FB"/>
    <w:rsid w:val="49227764"/>
    <w:rsid w:val="492B03C7"/>
    <w:rsid w:val="49301F00"/>
    <w:rsid w:val="49407CA0"/>
    <w:rsid w:val="494B7199"/>
    <w:rsid w:val="495711BC"/>
    <w:rsid w:val="495A17FC"/>
    <w:rsid w:val="495A6EFE"/>
    <w:rsid w:val="496043CA"/>
    <w:rsid w:val="496D4E83"/>
    <w:rsid w:val="49747FC0"/>
    <w:rsid w:val="49864F37"/>
    <w:rsid w:val="498D1615"/>
    <w:rsid w:val="498D2E30"/>
    <w:rsid w:val="498E65B7"/>
    <w:rsid w:val="49913AED"/>
    <w:rsid w:val="49B06B1E"/>
    <w:rsid w:val="49B22896"/>
    <w:rsid w:val="49B74C47"/>
    <w:rsid w:val="49C50944"/>
    <w:rsid w:val="49CD147E"/>
    <w:rsid w:val="49F509D5"/>
    <w:rsid w:val="49FC1D63"/>
    <w:rsid w:val="4A0921C4"/>
    <w:rsid w:val="4A275032"/>
    <w:rsid w:val="4A4400A5"/>
    <w:rsid w:val="4A6077D1"/>
    <w:rsid w:val="4A68541B"/>
    <w:rsid w:val="4A6F554D"/>
    <w:rsid w:val="4A745D9D"/>
    <w:rsid w:val="4A8A55C1"/>
    <w:rsid w:val="4AB663B6"/>
    <w:rsid w:val="4ABC2256"/>
    <w:rsid w:val="4AED20F9"/>
    <w:rsid w:val="4B157580"/>
    <w:rsid w:val="4B271F48"/>
    <w:rsid w:val="4B2F1345"/>
    <w:rsid w:val="4B684476"/>
    <w:rsid w:val="4B6D7487"/>
    <w:rsid w:val="4B7047B7"/>
    <w:rsid w:val="4B7324F9"/>
    <w:rsid w:val="4B8742E0"/>
    <w:rsid w:val="4B9D7131"/>
    <w:rsid w:val="4B9F19C7"/>
    <w:rsid w:val="4BA10E14"/>
    <w:rsid w:val="4BB84501"/>
    <w:rsid w:val="4BBA1ED6"/>
    <w:rsid w:val="4BBD5522"/>
    <w:rsid w:val="4BC13264"/>
    <w:rsid w:val="4BD33047"/>
    <w:rsid w:val="4BED4059"/>
    <w:rsid w:val="4C2E681A"/>
    <w:rsid w:val="4C39104D"/>
    <w:rsid w:val="4C467DE6"/>
    <w:rsid w:val="4C4D3D9C"/>
    <w:rsid w:val="4C592C3F"/>
    <w:rsid w:val="4C87000A"/>
    <w:rsid w:val="4CAC181F"/>
    <w:rsid w:val="4CEC2728"/>
    <w:rsid w:val="4CF277EC"/>
    <w:rsid w:val="4CF930A2"/>
    <w:rsid w:val="4D073BC6"/>
    <w:rsid w:val="4D1E764A"/>
    <w:rsid w:val="4D3F6B37"/>
    <w:rsid w:val="4D565C2E"/>
    <w:rsid w:val="4D590A95"/>
    <w:rsid w:val="4D5C3245"/>
    <w:rsid w:val="4D9D4B76"/>
    <w:rsid w:val="4DA24F22"/>
    <w:rsid w:val="4DA42E3E"/>
    <w:rsid w:val="4DBE1B3C"/>
    <w:rsid w:val="4DF01BDF"/>
    <w:rsid w:val="4E0700DA"/>
    <w:rsid w:val="4E09339F"/>
    <w:rsid w:val="4E21448E"/>
    <w:rsid w:val="4E370E29"/>
    <w:rsid w:val="4E40670D"/>
    <w:rsid w:val="4E4837C9"/>
    <w:rsid w:val="4E6671DB"/>
    <w:rsid w:val="4E6D76D3"/>
    <w:rsid w:val="4E7637E4"/>
    <w:rsid w:val="4E850579"/>
    <w:rsid w:val="4E97716B"/>
    <w:rsid w:val="4E990E3C"/>
    <w:rsid w:val="4EA140C3"/>
    <w:rsid w:val="4EAA4EA4"/>
    <w:rsid w:val="4EBB3AF4"/>
    <w:rsid w:val="4EC8490A"/>
    <w:rsid w:val="4EF21442"/>
    <w:rsid w:val="4F035910"/>
    <w:rsid w:val="4F0B3174"/>
    <w:rsid w:val="4F0F2539"/>
    <w:rsid w:val="4F2F6737"/>
    <w:rsid w:val="4F474C2A"/>
    <w:rsid w:val="4F626B0C"/>
    <w:rsid w:val="4F6637EE"/>
    <w:rsid w:val="4F697E9B"/>
    <w:rsid w:val="4F6D7B78"/>
    <w:rsid w:val="4FB235F0"/>
    <w:rsid w:val="4FEB08B0"/>
    <w:rsid w:val="4FEB6B02"/>
    <w:rsid w:val="50444D71"/>
    <w:rsid w:val="505C7A00"/>
    <w:rsid w:val="5067715E"/>
    <w:rsid w:val="5079251F"/>
    <w:rsid w:val="509727E6"/>
    <w:rsid w:val="50AF5D81"/>
    <w:rsid w:val="50CB10B9"/>
    <w:rsid w:val="50D77086"/>
    <w:rsid w:val="50EE4AFC"/>
    <w:rsid w:val="50F43794"/>
    <w:rsid w:val="50F56352"/>
    <w:rsid w:val="51267F97"/>
    <w:rsid w:val="512F6EC2"/>
    <w:rsid w:val="51375723"/>
    <w:rsid w:val="51385D77"/>
    <w:rsid w:val="51427588"/>
    <w:rsid w:val="514911AD"/>
    <w:rsid w:val="51510BE7"/>
    <w:rsid w:val="51600E2A"/>
    <w:rsid w:val="5167040A"/>
    <w:rsid w:val="517700C8"/>
    <w:rsid w:val="51825244"/>
    <w:rsid w:val="518A5EA7"/>
    <w:rsid w:val="519D6D2D"/>
    <w:rsid w:val="51D610EC"/>
    <w:rsid w:val="51DB7231"/>
    <w:rsid w:val="52056F14"/>
    <w:rsid w:val="52065E75"/>
    <w:rsid w:val="52100AA2"/>
    <w:rsid w:val="522B540B"/>
    <w:rsid w:val="523302EC"/>
    <w:rsid w:val="52392202"/>
    <w:rsid w:val="52522E68"/>
    <w:rsid w:val="526F3A1A"/>
    <w:rsid w:val="527C7EE5"/>
    <w:rsid w:val="52990A97"/>
    <w:rsid w:val="52C076E1"/>
    <w:rsid w:val="52CC238B"/>
    <w:rsid w:val="52DC2732"/>
    <w:rsid w:val="5302488E"/>
    <w:rsid w:val="53146A66"/>
    <w:rsid w:val="531D4437"/>
    <w:rsid w:val="532333DE"/>
    <w:rsid w:val="533B0E8C"/>
    <w:rsid w:val="53422EDD"/>
    <w:rsid w:val="53441E72"/>
    <w:rsid w:val="5358625C"/>
    <w:rsid w:val="536A5F90"/>
    <w:rsid w:val="537B63EF"/>
    <w:rsid w:val="537D7950"/>
    <w:rsid w:val="53AD755F"/>
    <w:rsid w:val="53AF7E46"/>
    <w:rsid w:val="53D75D0A"/>
    <w:rsid w:val="53D8617A"/>
    <w:rsid w:val="53DC0CED"/>
    <w:rsid w:val="53E53868"/>
    <w:rsid w:val="540B7773"/>
    <w:rsid w:val="541F390C"/>
    <w:rsid w:val="5447551F"/>
    <w:rsid w:val="54556C40"/>
    <w:rsid w:val="54576514"/>
    <w:rsid w:val="54620EFE"/>
    <w:rsid w:val="5463310B"/>
    <w:rsid w:val="5479292E"/>
    <w:rsid w:val="5483555B"/>
    <w:rsid w:val="549A1A09"/>
    <w:rsid w:val="54AF6350"/>
    <w:rsid w:val="54BA6AA3"/>
    <w:rsid w:val="54BB2F47"/>
    <w:rsid w:val="54CE369C"/>
    <w:rsid w:val="54CF417E"/>
    <w:rsid w:val="54D5124F"/>
    <w:rsid w:val="54D51B2F"/>
    <w:rsid w:val="54D933CD"/>
    <w:rsid w:val="54DE60F9"/>
    <w:rsid w:val="54E16725"/>
    <w:rsid w:val="54E409C5"/>
    <w:rsid w:val="55102B67"/>
    <w:rsid w:val="55123095"/>
    <w:rsid w:val="55141860"/>
    <w:rsid w:val="552F1ED1"/>
    <w:rsid w:val="55356592"/>
    <w:rsid w:val="55376345"/>
    <w:rsid w:val="55652EB2"/>
    <w:rsid w:val="5572737D"/>
    <w:rsid w:val="5591789E"/>
    <w:rsid w:val="5595630F"/>
    <w:rsid w:val="55983288"/>
    <w:rsid w:val="559A4014"/>
    <w:rsid w:val="55B42053"/>
    <w:rsid w:val="55C951EF"/>
    <w:rsid w:val="55D12672"/>
    <w:rsid w:val="55D83684"/>
    <w:rsid w:val="55F168F3"/>
    <w:rsid w:val="56114282"/>
    <w:rsid w:val="561E504F"/>
    <w:rsid w:val="56262642"/>
    <w:rsid w:val="56296A9E"/>
    <w:rsid w:val="56393F94"/>
    <w:rsid w:val="56446761"/>
    <w:rsid w:val="565A053D"/>
    <w:rsid w:val="566118CC"/>
    <w:rsid w:val="56694C24"/>
    <w:rsid w:val="56703CAD"/>
    <w:rsid w:val="56767A42"/>
    <w:rsid w:val="56890E23"/>
    <w:rsid w:val="568B4631"/>
    <w:rsid w:val="568D1D06"/>
    <w:rsid w:val="569710FA"/>
    <w:rsid w:val="56A80FD2"/>
    <w:rsid w:val="56B51C18"/>
    <w:rsid w:val="56C27B93"/>
    <w:rsid w:val="56C836F9"/>
    <w:rsid w:val="56D007FF"/>
    <w:rsid w:val="56D127DB"/>
    <w:rsid w:val="56D27821"/>
    <w:rsid w:val="56E322E1"/>
    <w:rsid w:val="56EF47DB"/>
    <w:rsid w:val="56F444EE"/>
    <w:rsid w:val="571E5CC1"/>
    <w:rsid w:val="572B1E42"/>
    <w:rsid w:val="57351FB7"/>
    <w:rsid w:val="573C7556"/>
    <w:rsid w:val="57407733"/>
    <w:rsid w:val="574B2FC4"/>
    <w:rsid w:val="576E3115"/>
    <w:rsid w:val="57776ECD"/>
    <w:rsid w:val="57A35F14"/>
    <w:rsid w:val="57B95737"/>
    <w:rsid w:val="57C2639A"/>
    <w:rsid w:val="57C51F9D"/>
    <w:rsid w:val="57DE6F4C"/>
    <w:rsid w:val="57E815B4"/>
    <w:rsid w:val="580469B3"/>
    <w:rsid w:val="5813749C"/>
    <w:rsid w:val="58164938"/>
    <w:rsid w:val="581A4428"/>
    <w:rsid w:val="581A61D6"/>
    <w:rsid w:val="582B03E3"/>
    <w:rsid w:val="583D0117"/>
    <w:rsid w:val="586E02D0"/>
    <w:rsid w:val="58773629"/>
    <w:rsid w:val="589D2963"/>
    <w:rsid w:val="58B55EFF"/>
    <w:rsid w:val="58BA3515"/>
    <w:rsid w:val="58C5525B"/>
    <w:rsid w:val="58CC552D"/>
    <w:rsid w:val="58D1197A"/>
    <w:rsid w:val="59001E1B"/>
    <w:rsid w:val="59301A29"/>
    <w:rsid w:val="59351956"/>
    <w:rsid w:val="593A6404"/>
    <w:rsid w:val="5943263A"/>
    <w:rsid w:val="595E157F"/>
    <w:rsid w:val="59722AEF"/>
    <w:rsid w:val="598709E8"/>
    <w:rsid w:val="598F52F9"/>
    <w:rsid w:val="59914276"/>
    <w:rsid w:val="5999038C"/>
    <w:rsid w:val="5999137D"/>
    <w:rsid w:val="59CC52AE"/>
    <w:rsid w:val="59DE1485"/>
    <w:rsid w:val="59E3084A"/>
    <w:rsid w:val="5A0C4E21"/>
    <w:rsid w:val="5A2E5F69"/>
    <w:rsid w:val="5A356F24"/>
    <w:rsid w:val="5A3F5D4A"/>
    <w:rsid w:val="5A5359CF"/>
    <w:rsid w:val="5A670AE9"/>
    <w:rsid w:val="5A985C30"/>
    <w:rsid w:val="5ABD72ED"/>
    <w:rsid w:val="5AD72BFB"/>
    <w:rsid w:val="5AF20429"/>
    <w:rsid w:val="5AF54CD9"/>
    <w:rsid w:val="5AF73971"/>
    <w:rsid w:val="5B1F42C4"/>
    <w:rsid w:val="5B305B85"/>
    <w:rsid w:val="5B4D612D"/>
    <w:rsid w:val="5B5639C9"/>
    <w:rsid w:val="5B5E63DA"/>
    <w:rsid w:val="5B6F05E7"/>
    <w:rsid w:val="5BA04C44"/>
    <w:rsid w:val="5BCD22B6"/>
    <w:rsid w:val="5BE10DB9"/>
    <w:rsid w:val="5BE43759"/>
    <w:rsid w:val="5BFA4C12"/>
    <w:rsid w:val="5BFE2D26"/>
    <w:rsid w:val="5C1C4F5A"/>
    <w:rsid w:val="5C367357"/>
    <w:rsid w:val="5C4843D6"/>
    <w:rsid w:val="5C4A2E02"/>
    <w:rsid w:val="5C515F3F"/>
    <w:rsid w:val="5C6519EA"/>
    <w:rsid w:val="5C6B7516"/>
    <w:rsid w:val="5C7659A5"/>
    <w:rsid w:val="5C77552B"/>
    <w:rsid w:val="5C841E70"/>
    <w:rsid w:val="5C853E01"/>
    <w:rsid w:val="5C891B7C"/>
    <w:rsid w:val="5C8B067F"/>
    <w:rsid w:val="5C8F672D"/>
    <w:rsid w:val="5CC1520B"/>
    <w:rsid w:val="5CC20BEA"/>
    <w:rsid w:val="5CC6692D"/>
    <w:rsid w:val="5CEA67F7"/>
    <w:rsid w:val="5CF03CA8"/>
    <w:rsid w:val="5CF17CF1"/>
    <w:rsid w:val="5CF214D0"/>
    <w:rsid w:val="5CFC2D0A"/>
    <w:rsid w:val="5D1755BF"/>
    <w:rsid w:val="5D3513BC"/>
    <w:rsid w:val="5D8856FD"/>
    <w:rsid w:val="5DA12EF6"/>
    <w:rsid w:val="5DC0337C"/>
    <w:rsid w:val="5DC32E6C"/>
    <w:rsid w:val="5DC725B6"/>
    <w:rsid w:val="5DD706C5"/>
    <w:rsid w:val="5DD8364B"/>
    <w:rsid w:val="5DD9443E"/>
    <w:rsid w:val="5DEA03F9"/>
    <w:rsid w:val="5E027CB9"/>
    <w:rsid w:val="5E194C14"/>
    <w:rsid w:val="5E1E23BF"/>
    <w:rsid w:val="5E31427A"/>
    <w:rsid w:val="5E43748C"/>
    <w:rsid w:val="5E4E6BDA"/>
    <w:rsid w:val="5E4F4700"/>
    <w:rsid w:val="5E59543C"/>
    <w:rsid w:val="5E734892"/>
    <w:rsid w:val="5E767EDE"/>
    <w:rsid w:val="5E8D3794"/>
    <w:rsid w:val="5E962F98"/>
    <w:rsid w:val="5E9A1E1F"/>
    <w:rsid w:val="5E9C6993"/>
    <w:rsid w:val="5ED30E8D"/>
    <w:rsid w:val="5EF0608A"/>
    <w:rsid w:val="5EFA466C"/>
    <w:rsid w:val="5EFB58BA"/>
    <w:rsid w:val="5F082468"/>
    <w:rsid w:val="5F0C439F"/>
    <w:rsid w:val="5F1119B5"/>
    <w:rsid w:val="5F13572D"/>
    <w:rsid w:val="5F225993"/>
    <w:rsid w:val="5F296E94"/>
    <w:rsid w:val="5F2C54F6"/>
    <w:rsid w:val="5F2D4A41"/>
    <w:rsid w:val="5F2E07B9"/>
    <w:rsid w:val="5F2E5EEF"/>
    <w:rsid w:val="5F434264"/>
    <w:rsid w:val="5F5F0972"/>
    <w:rsid w:val="5F5F70E5"/>
    <w:rsid w:val="5F7D3DEA"/>
    <w:rsid w:val="5FAA0C9E"/>
    <w:rsid w:val="5FB0773B"/>
    <w:rsid w:val="5FB27343"/>
    <w:rsid w:val="5FB35E4B"/>
    <w:rsid w:val="5FC8476A"/>
    <w:rsid w:val="5FD20369"/>
    <w:rsid w:val="5FEC48FC"/>
    <w:rsid w:val="60114363"/>
    <w:rsid w:val="60213E7A"/>
    <w:rsid w:val="602C1089"/>
    <w:rsid w:val="603406EE"/>
    <w:rsid w:val="603E2C7E"/>
    <w:rsid w:val="60445B7D"/>
    <w:rsid w:val="60461991"/>
    <w:rsid w:val="607B7A2E"/>
    <w:rsid w:val="60883EF9"/>
    <w:rsid w:val="60C07B37"/>
    <w:rsid w:val="60C413D5"/>
    <w:rsid w:val="60C45483"/>
    <w:rsid w:val="60DF7FBD"/>
    <w:rsid w:val="60E6316A"/>
    <w:rsid w:val="60FF240D"/>
    <w:rsid w:val="61241E74"/>
    <w:rsid w:val="614B32B4"/>
    <w:rsid w:val="61590BBB"/>
    <w:rsid w:val="61AE798F"/>
    <w:rsid w:val="61BD7BD2"/>
    <w:rsid w:val="61C10DC1"/>
    <w:rsid w:val="61D84914"/>
    <w:rsid w:val="61F14861"/>
    <w:rsid w:val="62173786"/>
    <w:rsid w:val="621B3778"/>
    <w:rsid w:val="62226A89"/>
    <w:rsid w:val="622A5268"/>
    <w:rsid w:val="623E0D13"/>
    <w:rsid w:val="624172DA"/>
    <w:rsid w:val="624B0CE6"/>
    <w:rsid w:val="62652744"/>
    <w:rsid w:val="627F0053"/>
    <w:rsid w:val="62894684"/>
    <w:rsid w:val="629D6CD6"/>
    <w:rsid w:val="62B9483E"/>
    <w:rsid w:val="62BE3C02"/>
    <w:rsid w:val="62C0797A"/>
    <w:rsid w:val="62C531E2"/>
    <w:rsid w:val="62CA07F9"/>
    <w:rsid w:val="62CC3579"/>
    <w:rsid w:val="62CF7BBD"/>
    <w:rsid w:val="62DA4E71"/>
    <w:rsid w:val="62E80C7F"/>
    <w:rsid w:val="62ED29CC"/>
    <w:rsid w:val="62F615EE"/>
    <w:rsid w:val="62F87114"/>
    <w:rsid w:val="63027F93"/>
    <w:rsid w:val="632232F0"/>
    <w:rsid w:val="63235C57"/>
    <w:rsid w:val="63251097"/>
    <w:rsid w:val="633A772C"/>
    <w:rsid w:val="63493E13"/>
    <w:rsid w:val="635312BB"/>
    <w:rsid w:val="63612F0B"/>
    <w:rsid w:val="636C7B02"/>
    <w:rsid w:val="636E5628"/>
    <w:rsid w:val="639539A1"/>
    <w:rsid w:val="639D5BAA"/>
    <w:rsid w:val="63A57A90"/>
    <w:rsid w:val="63A809ED"/>
    <w:rsid w:val="63C27722"/>
    <w:rsid w:val="63C67212"/>
    <w:rsid w:val="63C90AB0"/>
    <w:rsid w:val="63D47C8E"/>
    <w:rsid w:val="63DC5E87"/>
    <w:rsid w:val="63E6078D"/>
    <w:rsid w:val="63E92049"/>
    <w:rsid w:val="63F0428F"/>
    <w:rsid w:val="63FB0CDC"/>
    <w:rsid w:val="63FE0835"/>
    <w:rsid w:val="64087C5A"/>
    <w:rsid w:val="641E7BAC"/>
    <w:rsid w:val="641F6922"/>
    <w:rsid w:val="64244331"/>
    <w:rsid w:val="64526CF8"/>
    <w:rsid w:val="648E04D0"/>
    <w:rsid w:val="64B259E8"/>
    <w:rsid w:val="64B654D9"/>
    <w:rsid w:val="64B67527"/>
    <w:rsid w:val="64CA0F84"/>
    <w:rsid w:val="64CA2D32"/>
    <w:rsid w:val="64D5596E"/>
    <w:rsid w:val="64DB676B"/>
    <w:rsid w:val="64EC4A56"/>
    <w:rsid w:val="64ED07CF"/>
    <w:rsid w:val="65037FF2"/>
    <w:rsid w:val="650543CA"/>
    <w:rsid w:val="650765BC"/>
    <w:rsid w:val="651F307E"/>
    <w:rsid w:val="652663C4"/>
    <w:rsid w:val="653D3504"/>
    <w:rsid w:val="654F3237"/>
    <w:rsid w:val="65740B5F"/>
    <w:rsid w:val="657D1B52"/>
    <w:rsid w:val="65907AD8"/>
    <w:rsid w:val="65995C4C"/>
    <w:rsid w:val="659A6511"/>
    <w:rsid w:val="65AB12E7"/>
    <w:rsid w:val="65B10B70"/>
    <w:rsid w:val="65CB4FB4"/>
    <w:rsid w:val="65D379C4"/>
    <w:rsid w:val="65E16585"/>
    <w:rsid w:val="65E676F8"/>
    <w:rsid w:val="65EB0394"/>
    <w:rsid w:val="65EC58B4"/>
    <w:rsid w:val="660D371B"/>
    <w:rsid w:val="66285F62"/>
    <w:rsid w:val="662E2842"/>
    <w:rsid w:val="664960A1"/>
    <w:rsid w:val="66522FDF"/>
    <w:rsid w:val="666D1BC7"/>
    <w:rsid w:val="6692526A"/>
    <w:rsid w:val="66A13F0D"/>
    <w:rsid w:val="66A51361"/>
    <w:rsid w:val="66A82BFF"/>
    <w:rsid w:val="66D6759A"/>
    <w:rsid w:val="670B51B6"/>
    <w:rsid w:val="670C13E0"/>
    <w:rsid w:val="6710420B"/>
    <w:rsid w:val="673C3DA6"/>
    <w:rsid w:val="67533CA1"/>
    <w:rsid w:val="67694A84"/>
    <w:rsid w:val="676B5D1B"/>
    <w:rsid w:val="67713939"/>
    <w:rsid w:val="679C7431"/>
    <w:rsid w:val="67A61834"/>
    <w:rsid w:val="67C20430"/>
    <w:rsid w:val="67D234A0"/>
    <w:rsid w:val="67DA53D4"/>
    <w:rsid w:val="67E46E81"/>
    <w:rsid w:val="68001605"/>
    <w:rsid w:val="6804655B"/>
    <w:rsid w:val="68075AEA"/>
    <w:rsid w:val="68077DF9"/>
    <w:rsid w:val="682430F5"/>
    <w:rsid w:val="682D7860"/>
    <w:rsid w:val="683913F1"/>
    <w:rsid w:val="68466B73"/>
    <w:rsid w:val="68721717"/>
    <w:rsid w:val="68752FB5"/>
    <w:rsid w:val="688F22C8"/>
    <w:rsid w:val="689F0032"/>
    <w:rsid w:val="68A20250"/>
    <w:rsid w:val="68D75A1D"/>
    <w:rsid w:val="68D979E8"/>
    <w:rsid w:val="68E43F44"/>
    <w:rsid w:val="69054339"/>
    <w:rsid w:val="69362993"/>
    <w:rsid w:val="693C4DFA"/>
    <w:rsid w:val="694C01BA"/>
    <w:rsid w:val="694C0940"/>
    <w:rsid w:val="69623539"/>
    <w:rsid w:val="696D1EDE"/>
    <w:rsid w:val="69710AAB"/>
    <w:rsid w:val="69717C20"/>
    <w:rsid w:val="69744561"/>
    <w:rsid w:val="69826A55"/>
    <w:rsid w:val="69845BA5"/>
    <w:rsid w:val="69886D18"/>
    <w:rsid w:val="69934DBD"/>
    <w:rsid w:val="699D0A15"/>
    <w:rsid w:val="69A27DD9"/>
    <w:rsid w:val="69A76DF8"/>
    <w:rsid w:val="69AB1384"/>
    <w:rsid w:val="69BB70ED"/>
    <w:rsid w:val="69D41F5D"/>
    <w:rsid w:val="69D72B28"/>
    <w:rsid w:val="69DA187A"/>
    <w:rsid w:val="69E734ED"/>
    <w:rsid w:val="6A040A94"/>
    <w:rsid w:val="6A2904FB"/>
    <w:rsid w:val="6A3109C0"/>
    <w:rsid w:val="6A435F21"/>
    <w:rsid w:val="6A5D01A4"/>
    <w:rsid w:val="6A606C02"/>
    <w:rsid w:val="6A682DD1"/>
    <w:rsid w:val="6A786D8C"/>
    <w:rsid w:val="6A885221"/>
    <w:rsid w:val="6A8F7E72"/>
    <w:rsid w:val="6A9C2F2D"/>
    <w:rsid w:val="6AA7371E"/>
    <w:rsid w:val="6AB13622"/>
    <w:rsid w:val="6AD423C6"/>
    <w:rsid w:val="6AEE7CE3"/>
    <w:rsid w:val="6AF424F3"/>
    <w:rsid w:val="6B056872"/>
    <w:rsid w:val="6B2A6A59"/>
    <w:rsid w:val="6B2B5B3A"/>
    <w:rsid w:val="6B38317C"/>
    <w:rsid w:val="6B3B3693"/>
    <w:rsid w:val="6B533A81"/>
    <w:rsid w:val="6B5415A7"/>
    <w:rsid w:val="6B554008"/>
    <w:rsid w:val="6B5670CE"/>
    <w:rsid w:val="6B574BF4"/>
    <w:rsid w:val="6B607F4C"/>
    <w:rsid w:val="6B625A72"/>
    <w:rsid w:val="6B6A4927"/>
    <w:rsid w:val="6B710E63"/>
    <w:rsid w:val="6B77042E"/>
    <w:rsid w:val="6B811488"/>
    <w:rsid w:val="6B8930F1"/>
    <w:rsid w:val="6BA20D50"/>
    <w:rsid w:val="6BA719A4"/>
    <w:rsid w:val="6BAE515B"/>
    <w:rsid w:val="6BB058C5"/>
    <w:rsid w:val="6BC06C3D"/>
    <w:rsid w:val="6BD04224"/>
    <w:rsid w:val="6BD83F86"/>
    <w:rsid w:val="6BF54B38"/>
    <w:rsid w:val="6C055618"/>
    <w:rsid w:val="6C105ED9"/>
    <w:rsid w:val="6C1C4AC4"/>
    <w:rsid w:val="6C272818"/>
    <w:rsid w:val="6C382C77"/>
    <w:rsid w:val="6C406C76"/>
    <w:rsid w:val="6C4433CA"/>
    <w:rsid w:val="6C6D0B73"/>
    <w:rsid w:val="6C702411"/>
    <w:rsid w:val="6C7A3E93"/>
    <w:rsid w:val="6C7C38E6"/>
    <w:rsid w:val="6C9F1D22"/>
    <w:rsid w:val="6CA173A9"/>
    <w:rsid w:val="6CA42BEA"/>
    <w:rsid w:val="6CA457D0"/>
    <w:rsid w:val="6CA6699F"/>
    <w:rsid w:val="6CDA3D2E"/>
    <w:rsid w:val="6CE85AFA"/>
    <w:rsid w:val="6CE8644B"/>
    <w:rsid w:val="6CED5998"/>
    <w:rsid w:val="6CF272CA"/>
    <w:rsid w:val="6D0D6267"/>
    <w:rsid w:val="6D184F79"/>
    <w:rsid w:val="6D2B6338"/>
    <w:rsid w:val="6D323B6A"/>
    <w:rsid w:val="6D4A4A10"/>
    <w:rsid w:val="6D723F67"/>
    <w:rsid w:val="6DA22A9E"/>
    <w:rsid w:val="6DA265FA"/>
    <w:rsid w:val="6DA73E4B"/>
    <w:rsid w:val="6DAC1082"/>
    <w:rsid w:val="6DB14A8F"/>
    <w:rsid w:val="6DB93944"/>
    <w:rsid w:val="6DBF79AE"/>
    <w:rsid w:val="6DC22544"/>
    <w:rsid w:val="6DCF13B9"/>
    <w:rsid w:val="6DEA3E9F"/>
    <w:rsid w:val="6DF02586"/>
    <w:rsid w:val="6DF257E0"/>
    <w:rsid w:val="6DF66946"/>
    <w:rsid w:val="6DFB3F5C"/>
    <w:rsid w:val="6DFD1A82"/>
    <w:rsid w:val="6E041063"/>
    <w:rsid w:val="6E093EEA"/>
    <w:rsid w:val="6E0F3A3A"/>
    <w:rsid w:val="6E162B44"/>
    <w:rsid w:val="6E4F4257"/>
    <w:rsid w:val="6E55366C"/>
    <w:rsid w:val="6E586D17"/>
    <w:rsid w:val="6E5F00C4"/>
    <w:rsid w:val="6E6B10E2"/>
    <w:rsid w:val="6E9A3775"/>
    <w:rsid w:val="6E9D7F5A"/>
    <w:rsid w:val="6EA165BF"/>
    <w:rsid w:val="6EBD420F"/>
    <w:rsid w:val="6EE3336E"/>
    <w:rsid w:val="6EE655EA"/>
    <w:rsid w:val="6EE92007"/>
    <w:rsid w:val="6EEF1D13"/>
    <w:rsid w:val="6F012FA0"/>
    <w:rsid w:val="6F196D90"/>
    <w:rsid w:val="6F215C44"/>
    <w:rsid w:val="6F305E87"/>
    <w:rsid w:val="6F3B6E8A"/>
    <w:rsid w:val="6F40431D"/>
    <w:rsid w:val="6F437DE0"/>
    <w:rsid w:val="6F5953DE"/>
    <w:rsid w:val="6FC54822"/>
    <w:rsid w:val="6FCB307B"/>
    <w:rsid w:val="6FE24DA5"/>
    <w:rsid w:val="6FF173C5"/>
    <w:rsid w:val="701337DF"/>
    <w:rsid w:val="701B08E6"/>
    <w:rsid w:val="70343755"/>
    <w:rsid w:val="70447E3C"/>
    <w:rsid w:val="70587444"/>
    <w:rsid w:val="706340B5"/>
    <w:rsid w:val="706933FF"/>
    <w:rsid w:val="706C1141"/>
    <w:rsid w:val="70756248"/>
    <w:rsid w:val="70AF0C3C"/>
    <w:rsid w:val="70B813C8"/>
    <w:rsid w:val="70BC5EE3"/>
    <w:rsid w:val="70DE6F86"/>
    <w:rsid w:val="70ED1A40"/>
    <w:rsid w:val="70F25AEA"/>
    <w:rsid w:val="70F35734"/>
    <w:rsid w:val="71123118"/>
    <w:rsid w:val="71140BF6"/>
    <w:rsid w:val="711907CF"/>
    <w:rsid w:val="7124455A"/>
    <w:rsid w:val="71337C1D"/>
    <w:rsid w:val="715C03D8"/>
    <w:rsid w:val="715E6CDC"/>
    <w:rsid w:val="716640DA"/>
    <w:rsid w:val="718715AD"/>
    <w:rsid w:val="71AB5C99"/>
    <w:rsid w:val="71AD37BF"/>
    <w:rsid w:val="71D426C7"/>
    <w:rsid w:val="71D7083C"/>
    <w:rsid w:val="71E700D9"/>
    <w:rsid w:val="71F760DD"/>
    <w:rsid w:val="71FE226D"/>
    <w:rsid w:val="720073C3"/>
    <w:rsid w:val="72161365"/>
    <w:rsid w:val="721D0945"/>
    <w:rsid w:val="723932A5"/>
    <w:rsid w:val="725E7072"/>
    <w:rsid w:val="72732A86"/>
    <w:rsid w:val="728C5ACB"/>
    <w:rsid w:val="729807A9"/>
    <w:rsid w:val="729B5D0E"/>
    <w:rsid w:val="729D55E2"/>
    <w:rsid w:val="72A746B3"/>
    <w:rsid w:val="72A90616"/>
    <w:rsid w:val="72B30FEF"/>
    <w:rsid w:val="72C60FDD"/>
    <w:rsid w:val="72CE60E3"/>
    <w:rsid w:val="72E871A5"/>
    <w:rsid w:val="72FC307A"/>
    <w:rsid w:val="72FC67AC"/>
    <w:rsid w:val="73010267"/>
    <w:rsid w:val="73042F16"/>
    <w:rsid w:val="73102258"/>
    <w:rsid w:val="73164A2A"/>
    <w:rsid w:val="7322314F"/>
    <w:rsid w:val="734B27BE"/>
    <w:rsid w:val="7358775B"/>
    <w:rsid w:val="736B748E"/>
    <w:rsid w:val="737F2F3A"/>
    <w:rsid w:val="738E7B14"/>
    <w:rsid w:val="73994C91"/>
    <w:rsid w:val="73A530BB"/>
    <w:rsid w:val="73AD5CF9"/>
    <w:rsid w:val="73BA21C4"/>
    <w:rsid w:val="73BB0416"/>
    <w:rsid w:val="73C060C3"/>
    <w:rsid w:val="73C26FD1"/>
    <w:rsid w:val="73F12089"/>
    <w:rsid w:val="74055F04"/>
    <w:rsid w:val="740617BB"/>
    <w:rsid w:val="74081181"/>
    <w:rsid w:val="740C0C71"/>
    <w:rsid w:val="741C69DA"/>
    <w:rsid w:val="744A1799"/>
    <w:rsid w:val="74510D7A"/>
    <w:rsid w:val="745148D6"/>
    <w:rsid w:val="7465278B"/>
    <w:rsid w:val="74696559"/>
    <w:rsid w:val="746E7748"/>
    <w:rsid w:val="746F1200"/>
    <w:rsid w:val="747E3680"/>
    <w:rsid w:val="7480340D"/>
    <w:rsid w:val="7489596A"/>
    <w:rsid w:val="74A52DD6"/>
    <w:rsid w:val="74A6237F"/>
    <w:rsid w:val="74AE1D28"/>
    <w:rsid w:val="74C4779E"/>
    <w:rsid w:val="74D925D0"/>
    <w:rsid w:val="74DA2B1D"/>
    <w:rsid w:val="74DE0E3C"/>
    <w:rsid w:val="74E416CD"/>
    <w:rsid w:val="74F96A63"/>
    <w:rsid w:val="74FD6898"/>
    <w:rsid w:val="75156511"/>
    <w:rsid w:val="75183447"/>
    <w:rsid w:val="753A180E"/>
    <w:rsid w:val="753B5905"/>
    <w:rsid w:val="756B19C7"/>
    <w:rsid w:val="756E14B8"/>
    <w:rsid w:val="759233F8"/>
    <w:rsid w:val="759E7FEF"/>
    <w:rsid w:val="75A94FE5"/>
    <w:rsid w:val="75BD482C"/>
    <w:rsid w:val="75D02172"/>
    <w:rsid w:val="75F220E9"/>
    <w:rsid w:val="760F4A49"/>
    <w:rsid w:val="761C7758"/>
    <w:rsid w:val="761E14F0"/>
    <w:rsid w:val="76200A04"/>
    <w:rsid w:val="762B73A9"/>
    <w:rsid w:val="76571F4C"/>
    <w:rsid w:val="765C6722"/>
    <w:rsid w:val="766347B5"/>
    <w:rsid w:val="767A3D73"/>
    <w:rsid w:val="767D396B"/>
    <w:rsid w:val="768946F7"/>
    <w:rsid w:val="76AE4262"/>
    <w:rsid w:val="76AF3B36"/>
    <w:rsid w:val="76BE4EC6"/>
    <w:rsid w:val="76C9109B"/>
    <w:rsid w:val="76DB01BC"/>
    <w:rsid w:val="76F51E90"/>
    <w:rsid w:val="76F854DD"/>
    <w:rsid w:val="771A18F7"/>
    <w:rsid w:val="7726029C"/>
    <w:rsid w:val="7749325C"/>
    <w:rsid w:val="775E5C88"/>
    <w:rsid w:val="77725FBB"/>
    <w:rsid w:val="77885876"/>
    <w:rsid w:val="77A75660"/>
    <w:rsid w:val="77A94A29"/>
    <w:rsid w:val="77B040EB"/>
    <w:rsid w:val="77B951E9"/>
    <w:rsid w:val="77DA1086"/>
    <w:rsid w:val="77FE6B23"/>
    <w:rsid w:val="78043EFD"/>
    <w:rsid w:val="78092607"/>
    <w:rsid w:val="781C68DB"/>
    <w:rsid w:val="782B3690"/>
    <w:rsid w:val="782C63A8"/>
    <w:rsid w:val="7839719A"/>
    <w:rsid w:val="7857144A"/>
    <w:rsid w:val="785C1A9B"/>
    <w:rsid w:val="785D722D"/>
    <w:rsid w:val="786170B2"/>
    <w:rsid w:val="78654665"/>
    <w:rsid w:val="787D213D"/>
    <w:rsid w:val="78BD2F41"/>
    <w:rsid w:val="78C0027C"/>
    <w:rsid w:val="78C55892"/>
    <w:rsid w:val="78C91149"/>
    <w:rsid w:val="78D930EC"/>
    <w:rsid w:val="78DE5AF8"/>
    <w:rsid w:val="78E51A91"/>
    <w:rsid w:val="78E80731"/>
    <w:rsid w:val="78F30C17"/>
    <w:rsid w:val="78F65A4C"/>
    <w:rsid w:val="79022643"/>
    <w:rsid w:val="790B08CE"/>
    <w:rsid w:val="7921151B"/>
    <w:rsid w:val="792A35F4"/>
    <w:rsid w:val="794C7D62"/>
    <w:rsid w:val="79646E59"/>
    <w:rsid w:val="797057FE"/>
    <w:rsid w:val="797C190D"/>
    <w:rsid w:val="79905EA0"/>
    <w:rsid w:val="79984D55"/>
    <w:rsid w:val="799F60E4"/>
    <w:rsid w:val="79B340A5"/>
    <w:rsid w:val="79B4449B"/>
    <w:rsid w:val="79D7762B"/>
    <w:rsid w:val="79D936BD"/>
    <w:rsid w:val="79E9735F"/>
    <w:rsid w:val="79EB1329"/>
    <w:rsid w:val="7A187C44"/>
    <w:rsid w:val="7A4128EC"/>
    <w:rsid w:val="7A5549F4"/>
    <w:rsid w:val="7A6B246A"/>
    <w:rsid w:val="7A911ED0"/>
    <w:rsid w:val="7ABB7B46"/>
    <w:rsid w:val="7AC94550"/>
    <w:rsid w:val="7AF366E7"/>
    <w:rsid w:val="7AF9495D"/>
    <w:rsid w:val="7AFB5DF0"/>
    <w:rsid w:val="7B3B008E"/>
    <w:rsid w:val="7B470B15"/>
    <w:rsid w:val="7B4C5DF7"/>
    <w:rsid w:val="7B542EFE"/>
    <w:rsid w:val="7B62386D"/>
    <w:rsid w:val="7B643141"/>
    <w:rsid w:val="7B823FE2"/>
    <w:rsid w:val="7B8A64F2"/>
    <w:rsid w:val="7B9365E7"/>
    <w:rsid w:val="7BD70255"/>
    <w:rsid w:val="7BDB672C"/>
    <w:rsid w:val="7BFA20A5"/>
    <w:rsid w:val="7BFE17E7"/>
    <w:rsid w:val="7C0D23F1"/>
    <w:rsid w:val="7C0E7550"/>
    <w:rsid w:val="7C0F20CD"/>
    <w:rsid w:val="7C1903CF"/>
    <w:rsid w:val="7C2B3C5E"/>
    <w:rsid w:val="7C464F3C"/>
    <w:rsid w:val="7C5F7DAC"/>
    <w:rsid w:val="7C6453C2"/>
    <w:rsid w:val="7C7E21C7"/>
    <w:rsid w:val="7C8F0691"/>
    <w:rsid w:val="7C983453"/>
    <w:rsid w:val="7CAA0162"/>
    <w:rsid w:val="7CCB71F0"/>
    <w:rsid w:val="7CDE700F"/>
    <w:rsid w:val="7CF109C8"/>
    <w:rsid w:val="7CF566CD"/>
    <w:rsid w:val="7D1D2F17"/>
    <w:rsid w:val="7D204198"/>
    <w:rsid w:val="7D225061"/>
    <w:rsid w:val="7D464749"/>
    <w:rsid w:val="7D4E2D2D"/>
    <w:rsid w:val="7D773994"/>
    <w:rsid w:val="7DA51340"/>
    <w:rsid w:val="7DB72F39"/>
    <w:rsid w:val="7DD172E6"/>
    <w:rsid w:val="7E030AED"/>
    <w:rsid w:val="7E241A7D"/>
    <w:rsid w:val="7E372486"/>
    <w:rsid w:val="7E5020A2"/>
    <w:rsid w:val="7E5C0CCF"/>
    <w:rsid w:val="7E6D055E"/>
    <w:rsid w:val="7E7202C2"/>
    <w:rsid w:val="7E81225C"/>
    <w:rsid w:val="7E971A7F"/>
    <w:rsid w:val="7EBD27E3"/>
    <w:rsid w:val="7EC14D4E"/>
    <w:rsid w:val="7EDC7492"/>
    <w:rsid w:val="7EE57FC6"/>
    <w:rsid w:val="7EFE565A"/>
    <w:rsid w:val="7F233C31"/>
    <w:rsid w:val="7F2C21C7"/>
    <w:rsid w:val="7F365394"/>
    <w:rsid w:val="7F547970"/>
    <w:rsid w:val="7F5D6825"/>
    <w:rsid w:val="7F601E71"/>
    <w:rsid w:val="7F6B6CA9"/>
    <w:rsid w:val="7F7144BD"/>
    <w:rsid w:val="7F78540D"/>
    <w:rsid w:val="7F8042C1"/>
    <w:rsid w:val="7F8518D8"/>
    <w:rsid w:val="7F8C30A6"/>
    <w:rsid w:val="7F967EB5"/>
    <w:rsid w:val="7FD71D11"/>
    <w:rsid w:val="7FF854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semiHidden="0" w:name="index 2"/>
    <w:lsdException w:qFormat="1"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qFormat="1" w:uiPriority="99"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qFormat="1" w:uiPriority="99" w:semiHidden="0" w:name="envelope address"/>
    <w:lsdException w:qFormat="1" w:uiPriority="99"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qFormat="1" w:uiPriority="99" w:semiHidden="0" w:name="endnote text"/>
    <w:lsdException w:qFormat="1" w:uiPriority="99" w:semiHidden="0" w:name="table of authorities"/>
    <w:lsdException w:qFormat="1" w:uiPriority="0" w:semiHidden="0" w:name="macro"/>
    <w:lsdException w:qFormat="1" w:uiPriority="99" w:semiHidden="0" w:name="toa heading"/>
    <w:lsdException w:qFormat="1" w:unhideWhenUsed="0" w:uiPriority="99" w:semiHidden="0" w:name="List"/>
    <w:lsdException w:qFormat="1" w:uiPriority="99" w:semiHidden="0" w:name="List Bullet"/>
    <w:lsdException w:qFormat="1" w:unhideWhenUsed="0" w:uiPriority="99" w:semiHidden="0" w:name="List Number"/>
    <w:lsdException w:qFormat="1" w:uiPriority="99" w:semiHidden="0" w:name="List 2"/>
    <w:lsdException w:qFormat="1" w:uiPriority="99" w:semiHidden="0" w:name="List 3"/>
    <w:lsdException w:qFormat="1" w:uiPriority="99" w:semiHidden="0" w:name="List 4"/>
    <w:lsdException w:qFormat="1" w:uiPriority="99" w:semiHidden="0" w:name="List 5"/>
    <w:lsdException w:qFormat="1" w:uiPriority="99" w:semiHidden="0" w:name="List Bullet 2"/>
    <w:lsdException w:qFormat="1" w:uiPriority="99" w:semiHidden="0" w:name="List Bullet 3"/>
    <w:lsdException w:qFormat="1" w:uiPriority="99" w:semiHidden="0" w:name="List Bullet 4"/>
    <w:lsdException w:qFormat="1" w:uiPriority="99" w:semiHidden="0" w:name="List Bullet 5"/>
    <w:lsdException w:qFormat="1" w:uiPriority="99" w:semiHidden="0" w:name="List Number 2"/>
    <w:lsdException w:qFormat="1" w:uiPriority="99" w:semiHidden="0" w:name="List Number 3"/>
    <w:lsdException w:qFormat="1" w:uiPriority="99" w:semiHidden="0" w:name="List Number 4"/>
    <w:lsdException w:qFormat="1" w:uiPriority="99" w:semiHidden="0" w:name="List Number 5"/>
    <w:lsdException w:qFormat="1" w:unhideWhenUsed="0" w:uiPriority="0" w:semiHidden="0" w:name="Title"/>
    <w:lsdException w:qFormat="1" w:unhideWhenUsed="0" w:uiPriority="0" w:semiHidden="0" w:name="Closing"/>
    <w:lsdException w:qFormat="1" w:uiPriority="99"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qFormat="1" w:uiPriority="99"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iPriority="0" w:semiHidden="0" w:name="Body Text First Indent"/>
    <w:lsdException w:qFormat="1" w:uiPriority="0" w:semiHidden="0" w:name="Body Text First Indent 2"/>
    <w:lsdException w:qFormat="1" w:unhideWhenUsed="0" w:uiPriority="0" w:semiHidden="0" w:name="Note Heading"/>
    <w:lsdException w:qFormat="1" w:unhideWhenUsed="0" w:uiPriority="99"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iPriority="99" w:semiHidden="0" w:name="E-mail Signature"/>
    <w:lsdException w:qFormat="1" w:unhideWhenUsed="0" w:uiPriority="99" w:semiHidden="0" w:name="Normal (Web)"/>
    <w:lsdException w:uiPriority="0" w:name="HTML Acronym"/>
    <w:lsdException w:qFormat="1" w:uiPriority="99" w:semiHidden="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00"/>
    <w:qFormat/>
    <w:uiPriority w:val="0"/>
    <w:pPr>
      <w:keepNext/>
      <w:keepLines/>
      <w:autoSpaceDE w:val="0"/>
      <w:autoSpaceDN w:val="0"/>
      <w:adjustRightInd w:val="0"/>
      <w:spacing w:before="340" w:after="330" w:line="578" w:lineRule="atLeast"/>
      <w:jc w:val="center"/>
      <w:outlineLvl w:val="0"/>
    </w:pPr>
    <w:rPr>
      <w:rFonts w:ascii="宋体"/>
      <w:b/>
      <w:kern w:val="0"/>
      <w:sz w:val="44"/>
      <w:szCs w:val="20"/>
    </w:rPr>
  </w:style>
  <w:style w:type="paragraph" w:styleId="2">
    <w:name w:val="heading 2"/>
    <w:basedOn w:val="1"/>
    <w:next w:val="1"/>
    <w:link w:val="98"/>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6"/>
    <w:link w:val="101"/>
    <w:qFormat/>
    <w:uiPriority w:val="0"/>
    <w:pPr>
      <w:keepNext/>
      <w:keepLines/>
      <w:spacing w:before="260" w:after="260" w:line="360" w:lineRule="auto"/>
      <w:jc w:val="center"/>
      <w:outlineLvl w:val="2"/>
    </w:pPr>
    <w:rPr>
      <w:b/>
      <w:sz w:val="32"/>
      <w:szCs w:val="20"/>
    </w:rPr>
  </w:style>
  <w:style w:type="paragraph" w:styleId="7">
    <w:name w:val="heading 4"/>
    <w:basedOn w:val="1"/>
    <w:next w:val="1"/>
    <w:link w:val="103"/>
    <w:qFormat/>
    <w:uiPriority w:val="0"/>
    <w:pPr>
      <w:keepNext/>
      <w:keepLines/>
      <w:tabs>
        <w:tab w:val="left" w:pos="864"/>
      </w:tabs>
      <w:adjustRightInd w:val="0"/>
      <w:snapToGrid w:val="0"/>
      <w:spacing w:before="280" w:after="290"/>
      <w:ind w:left="864" w:hanging="144"/>
      <w:outlineLvl w:val="3"/>
    </w:pPr>
    <w:rPr>
      <w:b/>
      <w:bCs/>
      <w:snapToGrid w:val="0"/>
      <w:kern w:val="0"/>
      <w:sz w:val="36"/>
      <w:szCs w:val="28"/>
    </w:rPr>
  </w:style>
  <w:style w:type="paragraph" w:styleId="8">
    <w:name w:val="heading 5"/>
    <w:basedOn w:val="1"/>
    <w:next w:val="1"/>
    <w:link w:val="104"/>
    <w:qFormat/>
    <w:uiPriority w:val="0"/>
    <w:pPr>
      <w:keepNext/>
      <w:outlineLvl w:val="4"/>
    </w:pPr>
    <w:rPr>
      <w:rFonts w:ascii="宋体" w:hAnsi="宋体"/>
      <w:b/>
      <w:bCs/>
      <w:sz w:val="24"/>
    </w:rPr>
  </w:style>
  <w:style w:type="paragraph" w:styleId="9">
    <w:name w:val="heading 6"/>
    <w:basedOn w:val="1"/>
    <w:next w:val="1"/>
    <w:link w:val="105"/>
    <w:qFormat/>
    <w:uiPriority w:val="0"/>
    <w:pPr>
      <w:keepNext/>
      <w:spacing w:line="500" w:lineRule="exact"/>
      <w:jc w:val="center"/>
      <w:outlineLvl w:val="5"/>
    </w:pPr>
    <w:rPr>
      <w:rFonts w:ascii="宋体" w:hAnsi="宋体"/>
      <w:b/>
      <w:bCs/>
      <w:sz w:val="30"/>
      <w:szCs w:val="30"/>
    </w:rPr>
  </w:style>
  <w:style w:type="paragraph" w:styleId="10">
    <w:name w:val="heading 7"/>
    <w:basedOn w:val="1"/>
    <w:next w:val="1"/>
    <w:link w:val="106"/>
    <w:qFormat/>
    <w:uiPriority w:val="0"/>
    <w:pPr>
      <w:keepNext/>
      <w:keepLines/>
      <w:spacing w:before="240" w:after="64"/>
      <w:outlineLvl w:val="6"/>
    </w:pPr>
    <w:rPr>
      <w:sz w:val="24"/>
    </w:rPr>
  </w:style>
  <w:style w:type="paragraph" w:styleId="11">
    <w:name w:val="heading 8"/>
    <w:basedOn w:val="1"/>
    <w:next w:val="1"/>
    <w:link w:val="107"/>
    <w:qFormat/>
    <w:uiPriority w:val="0"/>
    <w:pPr>
      <w:keepNext/>
      <w:keepLines/>
      <w:spacing w:before="240" w:after="64"/>
      <w:outlineLvl w:val="7"/>
    </w:pPr>
    <w:rPr>
      <w:rFonts w:ascii="Arial" w:hAnsi="Arial" w:eastAsia="黑体"/>
      <w:sz w:val="24"/>
    </w:rPr>
  </w:style>
  <w:style w:type="paragraph" w:styleId="12">
    <w:name w:val="heading 9"/>
    <w:basedOn w:val="1"/>
    <w:next w:val="1"/>
    <w:link w:val="108"/>
    <w:qFormat/>
    <w:uiPriority w:val="0"/>
    <w:pPr>
      <w:keepNext/>
      <w:keepLines/>
      <w:spacing w:before="240" w:after="64"/>
      <w:outlineLvl w:val="8"/>
    </w:pPr>
    <w:rPr>
      <w:rFonts w:ascii="Arial" w:hAnsi="Arial" w:eastAsia="黑体"/>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3">
    <w:name w:val="macro"/>
    <w:link w:val="99"/>
    <w:unhideWhenUsed/>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kern w:val="2"/>
      <w:sz w:val="24"/>
      <w:szCs w:val="24"/>
      <w:lang w:val="en-US" w:eastAsia="zh-CN" w:bidi="ar-SA"/>
    </w:rPr>
  </w:style>
  <w:style w:type="paragraph" w:styleId="6">
    <w:name w:val="Normal Indent"/>
    <w:basedOn w:val="1"/>
    <w:link w:val="102"/>
    <w:qFormat/>
    <w:uiPriority w:val="0"/>
    <w:pPr>
      <w:ind w:firstLine="420"/>
    </w:pPr>
    <w:rPr>
      <w:szCs w:val="20"/>
    </w:rPr>
  </w:style>
  <w:style w:type="paragraph" w:styleId="13">
    <w:name w:val="List 3"/>
    <w:basedOn w:val="1"/>
    <w:unhideWhenUsed/>
    <w:qFormat/>
    <w:uiPriority w:val="99"/>
    <w:pPr>
      <w:ind w:left="100" w:leftChars="400" w:hanging="200" w:hangingChars="200"/>
      <w:contextualSpacing/>
    </w:pPr>
    <w:rPr>
      <w:szCs w:val="20"/>
    </w:rPr>
  </w:style>
  <w:style w:type="paragraph" w:styleId="14">
    <w:name w:val="toc 7"/>
    <w:basedOn w:val="1"/>
    <w:next w:val="1"/>
    <w:qFormat/>
    <w:uiPriority w:val="39"/>
    <w:pPr>
      <w:ind w:left="1260"/>
      <w:jc w:val="left"/>
    </w:pPr>
    <w:rPr>
      <w:sz w:val="18"/>
      <w:szCs w:val="18"/>
    </w:rPr>
  </w:style>
  <w:style w:type="paragraph" w:styleId="15">
    <w:name w:val="List Number 2"/>
    <w:basedOn w:val="1"/>
    <w:unhideWhenUsed/>
    <w:qFormat/>
    <w:uiPriority w:val="99"/>
    <w:pPr>
      <w:tabs>
        <w:tab w:val="left" w:pos="780"/>
        <w:tab w:val="left" w:pos="1049"/>
      </w:tabs>
      <w:ind w:left="1049" w:hanging="420"/>
      <w:contextualSpacing/>
    </w:pPr>
    <w:rPr>
      <w:szCs w:val="20"/>
    </w:rPr>
  </w:style>
  <w:style w:type="paragraph" w:styleId="16">
    <w:name w:val="table of authorities"/>
    <w:basedOn w:val="1"/>
    <w:next w:val="1"/>
    <w:unhideWhenUsed/>
    <w:qFormat/>
    <w:uiPriority w:val="99"/>
    <w:pPr>
      <w:ind w:left="420" w:leftChars="200"/>
    </w:pPr>
    <w:rPr>
      <w:szCs w:val="20"/>
    </w:rPr>
  </w:style>
  <w:style w:type="paragraph" w:styleId="17">
    <w:name w:val="Note Heading"/>
    <w:basedOn w:val="1"/>
    <w:next w:val="1"/>
    <w:link w:val="109"/>
    <w:qFormat/>
    <w:uiPriority w:val="0"/>
    <w:pPr>
      <w:adjustRightInd w:val="0"/>
      <w:spacing w:line="312" w:lineRule="atLeast"/>
      <w:jc w:val="center"/>
      <w:textAlignment w:val="baseline"/>
    </w:pPr>
    <w:rPr>
      <w:kern w:val="0"/>
      <w:szCs w:val="20"/>
    </w:rPr>
  </w:style>
  <w:style w:type="paragraph" w:styleId="18">
    <w:name w:val="List Bullet 4"/>
    <w:basedOn w:val="1"/>
    <w:unhideWhenUsed/>
    <w:qFormat/>
    <w:uiPriority w:val="99"/>
    <w:pPr>
      <w:tabs>
        <w:tab w:val="left" w:pos="720"/>
        <w:tab w:val="left" w:pos="1620"/>
      </w:tabs>
      <w:ind w:left="720" w:hanging="360"/>
      <w:contextualSpacing/>
    </w:pPr>
    <w:rPr>
      <w:szCs w:val="20"/>
    </w:rPr>
  </w:style>
  <w:style w:type="paragraph" w:styleId="19">
    <w:name w:val="index 8"/>
    <w:basedOn w:val="1"/>
    <w:next w:val="1"/>
    <w:unhideWhenUsed/>
    <w:qFormat/>
    <w:uiPriority w:val="99"/>
    <w:pPr>
      <w:ind w:left="1400" w:leftChars="1400"/>
    </w:pPr>
    <w:rPr>
      <w:szCs w:val="20"/>
    </w:rPr>
  </w:style>
  <w:style w:type="paragraph" w:styleId="20">
    <w:name w:val="E-mail Signature"/>
    <w:basedOn w:val="1"/>
    <w:link w:val="110"/>
    <w:unhideWhenUsed/>
    <w:qFormat/>
    <w:uiPriority w:val="99"/>
    <w:rPr>
      <w:szCs w:val="20"/>
    </w:rPr>
  </w:style>
  <w:style w:type="paragraph" w:styleId="21">
    <w:name w:val="List Number"/>
    <w:basedOn w:val="1"/>
    <w:qFormat/>
    <w:uiPriority w:val="99"/>
    <w:pPr>
      <w:numPr>
        <w:ilvl w:val="0"/>
        <w:numId w:val="1"/>
      </w:numPr>
      <w:adjustRightInd w:val="0"/>
      <w:spacing w:line="360" w:lineRule="atLeast"/>
      <w:textAlignment w:val="baseline"/>
    </w:pPr>
    <w:rPr>
      <w:sz w:val="24"/>
    </w:rPr>
  </w:style>
  <w:style w:type="paragraph" w:styleId="22">
    <w:name w:val="caption"/>
    <w:basedOn w:val="1"/>
    <w:next w:val="1"/>
    <w:qFormat/>
    <w:uiPriority w:val="0"/>
    <w:pPr>
      <w:spacing w:before="120" w:after="120" w:line="320" w:lineRule="atLeast"/>
      <w:jc w:val="center"/>
    </w:pPr>
    <w:rPr>
      <w:sz w:val="18"/>
      <w:szCs w:val="18"/>
    </w:rPr>
  </w:style>
  <w:style w:type="paragraph" w:styleId="23">
    <w:name w:val="index 5"/>
    <w:basedOn w:val="1"/>
    <w:next w:val="1"/>
    <w:unhideWhenUsed/>
    <w:qFormat/>
    <w:uiPriority w:val="99"/>
    <w:pPr>
      <w:ind w:left="800" w:leftChars="800"/>
    </w:pPr>
    <w:rPr>
      <w:szCs w:val="20"/>
    </w:rPr>
  </w:style>
  <w:style w:type="paragraph" w:styleId="24">
    <w:name w:val="List Bullet"/>
    <w:basedOn w:val="1"/>
    <w:unhideWhenUsed/>
    <w:qFormat/>
    <w:uiPriority w:val="99"/>
    <w:pPr>
      <w:tabs>
        <w:tab w:val="left" w:pos="360"/>
        <w:tab w:val="left" w:pos="1134"/>
      </w:tabs>
      <w:ind w:left="1134" w:hanging="1134"/>
      <w:contextualSpacing/>
    </w:pPr>
    <w:rPr>
      <w:szCs w:val="20"/>
    </w:rPr>
  </w:style>
  <w:style w:type="paragraph" w:styleId="25">
    <w:name w:val="envelope address"/>
    <w:basedOn w:val="1"/>
    <w:unhideWhenUsed/>
    <w:qFormat/>
    <w:uiPriority w:val="99"/>
    <w:pPr>
      <w:framePr w:w="7920" w:h="1980" w:hRule="exact" w:hSpace="180" w:wrap="around" w:vAnchor="margin" w:hAnchor="page" w:xAlign="center" w:yAlign="bottom"/>
      <w:snapToGrid w:val="0"/>
      <w:ind w:left="100" w:leftChars="1400"/>
    </w:pPr>
    <w:rPr>
      <w:rFonts w:ascii="Cambria" w:hAnsi="Cambria"/>
      <w:sz w:val="24"/>
    </w:rPr>
  </w:style>
  <w:style w:type="paragraph" w:styleId="26">
    <w:name w:val="Document Map"/>
    <w:basedOn w:val="1"/>
    <w:link w:val="111"/>
    <w:qFormat/>
    <w:uiPriority w:val="99"/>
    <w:pPr>
      <w:shd w:val="clear" w:color="auto" w:fill="000080"/>
    </w:pPr>
  </w:style>
  <w:style w:type="paragraph" w:styleId="27">
    <w:name w:val="toa heading"/>
    <w:basedOn w:val="1"/>
    <w:next w:val="1"/>
    <w:unhideWhenUsed/>
    <w:qFormat/>
    <w:uiPriority w:val="99"/>
    <w:pPr>
      <w:spacing w:before="120"/>
    </w:pPr>
    <w:rPr>
      <w:rFonts w:ascii="Cambria" w:hAnsi="Cambria"/>
      <w:sz w:val="24"/>
    </w:rPr>
  </w:style>
  <w:style w:type="paragraph" w:styleId="28">
    <w:name w:val="annotation text"/>
    <w:basedOn w:val="1"/>
    <w:link w:val="112"/>
    <w:qFormat/>
    <w:uiPriority w:val="99"/>
    <w:pPr>
      <w:jc w:val="left"/>
    </w:pPr>
  </w:style>
  <w:style w:type="paragraph" w:styleId="29">
    <w:name w:val="index 6"/>
    <w:basedOn w:val="1"/>
    <w:next w:val="1"/>
    <w:unhideWhenUsed/>
    <w:qFormat/>
    <w:uiPriority w:val="99"/>
    <w:pPr>
      <w:ind w:left="1000" w:leftChars="1000"/>
    </w:pPr>
    <w:rPr>
      <w:szCs w:val="20"/>
    </w:rPr>
  </w:style>
  <w:style w:type="paragraph" w:styleId="30">
    <w:name w:val="Salutation"/>
    <w:basedOn w:val="1"/>
    <w:next w:val="1"/>
    <w:link w:val="113"/>
    <w:qFormat/>
    <w:uiPriority w:val="0"/>
    <w:rPr>
      <w:szCs w:val="20"/>
    </w:rPr>
  </w:style>
  <w:style w:type="paragraph" w:styleId="31">
    <w:name w:val="Body Text 3"/>
    <w:basedOn w:val="1"/>
    <w:link w:val="114"/>
    <w:unhideWhenUsed/>
    <w:qFormat/>
    <w:uiPriority w:val="0"/>
    <w:pPr>
      <w:spacing w:after="120"/>
    </w:pPr>
    <w:rPr>
      <w:sz w:val="16"/>
      <w:szCs w:val="16"/>
    </w:rPr>
  </w:style>
  <w:style w:type="paragraph" w:styleId="32">
    <w:name w:val="Closing"/>
    <w:basedOn w:val="1"/>
    <w:link w:val="115"/>
    <w:qFormat/>
    <w:uiPriority w:val="0"/>
    <w:pPr>
      <w:ind w:left="100" w:leftChars="2100"/>
    </w:pPr>
    <w:rPr>
      <w:sz w:val="32"/>
      <w:szCs w:val="20"/>
    </w:rPr>
  </w:style>
  <w:style w:type="paragraph" w:styleId="33">
    <w:name w:val="List Bullet 3"/>
    <w:basedOn w:val="1"/>
    <w:unhideWhenUsed/>
    <w:qFormat/>
    <w:uiPriority w:val="99"/>
    <w:pPr>
      <w:tabs>
        <w:tab w:val="left" w:pos="1134"/>
        <w:tab w:val="left" w:pos="1200"/>
      </w:tabs>
      <w:ind w:left="1134" w:hanging="1134"/>
      <w:contextualSpacing/>
    </w:pPr>
    <w:rPr>
      <w:szCs w:val="20"/>
    </w:rPr>
  </w:style>
  <w:style w:type="paragraph" w:styleId="34">
    <w:name w:val="Body Text"/>
    <w:basedOn w:val="1"/>
    <w:next w:val="1"/>
    <w:link w:val="116"/>
    <w:qFormat/>
    <w:uiPriority w:val="99"/>
    <w:pPr>
      <w:spacing w:after="120"/>
    </w:pPr>
  </w:style>
  <w:style w:type="paragraph" w:styleId="35">
    <w:name w:val="Body Text Indent"/>
    <w:basedOn w:val="1"/>
    <w:link w:val="117"/>
    <w:qFormat/>
    <w:uiPriority w:val="0"/>
    <w:pPr>
      <w:ind w:left="560"/>
    </w:pPr>
    <w:rPr>
      <w:sz w:val="28"/>
    </w:rPr>
  </w:style>
  <w:style w:type="paragraph" w:styleId="36">
    <w:name w:val="List Number 3"/>
    <w:basedOn w:val="1"/>
    <w:unhideWhenUsed/>
    <w:qFormat/>
    <w:uiPriority w:val="99"/>
    <w:pPr>
      <w:tabs>
        <w:tab w:val="left" w:pos="180"/>
        <w:tab w:val="left" w:pos="1200"/>
      </w:tabs>
      <w:ind w:left="180" w:hanging="180"/>
      <w:contextualSpacing/>
    </w:pPr>
    <w:rPr>
      <w:szCs w:val="20"/>
    </w:rPr>
  </w:style>
  <w:style w:type="paragraph" w:styleId="37">
    <w:name w:val="List 2"/>
    <w:basedOn w:val="1"/>
    <w:unhideWhenUsed/>
    <w:qFormat/>
    <w:uiPriority w:val="99"/>
    <w:pPr>
      <w:ind w:left="100" w:leftChars="200" w:hanging="200" w:hangingChars="200"/>
      <w:contextualSpacing/>
    </w:pPr>
    <w:rPr>
      <w:szCs w:val="20"/>
    </w:rPr>
  </w:style>
  <w:style w:type="paragraph" w:styleId="38">
    <w:name w:val="List Continue"/>
    <w:basedOn w:val="1"/>
    <w:unhideWhenUsed/>
    <w:qFormat/>
    <w:uiPriority w:val="99"/>
    <w:pPr>
      <w:spacing w:after="120"/>
      <w:ind w:left="420" w:leftChars="200"/>
      <w:contextualSpacing/>
    </w:pPr>
    <w:rPr>
      <w:szCs w:val="20"/>
    </w:rPr>
  </w:style>
  <w:style w:type="paragraph" w:styleId="39">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40">
    <w:name w:val="List Bullet 2"/>
    <w:basedOn w:val="1"/>
    <w:unhideWhenUsed/>
    <w:qFormat/>
    <w:uiPriority w:val="99"/>
    <w:pPr>
      <w:tabs>
        <w:tab w:val="left" w:pos="425"/>
        <w:tab w:val="left" w:pos="780"/>
      </w:tabs>
      <w:ind w:left="425" w:hanging="425"/>
      <w:contextualSpacing/>
    </w:pPr>
    <w:rPr>
      <w:szCs w:val="20"/>
    </w:rPr>
  </w:style>
  <w:style w:type="paragraph" w:styleId="41">
    <w:name w:val="HTML Address"/>
    <w:basedOn w:val="1"/>
    <w:link w:val="118"/>
    <w:unhideWhenUsed/>
    <w:qFormat/>
    <w:uiPriority w:val="99"/>
    <w:rPr>
      <w:i/>
      <w:iCs/>
      <w:szCs w:val="20"/>
    </w:rPr>
  </w:style>
  <w:style w:type="paragraph" w:styleId="42">
    <w:name w:val="index 4"/>
    <w:basedOn w:val="1"/>
    <w:next w:val="1"/>
    <w:unhideWhenUsed/>
    <w:qFormat/>
    <w:uiPriority w:val="99"/>
    <w:pPr>
      <w:ind w:left="600" w:leftChars="600"/>
    </w:pPr>
    <w:rPr>
      <w:szCs w:val="20"/>
    </w:rPr>
  </w:style>
  <w:style w:type="paragraph" w:styleId="43">
    <w:name w:val="toc 5"/>
    <w:basedOn w:val="1"/>
    <w:next w:val="1"/>
    <w:qFormat/>
    <w:uiPriority w:val="39"/>
    <w:pPr>
      <w:ind w:left="840"/>
      <w:jc w:val="left"/>
    </w:pPr>
    <w:rPr>
      <w:sz w:val="18"/>
      <w:szCs w:val="18"/>
    </w:rPr>
  </w:style>
  <w:style w:type="paragraph" w:styleId="44">
    <w:name w:val="toc 3"/>
    <w:basedOn w:val="1"/>
    <w:next w:val="1"/>
    <w:qFormat/>
    <w:uiPriority w:val="39"/>
    <w:pPr>
      <w:ind w:left="420"/>
      <w:jc w:val="left"/>
    </w:pPr>
    <w:rPr>
      <w:i/>
      <w:iCs/>
      <w:sz w:val="20"/>
      <w:szCs w:val="20"/>
    </w:rPr>
  </w:style>
  <w:style w:type="paragraph" w:styleId="45">
    <w:name w:val="Plain Text"/>
    <w:basedOn w:val="1"/>
    <w:link w:val="119"/>
    <w:qFormat/>
    <w:uiPriority w:val="0"/>
    <w:rPr>
      <w:rFonts w:ascii="宋体" w:hAnsi="Courier New"/>
      <w:szCs w:val="20"/>
    </w:rPr>
  </w:style>
  <w:style w:type="paragraph" w:styleId="46">
    <w:name w:val="List Bullet 5"/>
    <w:basedOn w:val="1"/>
    <w:unhideWhenUsed/>
    <w:qFormat/>
    <w:uiPriority w:val="99"/>
    <w:pPr>
      <w:tabs>
        <w:tab w:val="left" w:pos="720"/>
        <w:tab w:val="left" w:pos="2040"/>
      </w:tabs>
      <w:ind w:left="720" w:hanging="360"/>
      <w:contextualSpacing/>
    </w:pPr>
    <w:rPr>
      <w:szCs w:val="20"/>
    </w:rPr>
  </w:style>
  <w:style w:type="paragraph" w:styleId="47">
    <w:name w:val="List Number 4"/>
    <w:basedOn w:val="1"/>
    <w:unhideWhenUsed/>
    <w:qFormat/>
    <w:uiPriority w:val="99"/>
    <w:pPr>
      <w:tabs>
        <w:tab w:val="left" w:pos="600"/>
        <w:tab w:val="left" w:pos="1620"/>
      </w:tabs>
      <w:ind w:left="600" w:hanging="600"/>
      <w:contextualSpacing/>
    </w:pPr>
    <w:rPr>
      <w:szCs w:val="20"/>
    </w:rPr>
  </w:style>
  <w:style w:type="paragraph" w:styleId="48">
    <w:name w:val="toc 8"/>
    <w:basedOn w:val="1"/>
    <w:next w:val="1"/>
    <w:qFormat/>
    <w:uiPriority w:val="39"/>
    <w:pPr>
      <w:ind w:left="1470"/>
      <w:jc w:val="left"/>
    </w:pPr>
    <w:rPr>
      <w:sz w:val="18"/>
      <w:szCs w:val="18"/>
    </w:rPr>
  </w:style>
  <w:style w:type="paragraph" w:styleId="49">
    <w:name w:val="index 3"/>
    <w:basedOn w:val="1"/>
    <w:next w:val="1"/>
    <w:unhideWhenUsed/>
    <w:qFormat/>
    <w:uiPriority w:val="99"/>
    <w:pPr>
      <w:ind w:left="400" w:leftChars="400"/>
    </w:pPr>
    <w:rPr>
      <w:szCs w:val="20"/>
    </w:rPr>
  </w:style>
  <w:style w:type="paragraph" w:styleId="50">
    <w:name w:val="Date"/>
    <w:basedOn w:val="1"/>
    <w:next w:val="1"/>
    <w:link w:val="120"/>
    <w:qFormat/>
    <w:uiPriority w:val="99"/>
    <w:rPr>
      <w:szCs w:val="20"/>
    </w:rPr>
  </w:style>
  <w:style w:type="paragraph" w:styleId="51">
    <w:name w:val="Body Text Indent 2"/>
    <w:basedOn w:val="1"/>
    <w:link w:val="121"/>
    <w:qFormat/>
    <w:uiPriority w:val="0"/>
    <w:pPr>
      <w:spacing w:line="480" w:lineRule="auto"/>
      <w:ind w:firstLine="540" w:firstLineChars="225"/>
    </w:pPr>
    <w:rPr>
      <w:rFonts w:eastAsia="仿宋_GB2312"/>
      <w:sz w:val="24"/>
    </w:rPr>
  </w:style>
  <w:style w:type="paragraph" w:styleId="52">
    <w:name w:val="endnote text"/>
    <w:basedOn w:val="1"/>
    <w:link w:val="122"/>
    <w:unhideWhenUsed/>
    <w:qFormat/>
    <w:uiPriority w:val="99"/>
    <w:pPr>
      <w:snapToGrid w:val="0"/>
      <w:jc w:val="left"/>
    </w:pPr>
    <w:rPr>
      <w:szCs w:val="20"/>
    </w:rPr>
  </w:style>
  <w:style w:type="paragraph" w:styleId="53">
    <w:name w:val="List Continue 5"/>
    <w:basedOn w:val="1"/>
    <w:unhideWhenUsed/>
    <w:qFormat/>
    <w:uiPriority w:val="99"/>
    <w:pPr>
      <w:spacing w:after="120"/>
      <w:ind w:left="2100" w:leftChars="1000"/>
      <w:contextualSpacing/>
    </w:pPr>
    <w:rPr>
      <w:szCs w:val="20"/>
    </w:rPr>
  </w:style>
  <w:style w:type="paragraph" w:styleId="54">
    <w:name w:val="Balloon Text"/>
    <w:basedOn w:val="1"/>
    <w:link w:val="123"/>
    <w:qFormat/>
    <w:uiPriority w:val="0"/>
    <w:rPr>
      <w:sz w:val="18"/>
      <w:szCs w:val="18"/>
    </w:rPr>
  </w:style>
  <w:style w:type="paragraph" w:styleId="55">
    <w:name w:val="footer"/>
    <w:basedOn w:val="1"/>
    <w:link w:val="124"/>
    <w:qFormat/>
    <w:uiPriority w:val="99"/>
    <w:pPr>
      <w:tabs>
        <w:tab w:val="center" w:pos="4153"/>
        <w:tab w:val="right" w:pos="8306"/>
      </w:tabs>
      <w:snapToGrid w:val="0"/>
      <w:jc w:val="left"/>
    </w:pPr>
    <w:rPr>
      <w:sz w:val="18"/>
      <w:szCs w:val="18"/>
    </w:rPr>
  </w:style>
  <w:style w:type="paragraph" w:styleId="56">
    <w:name w:val="envelope return"/>
    <w:basedOn w:val="1"/>
    <w:unhideWhenUsed/>
    <w:qFormat/>
    <w:uiPriority w:val="99"/>
    <w:pPr>
      <w:snapToGrid w:val="0"/>
    </w:pPr>
    <w:rPr>
      <w:rFonts w:ascii="Cambria" w:hAnsi="Cambria"/>
      <w:szCs w:val="20"/>
    </w:rPr>
  </w:style>
  <w:style w:type="paragraph" w:styleId="57">
    <w:name w:val="header"/>
    <w:basedOn w:val="1"/>
    <w:link w:val="125"/>
    <w:qFormat/>
    <w:uiPriority w:val="0"/>
    <w:pPr>
      <w:pBdr>
        <w:bottom w:val="single" w:color="auto" w:sz="6" w:space="1"/>
      </w:pBdr>
      <w:tabs>
        <w:tab w:val="center" w:pos="4153"/>
        <w:tab w:val="right" w:pos="8306"/>
      </w:tabs>
      <w:snapToGrid w:val="0"/>
      <w:jc w:val="center"/>
    </w:pPr>
    <w:rPr>
      <w:sz w:val="18"/>
      <w:szCs w:val="18"/>
    </w:rPr>
  </w:style>
  <w:style w:type="paragraph" w:styleId="58">
    <w:name w:val="Signature"/>
    <w:basedOn w:val="1"/>
    <w:link w:val="126"/>
    <w:unhideWhenUsed/>
    <w:qFormat/>
    <w:uiPriority w:val="99"/>
    <w:pPr>
      <w:ind w:left="100" w:leftChars="2100"/>
    </w:pPr>
    <w:rPr>
      <w:szCs w:val="20"/>
    </w:rPr>
  </w:style>
  <w:style w:type="paragraph" w:styleId="59">
    <w:name w:val="toc 1"/>
    <w:basedOn w:val="1"/>
    <w:next w:val="1"/>
    <w:qFormat/>
    <w:uiPriority w:val="39"/>
    <w:pPr>
      <w:spacing w:before="120" w:after="120"/>
      <w:jc w:val="left"/>
    </w:pPr>
    <w:rPr>
      <w:b/>
      <w:bCs/>
      <w:caps/>
      <w:sz w:val="20"/>
      <w:szCs w:val="20"/>
    </w:rPr>
  </w:style>
  <w:style w:type="paragraph" w:styleId="60">
    <w:name w:val="List Continue 4"/>
    <w:basedOn w:val="1"/>
    <w:unhideWhenUsed/>
    <w:qFormat/>
    <w:uiPriority w:val="99"/>
    <w:pPr>
      <w:spacing w:after="120"/>
      <w:ind w:left="1680" w:leftChars="800"/>
      <w:contextualSpacing/>
    </w:pPr>
    <w:rPr>
      <w:szCs w:val="20"/>
    </w:rPr>
  </w:style>
  <w:style w:type="paragraph" w:styleId="61">
    <w:name w:val="toc 4"/>
    <w:basedOn w:val="1"/>
    <w:next w:val="1"/>
    <w:qFormat/>
    <w:uiPriority w:val="39"/>
    <w:pPr>
      <w:ind w:left="630"/>
      <w:jc w:val="left"/>
    </w:pPr>
    <w:rPr>
      <w:sz w:val="18"/>
      <w:szCs w:val="18"/>
    </w:rPr>
  </w:style>
  <w:style w:type="paragraph" w:styleId="62">
    <w:name w:val="index heading"/>
    <w:basedOn w:val="1"/>
    <w:next w:val="63"/>
    <w:unhideWhenUsed/>
    <w:qFormat/>
    <w:uiPriority w:val="99"/>
    <w:rPr>
      <w:rFonts w:ascii="Cambria" w:hAnsi="Cambria"/>
      <w:b/>
      <w:bCs/>
      <w:szCs w:val="20"/>
    </w:rPr>
  </w:style>
  <w:style w:type="paragraph" w:styleId="63">
    <w:name w:val="index 1"/>
    <w:basedOn w:val="1"/>
    <w:next w:val="1"/>
    <w:qFormat/>
    <w:uiPriority w:val="99"/>
  </w:style>
  <w:style w:type="paragraph" w:styleId="64">
    <w:name w:val="Subtitle"/>
    <w:basedOn w:val="1"/>
    <w:next w:val="1"/>
    <w:link w:val="127"/>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unhideWhenUsed/>
    <w:qFormat/>
    <w:uiPriority w:val="99"/>
    <w:pPr>
      <w:tabs>
        <w:tab w:val="left" w:pos="1049"/>
        <w:tab w:val="left" w:pos="2040"/>
      </w:tabs>
      <w:ind w:left="1049" w:hanging="420"/>
      <w:contextualSpacing/>
    </w:pPr>
    <w:rPr>
      <w:szCs w:val="20"/>
    </w:rPr>
  </w:style>
  <w:style w:type="paragraph" w:styleId="66">
    <w:name w:val="List"/>
    <w:basedOn w:val="34"/>
    <w:qFormat/>
    <w:uiPriority w:val="99"/>
    <w:pPr>
      <w:suppressAutoHyphens/>
    </w:pPr>
    <w:rPr>
      <w:kern w:val="1"/>
      <w:lang w:eastAsia="ar-SA"/>
    </w:rPr>
  </w:style>
  <w:style w:type="paragraph" w:styleId="67">
    <w:name w:val="footnote text"/>
    <w:basedOn w:val="1"/>
    <w:link w:val="128"/>
    <w:unhideWhenUsed/>
    <w:qFormat/>
    <w:uiPriority w:val="99"/>
    <w:pPr>
      <w:snapToGrid w:val="0"/>
      <w:jc w:val="left"/>
    </w:pPr>
    <w:rPr>
      <w:sz w:val="18"/>
      <w:szCs w:val="18"/>
    </w:rPr>
  </w:style>
  <w:style w:type="paragraph" w:styleId="68">
    <w:name w:val="toc 6"/>
    <w:basedOn w:val="1"/>
    <w:next w:val="1"/>
    <w:qFormat/>
    <w:uiPriority w:val="39"/>
    <w:pPr>
      <w:ind w:left="1050"/>
      <w:jc w:val="left"/>
    </w:pPr>
    <w:rPr>
      <w:sz w:val="18"/>
      <w:szCs w:val="18"/>
    </w:rPr>
  </w:style>
  <w:style w:type="paragraph" w:styleId="69">
    <w:name w:val="List 5"/>
    <w:basedOn w:val="1"/>
    <w:unhideWhenUsed/>
    <w:qFormat/>
    <w:uiPriority w:val="99"/>
    <w:pPr>
      <w:ind w:left="100" w:leftChars="800" w:hanging="200" w:hangingChars="200"/>
      <w:contextualSpacing/>
    </w:pPr>
    <w:rPr>
      <w:szCs w:val="20"/>
    </w:rPr>
  </w:style>
  <w:style w:type="paragraph" w:styleId="70">
    <w:name w:val="Body Text Indent 3"/>
    <w:basedOn w:val="1"/>
    <w:link w:val="129"/>
    <w:qFormat/>
    <w:uiPriority w:val="0"/>
    <w:pPr>
      <w:ind w:firstLine="600" w:firstLineChars="200"/>
    </w:pPr>
    <w:rPr>
      <w:color w:val="FF0000"/>
      <w:sz w:val="30"/>
      <w:szCs w:val="20"/>
    </w:rPr>
  </w:style>
  <w:style w:type="paragraph" w:styleId="71">
    <w:name w:val="index 7"/>
    <w:basedOn w:val="1"/>
    <w:next w:val="1"/>
    <w:unhideWhenUsed/>
    <w:qFormat/>
    <w:uiPriority w:val="99"/>
    <w:pPr>
      <w:ind w:left="1200" w:leftChars="1200"/>
    </w:pPr>
    <w:rPr>
      <w:szCs w:val="20"/>
    </w:rPr>
  </w:style>
  <w:style w:type="paragraph" w:styleId="72">
    <w:name w:val="index 9"/>
    <w:basedOn w:val="1"/>
    <w:next w:val="1"/>
    <w:unhideWhenUsed/>
    <w:qFormat/>
    <w:uiPriority w:val="99"/>
    <w:pPr>
      <w:ind w:left="1600" w:leftChars="1600"/>
    </w:pPr>
    <w:rPr>
      <w:szCs w:val="20"/>
    </w:rPr>
  </w:style>
  <w:style w:type="paragraph" w:styleId="73">
    <w:name w:val="table of figures"/>
    <w:basedOn w:val="1"/>
    <w:next w:val="1"/>
    <w:unhideWhenUsed/>
    <w:qFormat/>
    <w:uiPriority w:val="99"/>
    <w:pPr>
      <w:ind w:left="200" w:leftChars="200" w:hanging="200" w:hangingChars="200"/>
    </w:pPr>
    <w:rPr>
      <w:szCs w:val="20"/>
    </w:rPr>
  </w:style>
  <w:style w:type="paragraph" w:styleId="74">
    <w:name w:val="toc 2"/>
    <w:basedOn w:val="1"/>
    <w:next w:val="1"/>
    <w:qFormat/>
    <w:uiPriority w:val="39"/>
    <w:pPr>
      <w:ind w:left="210"/>
      <w:jc w:val="left"/>
    </w:pPr>
    <w:rPr>
      <w:smallCaps/>
      <w:sz w:val="20"/>
      <w:szCs w:val="20"/>
    </w:rPr>
  </w:style>
  <w:style w:type="paragraph" w:styleId="75">
    <w:name w:val="toc 9"/>
    <w:basedOn w:val="1"/>
    <w:next w:val="1"/>
    <w:qFormat/>
    <w:uiPriority w:val="39"/>
    <w:pPr>
      <w:ind w:left="1680"/>
      <w:jc w:val="left"/>
    </w:pPr>
    <w:rPr>
      <w:sz w:val="18"/>
      <w:szCs w:val="18"/>
    </w:rPr>
  </w:style>
  <w:style w:type="paragraph" w:styleId="76">
    <w:name w:val="Body Text 2"/>
    <w:basedOn w:val="1"/>
    <w:link w:val="130"/>
    <w:qFormat/>
    <w:uiPriority w:val="99"/>
    <w:rPr>
      <w:color w:val="FF0000"/>
    </w:rPr>
  </w:style>
  <w:style w:type="paragraph" w:styleId="77">
    <w:name w:val="List 4"/>
    <w:basedOn w:val="1"/>
    <w:unhideWhenUsed/>
    <w:qFormat/>
    <w:uiPriority w:val="99"/>
    <w:pPr>
      <w:ind w:left="100" w:leftChars="600" w:hanging="200" w:hangingChars="200"/>
      <w:contextualSpacing/>
    </w:pPr>
    <w:rPr>
      <w:szCs w:val="20"/>
    </w:rPr>
  </w:style>
  <w:style w:type="paragraph" w:styleId="78">
    <w:name w:val="List Continue 2"/>
    <w:basedOn w:val="1"/>
    <w:unhideWhenUsed/>
    <w:qFormat/>
    <w:uiPriority w:val="99"/>
    <w:pPr>
      <w:spacing w:after="120"/>
      <w:ind w:left="840" w:leftChars="400"/>
      <w:contextualSpacing/>
    </w:pPr>
    <w:rPr>
      <w:szCs w:val="20"/>
    </w:rPr>
  </w:style>
  <w:style w:type="paragraph" w:styleId="79">
    <w:name w:val="Message Header"/>
    <w:basedOn w:val="1"/>
    <w:link w:val="13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80">
    <w:name w:val="HTML Preformatted"/>
    <w:basedOn w:val="1"/>
    <w:link w:val="132"/>
    <w:unhideWhenUsed/>
    <w:qFormat/>
    <w:uiPriority w:val="99"/>
    <w:rPr>
      <w:rFonts w:ascii="Courier New" w:hAnsi="Courier New"/>
      <w:sz w:val="20"/>
      <w:szCs w:val="20"/>
    </w:rPr>
  </w:style>
  <w:style w:type="paragraph" w:styleId="81">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82">
    <w:name w:val="List Continue 3"/>
    <w:basedOn w:val="1"/>
    <w:unhideWhenUsed/>
    <w:qFormat/>
    <w:uiPriority w:val="99"/>
    <w:pPr>
      <w:spacing w:after="120"/>
      <w:ind w:left="1260" w:leftChars="600"/>
      <w:contextualSpacing/>
    </w:pPr>
    <w:rPr>
      <w:szCs w:val="20"/>
    </w:rPr>
  </w:style>
  <w:style w:type="paragraph" w:styleId="83">
    <w:name w:val="index 2"/>
    <w:basedOn w:val="1"/>
    <w:next w:val="1"/>
    <w:unhideWhenUsed/>
    <w:qFormat/>
    <w:uiPriority w:val="99"/>
    <w:pPr>
      <w:ind w:left="200" w:leftChars="200"/>
    </w:pPr>
    <w:rPr>
      <w:szCs w:val="20"/>
    </w:rPr>
  </w:style>
  <w:style w:type="paragraph" w:styleId="84">
    <w:name w:val="Title"/>
    <w:basedOn w:val="1"/>
    <w:next w:val="1"/>
    <w:link w:val="133"/>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34"/>
    <w:qFormat/>
    <w:uiPriority w:val="0"/>
    <w:rPr>
      <w:b/>
      <w:bCs/>
    </w:rPr>
  </w:style>
  <w:style w:type="paragraph" w:styleId="86">
    <w:name w:val="Body Text First Indent"/>
    <w:basedOn w:val="34"/>
    <w:link w:val="135"/>
    <w:unhideWhenUsed/>
    <w:qFormat/>
    <w:uiPriority w:val="0"/>
    <w:pPr>
      <w:ind w:firstLine="420" w:firstLineChars="100"/>
    </w:pPr>
    <w:rPr>
      <w:szCs w:val="20"/>
    </w:rPr>
  </w:style>
  <w:style w:type="paragraph" w:styleId="87">
    <w:name w:val="Body Text First Indent 2"/>
    <w:basedOn w:val="35"/>
    <w:link w:val="137"/>
    <w:unhideWhenUsed/>
    <w:qFormat/>
    <w:uiPriority w:val="0"/>
    <w:pPr>
      <w:spacing w:after="120"/>
      <w:ind w:left="420" w:leftChars="200" w:firstLine="420" w:firstLineChars="200"/>
    </w:pPr>
    <w:rPr>
      <w:sz w:val="30"/>
      <w:szCs w:val="20"/>
    </w:rPr>
  </w:style>
  <w:style w:type="table" w:styleId="89">
    <w:name w:val="Table Grid"/>
    <w:basedOn w:val="88"/>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qFormat/>
    <w:uiPriority w:val="0"/>
    <w:rPr>
      <w:b/>
      <w:bCs/>
    </w:rPr>
  </w:style>
  <w:style w:type="character" w:styleId="92">
    <w:name w:val="page number"/>
    <w:basedOn w:val="90"/>
    <w:qFormat/>
    <w:uiPriority w:val="0"/>
  </w:style>
  <w:style w:type="character" w:styleId="93">
    <w:name w:val="FollowedHyperlink"/>
    <w:qFormat/>
    <w:uiPriority w:val="0"/>
    <w:rPr>
      <w:color w:val="800080"/>
      <w:u w:val="single"/>
    </w:rPr>
  </w:style>
  <w:style w:type="character" w:styleId="94">
    <w:name w:val="Emphasis"/>
    <w:qFormat/>
    <w:uiPriority w:val="0"/>
    <w:rPr>
      <w:i/>
      <w:iCs/>
    </w:rPr>
  </w:style>
  <w:style w:type="character" w:styleId="95">
    <w:name w:val="Hyperlink"/>
    <w:qFormat/>
    <w:uiPriority w:val="99"/>
    <w:rPr>
      <w:color w:val="0000FF"/>
      <w:u w:val="single"/>
    </w:rPr>
  </w:style>
  <w:style w:type="character" w:styleId="96">
    <w:name w:val="annotation reference"/>
    <w:qFormat/>
    <w:uiPriority w:val="0"/>
    <w:rPr>
      <w:sz w:val="21"/>
      <w:szCs w:val="21"/>
    </w:rPr>
  </w:style>
  <w:style w:type="paragraph" w:customStyle="1" w:styleId="97">
    <w:name w:val="正  文"/>
    <w:qFormat/>
    <w:uiPriority w:val="0"/>
    <w:pPr>
      <w:widowControl w:val="0"/>
      <w:ind w:firstLine="200" w:firstLineChars="200"/>
      <w:jc w:val="both"/>
      <w:textAlignment w:val="baseline"/>
    </w:pPr>
    <w:rPr>
      <w:rFonts w:ascii="Times New Roman" w:hAnsi="Times New Roman" w:eastAsia="宋体" w:cs="Times New Roman"/>
      <w:kern w:val="2"/>
      <w:sz w:val="21"/>
      <w:szCs w:val="28"/>
      <w:lang w:val="en-US" w:eastAsia="zh-CN" w:bidi="ar-SA"/>
    </w:rPr>
  </w:style>
  <w:style w:type="character" w:customStyle="1" w:styleId="98">
    <w:name w:val="标题 2 字符"/>
    <w:link w:val="2"/>
    <w:qFormat/>
    <w:uiPriority w:val="0"/>
    <w:rPr>
      <w:rFonts w:ascii="Arial" w:hAnsi="Arial" w:eastAsia="黑体"/>
      <w:b/>
      <w:bCs/>
      <w:kern w:val="2"/>
      <w:sz w:val="32"/>
      <w:szCs w:val="32"/>
      <w:lang w:val="en-US" w:eastAsia="zh-CN" w:bidi="ar-SA"/>
    </w:rPr>
  </w:style>
  <w:style w:type="character" w:customStyle="1" w:styleId="99">
    <w:name w:val="宏文本 字符"/>
    <w:link w:val="3"/>
    <w:qFormat/>
    <w:uiPriority w:val="0"/>
    <w:rPr>
      <w:rFonts w:ascii="Courier New" w:hAnsi="Courier New"/>
      <w:kern w:val="2"/>
      <w:sz w:val="24"/>
      <w:szCs w:val="24"/>
      <w:lang w:bidi="ar-SA"/>
    </w:rPr>
  </w:style>
  <w:style w:type="character" w:customStyle="1" w:styleId="100">
    <w:name w:val="标题 1 字符"/>
    <w:link w:val="4"/>
    <w:qFormat/>
    <w:uiPriority w:val="0"/>
    <w:rPr>
      <w:rFonts w:ascii="宋体"/>
      <w:b/>
      <w:sz w:val="44"/>
    </w:rPr>
  </w:style>
  <w:style w:type="character" w:customStyle="1" w:styleId="101">
    <w:name w:val="标题 3 字符"/>
    <w:link w:val="5"/>
    <w:qFormat/>
    <w:locked/>
    <w:uiPriority w:val="0"/>
    <w:rPr>
      <w:b/>
      <w:kern w:val="2"/>
      <w:sz w:val="32"/>
    </w:rPr>
  </w:style>
  <w:style w:type="character" w:customStyle="1" w:styleId="102">
    <w:name w:val="正文缩进 字符"/>
    <w:link w:val="6"/>
    <w:qFormat/>
    <w:uiPriority w:val="0"/>
    <w:rPr>
      <w:rFonts w:eastAsia="宋体"/>
      <w:kern w:val="2"/>
      <w:sz w:val="21"/>
      <w:lang w:val="en-US" w:eastAsia="zh-CN" w:bidi="ar-SA"/>
    </w:rPr>
  </w:style>
  <w:style w:type="character" w:customStyle="1" w:styleId="103">
    <w:name w:val="标题 4 字符"/>
    <w:link w:val="7"/>
    <w:qFormat/>
    <w:uiPriority w:val="0"/>
    <w:rPr>
      <w:b/>
      <w:bCs/>
      <w:snapToGrid w:val="0"/>
      <w:sz w:val="36"/>
      <w:szCs w:val="28"/>
    </w:rPr>
  </w:style>
  <w:style w:type="character" w:customStyle="1" w:styleId="104">
    <w:name w:val="标题 5 字符"/>
    <w:link w:val="8"/>
    <w:qFormat/>
    <w:uiPriority w:val="0"/>
    <w:rPr>
      <w:rFonts w:ascii="宋体" w:hAnsi="宋体" w:cs="宋体"/>
      <w:b/>
      <w:bCs/>
      <w:kern w:val="2"/>
      <w:sz w:val="24"/>
      <w:szCs w:val="24"/>
    </w:rPr>
  </w:style>
  <w:style w:type="character" w:customStyle="1" w:styleId="105">
    <w:name w:val="标题 6 字符"/>
    <w:link w:val="9"/>
    <w:qFormat/>
    <w:uiPriority w:val="0"/>
    <w:rPr>
      <w:rFonts w:ascii="宋体" w:hAnsi="宋体" w:cs="宋体"/>
      <w:b/>
      <w:bCs/>
      <w:kern w:val="2"/>
      <w:sz w:val="30"/>
      <w:szCs w:val="30"/>
    </w:rPr>
  </w:style>
  <w:style w:type="character" w:customStyle="1" w:styleId="106">
    <w:name w:val="标题 7 字符"/>
    <w:link w:val="10"/>
    <w:qFormat/>
    <w:uiPriority w:val="0"/>
    <w:rPr>
      <w:kern w:val="2"/>
      <w:sz w:val="24"/>
      <w:szCs w:val="24"/>
    </w:rPr>
  </w:style>
  <w:style w:type="character" w:customStyle="1" w:styleId="107">
    <w:name w:val="标题 8 字符"/>
    <w:link w:val="11"/>
    <w:qFormat/>
    <w:uiPriority w:val="0"/>
    <w:rPr>
      <w:rFonts w:ascii="Arial" w:hAnsi="Arial" w:eastAsia="黑体" w:cs="Arial"/>
      <w:kern w:val="2"/>
      <w:sz w:val="24"/>
      <w:szCs w:val="24"/>
    </w:rPr>
  </w:style>
  <w:style w:type="character" w:customStyle="1" w:styleId="108">
    <w:name w:val="标题 9 字符"/>
    <w:link w:val="12"/>
    <w:qFormat/>
    <w:uiPriority w:val="0"/>
    <w:rPr>
      <w:rFonts w:ascii="Arial" w:hAnsi="Arial" w:eastAsia="黑体" w:cs="Arial"/>
      <w:kern w:val="2"/>
      <w:sz w:val="21"/>
      <w:szCs w:val="21"/>
    </w:rPr>
  </w:style>
  <w:style w:type="character" w:customStyle="1" w:styleId="109">
    <w:name w:val="注释标题 字符"/>
    <w:link w:val="17"/>
    <w:qFormat/>
    <w:uiPriority w:val="0"/>
    <w:rPr>
      <w:sz w:val="21"/>
    </w:rPr>
  </w:style>
  <w:style w:type="character" w:customStyle="1" w:styleId="110">
    <w:name w:val="电子邮件签名 字符"/>
    <w:link w:val="20"/>
    <w:qFormat/>
    <w:uiPriority w:val="99"/>
    <w:rPr>
      <w:kern w:val="2"/>
      <w:sz w:val="21"/>
    </w:rPr>
  </w:style>
  <w:style w:type="character" w:customStyle="1" w:styleId="111">
    <w:name w:val="文档结构图 字符"/>
    <w:link w:val="26"/>
    <w:qFormat/>
    <w:uiPriority w:val="99"/>
    <w:rPr>
      <w:kern w:val="2"/>
      <w:sz w:val="21"/>
      <w:szCs w:val="24"/>
      <w:shd w:val="clear" w:color="auto" w:fill="000080"/>
    </w:rPr>
  </w:style>
  <w:style w:type="character" w:customStyle="1" w:styleId="112">
    <w:name w:val="批注文字 字符"/>
    <w:link w:val="28"/>
    <w:qFormat/>
    <w:locked/>
    <w:uiPriority w:val="0"/>
    <w:rPr>
      <w:kern w:val="2"/>
      <w:sz w:val="21"/>
      <w:szCs w:val="24"/>
    </w:rPr>
  </w:style>
  <w:style w:type="character" w:customStyle="1" w:styleId="113">
    <w:name w:val="称呼 字符"/>
    <w:link w:val="30"/>
    <w:qFormat/>
    <w:uiPriority w:val="0"/>
    <w:rPr>
      <w:kern w:val="2"/>
      <w:sz w:val="21"/>
    </w:rPr>
  </w:style>
  <w:style w:type="character" w:customStyle="1" w:styleId="114">
    <w:name w:val="正文文本 3 字符"/>
    <w:link w:val="31"/>
    <w:qFormat/>
    <w:uiPriority w:val="0"/>
    <w:rPr>
      <w:kern w:val="2"/>
      <w:sz w:val="16"/>
      <w:szCs w:val="16"/>
    </w:rPr>
  </w:style>
  <w:style w:type="character" w:customStyle="1" w:styleId="115">
    <w:name w:val="结束语 字符"/>
    <w:link w:val="32"/>
    <w:qFormat/>
    <w:uiPriority w:val="0"/>
    <w:rPr>
      <w:kern w:val="2"/>
      <w:sz w:val="32"/>
    </w:rPr>
  </w:style>
  <w:style w:type="character" w:customStyle="1" w:styleId="116">
    <w:name w:val="正文文本 字符"/>
    <w:link w:val="34"/>
    <w:qFormat/>
    <w:uiPriority w:val="99"/>
    <w:rPr>
      <w:kern w:val="2"/>
      <w:sz w:val="21"/>
      <w:szCs w:val="24"/>
    </w:rPr>
  </w:style>
  <w:style w:type="character" w:customStyle="1" w:styleId="117">
    <w:name w:val="正文文本缩进 字符"/>
    <w:link w:val="35"/>
    <w:qFormat/>
    <w:uiPriority w:val="0"/>
    <w:rPr>
      <w:kern w:val="2"/>
      <w:sz w:val="28"/>
      <w:szCs w:val="24"/>
    </w:rPr>
  </w:style>
  <w:style w:type="character" w:customStyle="1" w:styleId="118">
    <w:name w:val="HTML 地址 字符"/>
    <w:link w:val="41"/>
    <w:qFormat/>
    <w:uiPriority w:val="99"/>
    <w:rPr>
      <w:i/>
      <w:iCs/>
      <w:kern w:val="2"/>
      <w:sz w:val="21"/>
    </w:rPr>
  </w:style>
  <w:style w:type="character" w:customStyle="1" w:styleId="119">
    <w:name w:val="纯文本 字符"/>
    <w:link w:val="45"/>
    <w:qFormat/>
    <w:uiPriority w:val="0"/>
    <w:rPr>
      <w:rFonts w:ascii="宋体" w:hAnsi="Courier New" w:eastAsia="宋体"/>
      <w:kern w:val="2"/>
      <w:sz w:val="21"/>
      <w:lang w:val="en-US" w:eastAsia="zh-CN" w:bidi="ar-SA"/>
    </w:rPr>
  </w:style>
  <w:style w:type="character" w:customStyle="1" w:styleId="120">
    <w:name w:val="日期 字符"/>
    <w:link w:val="50"/>
    <w:qFormat/>
    <w:uiPriority w:val="99"/>
    <w:rPr>
      <w:kern w:val="2"/>
      <w:sz w:val="21"/>
    </w:rPr>
  </w:style>
  <w:style w:type="character" w:customStyle="1" w:styleId="121">
    <w:name w:val="正文文本缩进 2 字符"/>
    <w:link w:val="51"/>
    <w:qFormat/>
    <w:uiPriority w:val="0"/>
    <w:rPr>
      <w:rFonts w:eastAsia="仿宋_GB2312"/>
      <w:kern w:val="2"/>
      <w:sz w:val="24"/>
      <w:szCs w:val="24"/>
    </w:rPr>
  </w:style>
  <w:style w:type="character" w:customStyle="1" w:styleId="122">
    <w:name w:val="尾注文本 字符"/>
    <w:link w:val="52"/>
    <w:qFormat/>
    <w:uiPriority w:val="99"/>
    <w:rPr>
      <w:kern w:val="2"/>
      <w:sz w:val="21"/>
    </w:rPr>
  </w:style>
  <w:style w:type="character" w:customStyle="1" w:styleId="123">
    <w:name w:val="批注框文本 字符"/>
    <w:link w:val="54"/>
    <w:qFormat/>
    <w:locked/>
    <w:uiPriority w:val="0"/>
    <w:rPr>
      <w:kern w:val="2"/>
      <w:sz w:val="18"/>
      <w:szCs w:val="18"/>
    </w:rPr>
  </w:style>
  <w:style w:type="character" w:customStyle="1" w:styleId="124">
    <w:name w:val="页脚 字符1"/>
    <w:link w:val="55"/>
    <w:qFormat/>
    <w:uiPriority w:val="99"/>
    <w:rPr>
      <w:kern w:val="2"/>
      <w:sz w:val="18"/>
      <w:szCs w:val="18"/>
    </w:rPr>
  </w:style>
  <w:style w:type="character" w:customStyle="1" w:styleId="125">
    <w:name w:val="页眉 字符"/>
    <w:link w:val="57"/>
    <w:qFormat/>
    <w:uiPriority w:val="0"/>
    <w:rPr>
      <w:kern w:val="2"/>
      <w:sz w:val="18"/>
      <w:szCs w:val="18"/>
    </w:rPr>
  </w:style>
  <w:style w:type="character" w:customStyle="1" w:styleId="126">
    <w:name w:val="签名 字符"/>
    <w:link w:val="58"/>
    <w:qFormat/>
    <w:uiPriority w:val="99"/>
    <w:rPr>
      <w:kern w:val="2"/>
      <w:sz w:val="21"/>
    </w:rPr>
  </w:style>
  <w:style w:type="character" w:customStyle="1" w:styleId="127">
    <w:name w:val="副标题 字符"/>
    <w:link w:val="64"/>
    <w:qFormat/>
    <w:uiPriority w:val="0"/>
    <w:rPr>
      <w:rFonts w:ascii="Cambria" w:hAnsi="Cambria"/>
      <w:b/>
      <w:bCs/>
      <w:kern w:val="28"/>
      <w:sz w:val="32"/>
      <w:szCs w:val="32"/>
    </w:rPr>
  </w:style>
  <w:style w:type="character" w:customStyle="1" w:styleId="128">
    <w:name w:val="脚注文本 字符"/>
    <w:link w:val="67"/>
    <w:qFormat/>
    <w:uiPriority w:val="99"/>
    <w:rPr>
      <w:kern w:val="2"/>
      <w:sz w:val="18"/>
      <w:szCs w:val="18"/>
    </w:rPr>
  </w:style>
  <w:style w:type="character" w:customStyle="1" w:styleId="129">
    <w:name w:val="正文文本缩进 3 字符"/>
    <w:link w:val="70"/>
    <w:qFormat/>
    <w:uiPriority w:val="0"/>
    <w:rPr>
      <w:color w:val="FF0000"/>
      <w:kern w:val="2"/>
      <w:sz w:val="30"/>
    </w:rPr>
  </w:style>
  <w:style w:type="character" w:customStyle="1" w:styleId="130">
    <w:name w:val="正文文本 2 字符"/>
    <w:link w:val="76"/>
    <w:qFormat/>
    <w:uiPriority w:val="99"/>
    <w:rPr>
      <w:color w:val="FF0000"/>
      <w:kern w:val="2"/>
      <w:sz w:val="21"/>
      <w:szCs w:val="24"/>
    </w:rPr>
  </w:style>
  <w:style w:type="character" w:customStyle="1" w:styleId="131">
    <w:name w:val="信息标题 字符"/>
    <w:link w:val="79"/>
    <w:qFormat/>
    <w:uiPriority w:val="99"/>
    <w:rPr>
      <w:rFonts w:ascii="Cambria" w:hAnsi="Cambria"/>
      <w:kern w:val="2"/>
      <w:sz w:val="24"/>
      <w:szCs w:val="24"/>
      <w:shd w:val="pct20" w:color="auto" w:fill="auto"/>
    </w:rPr>
  </w:style>
  <w:style w:type="character" w:customStyle="1" w:styleId="132">
    <w:name w:val="HTML 预设格式 字符"/>
    <w:link w:val="80"/>
    <w:qFormat/>
    <w:uiPriority w:val="99"/>
    <w:rPr>
      <w:rFonts w:ascii="Courier New" w:hAnsi="Courier New" w:cs="Courier New"/>
      <w:kern w:val="2"/>
    </w:rPr>
  </w:style>
  <w:style w:type="character" w:customStyle="1" w:styleId="133">
    <w:name w:val="标题 字符"/>
    <w:link w:val="84"/>
    <w:qFormat/>
    <w:uiPriority w:val="0"/>
    <w:rPr>
      <w:rFonts w:ascii="Cambria" w:hAnsi="Cambria"/>
      <w:b/>
      <w:bCs/>
      <w:kern w:val="2"/>
      <w:sz w:val="32"/>
      <w:szCs w:val="32"/>
    </w:rPr>
  </w:style>
  <w:style w:type="character" w:customStyle="1" w:styleId="134">
    <w:name w:val="批注主题 字符"/>
    <w:link w:val="85"/>
    <w:qFormat/>
    <w:locked/>
    <w:uiPriority w:val="0"/>
    <w:rPr>
      <w:b/>
      <w:bCs/>
      <w:kern w:val="2"/>
      <w:sz w:val="21"/>
      <w:szCs w:val="24"/>
    </w:rPr>
  </w:style>
  <w:style w:type="character" w:customStyle="1" w:styleId="135">
    <w:name w:val="正文首行缩进 字符"/>
    <w:basedOn w:val="136"/>
    <w:link w:val="86"/>
    <w:qFormat/>
    <w:uiPriority w:val="0"/>
    <w:rPr>
      <w:kern w:val="2"/>
      <w:sz w:val="21"/>
    </w:rPr>
  </w:style>
  <w:style w:type="character" w:customStyle="1" w:styleId="136">
    <w:name w:val="正文文本 Char"/>
    <w:qFormat/>
    <w:uiPriority w:val="99"/>
    <w:rPr>
      <w:kern w:val="2"/>
      <w:sz w:val="21"/>
    </w:rPr>
  </w:style>
  <w:style w:type="character" w:customStyle="1" w:styleId="137">
    <w:name w:val="正文首行缩进 2 字符"/>
    <w:basedOn w:val="138"/>
    <w:link w:val="87"/>
    <w:qFormat/>
    <w:uiPriority w:val="0"/>
    <w:rPr>
      <w:kern w:val="2"/>
      <w:sz w:val="30"/>
    </w:rPr>
  </w:style>
  <w:style w:type="character" w:customStyle="1" w:styleId="138">
    <w:name w:val="正文文本缩进 Char"/>
    <w:qFormat/>
    <w:uiPriority w:val="0"/>
    <w:rPr>
      <w:kern w:val="2"/>
      <w:sz w:val="30"/>
    </w:rPr>
  </w:style>
  <w:style w:type="character" w:customStyle="1" w:styleId="139">
    <w:name w:val="正文缩进 Char"/>
    <w:qFormat/>
    <w:uiPriority w:val="0"/>
    <w:rPr>
      <w:kern w:val="2"/>
      <w:sz w:val="21"/>
    </w:rPr>
  </w:style>
  <w:style w:type="character" w:customStyle="1" w:styleId="140">
    <w:name w:val="一般文字 字元 Char"/>
    <w:qFormat/>
    <w:uiPriority w:val="0"/>
    <w:rPr>
      <w:rFonts w:ascii="宋体" w:hAnsi="Courier New" w:eastAsia="宋体" w:cs="Courier New"/>
      <w:kern w:val="2"/>
      <w:sz w:val="21"/>
      <w:szCs w:val="21"/>
      <w:lang w:val="en-US" w:eastAsia="zh-CN" w:bidi="ar-SA"/>
    </w:rPr>
  </w:style>
  <w:style w:type="character" w:customStyle="1" w:styleId="141">
    <w:name w:val="15"/>
    <w:qFormat/>
    <w:uiPriority w:val="0"/>
    <w:rPr>
      <w:rFonts w:hint="default" w:ascii="Times New Roman" w:hAnsi="Times New Roman" w:cs="Times New Roman"/>
      <w:color w:val="0000FF"/>
      <w:u w:val="single"/>
    </w:rPr>
  </w:style>
  <w:style w:type="character" w:customStyle="1" w:styleId="142">
    <w:name w:val="unnamed31"/>
    <w:qFormat/>
    <w:uiPriority w:val="0"/>
    <w:rPr>
      <w:sz w:val="22"/>
      <w:szCs w:val="22"/>
    </w:rPr>
  </w:style>
  <w:style w:type="character" w:customStyle="1" w:styleId="143">
    <w:name w:val="批注文字 Char1"/>
    <w:qFormat/>
    <w:uiPriority w:val="0"/>
    <w:rPr>
      <w:kern w:val="2"/>
      <w:sz w:val="21"/>
      <w:szCs w:val="24"/>
    </w:rPr>
  </w:style>
  <w:style w:type="character" w:customStyle="1" w:styleId="144">
    <w:name w:val="16"/>
    <w:qFormat/>
    <w:uiPriority w:val="0"/>
    <w:rPr>
      <w:rFonts w:hint="default" w:ascii="Times New Roman" w:hAnsi="Times New Roman" w:cs="Times New Roman"/>
      <w:color w:val="0000FF"/>
      <w:u w:val="single"/>
    </w:rPr>
  </w:style>
  <w:style w:type="character" w:customStyle="1" w:styleId="145">
    <w:name w:val="副标题 Char1"/>
    <w:qFormat/>
    <w:uiPriority w:val="0"/>
    <w:rPr>
      <w:rFonts w:ascii="Cambria" w:hAnsi="Cambria" w:cs="Times New Roman"/>
      <w:b/>
      <w:bCs/>
      <w:kern w:val="28"/>
      <w:sz w:val="32"/>
      <w:szCs w:val="32"/>
    </w:rPr>
  </w:style>
  <w:style w:type="character" w:customStyle="1" w:styleId="146">
    <w:name w:val="宏文本 Char1"/>
    <w:qFormat/>
    <w:uiPriority w:val="0"/>
    <w:rPr>
      <w:rFonts w:ascii="Courier New" w:hAnsi="Courier New" w:cs="Courier New"/>
      <w:kern w:val="2"/>
      <w:sz w:val="24"/>
      <w:szCs w:val="24"/>
    </w:rPr>
  </w:style>
  <w:style w:type="character" w:customStyle="1" w:styleId="147">
    <w:name w:val="正文文本 (2)_"/>
    <w:link w:val="148"/>
    <w:unhideWhenUsed/>
    <w:qFormat/>
    <w:locked/>
    <w:uiPriority w:val="99"/>
    <w:rPr>
      <w:rFonts w:ascii="MingLiU" w:eastAsia="MingLiU"/>
      <w:spacing w:val="20"/>
      <w:shd w:val="clear" w:color="auto" w:fill="FFFFFF"/>
    </w:rPr>
  </w:style>
  <w:style w:type="paragraph" w:customStyle="1" w:styleId="148">
    <w:name w:val="正文文本 (2)1"/>
    <w:basedOn w:val="1"/>
    <w:link w:val="147"/>
    <w:unhideWhenUsed/>
    <w:qFormat/>
    <w:uiPriority w:val="99"/>
    <w:pPr>
      <w:shd w:val="clear" w:color="auto" w:fill="FFFFFF"/>
      <w:spacing w:before="300" w:after="300" w:line="240" w:lineRule="atLeast"/>
      <w:jc w:val="distribute"/>
    </w:pPr>
    <w:rPr>
      <w:rFonts w:ascii="MingLiU" w:eastAsia="MingLiU"/>
      <w:spacing w:val="20"/>
      <w:kern w:val="0"/>
      <w:sz w:val="20"/>
      <w:szCs w:val="20"/>
    </w:rPr>
  </w:style>
  <w:style w:type="character" w:customStyle="1" w:styleId="149">
    <w:name w:val="B 条款一 Char"/>
    <w:link w:val="150"/>
    <w:qFormat/>
    <w:uiPriority w:val="0"/>
    <w:rPr>
      <w:rFonts w:ascii="Arial" w:hAnsi="Arial" w:cs="Arial"/>
      <w:b/>
      <w:kern w:val="2"/>
      <w:sz w:val="30"/>
      <w:szCs w:val="30"/>
    </w:rPr>
  </w:style>
  <w:style w:type="paragraph" w:customStyle="1" w:styleId="150">
    <w:name w:val="B 条款一"/>
    <w:basedOn w:val="2"/>
    <w:next w:val="1"/>
    <w:link w:val="149"/>
    <w:qFormat/>
    <w:uiPriority w:val="0"/>
    <w:pPr>
      <w:tabs>
        <w:tab w:val="left" w:pos="720"/>
      </w:tabs>
      <w:adjustRightInd w:val="0"/>
      <w:spacing w:beforeLines="50" w:afterLines="50" w:line="240" w:lineRule="atLeast"/>
      <w:jc w:val="center"/>
    </w:pPr>
    <w:rPr>
      <w:rFonts w:eastAsia="宋体"/>
      <w:bCs w:val="0"/>
      <w:sz w:val="30"/>
      <w:szCs w:val="30"/>
    </w:rPr>
  </w:style>
  <w:style w:type="character" w:customStyle="1" w:styleId="151">
    <w:name w:val="a71"/>
    <w:qFormat/>
    <w:uiPriority w:val="0"/>
    <w:rPr>
      <w:rFonts w:ascii="??" w:hAnsi="??" w:cs="??"/>
      <w:sz w:val="20"/>
      <w:szCs w:val="20"/>
    </w:rPr>
  </w:style>
  <w:style w:type="character" w:customStyle="1" w:styleId="152">
    <w:name w:val="（符号）三标题1.1 Char Char"/>
    <w:link w:val="153"/>
    <w:qFormat/>
    <w:uiPriority w:val="0"/>
    <w:rPr>
      <w:rFonts w:ascii="宋体" w:hAnsi="宋体" w:eastAsia="宋体"/>
      <w:kern w:val="2"/>
      <w:sz w:val="24"/>
      <w:szCs w:val="24"/>
      <w:lang w:val="en-US" w:eastAsia="zh-CN" w:bidi="ar-SA"/>
    </w:rPr>
  </w:style>
  <w:style w:type="paragraph" w:customStyle="1" w:styleId="153">
    <w:name w:val="（符号）三标题1.1 Char"/>
    <w:basedOn w:val="1"/>
    <w:link w:val="152"/>
    <w:qFormat/>
    <w:uiPriority w:val="0"/>
    <w:pPr>
      <w:tabs>
        <w:tab w:val="left" w:pos="700"/>
      </w:tabs>
      <w:spacing w:line="500" w:lineRule="exact"/>
      <w:ind w:left="700" w:hanging="700"/>
    </w:pPr>
    <w:rPr>
      <w:rFonts w:ascii="宋体" w:hAnsi="宋体"/>
      <w:sz w:val="24"/>
    </w:rPr>
  </w:style>
  <w:style w:type="character" w:customStyle="1" w:styleId="154">
    <w:name w:val="超链接1"/>
    <w:qFormat/>
    <w:uiPriority w:val="0"/>
    <w:rPr>
      <w:rFonts w:ascii="Arial" w:hAnsi="Arial" w:eastAsia="黑体"/>
      <w:color w:val="0000FF"/>
      <w:kern w:val="2"/>
      <w:sz w:val="21"/>
      <w:szCs w:val="21"/>
      <w:u w:val="single"/>
      <w:lang w:val="en-US" w:eastAsia="zh-CN" w:bidi="ar-SA"/>
    </w:rPr>
  </w:style>
  <w:style w:type="character" w:customStyle="1" w:styleId="155">
    <w:name w:val="样式 宋体 小四 红色 下划线"/>
    <w:qFormat/>
    <w:uiPriority w:val="0"/>
    <w:rPr>
      <w:color w:val="FF0000"/>
      <w:sz w:val="24"/>
      <w:u w:val="single"/>
    </w:rPr>
  </w:style>
  <w:style w:type="character" w:customStyle="1" w:styleId="156">
    <w:name w:val="defaultbold1"/>
    <w:qFormat/>
    <w:uiPriority w:val="0"/>
    <w:rPr>
      <w:rFonts w:hint="default" w:ascii="ˎ̥" w:hAnsi="ˎ̥"/>
      <w:b/>
      <w:bCs/>
      <w:color w:val="000000"/>
      <w:sz w:val="15"/>
      <w:szCs w:val="15"/>
      <w:u w:val="none"/>
    </w:rPr>
  </w:style>
  <w:style w:type="character" w:customStyle="1" w:styleId="157">
    <w:name w:val="（符号）邀请函中一、"/>
    <w:qFormat/>
    <w:uiPriority w:val="0"/>
    <w:rPr>
      <w:rFonts w:ascii="黑体" w:hAnsi="黑体" w:eastAsia="黑体"/>
      <w:b/>
      <w:bCs/>
      <w:sz w:val="24"/>
    </w:rPr>
  </w:style>
  <w:style w:type="character" w:customStyle="1" w:styleId="158">
    <w:name w:val="linkun1"/>
    <w:qFormat/>
    <w:uiPriority w:val="0"/>
    <w:rPr>
      <w:sz w:val="18"/>
      <w:szCs w:val="18"/>
    </w:rPr>
  </w:style>
  <w:style w:type="character" w:customStyle="1" w:styleId="159">
    <w:name w:val="apple-converted-space"/>
    <w:basedOn w:val="90"/>
    <w:qFormat/>
    <w:uiPriority w:val="0"/>
  </w:style>
  <w:style w:type="character" w:customStyle="1" w:styleId="160">
    <w:name w:val="明显引用 Char1"/>
    <w:qFormat/>
    <w:uiPriority w:val="30"/>
    <w:rPr>
      <w:b/>
      <w:bCs/>
      <w:i/>
      <w:iCs/>
      <w:color w:val="4F81BD"/>
      <w:kern w:val="2"/>
      <w:sz w:val="21"/>
      <w:szCs w:val="24"/>
    </w:rPr>
  </w:style>
  <w:style w:type="character" w:customStyle="1" w:styleId="161">
    <w:name w:val="c lh15"/>
    <w:basedOn w:val="90"/>
    <w:qFormat/>
    <w:uiPriority w:val="0"/>
  </w:style>
  <w:style w:type="character" w:customStyle="1" w:styleId="162">
    <w:name w:val="WW8Num3z0"/>
    <w:qFormat/>
    <w:uiPriority w:val="0"/>
    <w:rPr>
      <w:rFonts w:ascii="Wingdings" w:hAnsi="Wingdings"/>
    </w:rPr>
  </w:style>
  <w:style w:type="character" w:customStyle="1" w:styleId="163">
    <w:name w:val="high1"/>
    <w:basedOn w:val="90"/>
    <w:qFormat/>
    <w:uiPriority w:val="0"/>
  </w:style>
  <w:style w:type="character" w:customStyle="1" w:styleId="164">
    <w:name w:val="WW8Num15z0"/>
    <w:qFormat/>
    <w:uiPriority w:val="0"/>
    <w:rPr>
      <w:rFonts w:ascii="Wingdings" w:hAnsi="Wingdings"/>
    </w:rPr>
  </w:style>
  <w:style w:type="character" w:customStyle="1" w:styleId="165">
    <w:name w:val="NormalCharacter"/>
    <w:qFormat/>
    <w:uiPriority w:val="0"/>
  </w:style>
  <w:style w:type="character" w:customStyle="1" w:styleId="166">
    <w:name w:val="超链接11"/>
    <w:qFormat/>
    <w:uiPriority w:val="0"/>
    <w:rPr>
      <w:rFonts w:ascii="Arial" w:hAnsi="Arial" w:eastAsia="黑体"/>
      <w:color w:val="0000FF"/>
      <w:kern w:val="2"/>
      <w:sz w:val="21"/>
      <w:szCs w:val="21"/>
      <w:u w:val="single"/>
      <w:lang w:val="en-US" w:eastAsia="zh-CN" w:bidi="ar-SA"/>
    </w:rPr>
  </w:style>
  <w:style w:type="character" w:customStyle="1" w:styleId="167">
    <w:name w:val="WW8Num8z1"/>
    <w:qFormat/>
    <w:uiPriority w:val="0"/>
    <w:rPr>
      <w:rFonts w:ascii="Wingdings" w:hAnsi="Wingdings"/>
    </w:rPr>
  </w:style>
  <w:style w:type="character" w:customStyle="1" w:styleId="168">
    <w:name w:val="a91"/>
    <w:qFormat/>
    <w:uiPriority w:val="0"/>
    <w:rPr>
      <w:sz w:val="18"/>
      <w:szCs w:val="18"/>
    </w:rPr>
  </w:style>
  <w:style w:type="character" w:customStyle="1" w:styleId="169">
    <w:name w:val="ft-hanggao1"/>
    <w:qFormat/>
    <w:uiPriority w:val="0"/>
    <w:rPr>
      <w:color w:val="000000"/>
      <w:sz w:val="21"/>
      <w:szCs w:val="21"/>
    </w:rPr>
  </w:style>
  <w:style w:type="character" w:customStyle="1" w:styleId="170">
    <w:name w:val="WW8Num2z0"/>
    <w:qFormat/>
    <w:uiPriority w:val="0"/>
    <w:rPr>
      <w:rFonts w:ascii="Wingdings" w:hAnsi="Wingdings"/>
    </w:rPr>
  </w:style>
  <w:style w:type="character" w:customStyle="1" w:styleId="171">
    <w:name w:val="WW8Num10z0"/>
    <w:qFormat/>
    <w:uiPriority w:val="0"/>
    <w:rPr>
      <w:rFonts w:ascii="Wingdings" w:hAnsi="Wingdings"/>
    </w:rPr>
  </w:style>
  <w:style w:type="character" w:customStyle="1" w:styleId="172">
    <w:name w:val="font21"/>
    <w:qFormat/>
    <w:uiPriority w:val="0"/>
    <w:rPr>
      <w:rFonts w:hint="eastAsia" w:ascii="宋体" w:hAnsi="宋体" w:eastAsia="宋体" w:cs="宋体"/>
      <w:color w:val="000000"/>
      <w:sz w:val="22"/>
      <w:szCs w:val="22"/>
      <w:u w:val="none"/>
    </w:rPr>
  </w:style>
  <w:style w:type="character" w:customStyle="1" w:styleId="173">
    <w:name w:val="WW8Num7z0"/>
    <w:qFormat/>
    <w:uiPriority w:val="0"/>
    <w:rPr>
      <w:rFonts w:ascii="Wingdings" w:hAnsi="Wingdings"/>
    </w:rPr>
  </w:style>
  <w:style w:type="character" w:customStyle="1" w:styleId="174">
    <w:name w:val="标题 Char1"/>
    <w:qFormat/>
    <w:uiPriority w:val="0"/>
    <w:rPr>
      <w:rFonts w:ascii="Cambria" w:hAnsi="Cambria" w:cs="Times New Roman"/>
      <w:b/>
      <w:bCs/>
      <w:kern w:val="2"/>
      <w:sz w:val="32"/>
      <w:szCs w:val="32"/>
    </w:rPr>
  </w:style>
  <w:style w:type="character" w:customStyle="1" w:styleId="175">
    <w:name w:val="WW8Num1z0"/>
    <w:qFormat/>
    <w:uiPriority w:val="0"/>
    <w:rPr>
      <w:rFonts w:ascii="Wingdings" w:hAnsi="Wingdings"/>
    </w:rPr>
  </w:style>
  <w:style w:type="character" w:customStyle="1" w:styleId="176">
    <w:name w:val="项目符号"/>
    <w:qFormat/>
    <w:uiPriority w:val="0"/>
    <w:rPr>
      <w:rFonts w:ascii="StarSymbol" w:hAnsi="StarSymbol" w:eastAsia="StarSymbol" w:cs="StarSymbol"/>
      <w:sz w:val="18"/>
      <w:szCs w:val="18"/>
    </w:rPr>
  </w:style>
  <w:style w:type="character" w:customStyle="1" w:styleId="177">
    <w:name w:val="Absatz-Standardschriftart"/>
    <w:qFormat/>
    <w:uiPriority w:val="0"/>
  </w:style>
  <w:style w:type="character" w:customStyle="1" w:styleId="178">
    <w:name w:val="font01"/>
    <w:qFormat/>
    <w:uiPriority w:val="0"/>
    <w:rPr>
      <w:rFonts w:hint="default" w:ascii="Times New Roman" w:hAnsi="Times New Roman" w:cs="Times New Roman"/>
      <w:color w:val="000000"/>
      <w:sz w:val="22"/>
      <w:szCs w:val="22"/>
      <w:u w:val="none"/>
    </w:rPr>
  </w:style>
  <w:style w:type="character" w:customStyle="1" w:styleId="179">
    <w:name w:val="脚注文本 Char1"/>
    <w:qFormat/>
    <w:uiPriority w:val="0"/>
    <w:rPr>
      <w:kern w:val="2"/>
      <w:sz w:val="18"/>
      <w:szCs w:val="18"/>
    </w:rPr>
  </w:style>
  <w:style w:type="character" w:customStyle="1" w:styleId="180">
    <w:name w:val="HTML 地址 Char1"/>
    <w:qFormat/>
    <w:uiPriority w:val="0"/>
    <w:rPr>
      <w:i/>
      <w:iCs/>
      <w:kern w:val="2"/>
      <w:sz w:val="21"/>
      <w:szCs w:val="24"/>
    </w:rPr>
  </w:style>
  <w:style w:type="character" w:customStyle="1" w:styleId="181">
    <w:name w:val="type1"/>
    <w:qFormat/>
    <w:uiPriority w:val="0"/>
    <w:rPr>
      <w:rFonts w:hint="default" w:ascii="Arial" w:hAnsi="Arial" w:cs="Arial"/>
      <w:color w:val="666666"/>
      <w:sz w:val="18"/>
      <w:szCs w:val="18"/>
    </w:rPr>
  </w:style>
  <w:style w:type="character" w:customStyle="1" w:styleId="182">
    <w:name w:val="WW8Num4z0"/>
    <w:qFormat/>
    <w:uiPriority w:val="0"/>
    <w:rPr>
      <w:rFonts w:ascii="Wingdings" w:hAnsi="Wingdings"/>
    </w:rPr>
  </w:style>
  <w:style w:type="character" w:customStyle="1" w:styleId="183">
    <w:name w:val="纯文本 Char1"/>
    <w:qFormat/>
    <w:uiPriority w:val="0"/>
    <w:rPr>
      <w:rFonts w:ascii="宋体" w:hAnsi="Courier New"/>
      <w:kern w:val="2"/>
      <w:sz w:val="21"/>
      <w:szCs w:val="21"/>
    </w:rPr>
  </w:style>
  <w:style w:type="character" w:customStyle="1" w:styleId="184">
    <w:name w:val="引用 Char1"/>
    <w:qFormat/>
    <w:uiPriority w:val="29"/>
    <w:rPr>
      <w:i/>
      <w:iCs/>
      <w:color w:val="000000"/>
      <w:kern w:val="2"/>
      <w:sz w:val="21"/>
      <w:szCs w:val="24"/>
    </w:rPr>
  </w:style>
  <w:style w:type="character" w:customStyle="1" w:styleId="185">
    <w:name w:val="z-窗体顶端 字符"/>
    <w:link w:val="186"/>
    <w:qFormat/>
    <w:uiPriority w:val="0"/>
    <w:rPr>
      <w:rFonts w:ascii="Arial" w:hAnsi="Arial"/>
      <w:vanish/>
      <w:sz w:val="16"/>
    </w:rPr>
  </w:style>
  <w:style w:type="paragraph" w:customStyle="1" w:styleId="186">
    <w:name w:val="z-窗体顶端1"/>
    <w:basedOn w:val="1"/>
    <w:next w:val="1"/>
    <w:link w:val="185"/>
    <w:qFormat/>
    <w:uiPriority w:val="0"/>
    <w:pPr>
      <w:widowControl/>
      <w:pBdr>
        <w:bottom w:val="single" w:color="auto" w:sz="6" w:space="1"/>
      </w:pBdr>
      <w:jc w:val="center"/>
    </w:pPr>
    <w:rPr>
      <w:rFonts w:ascii="Arial" w:hAnsi="Arial"/>
      <w:vanish/>
      <w:kern w:val="0"/>
      <w:sz w:val="16"/>
      <w:szCs w:val="20"/>
    </w:rPr>
  </w:style>
  <w:style w:type="character" w:customStyle="1" w:styleId="187">
    <w:name w:val="cn1"/>
    <w:qFormat/>
    <w:uiPriority w:val="0"/>
    <w:rPr>
      <w:sz w:val="18"/>
      <w:szCs w:val="18"/>
    </w:rPr>
  </w:style>
  <w:style w:type="character" w:customStyle="1" w:styleId="188">
    <w:name w:val="WW8Num5z0"/>
    <w:qFormat/>
    <w:uiPriority w:val="0"/>
    <w:rPr>
      <w:rFonts w:ascii="Wingdings" w:hAnsi="Wingdings"/>
    </w:rPr>
  </w:style>
  <w:style w:type="character" w:customStyle="1" w:styleId="189">
    <w:name w:val="正文首行缩进 Char1"/>
    <w:basedOn w:val="116"/>
    <w:qFormat/>
    <w:uiPriority w:val="99"/>
    <w:rPr>
      <w:kern w:val="2"/>
      <w:sz w:val="21"/>
      <w:szCs w:val="24"/>
    </w:rPr>
  </w:style>
  <w:style w:type="character" w:customStyle="1" w:styleId="190">
    <w:name w:val="f111"/>
    <w:qFormat/>
    <w:uiPriority w:val="0"/>
    <w:rPr>
      <w:sz w:val="22"/>
      <w:szCs w:val="22"/>
    </w:rPr>
  </w:style>
  <w:style w:type="character" w:customStyle="1" w:styleId="191">
    <w:name w:val="la1"/>
    <w:qFormat/>
    <w:uiPriority w:val="0"/>
    <w:rPr>
      <w:sz w:val="21"/>
      <w:szCs w:val="21"/>
    </w:rPr>
  </w:style>
  <w:style w:type="character" w:customStyle="1" w:styleId="192">
    <w:name w:val="WW-Absatz-Standardschriftart"/>
    <w:qFormat/>
    <w:uiPriority w:val="0"/>
  </w:style>
  <w:style w:type="character" w:customStyle="1" w:styleId="193">
    <w:name w:val="style4"/>
    <w:basedOn w:val="90"/>
    <w:qFormat/>
    <w:uiPriority w:val="0"/>
  </w:style>
  <w:style w:type="character" w:customStyle="1" w:styleId="194">
    <w:name w:val="正文+首行缩进2 Char Char"/>
    <w:link w:val="195"/>
    <w:qFormat/>
    <w:uiPriority w:val="0"/>
    <w:rPr>
      <w:szCs w:val="24"/>
    </w:rPr>
  </w:style>
  <w:style w:type="paragraph" w:customStyle="1" w:styleId="195">
    <w:name w:val="正文+首行缩进2"/>
    <w:basedOn w:val="1"/>
    <w:link w:val="194"/>
    <w:qFormat/>
    <w:uiPriority w:val="0"/>
    <w:pPr>
      <w:spacing w:line="480" w:lineRule="exact"/>
      <w:ind w:firstLine="200" w:firstLineChars="200"/>
    </w:pPr>
    <w:rPr>
      <w:kern w:val="0"/>
      <w:sz w:val="20"/>
    </w:rPr>
  </w:style>
  <w:style w:type="character" w:customStyle="1" w:styleId="196">
    <w:name w:val="HTML 预设格式 Char1"/>
    <w:qFormat/>
    <w:uiPriority w:val="0"/>
    <w:rPr>
      <w:rFonts w:ascii="Courier New" w:hAnsi="Courier New" w:cs="Courier New"/>
      <w:kern w:val="2"/>
    </w:rPr>
  </w:style>
  <w:style w:type="character" w:customStyle="1" w:styleId="197">
    <w:name w:val="日期 Char1"/>
    <w:semiHidden/>
    <w:qFormat/>
    <w:uiPriority w:val="99"/>
    <w:rPr>
      <w:rFonts w:ascii="Times New Roman" w:hAnsi="Times New Roman" w:eastAsia="宋体" w:cs="Times New Roman"/>
      <w:szCs w:val="24"/>
    </w:rPr>
  </w:style>
  <w:style w:type="character" w:customStyle="1" w:styleId="198">
    <w:name w:val="unnamed11"/>
    <w:basedOn w:val="90"/>
    <w:qFormat/>
    <w:uiPriority w:val="0"/>
  </w:style>
  <w:style w:type="character" w:customStyle="1" w:styleId="199">
    <w:name w:val="at_1"/>
    <w:basedOn w:val="90"/>
    <w:qFormat/>
    <w:uiPriority w:val="0"/>
  </w:style>
  <w:style w:type="character" w:customStyle="1" w:styleId="200">
    <w:name w:val="unnamed1"/>
    <w:basedOn w:val="90"/>
    <w:qFormat/>
    <w:uiPriority w:val="0"/>
  </w:style>
  <w:style w:type="character" w:customStyle="1" w:styleId="201">
    <w:name w:val="f12_05321"/>
    <w:qFormat/>
    <w:uiPriority w:val="0"/>
    <w:rPr>
      <w:color w:val="053299"/>
      <w:sz w:val="20"/>
      <w:szCs w:val="20"/>
    </w:rPr>
  </w:style>
  <w:style w:type="character" w:customStyle="1" w:styleId="202">
    <w:name w:val="正文文本 (26)_"/>
    <w:link w:val="203"/>
    <w:qFormat/>
    <w:locked/>
    <w:uiPriority w:val="0"/>
    <w:rPr>
      <w:rFonts w:ascii="黑体" w:eastAsia="黑体"/>
      <w:sz w:val="29"/>
      <w:szCs w:val="29"/>
      <w:shd w:val="clear" w:color="auto" w:fill="FFFFFF"/>
    </w:rPr>
  </w:style>
  <w:style w:type="paragraph" w:customStyle="1" w:styleId="203">
    <w:name w:val="正文文本 (26)"/>
    <w:basedOn w:val="1"/>
    <w:link w:val="202"/>
    <w:qFormat/>
    <w:uiPriority w:val="0"/>
    <w:pPr>
      <w:widowControl/>
      <w:shd w:val="clear" w:color="auto" w:fill="FFFFFF"/>
      <w:spacing w:after="60" w:line="504" w:lineRule="exact"/>
      <w:jc w:val="distribute"/>
    </w:pPr>
    <w:rPr>
      <w:rFonts w:ascii="黑体" w:eastAsia="黑体"/>
      <w:kern w:val="0"/>
      <w:sz w:val="29"/>
      <w:szCs w:val="29"/>
    </w:rPr>
  </w:style>
  <w:style w:type="character" w:customStyle="1" w:styleId="204">
    <w:name w:val="枣阳样式四 Char"/>
    <w:link w:val="205"/>
    <w:qFormat/>
    <w:uiPriority w:val="0"/>
    <w:rPr>
      <w:kern w:val="2"/>
      <w:sz w:val="28"/>
      <w:szCs w:val="24"/>
    </w:rPr>
  </w:style>
  <w:style w:type="paragraph" w:customStyle="1" w:styleId="205">
    <w:name w:val="枣阳样式四"/>
    <w:basedOn w:val="1"/>
    <w:link w:val="204"/>
    <w:qFormat/>
    <w:uiPriority w:val="0"/>
    <w:pPr>
      <w:spacing w:line="324" w:lineRule="auto"/>
      <w:ind w:firstLine="527" w:firstLineChars="200"/>
    </w:pPr>
    <w:rPr>
      <w:sz w:val="28"/>
    </w:rPr>
  </w:style>
  <w:style w:type="character" w:customStyle="1" w:styleId="206">
    <w:name w:val="WW8Num14z0"/>
    <w:qFormat/>
    <w:uiPriority w:val="0"/>
    <w:rPr>
      <w:rFonts w:ascii="Wingdings" w:hAnsi="Wingdings"/>
    </w:rPr>
  </w:style>
  <w:style w:type="character" w:customStyle="1" w:styleId="207">
    <w:name w:val="列出段落 字符"/>
    <w:link w:val="208"/>
    <w:qFormat/>
    <w:uiPriority w:val="0"/>
    <w:rPr>
      <w:kern w:val="2"/>
      <w:sz w:val="21"/>
      <w:szCs w:val="24"/>
    </w:rPr>
  </w:style>
  <w:style w:type="paragraph" w:styleId="208">
    <w:name w:val="List Paragraph"/>
    <w:basedOn w:val="1"/>
    <w:link w:val="207"/>
    <w:qFormat/>
    <w:uiPriority w:val="0"/>
    <w:pPr>
      <w:ind w:firstLine="420" w:firstLineChars="200"/>
    </w:pPr>
  </w:style>
  <w:style w:type="character" w:customStyle="1" w:styleId="209">
    <w:name w:val="普通文字 Char Char2"/>
    <w:qFormat/>
    <w:uiPriority w:val="0"/>
    <w:rPr>
      <w:rFonts w:ascii="宋体" w:hAnsi="Courier New" w:eastAsia="宋体"/>
      <w:kern w:val="2"/>
      <w:sz w:val="21"/>
      <w:lang w:val="en-US" w:eastAsia="zh-CN" w:bidi="ar-SA"/>
    </w:rPr>
  </w:style>
  <w:style w:type="character" w:customStyle="1" w:styleId="210">
    <w:name w:val="fs1"/>
    <w:qFormat/>
    <w:uiPriority w:val="0"/>
    <w:rPr>
      <w:dstrike/>
      <w:color w:val="093F7C"/>
      <w:sz w:val="18"/>
      <w:u w:val="none"/>
    </w:rPr>
  </w:style>
  <w:style w:type="character" w:customStyle="1" w:styleId="211">
    <w:name w:val="z9unnamed2"/>
    <w:basedOn w:val="90"/>
    <w:qFormat/>
    <w:uiPriority w:val="0"/>
  </w:style>
  <w:style w:type="character" w:customStyle="1" w:styleId="212">
    <w:name w:val="WW8Num16z0"/>
    <w:qFormat/>
    <w:uiPriority w:val="0"/>
    <w:rPr>
      <w:rFonts w:ascii="Wingdings" w:hAnsi="Wingdings"/>
    </w:rPr>
  </w:style>
  <w:style w:type="character" w:customStyle="1" w:styleId="213">
    <w:name w:val="标题 2 Char1"/>
    <w:qFormat/>
    <w:locked/>
    <w:uiPriority w:val="99"/>
    <w:rPr>
      <w:rFonts w:ascii="Arial" w:hAnsi="Arial" w:eastAsia="黑体" w:cs="Arial"/>
      <w:b/>
      <w:bCs/>
      <w:sz w:val="32"/>
      <w:szCs w:val="32"/>
    </w:rPr>
  </w:style>
  <w:style w:type="character" w:customStyle="1" w:styleId="214">
    <w:name w:val="页脚 字符"/>
    <w:qFormat/>
    <w:uiPriority w:val="99"/>
    <w:rPr>
      <w:sz w:val="18"/>
      <w:szCs w:val="18"/>
    </w:rPr>
  </w:style>
  <w:style w:type="character" w:customStyle="1" w:styleId="215">
    <w:name w:val="样式 宋体 小四"/>
    <w:qFormat/>
    <w:uiPriority w:val="0"/>
    <w:rPr>
      <w:sz w:val="24"/>
    </w:rPr>
  </w:style>
  <w:style w:type="character" w:customStyle="1" w:styleId="216">
    <w:name w:val="WW8Num6z0"/>
    <w:qFormat/>
    <w:uiPriority w:val="0"/>
    <w:rPr>
      <w:rFonts w:ascii="Wingdings" w:hAnsi="Wingdings"/>
    </w:rPr>
  </w:style>
  <w:style w:type="character" w:customStyle="1" w:styleId="217">
    <w:name w:val="正文首行缩进 2 Char1"/>
    <w:basedOn w:val="117"/>
    <w:qFormat/>
    <w:uiPriority w:val="0"/>
    <w:rPr>
      <w:kern w:val="2"/>
      <w:sz w:val="28"/>
      <w:szCs w:val="24"/>
    </w:rPr>
  </w:style>
  <w:style w:type="character" w:customStyle="1" w:styleId="218">
    <w:name w:val="引用 字符"/>
    <w:link w:val="219"/>
    <w:qFormat/>
    <w:uiPriority w:val="29"/>
    <w:rPr>
      <w:i/>
      <w:iCs/>
      <w:color w:val="000000"/>
      <w:kern w:val="2"/>
      <w:sz w:val="21"/>
    </w:rPr>
  </w:style>
  <w:style w:type="paragraph" w:styleId="219">
    <w:name w:val="Quote"/>
    <w:basedOn w:val="1"/>
    <w:next w:val="1"/>
    <w:link w:val="218"/>
    <w:qFormat/>
    <w:uiPriority w:val="29"/>
    <w:rPr>
      <w:i/>
      <w:iCs/>
      <w:color w:val="000000"/>
      <w:szCs w:val="20"/>
    </w:rPr>
  </w:style>
  <w:style w:type="character" w:customStyle="1" w:styleId="220">
    <w:name w:val="WW-Absatz-Standardschriftart1"/>
    <w:qFormat/>
    <w:uiPriority w:val="0"/>
  </w:style>
  <w:style w:type="character" w:customStyle="1" w:styleId="221">
    <w:name w:val="f101"/>
    <w:qFormat/>
    <w:uiPriority w:val="0"/>
    <w:rPr>
      <w:sz w:val="21"/>
      <w:szCs w:val="21"/>
    </w:rPr>
  </w:style>
  <w:style w:type="character" w:customStyle="1" w:styleId="222">
    <w:name w:val="a21"/>
    <w:qFormat/>
    <w:uiPriority w:val="0"/>
    <w:rPr>
      <w:rFonts w:ascii="??" w:hAnsi="??" w:cs="??"/>
      <w:sz w:val="18"/>
      <w:szCs w:val="18"/>
    </w:rPr>
  </w:style>
  <w:style w:type="character" w:customStyle="1" w:styleId="223">
    <w:name w:val="zw"/>
    <w:basedOn w:val="90"/>
    <w:qFormat/>
    <w:uiPriority w:val="0"/>
  </w:style>
  <w:style w:type="character" w:customStyle="1" w:styleId="224">
    <w:name w:val="尾注文本 Char1"/>
    <w:qFormat/>
    <w:uiPriority w:val="0"/>
    <w:rPr>
      <w:kern w:val="2"/>
      <w:sz w:val="21"/>
      <w:szCs w:val="24"/>
    </w:rPr>
  </w:style>
  <w:style w:type="character" w:customStyle="1" w:styleId="225">
    <w:name w:val="WW8Num9z0"/>
    <w:qFormat/>
    <w:uiPriority w:val="0"/>
    <w:rPr>
      <w:rFonts w:ascii="Wingdings" w:hAnsi="Wingdings"/>
    </w:rPr>
  </w:style>
  <w:style w:type="character" w:customStyle="1" w:styleId="226">
    <w:name w:val="at_0"/>
    <w:basedOn w:val="90"/>
    <w:qFormat/>
    <w:uiPriority w:val="0"/>
  </w:style>
  <w:style w:type="character" w:customStyle="1" w:styleId="227">
    <w:name w:val="lineitems1"/>
    <w:qFormat/>
    <w:uiPriority w:val="0"/>
    <w:rPr>
      <w:sz w:val="17"/>
      <w:szCs w:val="17"/>
    </w:rPr>
  </w:style>
  <w:style w:type="character" w:customStyle="1" w:styleId="228">
    <w:name w:val="签名 Char1"/>
    <w:qFormat/>
    <w:uiPriority w:val="0"/>
    <w:rPr>
      <w:kern w:val="2"/>
      <w:sz w:val="21"/>
      <w:szCs w:val="24"/>
    </w:rPr>
  </w:style>
  <w:style w:type="character" w:customStyle="1" w:styleId="229">
    <w:name w:val="font91"/>
    <w:qFormat/>
    <w:uiPriority w:val="0"/>
    <w:rPr>
      <w:sz w:val="18"/>
      <w:szCs w:val="18"/>
    </w:rPr>
  </w:style>
  <w:style w:type="character" w:customStyle="1" w:styleId="230">
    <w:name w:val="normalfont1"/>
    <w:qFormat/>
    <w:uiPriority w:val="0"/>
    <w:rPr>
      <w:rFonts w:hint="default" w:ascii="ˎ̥" w:hAnsi="ˎ̥"/>
      <w:color w:val="000472"/>
      <w:sz w:val="18"/>
      <w:szCs w:val="18"/>
    </w:rPr>
  </w:style>
  <w:style w:type="character" w:customStyle="1" w:styleId="231">
    <w:name w:val="明显引用 字符"/>
    <w:link w:val="232"/>
    <w:qFormat/>
    <w:uiPriority w:val="30"/>
    <w:rPr>
      <w:b/>
      <w:bCs/>
      <w:i/>
      <w:iCs/>
      <w:color w:val="4F81BD"/>
      <w:kern w:val="2"/>
      <w:sz w:val="21"/>
    </w:rPr>
  </w:style>
  <w:style w:type="paragraph" w:styleId="232">
    <w:name w:val="Intense Quote"/>
    <w:basedOn w:val="1"/>
    <w:next w:val="1"/>
    <w:link w:val="231"/>
    <w:qFormat/>
    <w:uiPriority w:val="30"/>
    <w:pPr>
      <w:pBdr>
        <w:bottom w:val="single" w:color="4F81BD" w:sz="4" w:space="4"/>
      </w:pBdr>
      <w:spacing w:before="200" w:after="280"/>
      <w:ind w:left="936" w:right="936"/>
    </w:pPr>
    <w:rPr>
      <w:b/>
      <w:bCs/>
      <w:i/>
      <w:iCs/>
      <w:color w:val="4F81BD"/>
      <w:szCs w:val="20"/>
    </w:rPr>
  </w:style>
  <w:style w:type="character" w:customStyle="1" w:styleId="233">
    <w:name w:val="WW8Num13z0"/>
    <w:qFormat/>
    <w:uiPriority w:val="0"/>
    <w:rPr>
      <w:rFonts w:ascii="Wingdings" w:hAnsi="Wingdings"/>
    </w:rPr>
  </w:style>
  <w:style w:type="character" w:customStyle="1" w:styleId="234">
    <w:name w:val="电子邮件签名 Char1"/>
    <w:qFormat/>
    <w:uiPriority w:val="0"/>
    <w:rPr>
      <w:kern w:val="2"/>
      <w:sz w:val="21"/>
      <w:szCs w:val="24"/>
    </w:rPr>
  </w:style>
  <w:style w:type="character" w:customStyle="1" w:styleId="235">
    <w:name w:val="正文文本 3 Char1"/>
    <w:qFormat/>
    <w:uiPriority w:val="0"/>
    <w:rPr>
      <w:kern w:val="2"/>
      <w:sz w:val="16"/>
      <w:szCs w:val="16"/>
    </w:rPr>
  </w:style>
  <w:style w:type="character" w:customStyle="1" w:styleId="236">
    <w:name w:val="默认段落字体1"/>
    <w:qFormat/>
    <w:uiPriority w:val="0"/>
  </w:style>
  <w:style w:type="character" w:customStyle="1" w:styleId="237">
    <w:name w:val="HTML Markup"/>
    <w:qFormat/>
    <w:uiPriority w:val="0"/>
    <w:rPr>
      <w:vanish/>
      <w:color w:val="FF0000"/>
    </w:rPr>
  </w:style>
  <w:style w:type="character" w:customStyle="1" w:styleId="238">
    <w:name w:val="(符号)标书正文 Char"/>
    <w:qFormat/>
    <w:uiPriority w:val="0"/>
    <w:rPr>
      <w:rFonts w:ascii="黑体" w:hAnsi="宋体" w:eastAsia="黑体"/>
      <w:b/>
      <w:kern w:val="2"/>
      <w:sz w:val="24"/>
      <w:szCs w:val="24"/>
      <w:lang w:val="en-US" w:eastAsia="zh-CN" w:bidi="ar-SA"/>
    </w:rPr>
  </w:style>
  <w:style w:type="character" w:customStyle="1" w:styleId="239">
    <w:name w:val="z-窗体底端 字符"/>
    <w:link w:val="240"/>
    <w:qFormat/>
    <w:uiPriority w:val="0"/>
    <w:rPr>
      <w:rFonts w:ascii="Arial" w:hAnsi="Arial"/>
      <w:vanish/>
      <w:sz w:val="16"/>
    </w:rPr>
  </w:style>
  <w:style w:type="paragraph" w:customStyle="1" w:styleId="240">
    <w:name w:val="z-窗体底端1"/>
    <w:basedOn w:val="1"/>
    <w:next w:val="1"/>
    <w:link w:val="239"/>
    <w:qFormat/>
    <w:uiPriority w:val="0"/>
    <w:pPr>
      <w:widowControl/>
      <w:pBdr>
        <w:top w:val="single" w:color="auto" w:sz="6" w:space="1"/>
      </w:pBdr>
      <w:jc w:val="center"/>
    </w:pPr>
    <w:rPr>
      <w:rFonts w:ascii="Arial" w:hAnsi="Arial"/>
      <w:vanish/>
      <w:kern w:val="0"/>
      <w:sz w:val="16"/>
      <w:szCs w:val="20"/>
    </w:rPr>
  </w:style>
  <w:style w:type="character" w:customStyle="1" w:styleId="241">
    <w:name w:val="信息标题 Char1"/>
    <w:qFormat/>
    <w:uiPriority w:val="0"/>
    <w:rPr>
      <w:rFonts w:ascii="Cambria" w:hAnsi="Cambria" w:eastAsia="宋体" w:cs="Times New Roman"/>
      <w:kern w:val="2"/>
      <w:sz w:val="24"/>
      <w:szCs w:val="24"/>
      <w:shd w:val="pct20" w:color="auto" w:fill="auto"/>
    </w:rPr>
  </w:style>
  <w:style w:type="character" w:customStyle="1" w:styleId="242">
    <w:name w:val="正文缩进 Char1"/>
    <w:qFormat/>
    <w:uiPriority w:val="0"/>
    <w:rPr>
      <w:color w:val="000000"/>
      <w:sz w:val="28"/>
    </w:rPr>
  </w:style>
  <w:style w:type="character" w:customStyle="1" w:styleId="243">
    <w:name w:val="unnamed21"/>
    <w:basedOn w:val="90"/>
    <w:qFormat/>
    <w:uiPriority w:val="0"/>
  </w:style>
  <w:style w:type="paragraph" w:customStyle="1" w:styleId="244">
    <w:name w:val="xl2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24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246">
    <w:name w:val="文档正文首行缩进"/>
    <w:basedOn w:val="1"/>
    <w:qFormat/>
    <w:uiPriority w:val="0"/>
    <w:pPr>
      <w:spacing w:line="360" w:lineRule="auto"/>
      <w:ind w:firstLine="420"/>
    </w:pPr>
    <w:rPr>
      <w:rFonts w:cs="宋体"/>
      <w:sz w:val="24"/>
      <w:szCs w:val="20"/>
    </w:rPr>
  </w:style>
  <w:style w:type="paragraph" w:customStyle="1" w:styleId="247">
    <w:name w:val="普通文字"/>
    <w:basedOn w:val="1"/>
    <w:qFormat/>
    <w:uiPriority w:val="0"/>
    <w:pPr>
      <w:suppressAutoHyphens/>
    </w:pPr>
    <w:rPr>
      <w:rFonts w:ascii="宋体" w:hAnsi="宋体" w:cs="Courier New"/>
      <w:kern w:val="1"/>
      <w:szCs w:val="21"/>
      <w:lang w:eastAsia="ar-SA"/>
    </w:rPr>
  </w:style>
  <w:style w:type="paragraph" w:customStyle="1" w:styleId="248">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249">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250">
    <w:name w:val="列出段落1"/>
    <w:basedOn w:val="1"/>
    <w:qFormat/>
    <w:uiPriority w:val="34"/>
    <w:pPr>
      <w:spacing w:line="360" w:lineRule="auto"/>
      <w:ind w:firstLine="420" w:firstLineChars="200"/>
    </w:pPr>
    <w:rPr>
      <w:rFonts w:ascii="宋体" w:hAnsi="华文细黑"/>
      <w:color w:val="000000"/>
    </w:rPr>
  </w:style>
  <w:style w:type="paragraph" w:customStyle="1" w:styleId="251">
    <w:name w:val="部分1"/>
    <w:basedOn w:val="1"/>
    <w:qFormat/>
    <w:uiPriority w:val="0"/>
    <w:pPr>
      <w:keepNext/>
      <w:pageBreakBefore/>
      <w:tabs>
        <w:tab w:val="left" w:pos="1272"/>
      </w:tabs>
      <w:spacing w:line="360" w:lineRule="auto"/>
      <w:ind w:left="1272" w:hanging="1272"/>
      <w:jc w:val="center"/>
      <w:outlineLvl w:val="0"/>
    </w:pPr>
    <w:rPr>
      <w:rFonts w:eastAsia="黑体"/>
      <w:b/>
      <w:bCs/>
      <w:kern w:val="44"/>
      <w:sz w:val="36"/>
      <w:szCs w:val="36"/>
    </w:rPr>
  </w:style>
  <w:style w:type="paragraph" w:customStyle="1" w:styleId="252">
    <w:name w:val="五级条标题"/>
    <w:basedOn w:val="253"/>
    <w:next w:val="258"/>
    <w:qFormat/>
    <w:uiPriority w:val="0"/>
    <w:pPr>
      <w:tabs>
        <w:tab w:val="left" w:pos="360"/>
        <w:tab w:val="left" w:pos="1740"/>
        <w:tab w:val="left" w:pos="2160"/>
        <w:tab w:val="left" w:pos="2580"/>
        <w:tab w:val="left" w:pos="3000"/>
        <w:tab w:val="left" w:pos="3420"/>
      </w:tabs>
      <w:ind w:left="3420"/>
      <w:outlineLvl w:val="6"/>
    </w:pPr>
  </w:style>
  <w:style w:type="paragraph" w:customStyle="1" w:styleId="253">
    <w:name w:val="四级条标题"/>
    <w:basedOn w:val="254"/>
    <w:next w:val="258"/>
    <w:qFormat/>
    <w:uiPriority w:val="0"/>
    <w:pPr>
      <w:tabs>
        <w:tab w:val="left" w:pos="360"/>
        <w:tab w:val="left" w:pos="1740"/>
        <w:tab w:val="left" w:pos="2160"/>
        <w:tab w:val="left" w:pos="2580"/>
        <w:tab w:val="left" w:pos="3000"/>
      </w:tabs>
      <w:ind w:left="3000"/>
      <w:outlineLvl w:val="5"/>
    </w:pPr>
  </w:style>
  <w:style w:type="paragraph" w:customStyle="1" w:styleId="254">
    <w:name w:val="三级条标题"/>
    <w:basedOn w:val="255"/>
    <w:next w:val="258"/>
    <w:qFormat/>
    <w:uiPriority w:val="0"/>
    <w:pPr>
      <w:tabs>
        <w:tab w:val="left" w:pos="360"/>
        <w:tab w:val="left" w:pos="1740"/>
        <w:tab w:val="left" w:pos="2160"/>
        <w:tab w:val="left" w:pos="2580"/>
      </w:tabs>
      <w:ind w:left="2580"/>
      <w:outlineLvl w:val="4"/>
    </w:pPr>
  </w:style>
  <w:style w:type="paragraph" w:customStyle="1" w:styleId="255">
    <w:name w:val="二级条标题"/>
    <w:basedOn w:val="256"/>
    <w:next w:val="258"/>
    <w:qFormat/>
    <w:uiPriority w:val="0"/>
    <w:pPr>
      <w:tabs>
        <w:tab w:val="left" w:pos="360"/>
        <w:tab w:val="left" w:pos="1740"/>
        <w:tab w:val="left" w:pos="2160"/>
      </w:tabs>
      <w:ind w:left="0"/>
      <w:outlineLvl w:val="3"/>
    </w:pPr>
  </w:style>
  <w:style w:type="paragraph" w:customStyle="1" w:styleId="256">
    <w:name w:val="一级条标题"/>
    <w:basedOn w:val="257"/>
    <w:next w:val="258"/>
    <w:qFormat/>
    <w:uiPriority w:val="0"/>
    <w:pPr>
      <w:tabs>
        <w:tab w:val="left" w:pos="360"/>
        <w:tab w:val="left" w:pos="1740"/>
      </w:tabs>
      <w:spacing w:beforeLines="0" w:afterLines="0"/>
      <w:ind w:left="1740" w:hanging="420"/>
      <w:outlineLvl w:val="2"/>
    </w:pPr>
  </w:style>
  <w:style w:type="paragraph" w:customStyle="1" w:styleId="257">
    <w:name w:val="章标题"/>
    <w:next w:val="258"/>
    <w:qFormat/>
    <w:uiPriority w:val="0"/>
    <w:pPr>
      <w:tabs>
        <w:tab w:val="left" w:pos="360"/>
      </w:tabs>
      <w:spacing w:beforeLines="50" w:afterLines="50"/>
      <w:jc w:val="both"/>
      <w:outlineLvl w:val="1"/>
    </w:pPr>
    <w:rPr>
      <w:rFonts w:ascii="黑体" w:hAnsi="Times New Roman" w:eastAsia="黑体" w:cs="Times New Roman"/>
      <w:sz w:val="21"/>
      <w:lang w:val="en-US" w:eastAsia="zh-CN" w:bidi="ar-SA"/>
    </w:rPr>
  </w:style>
  <w:style w:type="paragraph" w:customStyle="1" w:styleId="25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9">
    <w:name w:val="Char"/>
    <w:basedOn w:val="1"/>
    <w:qFormat/>
    <w:uiPriority w:val="0"/>
    <w:pPr>
      <w:spacing w:line="240" w:lineRule="atLeast"/>
      <w:ind w:left="420" w:firstLine="420"/>
    </w:pPr>
    <w:rPr>
      <w:kern w:val="0"/>
      <w:szCs w:val="21"/>
    </w:rPr>
  </w:style>
  <w:style w:type="paragraph" w:customStyle="1" w:styleId="260">
    <w:name w:val="规范正文"/>
    <w:basedOn w:val="1"/>
    <w:qFormat/>
    <w:uiPriority w:val="0"/>
    <w:pPr>
      <w:suppressAutoHyphens/>
      <w:spacing w:line="360" w:lineRule="auto"/>
      <w:ind w:left="480"/>
      <w:textAlignment w:val="baseline"/>
    </w:pPr>
    <w:rPr>
      <w:kern w:val="1"/>
      <w:sz w:val="24"/>
      <w:szCs w:val="20"/>
      <w:lang w:eastAsia="ar-SA"/>
    </w:rPr>
  </w:style>
  <w:style w:type="paragraph" w:customStyle="1" w:styleId="261">
    <w:name w:val="样式 标题 4 + 左侧:  1.11 厘米"/>
    <w:basedOn w:val="7"/>
    <w:qFormat/>
    <w:uiPriority w:val="0"/>
    <w:pPr>
      <w:widowControl/>
      <w:adjustRightInd/>
      <w:snapToGrid/>
      <w:spacing w:line="377" w:lineRule="auto"/>
      <w:ind w:left="0" w:firstLine="0"/>
      <w:jc w:val="left"/>
    </w:pPr>
    <w:rPr>
      <w:rFonts w:ascii="Arial" w:hAnsi="Arial" w:eastAsia="黑体" w:cs="Arial"/>
      <w:snapToGrid/>
      <w:kern w:val="2"/>
      <w:sz w:val="30"/>
      <w:szCs w:val="30"/>
    </w:rPr>
  </w:style>
  <w:style w:type="paragraph" w:customStyle="1" w:styleId="262">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263">
    <w:name w:val="xl4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kern w:val="0"/>
      <w:sz w:val="24"/>
    </w:rPr>
  </w:style>
  <w:style w:type="paragraph" w:customStyle="1" w:styleId="264">
    <w:name w:val="（符号）内容二标题1"/>
    <w:basedOn w:val="1"/>
    <w:qFormat/>
    <w:uiPriority w:val="0"/>
    <w:pPr>
      <w:tabs>
        <w:tab w:val="left" w:pos="420"/>
      </w:tabs>
      <w:spacing w:before="140" w:after="140" w:line="500" w:lineRule="exact"/>
      <w:ind w:left="430" w:hanging="430"/>
      <w:outlineLvl w:val="1"/>
    </w:pPr>
    <w:rPr>
      <w:rFonts w:ascii="楷体_GB2312" w:eastAsia="楷体_GB2312" w:cs="宋体"/>
      <w:b/>
      <w:bCs/>
      <w:sz w:val="28"/>
      <w:szCs w:val="20"/>
    </w:rPr>
  </w:style>
  <w:style w:type="paragraph" w:customStyle="1" w:styleId="265">
    <w:name w:val="È±Ê¡ÎÄ±¾"/>
    <w:basedOn w:val="1"/>
    <w:qFormat/>
    <w:uiPriority w:val="0"/>
    <w:pPr>
      <w:widowControl/>
      <w:overflowPunct w:val="0"/>
      <w:autoSpaceDE w:val="0"/>
      <w:autoSpaceDN w:val="0"/>
      <w:adjustRightInd w:val="0"/>
      <w:jc w:val="left"/>
    </w:pPr>
    <w:rPr>
      <w:kern w:val="0"/>
      <w:sz w:val="24"/>
      <w:szCs w:val="20"/>
    </w:rPr>
  </w:style>
  <w:style w:type="paragraph" w:customStyle="1" w:styleId="266">
    <w:name w:val="表格文本"/>
    <w:basedOn w:val="1"/>
    <w:qFormat/>
    <w:uiPriority w:val="0"/>
    <w:pPr>
      <w:tabs>
        <w:tab w:val="decimal" w:pos="0"/>
      </w:tabs>
      <w:autoSpaceDE w:val="0"/>
      <w:autoSpaceDN w:val="0"/>
      <w:adjustRightInd w:val="0"/>
      <w:jc w:val="left"/>
    </w:pPr>
    <w:rPr>
      <w:rFonts w:ascii="Arial" w:hAnsi="Arial"/>
      <w:kern w:val="0"/>
      <w:szCs w:val="21"/>
    </w:rPr>
  </w:style>
  <w:style w:type="paragraph" w:customStyle="1" w:styleId="267">
    <w:name w:val="(符号)四标题1.1"/>
    <w:basedOn w:val="1"/>
    <w:qFormat/>
    <w:uiPriority w:val="0"/>
    <w:pPr>
      <w:tabs>
        <w:tab w:val="left" w:pos="567"/>
      </w:tabs>
      <w:spacing w:line="500" w:lineRule="exact"/>
      <w:ind w:left="567" w:hanging="567"/>
    </w:pPr>
    <w:rPr>
      <w:rFonts w:ascii="宋体" w:hAnsi="宋体" w:cs="宋体"/>
      <w:color w:val="000000"/>
      <w:kern w:val="0"/>
      <w:sz w:val="24"/>
      <w:szCs w:val="20"/>
    </w:rPr>
  </w:style>
  <w:style w:type="paragraph" w:customStyle="1" w:styleId="268">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269">
    <w:name w:val="样式 样式 样式 样式 标题 2 + 宋体 五号 非加粗 黑色 + 段前: 6 磅 段后: 0 磅 行距: 单倍行距 + 段前:..."/>
    <w:basedOn w:val="1"/>
    <w:qFormat/>
    <w:uiPriority w:val="0"/>
    <w:pPr>
      <w:keepNext/>
      <w:keepLines/>
      <w:tabs>
        <w:tab w:val="left" w:pos="1440"/>
      </w:tabs>
      <w:adjustRightInd w:val="0"/>
      <w:spacing w:before="240"/>
      <w:ind w:left="1440" w:hanging="360"/>
      <w:jc w:val="left"/>
      <w:textAlignment w:val="baseline"/>
      <w:outlineLvl w:val="1"/>
    </w:pPr>
    <w:rPr>
      <w:rFonts w:ascii="宋体" w:hAnsi="宋体" w:cs="宋体"/>
      <w:b/>
      <w:bCs/>
      <w:color w:val="000000"/>
      <w:kern w:val="0"/>
      <w:szCs w:val="20"/>
    </w:rPr>
  </w:style>
  <w:style w:type="paragraph" w:customStyle="1" w:styleId="270">
    <w:name w:val="标签"/>
    <w:basedOn w:val="1"/>
    <w:qFormat/>
    <w:uiPriority w:val="0"/>
    <w:pPr>
      <w:suppressLineNumbers/>
      <w:suppressAutoHyphens/>
      <w:spacing w:before="120" w:after="120"/>
    </w:pPr>
    <w:rPr>
      <w:i/>
      <w:iCs/>
      <w:kern w:val="1"/>
      <w:sz w:val="24"/>
      <w:lang w:eastAsia="ar-SA"/>
    </w:rPr>
  </w:style>
  <w:style w:type="paragraph" w:customStyle="1" w:styleId="271">
    <w:name w:val="正文缩进1"/>
    <w:basedOn w:val="1"/>
    <w:qFormat/>
    <w:uiPriority w:val="0"/>
    <w:pPr>
      <w:ind w:firstLine="420"/>
    </w:pPr>
    <w:rPr>
      <w:szCs w:val="20"/>
    </w:rPr>
  </w:style>
  <w:style w:type="paragraph" w:customStyle="1" w:styleId="272">
    <w:name w:val="List Paragraph1"/>
    <w:basedOn w:val="1"/>
    <w:qFormat/>
    <w:uiPriority w:val="0"/>
    <w:pPr>
      <w:ind w:firstLine="420" w:firstLineChars="200"/>
    </w:pPr>
    <w:rPr>
      <w:szCs w:val="20"/>
    </w:rPr>
  </w:style>
  <w:style w:type="paragraph" w:customStyle="1" w:styleId="273">
    <w:name w:val="样式 标题 2 + (西文) Times New Roman (中文) 宋体 小四"/>
    <w:basedOn w:val="2"/>
    <w:qFormat/>
    <w:uiPriority w:val="0"/>
    <w:pPr>
      <w:spacing w:beforeLines="100" w:after="0" w:line="500" w:lineRule="exact"/>
    </w:pPr>
    <w:rPr>
      <w:rFonts w:ascii="Times New Roman" w:hAnsi="Times New Roman" w:eastAsia="宋体"/>
      <w:b w:val="0"/>
      <w:sz w:val="24"/>
    </w:rPr>
  </w:style>
  <w:style w:type="paragraph" w:customStyle="1" w:styleId="27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5">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276">
    <w:name w:val="框内容"/>
    <w:basedOn w:val="34"/>
    <w:qFormat/>
    <w:uiPriority w:val="0"/>
    <w:pPr>
      <w:suppressAutoHyphens/>
    </w:pPr>
    <w:rPr>
      <w:kern w:val="1"/>
      <w:lang w:eastAsia="ar-SA"/>
    </w:rPr>
  </w:style>
  <w:style w:type="paragraph" w:customStyle="1" w:styleId="277">
    <w:name w:val="前言、引言标题"/>
    <w:next w:val="1"/>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278">
    <w:name w:val="列出段落2"/>
    <w:basedOn w:val="1"/>
    <w:qFormat/>
    <w:uiPriority w:val="0"/>
    <w:pPr>
      <w:ind w:firstLine="420" w:firstLineChars="200"/>
    </w:pPr>
    <w:rPr>
      <w:szCs w:val="20"/>
    </w:rPr>
  </w:style>
  <w:style w:type="paragraph" w:customStyle="1" w:styleId="279">
    <w:name w:val="文档结构图1"/>
    <w:basedOn w:val="1"/>
    <w:qFormat/>
    <w:uiPriority w:val="0"/>
    <w:pPr>
      <w:shd w:val="clear" w:color="auto" w:fill="000080"/>
      <w:suppressAutoHyphens/>
    </w:pPr>
    <w:rPr>
      <w:kern w:val="1"/>
      <w:lang w:eastAsia="ar-SA"/>
    </w:rPr>
  </w:style>
  <w:style w:type="paragraph" w:customStyle="1" w:styleId="280">
    <w:name w:val="Char Char1 Char Char Char Char Char Char Char Char Char Char Char Char Char Char Char"/>
    <w:basedOn w:val="1"/>
    <w:qFormat/>
    <w:uiPriority w:val="0"/>
    <w:pPr>
      <w:widowControl/>
      <w:spacing w:after="160" w:line="240" w:lineRule="exact"/>
      <w:jc w:val="left"/>
    </w:pPr>
    <w:rPr>
      <w:sz w:val="28"/>
    </w:rPr>
  </w:style>
  <w:style w:type="paragraph" w:customStyle="1" w:styleId="28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82">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283">
    <w:name w:val="目录"/>
    <w:basedOn w:val="1"/>
    <w:qFormat/>
    <w:uiPriority w:val="0"/>
    <w:pPr>
      <w:suppressLineNumbers/>
      <w:suppressAutoHyphens/>
    </w:pPr>
    <w:rPr>
      <w:kern w:val="1"/>
      <w:lang w:eastAsia="ar-SA"/>
    </w:rPr>
  </w:style>
  <w:style w:type="paragraph" w:customStyle="1" w:styleId="284">
    <w:name w:val="（符号）普通正文"/>
    <w:basedOn w:val="1"/>
    <w:qFormat/>
    <w:uiPriority w:val="0"/>
    <w:pPr>
      <w:spacing w:line="460" w:lineRule="exact"/>
      <w:ind w:firstLine="480" w:firstLineChars="200"/>
    </w:pPr>
    <w:rPr>
      <w:rFonts w:ascii="宋体" w:hAnsi="宋体" w:cs="宋体"/>
      <w:sz w:val="24"/>
      <w:szCs w:val="20"/>
    </w:rPr>
  </w:style>
  <w:style w:type="paragraph" w:customStyle="1" w:styleId="285">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6">
    <w:name w:val="Char Char Char Char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7">
    <w:name w:val="（符号）内容四标题1.1.12"/>
    <w:basedOn w:val="1"/>
    <w:qFormat/>
    <w:uiPriority w:val="0"/>
    <w:pPr>
      <w:tabs>
        <w:tab w:val="left" w:pos="1000"/>
      </w:tabs>
      <w:spacing w:line="500" w:lineRule="exact"/>
      <w:ind w:left="1000" w:hanging="1000"/>
    </w:pPr>
    <w:rPr>
      <w:sz w:val="24"/>
    </w:rPr>
  </w:style>
  <w:style w:type="paragraph" w:customStyle="1" w:styleId="288">
    <w:name w:val="(符号)三标题1.1"/>
    <w:basedOn w:val="1"/>
    <w:qFormat/>
    <w:uiPriority w:val="0"/>
    <w:pPr>
      <w:numPr>
        <w:ilvl w:val="0"/>
        <w:numId w:val="2"/>
      </w:numPr>
      <w:spacing w:before="140" w:after="140" w:line="500" w:lineRule="exact"/>
      <w:outlineLvl w:val="2"/>
    </w:pPr>
    <w:rPr>
      <w:rFonts w:ascii="楷体_GB2312" w:hAnsi="宋体" w:eastAsia="楷体_GB2312" w:cs="宋体"/>
      <w:b/>
      <w:bCs/>
      <w:sz w:val="28"/>
      <w:szCs w:val="20"/>
    </w:rPr>
  </w:style>
  <w:style w:type="paragraph" w:customStyle="1" w:styleId="289">
    <w:name w:val="（符号）内容四标题1.1"/>
    <w:basedOn w:val="1"/>
    <w:qFormat/>
    <w:uiPriority w:val="0"/>
    <w:pPr>
      <w:tabs>
        <w:tab w:val="left" w:pos="420"/>
      </w:tabs>
      <w:spacing w:line="500" w:lineRule="exact"/>
      <w:ind w:left="430" w:hanging="430"/>
    </w:pPr>
    <w:rPr>
      <w:rFonts w:ascii="黑体"/>
      <w:sz w:val="24"/>
      <w:szCs w:val="21"/>
    </w:rPr>
  </w:style>
  <w:style w:type="paragraph" w:customStyle="1" w:styleId="290">
    <w:name w:val="BodyText"/>
    <w:basedOn w:val="1"/>
    <w:qFormat/>
    <w:uiPriority w:val="0"/>
    <w:pPr>
      <w:widowControl/>
      <w:textAlignment w:val="baseline"/>
    </w:pPr>
    <w:rPr>
      <w:szCs w:val="21"/>
    </w:rPr>
  </w:style>
  <w:style w:type="paragraph" w:customStyle="1" w:styleId="291">
    <w:name w:val="（符号）内容四标题1.1.1"/>
    <w:basedOn w:val="1"/>
    <w:qFormat/>
    <w:uiPriority w:val="0"/>
    <w:pPr>
      <w:tabs>
        <w:tab w:val="left" w:pos="1000"/>
      </w:tabs>
      <w:spacing w:line="500" w:lineRule="exact"/>
      <w:ind w:left="1000" w:hanging="1000"/>
    </w:pPr>
    <w:rPr>
      <w:rFonts w:ascii="宋体" w:hAnsi="宋体"/>
      <w:sz w:val="24"/>
    </w:rPr>
  </w:style>
  <w:style w:type="paragraph" w:customStyle="1" w:styleId="292">
    <w:name w:val="纯文本1"/>
    <w:basedOn w:val="1"/>
    <w:qFormat/>
    <w:uiPriority w:val="99"/>
    <w:rPr>
      <w:rFonts w:ascii="宋体" w:hAnsi="Courier New"/>
      <w:szCs w:val="20"/>
    </w:rPr>
  </w:style>
  <w:style w:type="paragraph" w:customStyle="1" w:styleId="293">
    <w:name w:val="（符号）目录2"/>
    <w:basedOn w:val="1"/>
    <w:qFormat/>
    <w:uiPriority w:val="0"/>
    <w:pPr>
      <w:spacing w:line="500" w:lineRule="exact"/>
      <w:ind w:left="480"/>
    </w:pPr>
    <w:rPr>
      <w:rFonts w:cs="宋体"/>
      <w:sz w:val="24"/>
      <w:szCs w:val="20"/>
    </w:rPr>
  </w:style>
  <w:style w:type="paragraph" w:customStyle="1" w:styleId="294">
    <w:name w:val="（符号）内容三标题1.1"/>
    <w:basedOn w:val="1"/>
    <w:qFormat/>
    <w:uiPriority w:val="0"/>
    <w:pPr>
      <w:spacing w:line="500" w:lineRule="exact"/>
    </w:pPr>
    <w:rPr>
      <w:rFonts w:ascii="黑体" w:hAnsi="宋体" w:eastAsia="黑体"/>
      <w:b/>
      <w:bCs/>
      <w:sz w:val="24"/>
    </w:rPr>
  </w:style>
  <w:style w:type="paragraph" w:customStyle="1" w:styleId="295">
    <w:name w:val="正文1"/>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296">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7">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298">
    <w:name w:val="重点"/>
    <w:basedOn w:val="1"/>
    <w:qFormat/>
    <w:uiPriority w:val="0"/>
    <w:pPr>
      <w:spacing w:line="360" w:lineRule="auto"/>
      <w:ind w:left="284"/>
    </w:pPr>
    <w:rPr>
      <w:rFonts w:ascii="Arial Black" w:hAnsi="Arial Black" w:eastAsia="楷体_GB2312" w:cs="Arial Black"/>
      <w:b/>
      <w:bCs/>
      <w:sz w:val="28"/>
      <w:szCs w:val="28"/>
    </w:rPr>
  </w:style>
  <w:style w:type="paragraph" w:customStyle="1" w:styleId="299">
    <w:name w:val="列出段落{858D7CFB-ED40-4347-BF05-701D383B685F}{858D7CFB-ED40-4347-BF05-701D383B685F}"/>
    <w:basedOn w:val="1"/>
    <w:qFormat/>
    <w:uiPriority w:val="0"/>
    <w:pPr>
      <w:ind w:firstLine="420" w:firstLineChars="200"/>
    </w:pPr>
  </w:style>
  <w:style w:type="paragraph" w:customStyle="1" w:styleId="300">
    <w:name w:val="样式 标题 4 + 行距: 多倍行距 1.57 字行"/>
    <w:basedOn w:val="7"/>
    <w:qFormat/>
    <w:uiPriority w:val="0"/>
    <w:pPr>
      <w:widowControl/>
      <w:adjustRightInd/>
      <w:snapToGrid/>
      <w:spacing w:line="377" w:lineRule="auto"/>
      <w:ind w:left="150" w:leftChars="50" w:firstLine="0"/>
      <w:jc w:val="left"/>
    </w:pPr>
    <w:rPr>
      <w:rFonts w:ascii="Arial" w:hAnsi="Arial" w:eastAsia="仿宋_GB2312" w:cs="Arial"/>
      <w:snapToGrid/>
      <w:kern w:val="2"/>
      <w:sz w:val="30"/>
      <w:szCs w:val="30"/>
    </w:rPr>
  </w:style>
  <w:style w:type="paragraph" w:customStyle="1" w:styleId="301">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302">
    <w:name w:val="我的重点"/>
    <w:basedOn w:val="298"/>
    <w:qFormat/>
    <w:uiPriority w:val="0"/>
    <w:pPr>
      <w:ind w:left="0"/>
    </w:pPr>
    <w:rPr>
      <w:rFonts w:eastAsia="华文楷体"/>
      <w:i/>
      <w:iCs/>
    </w:rPr>
  </w:style>
  <w:style w:type="paragraph" w:customStyle="1" w:styleId="30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04">
    <w:name w:val="(符号)内容1五标题1.1.1"/>
    <w:basedOn w:val="1"/>
    <w:qFormat/>
    <w:uiPriority w:val="0"/>
  </w:style>
  <w:style w:type="paragraph" w:customStyle="1" w:styleId="305">
    <w:name w:val="Char Char Char Char Char Char Char Char Char Char Char1 Char Char Char Char Char Char Char Char Char Char Char Char"/>
    <w:basedOn w:val="1"/>
    <w:qFormat/>
    <w:uiPriority w:val="0"/>
    <w:rPr>
      <w:rFonts w:ascii="Tahoma" w:hAnsi="Tahoma"/>
      <w:sz w:val="24"/>
    </w:rPr>
  </w:style>
  <w:style w:type="paragraph" w:customStyle="1" w:styleId="306">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华文细黑" w:hAnsi="华文细黑" w:eastAsia="华文细黑" w:cs="宋体"/>
      <w:color w:val="000000"/>
      <w:kern w:val="0"/>
      <w:sz w:val="24"/>
    </w:rPr>
  </w:style>
  <w:style w:type="paragraph" w:customStyle="1" w:styleId="307">
    <w:name w:val="样式 宋体 小四 行距: 固定值 25 磅"/>
    <w:basedOn w:val="1"/>
    <w:qFormat/>
    <w:uiPriority w:val="0"/>
    <w:pPr>
      <w:spacing w:line="500" w:lineRule="exact"/>
    </w:pPr>
    <w:rPr>
      <w:rFonts w:ascii="宋体" w:hAnsi="宋体" w:cs="宋体"/>
      <w:sz w:val="24"/>
      <w:szCs w:val="20"/>
    </w:rPr>
  </w:style>
  <w:style w:type="paragraph" w:customStyle="1" w:styleId="308">
    <w:name w:val="样式 首行缩进:  0.85 厘米"/>
    <w:basedOn w:val="1"/>
    <w:qFormat/>
    <w:uiPriority w:val="0"/>
    <w:pPr>
      <w:spacing w:line="360" w:lineRule="auto"/>
      <w:ind w:firstLine="200" w:firstLineChars="200"/>
    </w:pPr>
    <w:rPr>
      <w:sz w:val="24"/>
    </w:rPr>
  </w:style>
  <w:style w:type="paragraph" w:customStyle="1" w:styleId="309">
    <w:name w:val="（符号）目录1"/>
    <w:basedOn w:val="1"/>
    <w:qFormat/>
    <w:uiPriority w:val="0"/>
    <w:pPr>
      <w:spacing w:line="500" w:lineRule="exact"/>
    </w:pPr>
    <w:rPr>
      <w:rFonts w:cs="宋体"/>
      <w:sz w:val="24"/>
      <w:szCs w:val="20"/>
    </w:rPr>
  </w:style>
  <w:style w:type="paragraph" w:customStyle="1" w:styleId="310">
    <w:name w:val="日期1"/>
    <w:basedOn w:val="1"/>
    <w:next w:val="1"/>
    <w:qFormat/>
    <w:uiPriority w:val="0"/>
    <w:pPr>
      <w:suppressAutoHyphens/>
      <w:ind w:left="100"/>
    </w:pPr>
    <w:rPr>
      <w:rFonts w:eastAsia="楷体_GB2312"/>
      <w:b/>
      <w:kern w:val="1"/>
      <w:sz w:val="36"/>
      <w:szCs w:val="30"/>
      <w:lang w:eastAsia="ar-SA"/>
    </w:rPr>
  </w:style>
  <w:style w:type="paragraph" w:customStyle="1" w:styleId="311">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312">
    <w:name w:val="xl2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313">
    <w:name w:val="_Style 36"/>
    <w:basedOn w:val="1"/>
    <w:qFormat/>
    <w:uiPriority w:val="0"/>
    <w:pPr>
      <w:widowControl/>
      <w:spacing w:after="160" w:line="240" w:lineRule="exact"/>
      <w:jc w:val="left"/>
    </w:pPr>
  </w:style>
  <w:style w:type="paragraph" w:customStyle="1" w:styleId="314">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15">
    <w:name w:val="font8"/>
    <w:basedOn w:val="1"/>
    <w:qFormat/>
    <w:uiPriority w:val="0"/>
    <w:pPr>
      <w:widowControl/>
      <w:spacing w:before="100" w:beforeAutospacing="1" w:after="100" w:afterAutospacing="1"/>
      <w:jc w:val="left"/>
    </w:pPr>
    <w:rPr>
      <w:rFonts w:ascii="宋体" w:hAnsi="宋体" w:cs="宋体"/>
      <w:kern w:val="0"/>
      <w:sz w:val="24"/>
    </w:rPr>
  </w:style>
  <w:style w:type="paragraph" w:customStyle="1" w:styleId="31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317">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318">
    <w:name w:val="正文2"/>
    <w:basedOn w:val="1"/>
    <w:qFormat/>
    <w:uiPriority w:val="0"/>
    <w:pPr>
      <w:spacing w:before="156" w:line="360" w:lineRule="auto"/>
      <w:ind w:firstLine="510" w:firstLineChars="200"/>
    </w:pPr>
    <w:rPr>
      <w:rFonts w:eastAsia="仿宋_GB2312"/>
      <w:sz w:val="24"/>
    </w:rPr>
  </w:style>
  <w:style w:type="paragraph" w:customStyle="1" w:styleId="319">
    <w:name w:val="1"/>
    <w:basedOn w:val="1"/>
    <w:next w:val="320"/>
    <w:qFormat/>
    <w:uiPriority w:val="99"/>
    <w:pPr>
      <w:suppressAutoHyphens/>
      <w:spacing w:line="360" w:lineRule="auto"/>
      <w:ind w:firstLine="480"/>
    </w:pPr>
    <w:rPr>
      <w:kern w:val="1"/>
      <w:sz w:val="24"/>
      <w:lang w:eastAsia="ar-SA"/>
    </w:rPr>
  </w:style>
  <w:style w:type="paragraph" w:customStyle="1" w:styleId="320">
    <w:name w:val="正文文字缩进 3"/>
    <w:basedOn w:val="1"/>
    <w:qFormat/>
    <w:uiPriority w:val="0"/>
    <w:pPr>
      <w:suppressAutoHyphens/>
      <w:spacing w:after="120"/>
      <w:ind w:left="420"/>
    </w:pPr>
    <w:rPr>
      <w:kern w:val="1"/>
      <w:sz w:val="16"/>
      <w:szCs w:val="16"/>
      <w:lang w:eastAsia="ar-SA"/>
    </w:rPr>
  </w:style>
  <w:style w:type="paragraph" w:customStyle="1" w:styleId="321">
    <w:name w:val="(符号)五标题1.1.1"/>
    <w:basedOn w:val="1"/>
    <w:qFormat/>
    <w:uiPriority w:val="0"/>
    <w:pPr>
      <w:numPr>
        <w:ilvl w:val="2"/>
        <w:numId w:val="2"/>
      </w:numPr>
      <w:spacing w:line="500" w:lineRule="exact"/>
    </w:pPr>
    <w:rPr>
      <w:rFonts w:ascii="宋体" w:hAnsi="宋体" w:cs="宋体"/>
      <w:color w:val="000000"/>
      <w:sz w:val="24"/>
      <w:szCs w:val="20"/>
    </w:rPr>
  </w:style>
  <w:style w:type="paragraph" w:customStyle="1" w:styleId="322">
    <w:name w:val="纯文本3"/>
    <w:basedOn w:val="1"/>
    <w:qFormat/>
    <w:uiPriority w:val="0"/>
    <w:rPr>
      <w:rFonts w:ascii="宋体" w:hAnsi="Courier New"/>
      <w:szCs w:val="20"/>
    </w:rPr>
  </w:style>
  <w:style w:type="paragraph" w:customStyle="1" w:styleId="323">
    <w:name w:val="xiao b"/>
    <w:basedOn w:val="1"/>
    <w:qFormat/>
    <w:uiPriority w:val="0"/>
    <w:pPr>
      <w:jc w:val="center"/>
    </w:pPr>
    <w:rPr>
      <w:rFonts w:eastAsia="黑体"/>
      <w:sz w:val="24"/>
      <w:szCs w:val="20"/>
    </w:rPr>
  </w:style>
  <w:style w:type="paragraph" w:customStyle="1" w:styleId="324">
    <w:name w:val="zw1"/>
    <w:basedOn w:val="1"/>
    <w:qFormat/>
    <w:uiPriority w:val="0"/>
    <w:pPr>
      <w:widowControl/>
      <w:spacing w:before="100" w:beforeAutospacing="1" w:after="100" w:afterAutospacing="1"/>
      <w:jc w:val="left"/>
    </w:pPr>
    <w:rPr>
      <w:rFonts w:ascii="宋体" w:hAnsi="宋体"/>
      <w:kern w:val="0"/>
      <w:sz w:val="24"/>
    </w:rPr>
  </w:style>
  <w:style w:type="paragraph" w:customStyle="1" w:styleId="325">
    <w:name w:val="正文文字 3"/>
    <w:basedOn w:val="1"/>
    <w:qFormat/>
    <w:uiPriority w:val="0"/>
    <w:pPr>
      <w:suppressAutoHyphens/>
      <w:spacing w:after="120"/>
    </w:pPr>
    <w:rPr>
      <w:kern w:val="1"/>
      <w:sz w:val="16"/>
      <w:szCs w:val="16"/>
      <w:lang w:eastAsia="ar-SA"/>
    </w:rPr>
  </w:style>
  <w:style w:type="paragraph" w:customStyle="1" w:styleId="326">
    <w:name w:val="论文正文(教授"/>
    <w:basedOn w:val="1"/>
    <w:qFormat/>
    <w:uiPriority w:val="0"/>
    <w:pPr>
      <w:snapToGrid w:val="0"/>
      <w:spacing w:line="320" w:lineRule="atLeast"/>
      <w:ind w:firstLine="200" w:firstLineChars="200"/>
    </w:pPr>
    <w:rPr>
      <w:rFonts w:ascii="仿宋_GB2312" w:hAnsi="仿宋_GB2312"/>
      <w:spacing w:val="12"/>
    </w:rPr>
  </w:style>
  <w:style w:type="paragraph" w:customStyle="1" w:styleId="327">
    <w:name w:val="Char Char Char"/>
    <w:basedOn w:val="1"/>
    <w:qFormat/>
    <w:uiPriority w:val="0"/>
    <w:rPr>
      <w:rFonts w:ascii="Tahoma" w:hAnsi="Tahoma"/>
      <w:sz w:val="24"/>
      <w:szCs w:val="20"/>
    </w:rPr>
  </w:style>
  <w:style w:type="paragraph" w:customStyle="1" w:styleId="328">
    <w:name w:val="Char1 Char Char Char"/>
    <w:basedOn w:val="1"/>
    <w:qFormat/>
    <w:uiPriority w:val="0"/>
    <w:pPr>
      <w:adjustRightInd w:val="0"/>
      <w:spacing w:line="360" w:lineRule="auto"/>
    </w:pPr>
    <w:rPr>
      <w:kern w:val="0"/>
      <w:sz w:val="24"/>
      <w:szCs w:val="20"/>
    </w:rPr>
  </w:style>
  <w:style w:type="paragraph" w:customStyle="1" w:styleId="329">
    <w:name w:val="Table Paragraph"/>
    <w:basedOn w:val="1"/>
    <w:qFormat/>
    <w:uiPriority w:val="1"/>
    <w:pPr>
      <w:jc w:val="left"/>
    </w:pPr>
    <w:rPr>
      <w:rFonts w:ascii="Calibri" w:hAnsi="Calibri"/>
      <w:kern w:val="0"/>
      <w:sz w:val="22"/>
      <w:szCs w:val="22"/>
      <w:lang w:eastAsia="en-US"/>
    </w:rPr>
  </w:style>
  <w:style w:type="paragraph" w:customStyle="1" w:styleId="330">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33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32">
    <w:name w:val="Plain Text1"/>
    <w:basedOn w:val="1"/>
    <w:qFormat/>
    <w:uiPriority w:val="99"/>
    <w:rPr>
      <w:rFonts w:ascii="宋体" w:hAnsi="Courier New"/>
      <w:sz w:val="20"/>
      <w:szCs w:val="20"/>
    </w:rPr>
  </w:style>
  <w:style w:type="paragraph" w:customStyle="1" w:styleId="333">
    <w:name w:val="Mao正文(五号)"/>
    <w:basedOn w:val="1"/>
    <w:qFormat/>
    <w:uiPriority w:val="99"/>
    <w:pPr>
      <w:spacing w:line="300" w:lineRule="auto"/>
      <w:ind w:firstLine="200" w:firstLineChars="200"/>
    </w:pPr>
    <w:rPr>
      <w:color w:val="000000"/>
      <w:szCs w:val="21"/>
    </w:rPr>
  </w:style>
  <w:style w:type="paragraph" w:customStyle="1" w:styleId="334">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335">
    <w:name w:val="正文缩进11"/>
    <w:basedOn w:val="1"/>
    <w:qFormat/>
    <w:uiPriority w:val="0"/>
    <w:pPr>
      <w:ind w:firstLine="420"/>
    </w:pPr>
    <w:rPr>
      <w:szCs w:val="20"/>
    </w:rPr>
  </w:style>
  <w:style w:type="paragraph" w:customStyle="1" w:styleId="336">
    <w:name w:val="圆点标号"/>
    <w:basedOn w:val="1"/>
    <w:qFormat/>
    <w:uiPriority w:val="0"/>
    <w:pPr>
      <w:tabs>
        <w:tab w:val="left" w:pos="1440"/>
      </w:tabs>
      <w:spacing w:line="360" w:lineRule="auto"/>
      <w:ind w:left="839" w:hanging="357"/>
    </w:pPr>
    <w:rPr>
      <w:sz w:val="24"/>
    </w:rPr>
  </w:style>
  <w:style w:type="paragraph" w:customStyle="1" w:styleId="337">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338">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339">
    <w:name w:val="样式2"/>
    <w:basedOn w:val="1"/>
    <w:qFormat/>
    <w:uiPriority w:val="0"/>
    <w:pPr>
      <w:tabs>
        <w:tab w:val="left" w:pos="420"/>
      </w:tabs>
      <w:spacing w:line="500" w:lineRule="exact"/>
      <w:ind w:left="430" w:hanging="430"/>
    </w:pPr>
    <w:rPr>
      <w:sz w:val="24"/>
    </w:rPr>
  </w:style>
  <w:style w:type="paragraph" w:customStyle="1" w:styleId="340">
    <w:name w:val="Char Char1 Char Char Char Char"/>
    <w:basedOn w:val="1"/>
    <w:qFormat/>
    <w:uiPriority w:val="0"/>
    <w:pPr>
      <w:widowControl/>
      <w:spacing w:after="160" w:line="240" w:lineRule="exact"/>
      <w:jc w:val="left"/>
    </w:pPr>
  </w:style>
  <w:style w:type="paragraph" w:customStyle="1" w:styleId="341">
    <w:name w:val="MM Topic 1"/>
    <w:basedOn w:val="4"/>
    <w:qFormat/>
    <w:uiPriority w:val="99"/>
    <w:pPr>
      <w:autoSpaceDE/>
      <w:autoSpaceDN/>
      <w:adjustRightInd/>
      <w:spacing w:line="576" w:lineRule="auto"/>
      <w:jc w:val="both"/>
    </w:pPr>
    <w:rPr>
      <w:rFonts w:ascii="Times New Roman" w:eastAsia="仿宋_GB2312"/>
      <w:b w:val="0"/>
      <w:kern w:val="44"/>
      <w:sz w:val="32"/>
      <w:szCs w:val="32"/>
    </w:rPr>
  </w:style>
  <w:style w:type="paragraph" w:customStyle="1" w:styleId="342">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343">
    <w:name w:val="TOC 标题1"/>
    <w:basedOn w:val="4"/>
    <w:next w:val="1"/>
    <w:qFormat/>
    <w:uiPriority w:val="39"/>
    <w:pPr>
      <w:widowControl/>
      <w:autoSpaceDE/>
      <w:autoSpaceDN/>
      <w:adjustRightInd/>
      <w:spacing w:before="480" w:after="0" w:line="276" w:lineRule="auto"/>
      <w:jc w:val="left"/>
      <w:outlineLvl w:val="9"/>
    </w:pPr>
    <w:rPr>
      <w:rFonts w:ascii="Cambria" w:hAnsi="Cambria" w:cs="Cambria"/>
      <w:bCs/>
      <w:color w:val="365F91"/>
      <w:sz w:val="28"/>
      <w:szCs w:val="28"/>
    </w:rPr>
  </w:style>
  <w:style w:type="paragraph" w:customStyle="1" w:styleId="344">
    <w:name w:val="文"/>
    <w:basedOn w:val="45"/>
    <w:qFormat/>
    <w:uiPriority w:val="0"/>
    <w:pPr>
      <w:spacing w:line="360" w:lineRule="auto"/>
      <w:ind w:firstLine="480" w:firstLineChars="200"/>
    </w:pPr>
    <w:rPr>
      <w:rFonts w:hint="eastAsia" w:ascii="黑体" w:hAnsi="Times New Roman" w:eastAsia="黑体"/>
      <w:bCs/>
      <w:sz w:val="24"/>
    </w:rPr>
  </w:style>
  <w:style w:type="paragraph" w:customStyle="1" w:styleId="345">
    <w:name w:val="font7"/>
    <w:basedOn w:val="1"/>
    <w:qFormat/>
    <w:uiPriority w:val="0"/>
    <w:pPr>
      <w:widowControl/>
      <w:spacing w:before="100" w:beforeAutospacing="1" w:after="100" w:afterAutospacing="1"/>
      <w:jc w:val="left"/>
    </w:pPr>
    <w:rPr>
      <w:b/>
      <w:bCs/>
      <w:kern w:val="0"/>
      <w:sz w:val="22"/>
      <w:szCs w:val="22"/>
    </w:rPr>
  </w:style>
  <w:style w:type="paragraph" w:customStyle="1" w:styleId="346">
    <w:name w:val="Char Char Char1"/>
    <w:basedOn w:val="1"/>
    <w:qFormat/>
    <w:uiPriority w:val="0"/>
    <w:rPr>
      <w:rFonts w:ascii="Tahoma" w:hAnsi="Tahoma"/>
      <w:sz w:val="24"/>
      <w:szCs w:val="20"/>
    </w:rPr>
  </w:style>
  <w:style w:type="paragraph" w:customStyle="1" w:styleId="347">
    <w:name w:val="（符号）二标题1."/>
    <w:basedOn w:val="1"/>
    <w:qFormat/>
    <w:uiPriority w:val="0"/>
  </w:style>
  <w:style w:type="paragraph" w:customStyle="1" w:styleId="348">
    <w:name w:val="xl40"/>
    <w:basedOn w:val="1"/>
    <w:qFormat/>
    <w:uiPriority w:val="0"/>
    <w:pPr>
      <w:widowControl/>
      <w:spacing w:before="100" w:beforeAutospacing="1" w:after="100" w:afterAutospacing="1"/>
      <w:jc w:val="center"/>
    </w:pPr>
    <w:rPr>
      <w:kern w:val="0"/>
      <w:szCs w:val="21"/>
    </w:rPr>
  </w:style>
  <w:style w:type="paragraph" w:customStyle="1" w:styleId="349">
    <w:name w:val="样式 标题 3 + (中文) 黑体 小四 非加粗 段前: 7.8 磅 段后: 0 磅 行距: 固定值 20 磅"/>
    <w:basedOn w:val="5"/>
    <w:qFormat/>
    <w:uiPriority w:val="0"/>
    <w:pPr>
      <w:spacing w:before="0" w:after="0" w:line="400" w:lineRule="exact"/>
      <w:jc w:val="both"/>
    </w:pPr>
    <w:rPr>
      <w:rFonts w:eastAsia="黑体" w:cs="宋体"/>
      <w:b w:val="0"/>
      <w:sz w:val="24"/>
    </w:rPr>
  </w:style>
  <w:style w:type="paragraph" w:customStyle="1" w:styleId="350">
    <w:name w:val="Char2"/>
    <w:basedOn w:val="1"/>
    <w:qFormat/>
    <w:uiPriority w:val="0"/>
    <w:pPr>
      <w:snapToGrid w:val="0"/>
      <w:spacing w:line="360" w:lineRule="auto"/>
      <w:ind w:firstLine="200" w:firstLineChars="200"/>
    </w:pPr>
  </w:style>
  <w:style w:type="paragraph" w:customStyle="1" w:styleId="351">
    <w:name w:val="(符号)标书正文"/>
    <w:basedOn w:val="1"/>
    <w:qFormat/>
    <w:uiPriority w:val="0"/>
    <w:pPr>
      <w:spacing w:line="500" w:lineRule="exact"/>
      <w:ind w:left="420"/>
    </w:pPr>
    <w:rPr>
      <w:rFonts w:ascii="宋体" w:hAnsi="宋体" w:cs="宋体"/>
      <w:sz w:val="24"/>
      <w:szCs w:val="20"/>
    </w:rPr>
  </w:style>
  <w:style w:type="paragraph" w:customStyle="1" w:styleId="35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53">
    <w:name w:val="_Style 14"/>
    <w:basedOn w:val="1"/>
    <w:next w:val="208"/>
    <w:qFormat/>
    <w:uiPriority w:val="34"/>
    <w:pPr>
      <w:ind w:firstLine="420" w:firstLineChars="200"/>
    </w:pPr>
    <w:rPr>
      <w:rFonts w:ascii="Calibri" w:hAnsi="Calibri"/>
      <w:szCs w:val="22"/>
    </w:rPr>
  </w:style>
  <w:style w:type="paragraph" w:customStyle="1" w:styleId="354">
    <w:name w:val="标题1"/>
    <w:basedOn w:val="1"/>
    <w:next w:val="34"/>
    <w:qFormat/>
    <w:uiPriority w:val="0"/>
    <w:pPr>
      <w:keepNext/>
      <w:suppressAutoHyphens/>
      <w:spacing w:before="240" w:after="120"/>
    </w:pPr>
    <w:rPr>
      <w:rFonts w:ascii="AR PL ShanHeiSun Uni" w:hAnsi="AR PL ShanHeiSun Uni" w:eastAsia="AR PL ShanHeiSun Uni" w:cs="AR PL ShanHeiSun Uni"/>
      <w:kern w:val="1"/>
      <w:sz w:val="28"/>
      <w:szCs w:val="28"/>
      <w:lang w:eastAsia="ar-SA"/>
    </w:rPr>
  </w:style>
  <w:style w:type="paragraph" w:customStyle="1" w:styleId="355">
    <w:name w:val="样式章节"/>
    <w:basedOn w:val="4"/>
    <w:qFormat/>
    <w:uiPriority w:val="99"/>
    <w:pPr>
      <w:keepLines w:val="0"/>
      <w:tabs>
        <w:tab w:val="left" w:pos="432"/>
      </w:tabs>
      <w:spacing w:before="0" w:after="0" w:line="240" w:lineRule="auto"/>
      <w:ind w:left="432" w:hanging="432"/>
    </w:pPr>
    <w:rPr>
      <w:rFonts w:ascii="Times New Roman"/>
      <w:b w:val="0"/>
      <w:kern w:val="2"/>
      <w:sz w:val="32"/>
      <w:szCs w:val="32"/>
      <w:lang w:val="zh-CN"/>
    </w:rPr>
  </w:style>
  <w:style w:type="paragraph" w:customStyle="1" w:styleId="356">
    <w:name w:val="Default"/>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paragraph" w:customStyle="1" w:styleId="357">
    <w:name w:val="表格标题"/>
    <w:basedOn w:val="358"/>
    <w:qFormat/>
    <w:uiPriority w:val="0"/>
    <w:pPr>
      <w:jc w:val="center"/>
    </w:pPr>
    <w:rPr>
      <w:b/>
      <w:bCs/>
      <w:i/>
      <w:iCs/>
    </w:rPr>
  </w:style>
  <w:style w:type="paragraph" w:customStyle="1" w:styleId="358">
    <w:name w:val="表格内容"/>
    <w:basedOn w:val="1"/>
    <w:qFormat/>
    <w:uiPriority w:val="0"/>
    <w:pPr>
      <w:suppressLineNumbers/>
      <w:suppressAutoHyphens/>
    </w:pPr>
    <w:rPr>
      <w:kern w:val="1"/>
      <w:lang w:eastAsia="ar-SA"/>
    </w:rPr>
  </w:style>
  <w:style w:type="paragraph" w:customStyle="1" w:styleId="359">
    <w:name w:val="Char Char Char Char Char Char Char Char Char Char Char Char Char Char Char Char Char Char Char1"/>
    <w:basedOn w:val="1"/>
    <w:qFormat/>
    <w:uiPriority w:val="0"/>
    <w:rPr>
      <w:rFonts w:ascii="Tahoma" w:hAnsi="Tahoma"/>
      <w:sz w:val="24"/>
      <w:szCs w:val="20"/>
    </w:rPr>
  </w:style>
  <w:style w:type="paragraph" w:customStyle="1" w:styleId="360">
    <w:name w:val="样式 标题 2 + Times New Roman 四号 非加粗 段前: 5 磅 段后: 0 磅 行距: 固定值 20..."/>
    <w:basedOn w:val="2"/>
    <w:qFormat/>
    <w:uiPriority w:val="0"/>
    <w:pPr>
      <w:spacing w:before="100" w:after="0" w:line="400" w:lineRule="exact"/>
    </w:pPr>
    <w:rPr>
      <w:rFonts w:ascii="Times New Roman" w:hAnsi="Times New Roman" w:cs="宋体"/>
      <w:b w:val="0"/>
      <w:bCs w:val="0"/>
      <w:sz w:val="28"/>
      <w:szCs w:val="20"/>
    </w:rPr>
  </w:style>
  <w:style w:type="paragraph" w:customStyle="1" w:styleId="361">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362">
    <w:name w:val="列出段落3"/>
    <w:basedOn w:val="1"/>
    <w:qFormat/>
    <w:uiPriority w:val="0"/>
    <w:pPr>
      <w:ind w:firstLine="420" w:firstLineChars="200"/>
    </w:pPr>
    <w:rPr>
      <w:szCs w:val="20"/>
    </w:rPr>
  </w:style>
  <w:style w:type="paragraph" w:customStyle="1" w:styleId="363">
    <w:name w:val="样式 标题 1 + 四号 居中 段前: 12 磅 段后: 12 磅 行距: 单倍行距"/>
    <w:basedOn w:val="4"/>
    <w:qFormat/>
    <w:uiPriority w:val="0"/>
    <w:pPr>
      <w:tabs>
        <w:tab w:val="left" w:pos="810"/>
      </w:tabs>
      <w:autoSpaceDE/>
      <w:autoSpaceDN/>
      <w:spacing w:before="240" w:after="240" w:line="240" w:lineRule="auto"/>
      <w:ind w:left="810" w:hanging="390"/>
      <w:textAlignment w:val="baseline"/>
    </w:pPr>
    <w:rPr>
      <w:rFonts w:ascii="Times New Roman" w:cs="黑体"/>
      <w:bCs/>
      <w:kern w:val="44"/>
      <w:sz w:val="28"/>
    </w:rPr>
  </w:style>
  <w:style w:type="paragraph" w:customStyle="1" w:styleId="364">
    <w:name w:val="(符号)一标题第一部分"/>
    <w:basedOn w:val="1"/>
    <w:qFormat/>
    <w:uiPriority w:val="0"/>
    <w:pPr>
      <w:spacing w:beforeLines="100" w:afterLines="100" w:line="500" w:lineRule="exact"/>
      <w:jc w:val="center"/>
      <w:outlineLvl w:val="1"/>
    </w:pPr>
    <w:rPr>
      <w:rFonts w:ascii="黑体" w:eastAsia="黑体" w:cs="宋体"/>
      <w:b/>
      <w:bCs/>
      <w:sz w:val="32"/>
      <w:szCs w:val="32"/>
    </w:rPr>
  </w:style>
  <w:style w:type="paragraph" w:customStyle="1" w:styleId="365">
    <w:name w:val="Char Char"/>
    <w:basedOn w:val="1"/>
    <w:qFormat/>
    <w:uiPriority w:val="0"/>
    <w:rPr>
      <w:rFonts w:ascii="Tahoma" w:hAnsi="Tahoma"/>
      <w:sz w:val="24"/>
      <w:szCs w:val="20"/>
    </w:rPr>
  </w:style>
  <w:style w:type="paragraph" w:customStyle="1" w:styleId="366">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367">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368">
    <w:name w:val="（符号）目录3"/>
    <w:basedOn w:val="1"/>
    <w:qFormat/>
    <w:uiPriority w:val="0"/>
    <w:pPr>
      <w:spacing w:line="500" w:lineRule="exact"/>
      <w:ind w:left="1000"/>
    </w:pPr>
    <w:rPr>
      <w:rFonts w:cs="宋体"/>
      <w:sz w:val="24"/>
      <w:szCs w:val="20"/>
    </w:rPr>
  </w:style>
  <w:style w:type="paragraph" w:customStyle="1" w:styleId="369">
    <w:name w:val="表"/>
    <w:basedOn w:val="1"/>
    <w:qFormat/>
    <w:uiPriority w:val="0"/>
    <w:pPr>
      <w:adjustRightInd w:val="0"/>
      <w:snapToGrid w:val="0"/>
    </w:pPr>
    <w:rPr>
      <w:color w:val="000000"/>
      <w:kern w:val="0"/>
      <w:szCs w:val="21"/>
    </w:rPr>
  </w:style>
  <w:style w:type="paragraph" w:customStyle="1" w:styleId="370">
    <w:name w:val="目次、标准名称标题"/>
    <w:basedOn w:val="277"/>
    <w:next w:val="258"/>
    <w:qFormat/>
    <w:uiPriority w:val="0"/>
    <w:pPr>
      <w:spacing w:line="460" w:lineRule="exact"/>
    </w:pPr>
  </w:style>
  <w:style w:type="paragraph" w:customStyle="1" w:styleId="371">
    <w:name w:val="xl33"/>
    <w:basedOn w:val="1"/>
    <w:qFormat/>
    <w:uiPriority w:val="0"/>
    <w:pPr>
      <w:widowControl/>
      <w:spacing w:before="100" w:beforeAutospacing="1" w:after="100" w:afterAutospacing="1"/>
      <w:jc w:val="center"/>
    </w:pPr>
    <w:rPr>
      <w:rFonts w:ascii="宋体" w:hAnsi="宋体"/>
      <w:kern w:val="0"/>
      <w:sz w:val="24"/>
    </w:rPr>
  </w:style>
  <w:style w:type="paragraph" w:customStyle="1" w:styleId="372">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373">
    <w:name w:val="_Style 24"/>
    <w:basedOn w:val="1"/>
    <w:next w:val="81"/>
    <w:qFormat/>
    <w:uiPriority w:val="0"/>
    <w:pPr>
      <w:widowControl/>
      <w:spacing w:before="100" w:beforeAutospacing="1" w:after="100" w:afterAutospacing="1"/>
      <w:jc w:val="left"/>
    </w:pPr>
    <w:rPr>
      <w:rFonts w:ascii="宋体" w:hAnsi="宋体"/>
      <w:kern w:val="0"/>
      <w:sz w:val="24"/>
    </w:rPr>
  </w:style>
  <w:style w:type="paragraph" w:customStyle="1" w:styleId="374">
    <w:name w:val="内容目录 10"/>
    <w:basedOn w:val="283"/>
    <w:qFormat/>
    <w:uiPriority w:val="0"/>
    <w:pPr>
      <w:tabs>
        <w:tab w:val="right" w:leader="dot" w:pos="9637"/>
      </w:tabs>
      <w:ind w:left="2547"/>
    </w:pPr>
  </w:style>
  <w:style w:type="paragraph" w:customStyle="1" w:styleId="375">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376">
    <w:name w:val="（符号）内容三标题1."/>
    <w:basedOn w:val="1"/>
    <w:qFormat/>
    <w:uiPriority w:val="0"/>
    <w:pPr>
      <w:tabs>
        <w:tab w:val="left" w:pos="420"/>
      </w:tabs>
      <w:spacing w:before="140" w:after="140" w:line="500" w:lineRule="exact"/>
      <w:ind w:left="430" w:hanging="430"/>
      <w:outlineLvl w:val="1"/>
    </w:pPr>
    <w:rPr>
      <w:rFonts w:eastAsia="楷体_GB2312"/>
      <w:b/>
      <w:sz w:val="28"/>
    </w:rPr>
  </w:style>
  <w:style w:type="paragraph" w:customStyle="1" w:styleId="377">
    <w:name w:val="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78">
    <w:name w:val="xl4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379">
    <w:name w:val="font5"/>
    <w:basedOn w:val="1"/>
    <w:qFormat/>
    <w:uiPriority w:val="0"/>
    <w:pPr>
      <w:widowControl/>
      <w:spacing w:before="100" w:beforeAutospacing="1" w:after="100" w:afterAutospacing="1"/>
      <w:jc w:val="left"/>
    </w:pPr>
    <w:rPr>
      <w:rFonts w:ascii="宋体" w:hAnsi="宋体" w:cs="宋体"/>
      <w:kern w:val="0"/>
      <w:sz w:val="24"/>
    </w:rPr>
  </w:style>
  <w:style w:type="paragraph" w:styleId="380">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381">
    <w:name w:val="样式5"/>
    <w:basedOn w:val="1"/>
    <w:qFormat/>
    <w:uiPriority w:val="0"/>
    <w:pPr>
      <w:adjustRightInd w:val="0"/>
      <w:snapToGrid w:val="0"/>
      <w:spacing w:line="520" w:lineRule="exact"/>
      <w:ind w:firstLine="480" w:firstLineChars="200"/>
    </w:pPr>
    <w:rPr>
      <w:rFonts w:ascii="仿宋_GB2312" w:eastAsia="仿宋_GB2312"/>
      <w:sz w:val="24"/>
      <w:szCs w:val="20"/>
    </w:rPr>
  </w:style>
  <w:style w:type="paragraph" w:customStyle="1" w:styleId="382">
    <w:name w:val="正文11"/>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383">
    <w:name w:val="（符号）投标一、"/>
    <w:basedOn w:val="1"/>
    <w:qFormat/>
    <w:uiPriority w:val="0"/>
    <w:pPr>
      <w:tabs>
        <w:tab w:val="left" w:pos="980"/>
      </w:tabs>
      <w:spacing w:line="460" w:lineRule="exact"/>
      <w:ind w:left="980" w:hanging="498"/>
    </w:pPr>
  </w:style>
  <w:style w:type="paragraph" w:customStyle="1" w:styleId="384">
    <w:name w:val="p17"/>
    <w:basedOn w:val="1"/>
    <w:qFormat/>
    <w:uiPriority w:val="0"/>
    <w:pPr>
      <w:widowControl/>
      <w:ind w:firstLine="630"/>
    </w:pPr>
    <w:rPr>
      <w:rFonts w:ascii="宋体" w:hAnsi="宋体" w:cs="宋体"/>
      <w:kern w:val="0"/>
      <w:sz w:val="32"/>
      <w:szCs w:val="32"/>
    </w:rPr>
  </w:style>
  <w:style w:type="paragraph" w:customStyle="1" w:styleId="385">
    <w:name w:val="样式 小四 行距: 固定值 25 磅"/>
    <w:basedOn w:val="1"/>
    <w:next w:val="309"/>
    <w:qFormat/>
    <w:uiPriority w:val="0"/>
    <w:pPr>
      <w:spacing w:line="500" w:lineRule="exact"/>
    </w:pPr>
    <w:rPr>
      <w:rFonts w:cs="宋体"/>
      <w:sz w:val="24"/>
      <w:szCs w:val="20"/>
    </w:rPr>
  </w:style>
  <w:style w:type="paragraph" w:customStyle="1" w:styleId="386">
    <w:name w:val="菱形标号"/>
    <w:basedOn w:val="1"/>
    <w:qFormat/>
    <w:uiPriority w:val="0"/>
    <w:pPr>
      <w:tabs>
        <w:tab w:val="left" w:pos="1125"/>
      </w:tabs>
      <w:spacing w:line="360" w:lineRule="auto"/>
      <w:ind w:left="902" w:hanging="390"/>
    </w:pPr>
    <w:rPr>
      <w:sz w:val="24"/>
    </w:rPr>
  </w:style>
  <w:style w:type="paragraph" w:customStyle="1" w:styleId="387">
    <w:name w:val="Char Char Char Char Char Char Char Char Char Char"/>
    <w:basedOn w:val="1"/>
    <w:qFormat/>
    <w:uiPriority w:val="0"/>
    <w:pPr>
      <w:widowControl/>
      <w:spacing w:after="160" w:line="240" w:lineRule="exact"/>
      <w:jc w:val="left"/>
    </w:pPr>
  </w:style>
  <w:style w:type="paragraph" w:customStyle="1" w:styleId="388">
    <w:name w:val="Char Char1 Char Char Char Char1"/>
    <w:basedOn w:val="1"/>
    <w:qFormat/>
    <w:uiPriority w:val="0"/>
    <w:pPr>
      <w:widowControl/>
      <w:spacing w:after="160" w:line="240" w:lineRule="exact"/>
      <w:jc w:val="left"/>
    </w:pPr>
  </w:style>
  <w:style w:type="paragraph" w:customStyle="1" w:styleId="389">
    <w:name w:val="样式 标题 3 + 段前: 0 磅 段后: 0 磅 行距: 固定值 18 磅"/>
    <w:basedOn w:val="5"/>
    <w:qFormat/>
    <w:uiPriority w:val="0"/>
    <w:pPr>
      <w:spacing w:before="0" w:after="0" w:line="500" w:lineRule="exact"/>
      <w:jc w:val="both"/>
    </w:pPr>
    <w:rPr>
      <w:bCs/>
      <w:sz w:val="24"/>
    </w:rPr>
  </w:style>
  <w:style w:type="paragraph" w:customStyle="1" w:styleId="390">
    <w:name w:val="样式7"/>
    <w:basedOn w:val="1"/>
    <w:qFormat/>
    <w:uiPriority w:val="0"/>
    <w:pPr>
      <w:suppressAutoHyphens/>
      <w:autoSpaceDE w:val="0"/>
      <w:spacing w:line="440" w:lineRule="atLeast"/>
      <w:ind w:firstLine="601"/>
      <w:textAlignment w:val="baseline"/>
    </w:pPr>
    <w:rPr>
      <w:rFonts w:ascii="宋体" w:hAnsi="宋体"/>
      <w:kern w:val="1"/>
      <w:sz w:val="24"/>
      <w:szCs w:val="20"/>
      <w:lang w:eastAsia="ar-SA"/>
    </w:rPr>
  </w:style>
  <w:style w:type="paragraph" w:customStyle="1" w:styleId="391">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392">
    <w:name w:val="Char1 Char Char Char1"/>
    <w:basedOn w:val="1"/>
    <w:qFormat/>
    <w:uiPriority w:val="0"/>
    <w:pPr>
      <w:adjustRightInd w:val="0"/>
      <w:spacing w:line="360" w:lineRule="auto"/>
    </w:pPr>
    <w:rPr>
      <w:kern w:val="0"/>
      <w:sz w:val="24"/>
      <w:szCs w:val="20"/>
    </w:rPr>
  </w:style>
  <w:style w:type="paragraph" w:customStyle="1" w:styleId="393">
    <w:name w:val="Pa4"/>
    <w:basedOn w:val="1"/>
    <w:next w:val="1"/>
    <w:qFormat/>
    <w:uiPriority w:val="0"/>
    <w:pPr>
      <w:autoSpaceDE w:val="0"/>
      <w:autoSpaceDN w:val="0"/>
      <w:adjustRightInd w:val="0"/>
      <w:spacing w:before="80" w:line="136" w:lineRule="auto"/>
      <w:jc w:val="left"/>
    </w:pPr>
    <w:rPr>
      <w:rFonts w:hint="eastAsia" w:ascii="Helvetica-Condensed-Bold" w:eastAsia="Helvetica-Condensed-Bold"/>
      <w:kern w:val="0"/>
      <w:sz w:val="20"/>
    </w:rPr>
  </w:style>
  <w:style w:type="paragraph" w:customStyle="1" w:styleId="394">
    <w:name w:val="列表－视讯"/>
    <w:basedOn w:val="21"/>
    <w:qFormat/>
    <w:uiPriority w:val="0"/>
  </w:style>
  <w:style w:type="paragraph" w:customStyle="1" w:styleId="395">
    <w:name w:val="p0"/>
    <w:basedOn w:val="1"/>
    <w:qFormat/>
    <w:uiPriority w:val="0"/>
    <w:pPr>
      <w:widowControl/>
    </w:pPr>
    <w:rPr>
      <w:kern w:val="0"/>
      <w:szCs w:val="21"/>
    </w:rPr>
  </w:style>
  <w:style w:type="paragraph" w:customStyle="1" w:styleId="396">
    <w:name w:val="(符号)三标题1."/>
    <w:basedOn w:val="1"/>
    <w:qFormat/>
    <w:uiPriority w:val="0"/>
    <w:pPr>
      <w:tabs>
        <w:tab w:val="left" w:pos="420"/>
      </w:tabs>
      <w:spacing w:before="140" w:after="140" w:line="500" w:lineRule="exact"/>
      <w:ind w:left="430" w:hanging="430"/>
      <w:outlineLvl w:val="2"/>
    </w:pPr>
    <w:rPr>
      <w:rFonts w:ascii="楷体_GB2312" w:hAnsi="宋体" w:eastAsia="楷体_GB2312" w:cs="宋体"/>
      <w:b/>
      <w:bCs/>
      <w:sz w:val="28"/>
      <w:szCs w:val="20"/>
    </w:rPr>
  </w:style>
  <w:style w:type="paragraph" w:customStyle="1" w:styleId="397">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398">
    <w:name w:val="（符号）二标题总则"/>
    <w:basedOn w:val="364"/>
    <w:qFormat/>
    <w:uiPriority w:val="0"/>
    <w:pPr>
      <w:spacing w:beforeLines="50" w:afterLines="50" w:line="440" w:lineRule="atLeast"/>
    </w:pPr>
  </w:style>
  <w:style w:type="paragraph" w:customStyle="1" w:styleId="399">
    <w:name w:val="书目1"/>
    <w:basedOn w:val="1"/>
    <w:next w:val="1"/>
    <w:unhideWhenUsed/>
    <w:qFormat/>
    <w:uiPriority w:val="37"/>
    <w:rPr>
      <w:szCs w:val="20"/>
    </w:rPr>
  </w:style>
  <w:style w:type="paragraph" w:customStyle="1" w:styleId="400">
    <w:name w:val="样式1"/>
    <w:basedOn w:val="1"/>
    <w:qFormat/>
    <w:uiPriority w:val="0"/>
    <w:pPr>
      <w:tabs>
        <w:tab w:val="left" w:pos="709"/>
      </w:tabs>
      <w:adjustRightInd w:val="0"/>
      <w:ind w:left="709" w:hanging="709"/>
      <w:textAlignment w:val="baseline"/>
    </w:pPr>
    <w:rPr>
      <w:rFonts w:ascii="宋体" w:hAnsi="宋体"/>
      <w:kern w:val="0"/>
      <w:szCs w:val="21"/>
    </w:rPr>
  </w:style>
  <w:style w:type="paragraph" w:customStyle="1" w:styleId="401">
    <w:name w:val="（符号）二标题1"/>
    <w:basedOn w:val="1"/>
    <w:qFormat/>
    <w:uiPriority w:val="0"/>
    <w:pPr>
      <w:spacing w:before="140" w:after="140" w:line="500" w:lineRule="exact"/>
      <w:outlineLvl w:val="1"/>
    </w:pPr>
    <w:rPr>
      <w:rFonts w:ascii="楷体_GB2312" w:eastAsia="楷体_GB2312" w:cs="宋体"/>
      <w:b/>
      <w:bCs/>
      <w:sz w:val="28"/>
      <w:szCs w:val="20"/>
    </w:rPr>
  </w:style>
  <w:style w:type="paragraph" w:customStyle="1" w:styleId="402">
    <w:name w:val="p16"/>
    <w:basedOn w:val="1"/>
    <w:qFormat/>
    <w:uiPriority w:val="0"/>
    <w:pPr>
      <w:widowControl/>
    </w:pPr>
    <w:rPr>
      <w:kern w:val="0"/>
      <w:szCs w:val="21"/>
    </w:rPr>
  </w:style>
  <w:style w:type="paragraph" w:customStyle="1" w:styleId="403">
    <w:name w:val="表格"/>
    <w:basedOn w:val="1"/>
    <w:next w:val="1"/>
    <w:qFormat/>
    <w:uiPriority w:val="0"/>
    <w:pPr>
      <w:keepLines/>
      <w:topLinePunct/>
      <w:adjustRightInd w:val="0"/>
      <w:spacing w:line="240" w:lineRule="atLeast"/>
      <w:jc w:val="center"/>
    </w:pPr>
    <w:rPr>
      <w:kern w:val="0"/>
      <w:sz w:val="24"/>
      <w:szCs w:val="20"/>
    </w:rPr>
  </w:style>
  <w:style w:type="paragraph" w:customStyle="1" w:styleId="404">
    <w:name w:val="2"/>
    <w:basedOn w:val="1"/>
    <w:next w:val="45"/>
    <w:qFormat/>
    <w:uiPriority w:val="0"/>
    <w:rPr>
      <w:rFonts w:hint="eastAsia" w:ascii="宋体" w:hAnsi="Courier New"/>
      <w:szCs w:val="20"/>
    </w:rPr>
  </w:style>
  <w:style w:type="table" w:customStyle="1" w:styleId="405">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06">
    <w:name w:val="Table Normal1"/>
    <w:unhideWhenUsed/>
    <w:qFormat/>
    <w:uiPriority w:val="2"/>
    <w:pPr>
      <w:widowControl w:val="0"/>
    </w:pPr>
    <w:rPr>
      <w:sz w:val="22"/>
      <w:szCs w:val="22"/>
      <w:lang w:eastAsia="en-US"/>
    </w:rPr>
    <w:tblPr>
      <w:tblCellMar>
        <w:top w:w="0" w:type="dxa"/>
        <w:left w:w="0" w:type="dxa"/>
        <w:bottom w:w="0" w:type="dxa"/>
        <w:right w:w="0" w:type="dxa"/>
      </w:tblCellMar>
    </w:tblPr>
  </w:style>
  <w:style w:type="character" w:customStyle="1" w:styleId="407">
    <w:name w:val="标题 2 Char"/>
    <w:qFormat/>
    <w:uiPriority w:val="0"/>
    <w:rPr>
      <w:rFonts w:ascii="Arial" w:hAnsi="Arial" w:eastAsia="黑体"/>
      <w:b/>
      <w:bCs/>
      <w:kern w:val="2"/>
      <w:sz w:val="32"/>
      <w:szCs w:val="32"/>
      <w:lang w:val="en-US" w:eastAsia="zh-CN" w:bidi="ar-SA"/>
    </w:rPr>
  </w:style>
  <w:style w:type="paragraph" w:customStyle="1" w:styleId="408">
    <w:name w:val="修订1"/>
    <w:unhideWhenUsed/>
    <w:qFormat/>
    <w:uiPriority w:val="99"/>
    <w:rPr>
      <w:rFonts w:ascii="Times New Roman" w:hAnsi="Times New Roman" w:eastAsia="宋体" w:cs="Times New Roman"/>
      <w:kern w:val="2"/>
      <w:sz w:val="21"/>
      <w:szCs w:val="24"/>
      <w:lang w:val="en-US" w:eastAsia="zh-CN" w:bidi="ar-SA"/>
    </w:rPr>
  </w:style>
  <w:style w:type="character" w:customStyle="1" w:styleId="409">
    <w:name w:val="批注文字 字符1"/>
    <w:semiHidden/>
    <w:qFormat/>
    <w:locked/>
    <w:uiPriority w:val="99"/>
    <w:rPr>
      <w:kern w:val="2"/>
      <w:sz w:val="21"/>
      <w:szCs w:val="24"/>
    </w:rPr>
  </w:style>
  <w:style w:type="character" w:customStyle="1" w:styleId="410">
    <w:name w:val="批注文字 Char"/>
    <w:qFormat/>
    <w:locked/>
    <w:uiPriority w:val="0"/>
    <w:rPr>
      <w:kern w:val="2"/>
      <w:sz w:val="21"/>
      <w:szCs w:val="24"/>
    </w:rPr>
  </w:style>
  <w:style w:type="character" w:customStyle="1" w:styleId="411">
    <w:name w:val="Hyperlink.0"/>
    <w:qFormat/>
    <w:uiPriority w:val="0"/>
    <w:rPr>
      <w:rFonts w:ascii="宋体" w:hAnsi="宋体" w:eastAsia="宋体" w:cs="宋体"/>
      <w:kern w:val="0"/>
      <w:sz w:val="20"/>
      <w:szCs w:val="20"/>
    </w:rPr>
  </w:style>
  <w:style w:type="character" w:customStyle="1" w:styleId="412">
    <w:name w:val="font11"/>
    <w:basedOn w:val="90"/>
    <w:qFormat/>
    <w:uiPriority w:val="0"/>
    <w:rPr>
      <w:rFonts w:hint="eastAsia" w:ascii="宋体" w:hAnsi="宋体" w:eastAsia="宋体" w:cs="宋体"/>
      <w:color w:val="000000"/>
      <w:sz w:val="20"/>
      <w:szCs w:val="20"/>
      <w:u w:val="none"/>
    </w:rPr>
  </w:style>
  <w:style w:type="character" w:customStyle="1" w:styleId="413">
    <w:name w:val="font61"/>
    <w:basedOn w:val="90"/>
    <w:qFormat/>
    <w:uiPriority w:val="0"/>
    <w:rPr>
      <w:rFonts w:hint="default" w:ascii="Times New Roman" w:hAnsi="Times New Roman" w:cs="Times New Roman"/>
      <w:color w:val="000000"/>
      <w:sz w:val="20"/>
      <w:szCs w:val="20"/>
      <w:u w:val="none"/>
    </w:rPr>
  </w:style>
  <w:style w:type="character" w:customStyle="1" w:styleId="414">
    <w:name w:val="font81"/>
    <w:basedOn w:val="90"/>
    <w:qFormat/>
    <w:uiPriority w:val="0"/>
    <w:rPr>
      <w:rFonts w:ascii="Calibri" w:hAnsi="Calibri" w:cs="Calibri"/>
      <w:color w:val="000000"/>
      <w:sz w:val="20"/>
      <w:szCs w:val="20"/>
      <w:u w:val="none"/>
    </w:rPr>
  </w:style>
  <w:style w:type="character" w:customStyle="1" w:styleId="415">
    <w:name w:val="font41"/>
    <w:qFormat/>
    <w:uiPriority w:val="0"/>
    <w:rPr>
      <w:rFonts w:hint="eastAsia" w:ascii="宋体" w:hAnsi="宋体" w:eastAsia="宋体" w:cs="宋体"/>
      <w:b/>
      <w:bCs/>
      <w:color w:val="000000"/>
      <w:sz w:val="20"/>
      <w:szCs w:val="20"/>
      <w:u w:val="none"/>
    </w:rPr>
  </w:style>
  <w:style w:type="paragraph" w:customStyle="1" w:styleId="416">
    <w:name w:val="无间隔1"/>
    <w:qFormat/>
    <w:uiPriority w:val="1"/>
    <w:pPr>
      <w:widowControl w:val="0"/>
      <w:jc w:val="both"/>
    </w:pPr>
    <w:rPr>
      <w:rFonts w:ascii="Calibri" w:hAnsi="Calibri" w:eastAsia="宋体" w:cs="Times New Roman"/>
      <w:kern w:val="2"/>
      <w:sz w:val="21"/>
      <w:szCs w:val="24"/>
      <w:lang w:val="en-US" w:eastAsia="zh-CN" w:bidi="ar-SA"/>
    </w:rPr>
  </w:style>
  <w:style w:type="character" w:customStyle="1" w:styleId="417">
    <w:name w:val="font31"/>
    <w:basedOn w:val="90"/>
    <w:qFormat/>
    <w:uiPriority w:val="0"/>
    <w:rPr>
      <w:rFonts w:hint="default" w:ascii="Times New Roman" w:hAnsi="Times New Roman" w:cs="Times New Roman"/>
      <w:color w:val="000000"/>
      <w:sz w:val="20"/>
      <w:szCs w:val="20"/>
      <w:u w:val="none"/>
    </w:rPr>
  </w:style>
  <w:style w:type="character" w:customStyle="1" w:styleId="418">
    <w:name w:val="font51"/>
    <w:basedOn w:val="90"/>
    <w:qFormat/>
    <w:uiPriority w:val="0"/>
    <w:rPr>
      <w:rFonts w:ascii="Calibri" w:hAnsi="Calibri" w:cs="Calibri"/>
      <w:color w:val="000000"/>
      <w:sz w:val="20"/>
      <w:szCs w:val="20"/>
      <w:u w:val="none"/>
    </w:rPr>
  </w:style>
  <w:style w:type="paragraph" w:customStyle="1" w:styleId="41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microsoft.com/office/2006/relationships/keyMapCustomizations" Target="customizations.xml"/><Relationship Id="rId16" Type="http://schemas.openxmlformats.org/officeDocument/2006/relationships/numbering" Target="numbering.xml"/><Relationship Id="rId15" Type="http://schemas.openxmlformats.org/officeDocument/2006/relationships/image" Target="media/image2.jpe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127</Pages>
  <Words>88295</Words>
  <Characters>98914</Characters>
  <Lines>702</Lines>
  <Paragraphs>197</Paragraphs>
  <TotalTime>42</TotalTime>
  <ScaleCrop>false</ScaleCrop>
  <LinksUpToDate>false</LinksUpToDate>
  <CharactersWithSpaces>102692</CharactersWithSpaces>
  <Application>WPS Office_11.1.0.12650_F1E327BC-269C-435d-A152-05C5408002CA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2023-11-28T08:43:00Z</dcterms:created>
  <dc:creator>jcx</dc:creator>
  <cp:lastModifiedBy>czy</cp:lastModifiedBy>
  <cp:lastPrinted>2024-05-29T18:25:00Z</cp:lastPrinted>
  <dcterms:modified xsi:type="dcterms:W3CDTF">2026-07-22T07:57:40Z</dcterms:modified>
  <dc:title>招 标 文 件</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2052-11.1.0.12650</vt:lpwstr>
  </property>
  <property fmtid="{D5CDD505-2E9C-101B-9397-08002B2CF9AE}" pid="3" name="ICV">
    <vt:lpwstr>2569255DB20B49EBA604EA8799F7A1D9</vt:lpwstr>
  </property>
  <property fmtid="{D5CDD505-2E9C-101B-9397-08002B2CF9AE}" pid="4" name="KSOTemplateDocerSaveRecord">
    <vt:lpwstr>eyJoZGlkIjoiNjk2YTliY2VkMGM1ZjI4Y2FmYjU1MDljYjgwZDI3NzkiLCJ1c2VySWQiOiIyNjQzNDQ4NTAifQ==</vt:lpwstr>
  </property>
</Properties>
</file>