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6F" w:rsidRPr="00C26D6F" w:rsidRDefault="00C26D6F" w:rsidP="00C26D6F">
      <w:pPr>
        <w:rPr>
          <w:rFonts w:ascii="宋体" w:eastAsia="宋体" w:hAnsi="宋体" w:cs="Times New Roman" w:hint="eastAsia"/>
          <w:szCs w:val="21"/>
        </w:rPr>
      </w:pPr>
      <w:r w:rsidRPr="00C26D6F">
        <w:rPr>
          <w:rFonts w:ascii="宋体" w:eastAsia="宋体" w:hAnsi="宋体" w:cs="Times New Roman" w:hint="eastAsia"/>
          <w:szCs w:val="21"/>
        </w:rPr>
        <w:t>本项目共分1个包，，采购预算20.5万元（</w:t>
      </w:r>
      <w:r w:rsidRPr="00C26D6F">
        <w:rPr>
          <w:rFonts w:ascii="宋体" w:eastAsia="宋体" w:hAnsi="宋体" w:cs="Times New Roman" w:hint="eastAsia"/>
          <w:b/>
          <w:bCs/>
          <w:szCs w:val="21"/>
        </w:rPr>
        <w:t>核心产品：接触角测量仪</w:t>
      </w:r>
      <w:r w:rsidRPr="00C26D6F">
        <w:rPr>
          <w:rFonts w:ascii="宋体" w:eastAsia="宋体" w:hAnsi="宋体" w:cs="Times New Roman" w:hint="eastAsia"/>
          <w:szCs w:val="21"/>
        </w:rPr>
        <w:t>）。采购清单如下：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0"/>
        <w:gridCol w:w="1419"/>
        <w:gridCol w:w="665"/>
        <w:gridCol w:w="924"/>
        <w:gridCol w:w="1072"/>
        <w:gridCol w:w="3812"/>
      </w:tblGrid>
      <w:tr w:rsidR="00C26D6F" w:rsidRPr="00C26D6F" w:rsidTr="00883B6E"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Times New Roman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Times New Roman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货物（服务、工程）名称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Times New Roman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数量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Times New Roman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计量单位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是否进口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jc w:val="center"/>
              <w:rPr>
                <w:rFonts w:ascii="宋体" w:eastAsia="宋体" w:hAnsi="宋体" w:cs="Times New Roman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招标技术参数</w:t>
            </w:r>
          </w:p>
        </w:tc>
      </w:tr>
      <w:tr w:rsidR="00C26D6F" w:rsidRPr="00C26D6F" w:rsidTr="00883B6E">
        <w:trPr>
          <w:trHeight w:val="2208"/>
        </w:trPr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接触角测量仪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套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1、接触角测量范围：0~180度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2、接触角测量分辨率：0.01度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3、表面张力测量范围（悬滴法）：0.01～2000mN/m（毫牛顿/米）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4、样品台控制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a）前后移动 手动，行程50mm，精度0.1mm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b）左右移动 手动，行程50mm，精度0.1mm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c）上下移动 手动，行程45mm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d）水平调整 水平脚调整平台水平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e）样品台尺寸 70mm×100mm，样品尺寸（长×宽×高）≤100mm×∞×25mm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f）温度 常温；多种制冷/制热控温组件可在售前/售后持续选配扩展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5、进样器控制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a）上下移动 手动部分：齿条，行程25mm，精度0.1mm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b）手动可控旋钮式进样系统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6、CCD光学系统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a）光学放大 0.7～4.5×连续变倍（仅变倍参数，内置还有放大后置镜）图像放大率：50～318piexl/mm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Times New Roman" w:eastAsia="宋体" w:hAnsi="Times New Roman" w:cs="宋体" w:hint="eastAsia"/>
                <w:b/>
                <w:kern w:val="0"/>
                <w:szCs w:val="18"/>
                <w:lang/>
              </w:rPr>
              <w:t>☆</w:t>
            </w:r>
            <w:r w:rsidRPr="00C26D6F">
              <w:rPr>
                <w:rFonts w:ascii="宋体" w:eastAsia="宋体" w:hAnsi="宋体" w:cs="宋体" w:hint="eastAsia"/>
                <w:kern w:val="0"/>
                <w:sz w:val="20"/>
                <w:szCs w:val="20"/>
                <w:lang/>
              </w:rPr>
              <w:t>b）C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CD参数 标配USB3.0制式大恒数字CCD（MER-133-54U3M-L），采用ON AR0135帧曝光感光芯片，ON Semiconductor，代号：ON)，130万像素，54帧/秒  （可选配更高帧数和更高速度的CCD，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7、CCD控制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a）光源 LED可调单色冷光源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b）镜头前后调整 手动，行程10mm，精度0.1mm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c）镜头左右调整 手动，行程10mm，精度0.1mm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d）镜头俯视调整 手动倾角平台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Times New Roman" w:eastAsia="宋体" w:hAnsi="Times New Roman" w:cs="宋体" w:hint="eastAsia"/>
                <w:b/>
                <w:kern w:val="0"/>
                <w:szCs w:val="18"/>
                <w:lang/>
              </w:rPr>
              <w:t>☆</w:t>
            </w:r>
            <w:r w:rsidRPr="00C26D6F">
              <w:rPr>
                <w:rFonts w:ascii="宋体" w:eastAsia="宋体" w:hAnsi="宋体" w:cs="宋体" w:hint="eastAsia"/>
                <w:kern w:val="0"/>
                <w:sz w:val="20"/>
                <w:szCs w:val="20"/>
                <w:lang/>
              </w:rPr>
              <w:t>8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、POWEREACH®V2.11版影像采集分析专用软件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a）测量方式：半角量角法、半角量高法、自动测量法（圆拟合、椭圆拟合、杨-拉普拉斯）、五点拟合法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b）动态视频测量 自动触发  视频速度：标配54帧/秒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c）间隔存储 软件自由设定间隔时间1～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 xml:space="preserve">3600秒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d）动态接触角 前进角和后退角，如需测量滚动角应选配旋转平台或整体旋转机构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e）左右角对比 计算左右角并取平均值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f）液滴量控制 软件控制，精度≤0.1微升（需选配全自动精确进样装置）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g）表面自由能：ziman一液法、EOS平衡法、owens二液法、Wu氏二液法、louis酸碱三液法等多种方法可供选择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h）曲面校正 凹凸面接触角测量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i）软件升级   终身免费升级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9、仪器整体结构中包含七维运动调整模式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10、模块化设计、扩展型：无论售前或售后多年、JC2000D系列均可不换机持续扩展应用组件。</w:t>
            </w:r>
          </w:p>
        </w:tc>
      </w:tr>
      <w:tr w:rsidR="00C26D6F" w:rsidRPr="00C26D6F" w:rsidTr="00883B6E">
        <w:trPr>
          <w:trHeight w:val="1343"/>
        </w:trPr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高速冷冻离心机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套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是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1. 最高转速≥17,000rpm；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2. 最大离心力≥27,237×g；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3. 主机容量：≥30×1.5/2ml；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4. 可选12×5ml角转子用于5ml管离心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5. 离心时间控制：＜100分钟或持续离心；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6. 微处理器控制，可存储≥100个程序；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Times New Roman" w:eastAsia="宋体" w:hAnsi="Times New Roman" w:cs="宋体" w:hint="eastAsia"/>
                <w:b/>
                <w:kern w:val="0"/>
                <w:szCs w:val="18"/>
                <w:lang/>
              </w:rPr>
              <w:t>☆</w:t>
            </w:r>
            <w:r w:rsidRPr="00C26D6F">
              <w:rPr>
                <w:rFonts w:ascii="宋体" w:eastAsia="宋体" w:hAnsi="宋体" w:cs="宋体" w:hint="eastAsia"/>
                <w:kern w:val="0"/>
                <w:sz w:val="20"/>
                <w:szCs w:val="20"/>
                <w:lang/>
              </w:rPr>
              <w:t xml:space="preserve">7.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制冷温度：-20℃，具有“快速制冷”按键和功能，可使离心舱在5分钟 内下降并保持在4℃。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8. 特氟龙涂层离心腔防腐蚀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9. 独立的“PULSE”按键用于快速运行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10.定速计时功能，达到设定转速后再开始计时，确保精确离心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11.运行过程中可修改参数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Times New Roman" w:eastAsia="宋体" w:hAnsi="Times New Roman" w:cs="宋体" w:hint="eastAsia"/>
                <w:b/>
                <w:kern w:val="0"/>
                <w:szCs w:val="18"/>
                <w:lang/>
              </w:rPr>
              <w:t>☆</w:t>
            </w:r>
            <w:r w:rsidRPr="00C26D6F">
              <w:rPr>
                <w:rFonts w:ascii="宋体" w:eastAsia="宋体" w:hAnsi="宋体" w:cs="宋体" w:hint="eastAsia"/>
                <w:kern w:val="0"/>
                <w:sz w:val="20"/>
                <w:szCs w:val="20"/>
                <w:lang/>
              </w:rPr>
              <w:t>1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2.自动转子识别、落盖保护、安全盖锁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13.具有自动不平衡、过热和过速报警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14.9档加速和10档减速设置，保护如细胞等敏感样品。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15.开盖后压缩机自动关闭，防止结霜，延长寿命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16.提供冻存管、滤管和PCR管等多种角转头可配 </w:t>
            </w:r>
          </w:p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17.控制系统：微电脑控制，蓝屏数字显示；</w:t>
            </w:r>
          </w:p>
        </w:tc>
      </w:tr>
      <w:tr w:rsidR="00C26D6F" w:rsidRPr="00C26D6F" w:rsidTr="00883B6E">
        <w:trPr>
          <w:trHeight w:val="1426"/>
        </w:trPr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3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气氛管式炉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套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1.加热原件：掺钼铁铬铝合金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2.工作温度：最高温度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: 1200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℃ 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(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使用时必须通入惰性气体以防止炉管发生形变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)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工作温度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: 1100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℃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推荐升温速率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:≤ 20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℃ 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/min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/>
              </w:rPr>
              <w:t>3.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加热区：加热区长度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>: 400mm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4.控制方式：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PID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控制和自整定调节功能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智能化 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30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段可编程控制。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具有超温及断偶报警功能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.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控温精度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: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±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1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℃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Times New Roman" w:eastAsia="宋体" w:hAnsi="Times New Roman" w:cs="Times New Roman"/>
                <w:szCs w:val="24"/>
              </w:rPr>
            </w:pP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K 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型热电偶 </w:t>
            </w:r>
          </w:p>
          <w:p w:rsidR="00C26D6F" w:rsidRPr="00C26D6F" w:rsidRDefault="00C26D6F" w:rsidP="00C26D6F">
            <w:pPr>
              <w:widowControl/>
              <w:numPr>
                <w:ilvl w:val="0"/>
                <w:numId w:val="1"/>
              </w:numPr>
              <w:tabs>
                <w:tab w:val="left" w:pos="312"/>
              </w:tabs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真空度：双极旋片机械泵：</w:t>
            </w:r>
            <w:r w:rsidRPr="00C26D6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/>
              </w:rPr>
              <w:t xml:space="preserve">10^-2 torr .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分子泵机组：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10^-5 torr.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泄漏率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&lt;5 mtorr / min.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6.炉体 ：不小于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590×380×520mm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7.混气系统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质量流量控制器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供电电源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: 185~245V/50Hz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最大功耗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: 18W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量程范围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: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通道 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1: 1~199 SCCM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通道 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2: 1~499 SCCM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工作环境温度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: 5~45 ºC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最大耐压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: 3x106 Pa 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重复精度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±0.2% FS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机械压力表量程范围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:-0.1~0.15 MPa (0.01 MPa/grid)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静态混气室: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Φ80X120mm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截止阀: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Φ1/4”</w:t>
            </w: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不锈钢卡套截止阀</w:t>
            </w:r>
          </w:p>
          <w:p w:rsidR="00C26D6F" w:rsidRPr="00C26D6F" w:rsidRDefault="00C26D6F" w:rsidP="00C26D6F">
            <w:pPr>
              <w:widowControl/>
              <w:jc w:val="left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尺寸:不小于</w:t>
            </w:r>
            <w:r w:rsidRPr="00C26D6F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/>
              </w:rPr>
              <w:t>600x600x650 mm</w:t>
            </w:r>
          </w:p>
        </w:tc>
      </w:tr>
      <w:tr w:rsidR="00C26D6F" w:rsidRPr="00C26D6F" w:rsidTr="00883B6E">
        <w:trPr>
          <w:trHeight w:val="1148"/>
        </w:trPr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色谱科12管固相萃取装置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套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widowControl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12孔用于SPE装置上的专利螺旋式阀可精确控制流速;盖上带有支脚，当使用者将盖从固相萃取装置上取下时，可方便地放在工作台上。螺旋式耐溶剂真空表和减压阀提供更好的密封和真空控制。</w:t>
            </w:r>
          </w:p>
        </w:tc>
      </w:tr>
      <w:tr w:rsidR="00C26D6F" w:rsidRPr="00C26D6F" w:rsidTr="00883B6E">
        <w:tc>
          <w:tcPr>
            <w:tcW w:w="672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1575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干式氮吹仪</w:t>
            </w:r>
          </w:p>
        </w:tc>
        <w:tc>
          <w:tcPr>
            <w:tcW w:w="714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023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套</w:t>
            </w:r>
          </w:p>
        </w:tc>
        <w:tc>
          <w:tcPr>
            <w:tcW w:w="1200" w:type="dxa"/>
            <w:vAlign w:val="center"/>
          </w:tcPr>
          <w:p w:rsidR="00C26D6F" w:rsidRPr="00C26D6F" w:rsidRDefault="00C26D6F" w:rsidP="00C26D6F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</w:t>
            </w:r>
          </w:p>
        </w:tc>
        <w:tc>
          <w:tcPr>
            <w:tcW w:w="4104" w:type="dxa"/>
            <w:vAlign w:val="center"/>
          </w:tcPr>
          <w:p w:rsidR="00C26D6F" w:rsidRPr="00C26D6F" w:rsidRDefault="00C26D6F" w:rsidP="00C26D6F">
            <w:pPr>
              <w:numPr>
                <w:ilvl w:val="0"/>
                <w:numId w:val="2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 xml:space="preserve">样品可视化；  </w:t>
            </w:r>
          </w:p>
          <w:p w:rsidR="00C26D6F" w:rsidRPr="00C26D6F" w:rsidRDefault="00C26D6F" w:rsidP="00C26D6F">
            <w:pPr>
              <w:numPr>
                <w:ilvl w:val="0"/>
                <w:numId w:val="2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模块可选，配有5ml/12孔；</w:t>
            </w:r>
          </w:p>
          <w:p w:rsidR="00C26D6F" w:rsidRPr="00C26D6F" w:rsidRDefault="00C26D6F" w:rsidP="00C26D6F">
            <w:pPr>
              <w:spacing w:after="120"/>
              <w:ind w:firstLineChars="200" w:firstLine="4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3、每条吹扫针可独立控制；</w:t>
            </w:r>
          </w:p>
          <w:p w:rsidR="00C26D6F" w:rsidRPr="00C26D6F" w:rsidRDefault="00C26D6F" w:rsidP="00C26D6F">
            <w:pPr>
              <w:spacing w:after="120"/>
              <w:ind w:firstLineChars="200" w:firstLine="4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4、气腔高度可调节；</w:t>
            </w:r>
          </w:p>
          <w:p w:rsidR="00C26D6F" w:rsidRPr="00C26D6F" w:rsidRDefault="00C26D6F" w:rsidP="00C26D6F">
            <w:pPr>
              <w:numPr>
                <w:ilvl w:val="0"/>
                <w:numId w:val="3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 xml:space="preserve">自动故障检测及报警功能；  </w:t>
            </w:r>
          </w:p>
          <w:p w:rsidR="00C26D6F" w:rsidRPr="00C26D6F" w:rsidRDefault="00C26D6F" w:rsidP="00C26D6F">
            <w:pPr>
              <w:numPr>
                <w:ilvl w:val="0"/>
                <w:numId w:val="3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 xml:space="preserve">超温保护装置；  </w:t>
            </w:r>
          </w:p>
          <w:p w:rsidR="00C26D6F" w:rsidRPr="00C26D6F" w:rsidRDefault="00C26D6F" w:rsidP="00C26D6F">
            <w:pPr>
              <w:numPr>
                <w:ilvl w:val="0"/>
                <w:numId w:val="3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lastRenderedPageBreak/>
              <w:t xml:space="preserve">可选配流量计减压阀。  </w:t>
            </w:r>
          </w:p>
          <w:p w:rsidR="00C26D6F" w:rsidRPr="00C26D6F" w:rsidRDefault="00C26D6F" w:rsidP="00C26D6F">
            <w:pPr>
              <w:numPr>
                <w:ilvl w:val="0"/>
                <w:numId w:val="3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控温范围：室温+5℃~180℃；</w:t>
            </w:r>
          </w:p>
          <w:p w:rsidR="00C26D6F" w:rsidRPr="00C26D6F" w:rsidRDefault="00C26D6F" w:rsidP="00C26D6F">
            <w:pPr>
              <w:numPr>
                <w:ilvl w:val="0"/>
                <w:numId w:val="3"/>
              </w:numPr>
              <w:spacing w:after="1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 xml:space="preserve">升温时间：≤30min （从40℃升至180℃)；  </w:t>
            </w:r>
          </w:p>
          <w:p w:rsidR="00C26D6F" w:rsidRPr="00C26D6F" w:rsidRDefault="00C26D6F" w:rsidP="00C26D6F">
            <w:pPr>
              <w:spacing w:after="120"/>
              <w:ind w:left="105" w:firstLineChars="200" w:firstLine="4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10、控温精度：40~100℃：±0.5℃；</w:t>
            </w:r>
          </w:p>
          <w:p w:rsidR="00C26D6F" w:rsidRPr="00C26D6F" w:rsidRDefault="00C26D6F" w:rsidP="00C26D6F">
            <w:pPr>
              <w:spacing w:after="120"/>
              <w:ind w:left="105" w:firstLineChars="200" w:firstLine="4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 xml:space="preserve">11、温度精度：100~180℃：±1℃；  </w:t>
            </w:r>
          </w:p>
          <w:p w:rsidR="00C26D6F" w:rsidRPr="00C26D6F" w:rsidRDefault="00C26D6F" w:rsidP="00C26D6F">
            <w:pPr>
              <w:spacing w:after="120"/>
              <w:ind w:left="105" w:firstLineChars="200" w:firstLine="420"/>
              <w:rPr>
                <w:rFonts w:ascii="宋体" w:eastAsia="宋体" w:hAnsi="宋体" w:cs="宋体" w:hint="eastAsia"/>
                <w:szCs w:val="21"/>
              </w:rPr>
            </w:pPr>
            <w:r w:rsidRPr="00C26D6F">
              <w:rPr>
                <w:rFonts w:ascii="宋体" w:eastAsia="宋体" w:hAnsi="宋体" w:cs="宋体" w:hint="eastAsia"/>
                <w:szCs w:val="21"/>
              </w:rPr>
              <w:t>12、显示精度：0.1；  13、显示方式：LED显示； 14、氮气流量：0~10L/min；15、氮气压力：≤0.1MP</w:t>
            </w:r>
          </w:p>
        </w:tc>
      </w:tr>
    </w:tbl>
    <w:p w:rsidR="00C26D6F" w:rsidRPr="00C26D6F" w:rsidRDefault="00C26D6F" w:rsidP="00C26D6F">
      <w:pPr>
        <w:ind w:firstLine="422"/>
        <w:rPr>
          <w:rFonts w:ascii="宋体" w:eastAsia="宋体" w:hAnsi="宋体" w:cs="宋体"/>
          <w:b/>
          <w:bCs/>
          <w:szCs w:val="21"/>
        </w:rPr>
      </w:pPr>
      <w:r w:rsidRPr="00C26D6F">
        <w:rPr>
          <w:rFonts w:ascii="宋体" w:eastAsia="宋体" w:hAnsi="宋体" w:cs="宋体" w:hint="eastAsia"/>
          <w:b/>
          <w:bCs/>
          <w:szCs w:val="21"/>
        </w:rPr>
        <w:lastRenderedPageBreak/>
        <w:t>注：</w:t>
      </w:r>
    </w:p>
    <w:p w:rsidR="00C26D6F" w:rsidRPr="00C26D6F" w:rsidRDefault="00C26D6F" w:rsidP="00C26D6F">
      <w:pPr>
        <w:ind w:firstLine="420"/>
        <w:rPr>
          <w:rFonts w:ascii="宋体" w:eastAsia="宋体" w:hAnsi="宋体" w:cs="宋体"/>
          <w:b/>
          <w:bCs/>
          <w:szCs w:val="21"/>
        </w:rPr>
      </w:pPr>
      <w:r w:rsidRPr="00C26D6F">
        <w:rPr>
          <w:rFonts w:ascii="宋体" w:eastAsia="宋体" w:hAnsi="宋体" w:cs="宋体"/>
          <w:b/>
          <w:bCs/>
          <w:szCs w:val="21"/>
        </w:rPr>
        <w:t>1</w:t>
      </w:r>
      <w:r w:rsidRPr="00C26D6F">
        <w:rPr>
          <w:rFonts w:ascii="宋体" w:eastAsia="宋体" w:hAnsi="宋体" w:cs="宋体" w:hint="eastAsia"/>
          <w:b/>
          <w:bCs/>
          <w:szCs w:val="21"/>
        </w:rPr>
        <w:t>.供应商须提供所投产品详细的配置清单</w:t>
      </w:r>
      <w:r w:rsidRPr="00C26D6F">
        <w:rPr>
          <w:rFonts w:ascii="Times New Roman" w:eastAsia="宋体" w:hAnsi="Times New Roman" w:cs="Times New Roman" w:hint="eastAsia"/>
          <w:b/>
          <w:bCs/>
          <w:szCs w:val="21"/>
        </w:rPr>
        <w:t>；</w:t>
      </w:r>
    </w:p>
    <w:p w:rsidR="00C26D6F" w:rsidRPr="00C26D6F" w:rsidRDefault="00C26D6F" w:rsidP="00C26D6F">
      <w:pPr>
        <w:ind w:firstLine="422"/>
        <w:rPr>
          <w:rFonts w:ascii="Times New Roman" w:eastAsia="宋体" w:hAnsi="Times New Roman" w:cs="Times New Roman"/>
          <w:b/>
          <w:szCs w:val="21"/>
          <w:lang w:val="zh-CN"/>
        </w:rPr>
      </w:pPr>
      <w:r w:rsidRPr="00C26D6F">
        <w:rPr>
          <w:rFonts w:ascii="宋体" w:eastAsia="宋体" w:hAnsi="宋体" w:cs="宋体" w:hint="eastAsia"/>
          <w:b/>
          <w:szCs w:val="21"/>
        </w:rPr>
        <w:t>2</w:t>
      </w:r>
      <w:r w:rsidRPr="00C26D6F">
        <w:rPr>
          <w:rFonts w:ascii="宋体" w:eastAsia="宋体" w:hAnsi="宋体" w:cs="宋体" w:hint="eastAsia"/>
          <w:szCs w:val="21"/>
        </w:rPr>
        <w:t>.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本部分采购需求中涉及品牌、外形、规格型号、尺寸、重量均为参考，供应商可提供同等档次或更高档次产品；</w:t>
      </w:r>
    </w:p>
    <w:p w:rsidR="00C26D6F" w:rsidRPr="00C26D6F" w:rsidRDefault="00C26D6F" w:rsidP="00C26D6F">
      <w:pPr>
        <w:ind w:firstLine="422"/>
        <w:rPr>
          <w:rFonts w:ascii="Times New Roman" w:eastAsia="宋体" w:hAnsi="宋体" w:cs="宋体"/>
          <w:b/>
          <w:kern w:val="0"/>
          <w:szCs w:val="21"/>
        </w:rPr>
      </w:pPr>
      <w:r w:rsidRPr="00C26D6F">
        <w:rPr>
          <w:rFonts w:ascii="Times New Roman" w:eastAsia="宋体" w:hAnsi="Times New Roman" w:cs="Times New Roman" w:hint="eastAsia"/>
          <w:b/>
          <w:szCs w:val="21"/>
        </w:rPr>
        <w:t>3</w:t>
      </w:r>
      <w:r w:rsidRPr="00C26D6F">
        <w:rPr>
          <w:rFonts w:ascii="宋体" w:eastAsia="宋体" w:hAnsi="宋体" w:cs="宋体" w:hint="eastAsia"/>
          <w:szCs w:val="21"/>
        </w:rPr>
        <w:t>.</w:t>
      </w:r>
      <w:r w:rsidRPr="00C26D6F">
        <w:rPr>
          <w:rFonts w:ascii="宋体" w:eastAsia="宋体" w:hAnsi="宋体" w:cs="宋体" w:hint="eastAsia"/>
          <w:b/>
          <w:szCs w:val="21"/>
        </w:rPr>
        <w:t>上述技术指标</w:t>
      </w:r>
      <w:r w:rsidRPr="00C26D6F">
        <w:rPr>
          <w:rFonts w:ascii="宋体" w:eastAsia="宋体" w:hAnsi="宋体" w:cs="宋体"/>
          <w:b/>
          <w:szCs w:val="21"/>
        </w:rPr>
        <w:t>均为评审因素，</w:t>
      </w:r>
      <w:r w:rsidRPr="00C26D6F">
        <w:rPr>
          <w:rFonts w:ascii="Times New Roman" w:eastAsia="宋体" w:hAnsi="Times New Roman" w:cs="Times New Roman" w:hint="eastAsia"/>
          <w:b/>
          <w:szCs w:val="24"/>
        </w:rPr>
        <w:t>其中标注</w:t>
      </w:r>
      <w:r w:rsidRPr="00C26D6F">
        <w:rPr>
          <w:rFonts w:ascii="Times New Roman" w:eastAsia="宋体" w:hAnsi="Times New Roman" w:cs="宋体" w:hint="eastAsia"/>
          <w:b/>
          <w:kern w:val="0"/>
          <w:szCs w:val="18"/>
          <w:lang/>
        </w:rPr>
        <w:t>☆的技术参数</w:t>
      </w:r>
      <w:r w:rsidRPr="00C26D6F">
        <w:rPr>
          <w:rFonts w:ascii="Times New Roman" w:eastAsia="宋体" w:hAnsi="宋体" w:cs="宋体"/>
          <w:b/>
          <w:kern w:val="0"/>
          <w:szCs w:val="21"/>
        </w:rPr>
        <w:t>，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供应商在编制投标文件时</w:t>
      </w:r>
      <w:r w:rsidRPr="00C26D6F">
        <w:rPr>
          <w:rFonts w:ascii="Times New Roman" w:eastAsia="宋体" w:hAnsi="Times New Roman" w:cs="Times New Roman" w:hint="eastAsia"/>
          <w:b/>
          <w:szCs w:val="21"/>
        </w:rPr>
        <w:t>,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应提供所投设备原厂盖章的☆指标技术参数</w:t>
      </w:r>
      <w:r w:rsidRPr="00C26D6F">
        <w:rPr>
          <w:rFonts w:ascii="Times New Roman" w:eastAsia="宋体" w:hAnsi="Times New Roman" w:cs="Times New Roman" w:hint="eastAsia"/>
          <w:b/>
          <w:szCs w:val="21"/>
        </w:rPr>
        <w:t>证明</w:t>
      </w:r>
      <w:r w:rsidRPr="00C26D6F">
        <w:rPr>
          <w:rFonts w:ascii="Times New Roman" w:eastAsia="宋体" w:hAnsi="Times New Roman" w:cs="Times New Roman"/>
          <w:b/>
          <w:szCs w:val="21"/>
        </w:rPr>
        <w:t>材料</w:t>
      </w:r>
      <w:r w:rsidRPr="00C26D6F">
        <w:rPr>
          <w:rFonts w:ascii="Times New Roman" w:eastAsia="宋体" w:hAnsi="Times New Roman" w:cs="Times New Roman" w:hint="eastAsia"/>
          <w:b/>
          <w:szCs w:val="21"/>
        </w:rPr>
        <w:t>（要求原厂彩页文件）和售后服务承诺；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未提供技术参数</w:t>
      </w:r>
      <w:r w:rsidRPr="00C26D6F">
        <w:rPr>
          <w:rFonts w:ascii="Times New Roman" w:eastAsia="宋体" w:hAnsi="Times New Roman" w:cs="Times New Roman" w:hint="eastAsia"/>
          <w:b/>
          <w:szCs w:val="21"/>
        </w:rPr>
        <w:t>证明</w:t>
      </w:r>
      <w:r w:rsidRPr="00C26D6F">
        <w:rPr>
          <w:rFonts w:ascii="Times New Roman" w:eastAsia="宋体" w:hAnsi="Times New Roman" w:cs="Times New Roman"/>
          <w:b/>
          <w:szCs w:val="21"/>
        </w:rPr>
        <w:t>材料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、提供的技术参数</w:t>
      </w:r>
      <w:r w:rsidRPr="00C26D6F">
        <w:rPr>
          <w:rFonts w:ascii="Times New Roman" w:eastAsia="宋体" w:hAnsi="Times New Roman" w:cs="Times New Roman" w:hint="eastAsia"/>
          <w:b/>
          <w:szCs w:val="21"/>
        </w:rPr>
        <w:t>证明</w:t>
      </w:r>
      <w:r w:rsidRPr="00C26D6F">
        <w:rPr>
          <w:rFonts w:ascii="Times New Roman" w:eastAsia="宋体" w:hAnsi="Times New Roman" w:cs="Times New Roman"/>
          <w:b/>
          <w:szCs w:val="21"/>
        </w:rPr>
        <w:t>材料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不清晰或</w:t>
      </w:r>
      <w:r w:rsidRPr="00C26D6F">
        <w:rPr>
          <w:rFonts w:ascii="Times New Roman" w:eastAsia="宋体" w:hAnsi="Times New Roman" w:cs="Times New Roman"/>
          <w:b/>
          <w:szCs w:val="21"/>
          <w:lang w:val="zh-CN"/>
        </w:rPr>
        <w:t>不满足要求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的视为不满足相关参数按扣分处理，未提供售后服务承诺按扣分处理</w:t>
      </w:r>
      <w:r w:rsidRPr="00C26D6F">
        <w:rPr>
          <w:rFonts w:ascii="Times New Roman" w:eastAsia="宋体" w:hAnsi="宋体" w:cs="宋体" w:hint="eastAsia"/>
          <w:b/>
          <w:kern w:val="0"/>
          <w:szCs w:val="21"/>
        </w:rPr>
        <w:t>。</w:t>
      </w:r>
    </w:p>
    <w:p w:rsidR="00C26D6F" w:rsidRPr="00C26D6F" w:rsidRDefault="00C26D6F" w:rsidP="00C26D6F">
      <w:pPr>
        <w:ind w:firstLine="422"/>
        <w:rPr>
          <w:rFonts w:ascii="宋体" w:eastAsia="宋体" w:hAnsi="宋体" w:cs="Times New Roman" w:hint="eastAsia"/>
          <w:szCs w:val="21"/>
        </w:rPr>
      </w:pPr>
      <w:r w:rsidRPr="00C26D6F">
        <w:rPr>
          <w:rFonts w:ascii="Times New Roman" w:eastAsia="宋体" w:hAnsi="宋体" w:cs="宋体" w:hint="eastAsia"/>
          <w:b/>
          <w:kern w:val="0"/>
          <w:szCs w:val="21"/>
        </w:rPr>
        <w:t>4</w:t>
      </w:r>
      <w:r w:rsidRPr="00C26D6F">
        <w:rPr>
          <w:rFonts w:ascii="宋体" w:eastAsia="宋体" w:hAnsi="宋体" w:cs="宋体" w:hint="eastAsia"/>
          <w:szCs w:val="21"/>
        </w:rPr>
        <w:t>.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（实质性</w:t>
      </w:r>
      <w:r w:rsidRPr="00C26D6F">
        <w:rPr>
          <w:rFonts w:ascii="Times New Roman" w:eastAsia="宋体" w:hAnsi="Times New Roman" w:cs="Times New Roman"/>
          <w:b/>
          <w:szCs w:val="21"/>
          <w:lang w:val="zh-CN"/>
        </w:rPr>
        <w:t>响应</w:t>
      </w:r>
      <w:r w:rsidRPr="00C26D6F">
        <w:rPr>
          <w:rFonts w:ascii="Times New Roman" w:eastAsia="宋体" w:hAnsi="Times New Roman" w:cs="Times New Roman" w:hint="eastAsia"/>
          <w:b/>
          <w:szCs w:val="21"/>
          <w:lang w:val="zh-CN"/>
        </w:rPr>
        <w:t>）如简单复制竞争性磋商采购文件要求，视为未实质性响应采购需求，作废标处理。</w:t>
      </w:r>
    </w:p>
    <w:p w:rsidR="005A7C72" w:rsidRPr="00C26D6F" w:rsidRDefault="005A7C72"/>
    <w:sectPr w:rsidR="005A7C72" w:rsidRPr="00C26D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C72" w:rsidRPr="0047556E" w:rsidRDefault="005A7C72" w:rsidP="00C26D6F">
      <w:pPr>
        <w:rPr>
          <w:rFonts w:ascii="Tahoma" w:hAnsi="Tahoma"/>
          <w:sz w:val="24"/>
        </w:rPr>
      </w:pPr>
      <w:r>
        <w:separator/>
      </w:r>
    </w:p>
  </w:endnote>
  <w:endnote w:type="continuationSeparator" w:id="1">
    <w:p w:rsidR="005A7C72" w:rsidRPr="0047556E" w:rsidRDefault="005A7C72" w:rsidP="00C26D6F">
      <w:pPr>
        <w:rPr>
          <w:rFonts w:ascii="Tahoma" w:hAnsi="Tahoma"/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A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C72" w:rsidRPr="0047556E" w:rsidRDefault="005A7C72" w:rsidP="00C26D6F">
      <w:pPr>
        <w:rPr>
          <w:rFonts w:ascii="Tahoma" w:hAnsi="Tahoma"/>
          <w:sz w:val="24"/>
        </w:rPr>
      </w:pPr>
      <w:r>
        <w:separator/>
      </w:r>
    </w:p>
  </w:footnote>
  <w:footnote w:type="continuationSeparator" w:id="1">
    <w:p w:rsidR="005A7C72" w:rsidRPr="0047556E" w:rsidRDefault="005A7C72" w:rsidP="00C26D6F">
      <w:pPr>
        <w:rPr>
          <w:rFonts w:ascii="Tahoma" w:hAnsi="Tahoma"/>
          <w:sz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0303B4"/>
    <w:multiLevelType w:val="singleLevel"/>
    <w:tmpl w:val="960303B4"/>
    <w:lvl w:ilvl="0">
      <w:start w:val="1"/>
      <w:numFmt w:val="decimal"/>
      <w:suff w:val="nothing"/>
      <w:lvlText w:val="%1、"/>
      <w:lvlJc w:val="left"/>
    </w:lvl>
  </w:abstractNum>
  <w:abstractNum w:abstractNumId="1">
    <w:nsid w:val="FD912650"/>
    <w:multiLevelType w:val="singleLevel"/>
    <w:tmpl w:val="FD912650"/>
    <w:lvl w:ilvl="0">
      <w:start w:val="5"/>
      <w:numFmt w:val="decimal"/>
      <w:lvlText w:val="%1."/>
      <w:lvlJc w:val="left"/>
      <w:pPr>
        <w:tabs>
          <w:tab w:val="num" w:pos="312"/>
        </w:tabs>
      </w:pPr>
    </w:lvl>
  </w:abstractNum>
  <w:abstractNum w:abstractNumId="2">
    <w:nsid w:val="3B848CF2"/>
    <w:multiLevelType w:val="singleLevel"/>
    <w:tmpl w:val="3B848CF2"/>
    <w:lvl w:ilvl="0">
      <w:start w:val="5"/>
      <w:numFmt w:val="decimal"/>
      <w:suff w:val="nothing"/>
      <w:lvlText w:val="%1、"/>
      <w:lvlJc w:val="left"/>
      <w:pPr>
        <w:ind w:left="105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6D6F"/>
    <w:rsid w:val="005A7C72"/>
    <w:rsid w:val="00C26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26D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26D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26D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26D6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</Words>
  <Characters>2235</Characters>
  <Application>Microsoft Office Word</Application>
  <DocSecurity>0</DocSecurity>
  <Lines>18</Lines>
  <Paragraphs>5</Paragraphs>
  <ScaleCrop>false</ScaleCrop>
  <Company>微软用户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2021-06-24T08:02:00Z</dcterms:created>
  <dcterms:modified xsi:type="dcterms:W3CDTF">2021-06-24T08:02:00Z</dcterms:modified>
</cp:coreProperties>
</file>