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88"/>
        <w:tblW w:w="5000" w:type="pct"/>
        <w:tblInd w:w="0" w:type="dxa"/>
        <w:tblLayout w:type="autofit"/>
        <w:tblCellMar>
          <w:top w:w="0" w:type="dxa"/>
          <w:left w:w="108" w:type="dxa"/>
          <w:bottom w:w="0" w:type="dxa"/>
          <w:right w:w="108" w:type="dxa"/>
        </w:tblCellMar>
      </w:tblPr>
      <w:tblGrid>
        <w:gridCol w:w="3131"/>
        <w:gridCol w:w="5816"/>
      </w:tblGrid>
      <w:tr>
        <w:tblPrEx>
          <w:tblCellMar>
            <w:top w:w="0" w:type="dxa"/>
            <w:left w:w="108" w:type="dxa"/>
            <w:bottom w:w="0" w:type="dxa"/>
            <w:right w:w="108" w:type="dxa"/>
          </w:tblCellMar>
        </w:tblPrEx>
        <w:trPr>
          <w:trHeight w:val="630" w:hRule="atLeast"/>
        </w:trPr>
        <w:tc>
          <w:tcPr>
            <w:tcW w:w="1750" w:type="pct"/>
            <w:vMerge w:val="restart"/>
          </w:tcPr>
          <w:p>
            <w:pPr>
              <w:widowControl/>
              <w:jc w:val="left"/>
              <w:rPr>
                <w:rFonts w:ascii="宋体" w:hAnsi="宋体" w:cs="宋体"/>
                <w:kern w:val="0"/>
                <w:sz w:val="24"/>
                <w:highlight w:val="none"/>
              </w:rPr>
            </w:pPr>
          </w:p>
        </w:tc>
        <w:tc>
          <w:tcPr>
            <w:tcW w:w="3249" w:type="pct"/>
            <w:tcBorders>
              <w:left w:val="nil"/>
            </w:tcBorders>
            <w:vAlign w:val="center"/>
          </w:tcPr>
          <w:p>
            <w:pPr>
              <w:adjustRightInd w:val="0"/>
              <w:snapToGrid w:val="0"/>
              <w:jc w:val="right"/>
              <w:rPr>
                <w:rFonts w:ascii="宋体" w:hAnsi="宋体" w:cs="宋体"/>
                <w:sz w:val="30"/>
                <w:szCs w:val="30"/>
                <w:highlight w:val="none"/>
              </w:rPr>
            </w:pPr>
          </w:p>
        </w:tc>
      </w:tr>
      <w:tr>
        <w:tblPrEx>
          <w:tblCellMar>
            <w:top w:w="0" w:type="dxa"/>
            <w:left w:w="108" w:type="dxa"/>
            <w:bottom w:w="0" w:type="dxa"/>
            <w:right w:w="108" w:type="dxa"/>
          </w:tblCellMar>
        </w:tblPrEx>
        <w:trPr>
          <w:trHeight w:val="630" w:hRule="atLeast"/>
        </w:trPr>
        <w:tc>
          <w:tcPr>
            <w:tcW w:w="1750" w:type="pct"/>
            <w:vMerge w:val="continue"/>
            <w:vAlign w:val="center"/>
          </w:tcPr>
          <w:p>
            <w:pPr>
              <w:widowControl/>
              <w:jc w:val="left"/>
              <w:rPr>
                <w:rFonts w:ascii="宋体" w:hAnsi="宋体" w:cs="宋体"/>
                <w:sz w:val="30"/>
                <w:szCs w:val="30"/>
                <w:highlight w:val="none"/>
              </w:rPr>
            </w:pPr>
          </w:p>
        </w:tc>
        <w:tc>
          <w:tcPr>
            <w:tcW w:w="3249" w:type="pct"/>
            <w:tcBorders>
              <w:left w:val="nil"/>
            </w:tcBorders>
            <w:vAlign w:val="center"/>
          </w:tcPr>
          <w:p>
            <w:pPr>
              <w:widowControl/>
              <w:jc w:val="left"/>
              <w:rPr>
                <w:rFonts w:ascii="宋体" w:hAnsi="宋体" w:cs="宋体"/>
                <w:sz w:val="30"/>
                <w:szCs w:val="30"/>
                <w:highlight w:val="none"/>
              </w:rPr>
            </w:pPr>
          </w:p>
        </w:tc>
      </w:tr>
      <w:tr>
        <w:tblPrEx>
          <w:tblCellMar>
            <w:top w:w="0" w:type="dxa"/>
            <w:left w:w="108" w:type="dxa"/>
            <w:bottom w:w="0" w:type="dxa"/>
            <w:right w:w="108" w:type="dxa"/>
          </w:tblCellMar>
        </w:tblPrEx>
        <w:trPr>
          <w:trHeight w:val="630" w:hRule="atLeast"/>
        </w:trPr>
        <w:tc>
          <w:tcPr>
            <w:tcW w:w="1750" w:type="pct"/>
            <w:vMerge w:val="continue"/>
            <w:tcBorders>
              <w:bottom w:val="threeDEngrave" w:color="auto" w:sz="24" w:space="0"/>
            </w:tcBorders>
          </w:tcPr>
          <w:p>
            <w:pPr>
              <w:widowControl/>
              <w:jc w:val="right"/>
              <w:rPr>
                <w:rFonts w:ascii="宋体" w:hAnsi="宋体" w:cs="宋体"/>
                <w:sz w:val="30"/>
                <w:szCs w:val="30"/>
                <w:highlight w:val="none"/>
              </w:rPr>
            </w:pPr>
          </w:p>
        </w:tc>
        <w:tc>
          <w:tcPr>
            <w:tcW w:w="3249" w:type="pct"/>
            <w:tcBorders>
              <w:left w:val="nil"/>
              <w:bottom w:val="threeDEngrave" w:color="auto" w:sz="24" w:space="0"/>
            </w:tcBorders>
            <w:vAlign w:val="center"/>
          </w:tcPr>
          <w:p>
            <w:pPr>
              <w:wordWrap w:val="0"/>
              <w:jc w:val="right"/>
              <w:rPr>
                <w:rFonts w:ascii="宋体" w:hAnsi="宋体" w:cs="宋体"/>
                <w:b/>
                <w:sz w:val="30"/>
                <w:szCs w:val="30"/>
                <w:highlight w:val="none"/>
              </w:rPr>
            </w:pPr>
          </w:p>
        </w:tc>
      </w:tr>
      <w:tr>
        <w:tblPrEx>
          <w:tblCellMar>
            <w:top w:w="0" w:type="dxa"/>
            <w:left w:w="108" w:type="dxa"/>
            <w:bottom w:w="0" w:type="dxa"/>
            <w:right w:w="108" w:type="dxa"/>
          </w:tblCellMar>
        </w:tblPrEx>
        <w:trPr>
          <w:trHeight w:val="964" w:hRule="atLeast"/>
        </w:trPr>
        <w:tc>
          <w:tcPr>
            <w:tcW w:w="5000" w:type="pct"/>
            <w:gridSpan w:val="2"/>
            <w:tcBorders>
              <w:top w:val="threeDEngrave" w:color="auto" w:sz="24" w:space="0"/>
              <w:left w:val="nil"/>
              <w:right w:val="nil"/>
            </w:tcBorders>
            <w:vAlign w:val="center"/>
          </w:tcPr>
          <w:p>
            <w:pPr>
              <w:adjustRightInd w:val="0"/>
              <w:snapToGrid w:val="0"/>
              <w:jc w:val="right"/>
              <w:rPr>
                <w:rFonts w:hint="eastAsia" w:ascii="宋体" w:hAnsi="宋体" w:eastAsia="宋体" w:cs="宋体"/>
                <w:b/>
                <w:sz w:val="52"/>
                <w:szCs w:val="48"/>
                <w:highlight w:val="none"/>
                <w:lang w:eastAsia="zh-CN"/>
              </w:rPr>
            </w:pPr>
            <w:r>
              <w:rPr>
                <w:rFonts w:hint="eastAsia" w:ascii="宋体" w:hAnsi="宋体" w:cs="宋体"/>
                <w:b/>
                <w:sz w:val="52"/>
                <w:szCs w:val="48"/>
                <w:highlight w:val="none"/>
                <w:lang w:eastAsia="zh-CN"/>
              </w:rPr>
              <w:t>中南民族大学</w:t>
            </w:r>
          </w:p>
        </w:tc>
      </w:tr>
      <w:tr>
        <w:tblPrEx>
          <w:tblCellMar>
            <w:top w:w="0" w:type="dxa"/>
            <w:left w:w="108" w:type="dxa"/>
            <w:bottom w:w="0" w:type="dxa"/>
            <w:right w:w="108" w:type="dxa"/>
          </w:tblCellMar>
        </w:tblPrEx>
        <w:trPr>
          <w:trHeight w:val="964" w:hRule="atLeast"/>
        </w:trPr>
        <w:tc>
          <w:tcPr>
            <w:tcW w:w="5000" w:type="pct"/>
            <w:gridSpan w:val="2"/>
            <w:tcBorders>
              <w:left w:val="nil"/>
              <w:right w:val="nil"/>
            </w:tcBorders>
            <w:vAlign w:val="center"/>
          </w:tcPr>
          <w:p>
            <w:pPr>
              <w:adjustRightInd w:val="0"/>
              <w:snapToGrid w:val="0"/>
              <w:jc w:val="right"/>
              <w:rPr>
                <w:rFonts w:hint="default" w:ascii="宋体" w:hAnsi="宋体" w:eastAsia="宋体" w:cs="宋体"/>
                <w:b/>
                <w:sz w:val="44"/>
                <w:szCs w:val="44"/>
                <w:highlight w:val="none"/>
                <w:lang w:val="en-US" w:eastAsia="zh-CN"/>
              </w:rPr>
            </w:pPr>
            <w:r>
              <w:rPr>
                <w:rFonts w:hint="eastAsia" w:ascii="宋体" w:hAnsi="宋体" w:cs="宋体"/>
                <w:b/>
                <w:spacing w:val="-20"/>
                <w:sz w:val="44"/>
                <w:szCs w:val="44"/>
                <w:highlight w:val="none"/>
                <w:lang w:eastAsia="zh-CN"/>
              </w:rPr>
              <w:t>中南民族大学企业年金受托管理服务项目</w:t>
            </w:r>
            <w:r>
              <w:rPr>
                <w:rFonts w:hint="eastAsia" w:ascii="宋体" w:hAnsi="宋体" w:cs="宋体"/>
                <w:b/>
                <w:spacing w:val="-20"/>
                <w:sz w:val="44"/>
                <w:szCs w:val="44"/>
                <w:highlight w:val="none"/>
                <w:lang w:val="en-US" w:eastAsia="zh-CN"/>
              </w:rPr>
              <w:t>项目</w:t>
            </w:r>
          </w:p>
        </w:tc>
      </w:tr>
      <w:tr>
        <w:tblPrEx>
          <w:tblCellMar>
            <w:top w:w="0" w:type="dxa"/>
            <w:left w:w="108" w:type="dxa"/>
            <w:bottom w:w="0" w:type="dxa"/>
            <w:right w:w="108" w:type="dxa"/>
          </w:tblCellMar>
        </w:tblPrEx>
        <w:trPr>
          <w:trHeight w:val="964" w:hRule="atLeast"/>
        </w:trPr>
        <w:tc>
          <w:tcPr>
            <w:tcW w:w="5000" w:type="pct"/>
            <w:gridSpan w:val="2"/>
            <w:tcBorders>
              <w:top w:val="nil"/>
              <w:left w:val="nil"/>
              <w:bottom w:val="threeDEngrave" w:color="auto" w:sz="24" w:space="0"/>
              <w:right w:val="nil"/>
            </w:tcBorders>
            <w:vAlign w:val="center"/>
          </w:tcPr>
          <w:p>
            <w:pPr>
              <w:adjustRightInd w:val="0"/>
              <w:snapToGrid w:val="0"/>
              <w:jc w:val="right"/>
              <w:rPr>
                <w:rFonts w:ascii="宋体" w:hAnsi="宋体" w:cs="宋体"/>
                <w:b/>
                <w:sz w:val="48"/>
                <w:szCs w:val="44"/>
                <w:highlight w:val="none"/>
              </w:rPr>
            </w:pPr>
            <w:r>
              <w:rPr>
                <w:rFonts w:hint="eastAsia" w:ascii="宋体" w:hAnsi="宋体" w:cs="宋体"/>
                <w:b/>
                <w:sz w:val="48"/>
                <w:szCs w:val="44"/>
                <w:highlight w:val="none"/>
              </w:rPr>
              <w:t>招标文件</w:t>
            </w:r>
          </w:p>
        </w:tc>
      </w:tr>
      <w:tr>
        <w:tblPrEx>
          <w:tblCellMar>
            <w:top w:w="0" w:type="dxa"/>
            <w:left w:w="108" w:type="dxa"/>
            <w:bottom w:w="0" w:type="dxa"/>
            <w:right w:w="108" w:type="dxa"/>
          </w:tblCellMar>
        </w:tblPrEx>
        <w:trPr>
          <w:trHeight w:val="624" w:hRule="atLeast"/>
        </w:trPr>
        <w:tc>
          <w:tcPr>
            <w:tcW w:w="5000" w:type="pct"/>
            <w:gridSpan w:val="2"/>
            <w:tcBorders>
              <w:top w:val="threeDEngrave" w:color="auto" w:sz="24" w:space="0"/>
              <w:left w:val="nil"/>
              <w:bottom w:val="nil"/>
              <w:right w:val="nil"/>
            </w:tcBorders>
            <w:vAlign w:val="center"/>
          </w:tcPr>
          <w:p>
            <w:pPr>
              <w:wordWrap w:val="0"/>
              <w:adjustRightInd w:val="0"/>
              <w:snapToGrid w:val="0"/>
              <w:jc w:val="right"/>
              <w:rPr>
                <w:rFonts w:hint="default" w:ascii="宋体" w:hAnsi="宋体" w:eastAsia="宋体" w:cs="宋体"/>
                <w:b/>
                <w:sz w:val="30"/>
                <w:szCs w:val="30"/>
                <w:highlight w:val="none"/>
                <w:lang w:val="en-US" w:eastAsia="zh-CN"/>
              </w:rPr>
            </w:pPr>
            <w:r>
              <w:rPr>
                <w:rFonts w:hint="eastAsia" w:ascii="宋体" w:hAnsi="宋体" w:cs="宋体"/>
                <w:b/>
                <w:sz w:val="30"/>
                <w:szCs w:val="30"/>
                <w:highlight w:val="none"/>
              </w:rPr>
              <w:t>项目编号：HBT-23125052-265396</w:t>
            </w: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vAlign w:val="center"/>
          </w:tcPr>
          <w:p>
            <w:pPr>
              <w:adjustRightInd w:val="0"/>
              <w:snapToGrid w:val="0"/>
              <w:rPr>
                <w:rFonts w:ascii="宋体" w:hAnsi="宋体" w:cs="宋体"/>
                <w:sz w:val="32"/>
                <w:szCs w:val="32"/>
                <w:highlight w:val="none"/>
              </w:rPr>
            </w:pPr>
          </w:p>
        </w:tc>
      </w:tr>
      <w:tr>
        <w:tblPrEx>
          <w:tblCellMar>
            <w:top w:w="0" w:type="dxa"/>
            <w:left w:w="108" w:type="dxa"/>
            <w:bottom w:w="0" w:type="dxa"/>
            <w:right w:w="108" w:type="dxa"/>
          </w:tblCellMar>
        </w:tblPrEx>
        <w:trPr>
          <w:trHeight w:val="624" w:hRule="atLeast"/>
        </w:trPr>
        <w:tc>
          <w:tcPr>
            <w:tcW w:w="5000" w:type="pct"/>
            <w:gridSpan w:val="2"/>
            <w:vAlign w:val="center"/>
          </w:tcPr>
          <w:p>
            <w:pPr>
              <w:adjustRightInd w:val="0"/>
              <w:snapToGrid w:val="0"/>
              <w:rPr>
                <w:rFonts w:ascii="宋体" w:hAnsi="宋体" w:cs="宋体"/>
                <w:sz w:val="32"/>
                <w:szCs w:val="32"/>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tcPr>
          <w:p>
            <w:pPr>
              <w:adjustRightInd w:val="0"/>
              <w:snapToGrid w:val="0"/>
              <w:rPr>
                <w:rFonts w:ascii="宋体" w:hAnsi="宋体" w:cs="宋体"/>
                <w:sz w:val="30"/>
                <w:szCs w:val="30"/>
                <w:highlight w:val="none"/>
              </w:rPr>
            </w:pPr>
          </w:p>
        </w:tc>
      </w:tr>
      <w:tr>
        <w:tblPrEx>
          <w:tblCellMar>
            <w:top w:w="0" w:type="dxa"/>
            <w:left w:w="108" w:type="dxa"/>
            <w:bottom w:w="0" w:type="dxa"/>
            <w:right w:w="108" w:type="dxa"/>
          </w:tblCellMar>
        </w:tblPrEx>
        <w:trPr>
          <w:trHeight w:val="624" w:hRule="atLeast"/>
        </w:trPr>
        <w:tc>
          <w:tcPr>
            <w:tcW w:w="5000" w:type="pct"/>
            <w:gridSpan w:val="2"/>
            <w:vAlign w:val="center"/>
          </w:tcPr>
          <w:p>
            <w:pPr>
              <w:adjustRightInd w:val="0"/>
              <w:snapToGrid w:val="0"/>
              <w:rPr>
                <w:rFonts w:hint="eastAsia" w:ascii="宋体" w:hAnsi="宋体" w:eastAsia="宋体" w:cs="宋体"/>
                <w:b/>
                <w:sz w:val="32"/>
                <w:szCs w:val="32"/>
                <w:highlight w:val="none"/>
                <w:lang w:eastAsia="zh-CN"/>
              </w:rPr>
            </w:pPr>
            <w:r>
              <w:rPr>
                <w:rFonts w:hint="eastAsia" w:ascii="宋体" w:hAnsi="宋体" w:cs="宋体"/>
                <w:b/>
                <w:sz w:val="32"/>
                <w:szCs w:val="32"/>
                <w:highlight w:val="none"/>
              </w:rPr>
              <w:t>采 购 人：</w:t>
            </w:r>
            <w:r>
              <w:rPr>
                <w:rFonts w:hint="eastAsia" w:ascii="宋体" w:hAnsi="宋体" w:cs="宋体"/>
                <w:b/>
                <w:sz w:val="32"/>
                <w:szCs w:val="32"/>
                <w:highlight w:val="none"/>
                <w:lang w:eastAsia="zh-CN"/>
              </w:rPr>
              <w:t>中南民族大学</w:t>
            </w:r>
          </w:p>
        </w:tc>
      </w:tr>
      <w:tr>
        <w:tblPrEx>
          <w:tblCellMar>
            <w:top w:w="0" w:type="dxa"/>
            <w:left w:w="108" w:type="dxa"/>
            <w:bottom w:w="0" w:type="dxa"/>
            <w:right w:w="108" w:type="dxa"/>
          </w:tblCellMar>
        </w:tblPrEx>
        <w:trPr>
          <w:trHeight w:val="624" w:hRule="atLeast"/>
        </w:trPr>
        <w:tc>
          <w:tcPr>
            <w:tcW w:w="5000" w:type="pct"/>
            <w:gridSpan w:val="2"/>
            <w:vAlign w:val="center"/>
          </w:tcPr>
          <w:p>
            <w:pPr>
              <w:adjustRightInd w:val="0"/>
              <w:snapToGrid w:val="0"/>
              <w:rPr>
                <w:rFonts w:ascii="宋体" w:hAnsi="宋体" w:cs="宋体"/>
                <w:b/>
                <w:sz w:val="32"/>
                <w:szCs w:val="32"/>
                <w:highlight w:val="none"/>
              </w:rPr>
            </w:pPr>
            <w:r>
              <w:rPr>
                <w:rFonts w:hint="eastAsia" w:ascii="宋体" w:hAnsi="宋体" w:cs="宋体"/>
                <w:b/>
                <w:sz w:val="32"/>
                <w:szCs w:val="32"/>
                <w:highlight w:val="none"/>
              </w:rPr>
              <w:t>采购代理机构：湖北省招标股份有限公司</w:t>
            </w:r>
          </w:p>
        </w:tc>
      </w:tr>
      <w:tr>
        <w:tblPrEx>
          <w:tblCellMar>
            <w:top w:w="0" w:type="dxa"/>
            <w:left w:w="108" w:type="dxa"/>
            <w:bottom w:w="0" w:type="dxa"/>
            <w:right w:w="108" w:type="dxa"/>
          </w:tblCellMar>
        </w:tblPrEx>
        <w:trPr>
          <w:trHeight w:val="624" w:hRule="atLeast"/>
        </w:trPr>
        <w:tc>
          <w:tcPr>
            <w:tcW w:w="5000" w:type="pct"/>
            <w:gridSpan w:val="2"/>
            <w:vAlign w:val="center"/>
          </w:tcPr>
          <w:p>
            <w:pPr>
              <w:adjustRightInd w:val="0"/>
              <w:snapToGrid w:val="0"/>
              <w:rPr>
                <w:rFonts w:ascii="宋体" w:hAnsi="宋体" w:cs="宋体"/>
                <w:b/>
                <w:sz w:val="32"/>
                <w:szCs w:val="32"/>
                <w:highlight w:val="none"/>
              </w:rPr>
            </w:pPr>
            <w:r>
              <w:rPr>
                <w:rFonts w:hint="eastAsia" w:ascii="宋体" w:hAnsi="宋体" w:cs="宋体"/>
                <w:b/>
                <w:sz w:val="32"/>
                <w:szCs w:val="32"/>
                <w:highlight w:val="none"/>
              </w:rPr>
              <w:t>办公地址：武汉市武昌区中北路108号兴业银行大厦五层</w:t>
            </w:r>
          </w:p>
        </w:tc>
      </w:tr>
    </w:tbl>
    <w:p>
      <w:pPr>
        <w:jc w:val="center"/>
        <w:rPr>
          <w:rFonts w:ascii="宋体" w:hAnsi="宋体" w:cs="宋体"/>
          <w:b/>
          <w:sz w:val="44"/>
          <w:highlight w:val="none"/>
        </w:rPr>
        <w:sectPr>
          <w:headerReference r:id="rId5" w:type="first"/>
          <w:headerReference r:id="rId3" w:type="default"/>
          <w:headerReference r:id="rId4" w:type="even"/>
          <w:footerReference r:id="rId6" w:type="even"/>
          <w:type w:val="nextColumn"/>
          <w:pgSz w:w="11907" w:h="16840"/>
          <w:pgMar w:top="1247" w:right="1588" w:bottom="1247" w:left="1588" w:header="907" w:footer="907" w:gutter="0"/>
          <w:cols w:space="720" w:num="1"/>
          <w:titlePg/>
          <w:docGrid w:linePitch="312" w:charSpace="0"/>
        </w:sectPr>
      </w:pPr>
    </w:p>
    <w:p>
      <w:pPr>
        <w:spacing w:line="312" w:lineRule="auto"/>
        <w:jc w:val="center"/>
        <w:rPr>
          <w:rFonts w:ascii="宋体" w:hAnsi="宋体" w:cs="宋体"/>
          <w:b/>
          <w:sz w:val="32"/>
          <w:highlight w:val="none"/>
        </w:rPr>
      </w:pPr>
      <w:r>
        <w:rPr>
          <w:rFonts w:hint="eastAsia" w:ascii="宋体" w:hAnsi="宋体" w:cs="宋体"/>
          <w:b/>
          <w:sz w:val="32"/>
          <w:highlight w:val="none"/>
        </w:rPr>
        <w:t>目录</w:t>
      </w:r>
    </w:p>
    <w:p>
      <w:pPr>
        <w:pStyle w:val="59"/>
        <w:tabs>
          <w:tab w:val="right" w:leader="dot" w:pos="8731"/>
        </w:tabs>
        <w:rPr>
          <w:highlight w:val="none"/>
        </w:rPr>
      </w:pPr>
      <w:r>
        <w:rPr>
          <w:rFonts w:hint="eastAsia" w:ascii="宋体" w:hAnsi="宋体" w:cs="宋体"/>
          <w:b w:val="0"/>
          <w:sz w:val="18"/>
          <w:szCs w:val="18"/>
          <w:highlight w:val="none"/>
        </w:rPr>
        <w:fldChar w:fldCharType="begin"/>
      </w:r>
      <w:r>
        <w:rPr>
          <w:rFonts w:hint="eastAsia" w:ascii="宋体" w:hAnsi="宋体" w:cs="宋体"/>
          <w:b w:val="0"/>
          <w:sz w:val="18"/>
          <w:szCs w:val="18"/>
          <w:highlight w:val="none"/>
        </w:rPr>
        <w:instrText xml:space="preserve"> TOC \o "1-3" \h \z \u </w:instrText>
      </w:r>
      <w:r>
        <w:rPr>
          <w:rFonts w:hint="eastAsia" w:ascii="宋体" w:hAnsi="宋体" w:cs="宋体"/>
          <w:b w:val="0"/>
          <w:sz w:val="18"/>
          <w:szCs w:val="18"/>
          <w:highlight w:val="none"/>
        </w:rPr>
        <w:fldChar w:fldCharType="separate"/>
      </w: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_Toc32243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第一章 </w:t>
      </w:r>
      <w:r>
        <w:rPr>
          <w:rFonts w:hint="eastAsia" w:hAnsi="宋体" w:cs="宋体"/>
          <w:szCs w:val="32"/>
          <w:highlight w:val="none"/>
        </w:rPr>
        <w:t>投标邀请</w:t>
      </w:r>
      <w:r>
        <w:rPr>
          <w:highlight w:val="none"/>
        </w:rPr>
        <w:tab/>
      </w:r>
      <w:r>
        <w:rPr>
          <w:highlight w:val="none"/>
        </w:rPr>
        <w:fldChar w:fldCharType="begin"/>
      </w:r>
      <w:r>
        <w:rPr>
          <w:highlight w:val="none"/>
        </w:rPr>
        <w:instrText xml:space="preserve"> PAGEREF _Toc32243 \h </w:instrText>
      </w:r>
      <w:r>
        <w:rPr>
          <w:highlight w:val="none"/>
        </w:rPr>
        <w:fldChar w:fldCharType="separate"/>
      </w:r>
      <w:r>
        <w:rPr>
          <w:highlight w:val="none"/>
        </w:rPr>
        <w:t>1</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_Toc18892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第二章 </w:t>
      </w:r>
      <w:r>
        <w:rPr>
          <w:rFonts w:hint="eastAsia" w:hAnsi="宋体" w:cs="宋体"/>
          <w:szCs w:val="32"/>
          <w:highlight w:val="none"/>
        </w:rPr>
        <w:t>投标人须知</w:t>
      </w:r>
      <w:r>
        <w:rPr>
          <w:highlight w:val="none"/>
        </w:rPr>
        <w:tab/>
      </w:r>
      <w:r>
        <w:rPr>
          <w:highlight w:val="none"/>
        </w:rPr>
        <w:fldChar w:fldCharType="begin"/>
      </w:r>
      <w:r>
        <w:rPr>
          <w:highlight w:val="none"/>
        </w:rPr>
        <w:instrText xml:space="preserve"> PAGEREF _Toc18892 \h </w:instrText>
      </w:r>
      <w:r>
        <w:rPr>
          <w:highlight w:val="none"/>
        </w:rPr>
        <w:fldChar w:fldCharType="separate"/>
      </w:r>
      <w:r>
        <w:rPr>
          <w:highlight w:val="none"/>
        </w:rPr>
        <w:t>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_Toc964 </w:instrText>
      </w:r>
      <w:r>
        <w:rPr>
          <w:rFonts w:hint="eastAsia" w:ascii="宋体" w:hAnsi="宋体" w:cs="宋体"/>
          <w:szCs w:val="18"/>
          <w:highlight w:val="none"/>
        </w:rPr>
        <w:fldChar w:fldCharType="separate"/>
      </w:r>
      <w:r>
        <w:rPr>
          <w:rFonts w:hint="eastAsia" w:ascii="宋体" w:hAnsi="宋体" w:eastAsia="宋体" w:cs="宋体"/>
          <w:highlight w:val="none"/>
        </w:rPr>
        <w:t>投标人须知前附表</w:t>
      </w:r>
      <w:r>
        <w:rPr>
          <w:highlight w:val="none"/>
        </w:rPr>
        <w:tab/>
      </w:r>
      <w:r>
        <w:rPr>
          <w:highlight w:val="none"/>
        </w:rPr>
        <w:fldChar w:fldCharType="begin"/>
      </w:r>
      <w:r>
        <w:rPr>
          <w:highlight w:val="none"/>
        </w:rPr>
        <w:instrText xml:space="preserve"> PAGEREF _Toc964 \h </w:instrText>
      </w:r>
      <w:r>
        <w:rPr>
          <w:highlight w:val="none"/>
        </w:rPr>
        <w:fldChar w:fldCharType="separate"/>
      </w:r>
      <w:r>
        <w:rPr>
          <w:highlight w:val="none"/>
        </w:rPr>
        <w:t>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_Toc29503 </w:instrText>
      </w:r>
      <w:r>
        <w:rPr>
          <w:rFonts w:hint="eastAsia" w:ascii="宋体" w:hAnsi="宋体" w:cs="宋体"/>
          <w:szCs w:val="18"/>
          <w:highlight w:val="none"/>
        </w:rPr>
        <w:fldChar w:fldCharType="separate"/>
      </w:r>
      <w:r>
        <w:rPr>
          <w:rFonts w:hint="default" w:ascii="Arial" w:hAnsi="Arial" w:eastAsia="黑体" w:cs="Times New Roman"/>
          <w:bCs/>
          <w:kern w:val="2"/>
          <w:szCs w:val="28"/>
          <w:highlight w:val="none"/>
          <w:lang w:val="en-US" w:eastAsia="zh-CN" w:bidi="ar-SA"/>
        </w:rPr>
        <w:t xml:space="preserve">一、 </w:t>
      </w:r>
      <w:r>
        <w:rPr>
          <w:rFonts w:ascii="Arial" w:hAnsi="Arial" w:eastAsia="黑体" w:cs="Times New Roman"/>
          <w:bCs/>
          <w:kern w:val="2"/>
          <w:szCs w:val="28"/>
          <w:highlight w:val="none"/>
          <w:lang w:val="en-US" w:eastAsia="zh-CN" w:bidi="ar-SA"/>
        </w:rPr>
        <w:t>总则</w:t>
      </w:r>
      <w:r>
        <w:rPr>
          <w:highlight w:val="none"/>
        </w:rPr>
        <w:tab/>
      </w:r>
      <w:r>
        <w:rPr>
          <w:highlight w:val="none"/>
        </w:rPr>
        <w:fldChar w:fldCharType="begin"/>
      </w:r>
      <w:r>
        <w:rPr>
          <w:highlight w:val="none"/>
        </w:rPr>
        <w:instrText xml:space="preserve"> PAGEREF _Toc29503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_Toc10968 </w:instrText>
      </w:r>
      <w:r>
        <w:rPr>
          <w:rFonts w:hint="eastAsia" w:ascii="宋体" w:hAnsi="宋体" w:cs="宋体"/>
          <w:szCs w:val="18"/>
          <w:highlight w:val="none"/>
        </w:rPr>
        <w:fldChar w:fldCharType="separate"/>
      </w:r>
      <w:r>
        <w:rPr>
          <w:rFonts w:hint="eastAsia" w:ascii="宋体" w:hAnsi="宋体" w:eastAsia="宋体" w:cs="Arial"/>
          <w:kern w:val="2"/>
          <w:szCs w:val="24"/>
          <w:highlight w:val="none"/>
          <w:lang w:val="en-US" w:eastAsia="zh-CN" w:bidi="ar-SA"/>
        </w:rPr>
        <w:t xml:space="preserve">1.1 </w:t>
      </w:r>
      <w:r>
        <w:rPr>
          <w:rFonts w:ascii="宋体" w:hAnsi="宋体" w:eastAsia="宋体" w:cs="Arial"/>
          <w:kern w:val="2"/>
          <w:szCs w:val="24"/>
          <w:highlight w:val="none"/>
          <w:lang w:val="en-US" w:eastAsia="zh-CN" w:bidi="ar-SA"/>
        </w:rPr>
        <w:t>项目概况</w:t>
      </w:r>
      <w:r>
        <w:rPr>
          <w:highlight w:val="none"/>
        </w:rPr>
        <w:tab/>
      </w:r>
      <w:r>
        <w:rPr>
          <w:highlight w:val="none"/>
        </w:rPr>
        <w:fldChar w:fldCharType="begin"/>
      </w:r>
      <w:r>
        <w:rPr>
          <w:highlight w:val="none"/>
        </w:rPr>
        <w:instrText xml:space="preserve"> PAGEREF _Toc10968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_Toc5983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1.2</w:t>
      </w:r>
      <w:r>
        <w:rPr>
          <w:rFonts w:hint="eastAsia" w:ascii="宋体" w:hAnsi="宋体" w:eastAsia="宋体" w:cs="Arial"/>
          <w:kern w:val="2"/>
          <w:szCs w:val="24"/>
          <w:highlight w:val="none"/>
          <w:lang w:val="en-US" w:eastAsia="zh-CN" w:bidi="ar-SA"/>
        </w:rPr>
        <w:t xml:space="preserve"> </w:t>
      </w:r>
      <w:r>
        <w:rPr>
          <w:rFonts w:ascii="宋体" w:hAnsi="宋体" w:eastAsia="宋体" w:cs="Arial"/>
          <w:kern w:val="2"/>
          <w:szCs w:val="24"/>
          <w:highlight w:val="none"/>
          <w:lang w:val="en-US" w:eastAsia="zh-CN" w:bidi="ar-SA"/>
        </w:rPr>
        <w:t>资金来源和落实情况</w:t>
      </w:r>
      <w:r>
        <w:rPr>
          <w:highlight w:val="none"/>
        </w:rPr>
        <w:tab/>
      </w:r>
      <w:r>
        <w:rPr>
          <w:highlight w:val="none"/>
        </w:rPr>
        <w:fldChar w:fldCharType="begin"/>
      </w:r>
      <w:r>
        <w:rPr>
          <w:highlight w:val="none"/>
        </w:rPr>
        <w:instrText xml:space="preserve"> PAGEREF _Toc5983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_Toc26505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 xml:space="preserve">1.3 </w:t>
      </w:r>
      <w:r>
        <w:rPr>
          <w:rFonts w:hint="eastAsia" w:ascii="宋体" w:hAnsi="宋体" w:eastAsia="宋体" w:cs="Arial"/>
          <w:kern w:val="2"/>
          <w:szCs w:val="24"/>
          <w:highlight w:val="none"/>
          <w:lang w:val="en-US" w:eastAsia="zh-CN" w:bidi="ar-SA"/>
        </w:rPr>
        <w:t>服务期限及付款方式</w:t>
      </w:r>
      <w:r>
        <w:rPr>
          <w:highlight w:val="none"/>
        </w:rPr>
        <w:tab/>
      </w:r>
      <w:r>
        <w:rPr>
          <w:highlight w:val="none"/>
        </w:rPr>
        <w:fldChar w:fldCharType="begin"/>
      </w:r>
      <w:r>
        <w:rPr>
          <w:highlight w:val="none"/>
        </w:rPr>
        <w:instrText xml:space="preserve"> PAGEREF _Toc26505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_Toc1724 </w:instrText>
      </w:r>
      <w:r>
        <w:rPr>
          <w:rFonts w:hint="eastAsia" w:ascii="宋体" w:hAnsi="宋体" w:cs="宋体"/>
          <w:szCs w:val="18"/>
          <w:highlight w:val="none"/>
        </w:rPr>
        <w:fldChar w:fldCharType="separate"/>
      </w:r>
      <w:r>
        <w:rPr>
          <w:rFonts w:ascii="宋体" w:hAnsi="宋体" w:eastAsia="宋体" w:cs="Arial"/>
          <w:kern w:val="2"/>
          <w:szCs w:val="24"/>
          <w:highlight w:val="none"/>
          <w:lang w:val="en-US" w:eastAsia="zh-CN" w:bidi="ar-SA"/>
        </w:rPr>
        <w:t xml:space="preserve">1.4 </w:t>
      </w:r>
      <w:r>
        <w:rPr>
          <w:rFonts w:hint="eastAsia" w:ascii="宋体" w:hAnsi="宋体" w:eastAsia="宋体" w:cs="Arial"/>
          <w:kern w:val="2"/>
          <w:szCs w:val="24"/>
          <w:highlight w:val="none"/>
          <w:lang w:val="en-US" w:eastAsia="zh-CN" w:bidi="ar-SA"/>
        </w:rPr>
        <w:t>投标人</w:t>
      </w:r>
      <w:r>
        <w:rPr>
          <w:rFonts w:ascii="宋体" w:hAnsi="宋体" w:eastAsia="宋体" w:cs="Arial"/>
          <w:kern w:val="2"/>
          <w:szCs w:val="24"/>
          <w:highlight w:val="none"/>
          <w:lang w:val="en-US" w:eastAsia="zh-CN" w:bidi="ar-SA"/>
        </w:rPr>
        <w:t>资格要求</w:t>
      </w:r>
      <w:r>
        <w:rPr>
          <w:highlight w:val="none"/>
        </w:rPr>
        <w:tab/>
      </w:r>
      <w:r>
        <w:rPr>
          <w:highlight w:val="none"/>
        </w:rPr>
        <w:fldChar w:fldCharType="begin"/>
      </w:r>
      <w:r>
        <w:rPr>
          <w:highlight w:val="none"/>
        </w:rPr>
        <w:instrText xml:space="preserve"> PAGEREF _Toc1724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_Toc18239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1.5 费用承担</w:t>
      </w:r>
      <w:r>
        <w:rPr>
          <w:highlight w:val="none"/>
        </w:rPr>
        <w:tab/>
      </w:r>
      <w:r>
        <w:rPr>
          <w:highlight w:val="none"/>
        </w:rPr>
        <w:fldChar w:fldCharType="begin"/>
      </w:r>
      <w:r>
        <w:rPr>
          <w:highlight w:val="none"/>
        </w:rPr>
        <w:instrText xml:space="preserve"> PAGEREF _Toc18239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_Toc979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1.6 保密</w:t>
      </w:r>
      <w:r>
        <w:rPr>
          <w:highlight w:val="none"/>
        </w:rPr>
        <w:tab/>
      </w:r>
      <w:r>
        <w:rPr>
          <w:highlight w:val="none"/>
        </w:rPr>
        <w:fldChar w:fldCharType="begin"/>
      </w:r>
      <w:r>
        <w:rPr>
          <w:highlight w:val="none"/>
        </w:rPr>
        <w:instrText xml:space="preserve"> PAGEREF _Toc979 \h </w:instrText>
      </w:r>
      <w:r>
        <w:rPr>
          <w:highlight w:val="none"/>
        </w:rPr>
        <w:fldChar w:fldCharType="separate"/>
      </w:r>
      <w:r>
        <w:rPr>
          <w:highlight w:val="none"/>
        </w:rPr>
        <w:t>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_Toc2669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1.7 语言文字</w:t>
      </w:r>
      <w:r>
        <w:rPr>
          <w:highlight w:val="none"/>
        </w:rPr>
        <w:tab/>
      </w:r>
      <w:r>
        <w:rPr>
          <w:highlight w:val="none"/>
        </w:rPr>
        <w:fldChar w:fldCharType="begin"/>
      </w:r>
      <w:r>
        <w:rPr>
          <w:highlight w:val="none"/>
        </w:rPr>
        <w:instrText xml:space="preserve"> PAGEREF _Toc2669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_Toc23950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1.8 计量单位</w:t>
      </w:r>
      <w:r>
        <w:rPr>
          <w:highlight w:val="none"/>
        </w:rPr>
        <w:tab/>
      </w:r>
      <w:r>
        <w:rPr>
          <w:highlight w:val="none"/>
        </w:rPr>
        <w:fldChar w:fldCharType="begin"/>
      </w:r>
      <w:r>
        <w:rPr>
          <w:highlight w:val="none"/>
        </w:rPr>
        <w:instrText xml:space="preserve"> PAGEREF _Toc23950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_Toc7058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1.9 踏勘现场</w:t>
      </w:r>
      <w:r>
        <w:rPr>
          <w:highlight w:val="none"/>
        </w:rPr>
        <w:tab/>
      </w:r>
      <w:r>
        <w:rPr>
          <w:highlight w:val="none"/>
        </w:rPr>
        <w:fldChar w:fldCharType="begin"/>
      </w:r>
      <w:r>
        <w:rPr>
          <w:highlight w:val="none"/>
        </w:rPr>
        <w:instrText xml:space="preserve"> PAGEREF _Toc7058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_Toc14012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1.10 投标预备会</w:t>
      </w:r>
      <w:r>
        <w:rPr>
          <w:highlight w:val="none"/>
        </w:rPr>
        <w:tab/>
      </w:r>
      <w:r>
        <w:rPr>
          <w:highlight w:val="none"/>
        </w:rPr>
        <w:fldChar w:fldCharType="begin"/>
      </w:r>
      <w:r>
        <w:rPr>
          <w:highlight w:val="none"/>
        </w:rPr>
        <w:instrText xml:space="preserve"> PAGEREF _Toc14012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_Toc13128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1.11 中标后分包</w:t>
      </w:r>
      <w:r>
        <w:rPr>
          <w:highlight w:val="none"/>
        </w:rPr>
        <w:tab/>
      </w:r>
      <w:r>
        <w:rPr>
          <w:highlight w:val="none"/>
        </w:rPr>
        <w:fldChar w:fldCharType="begin"/>
      </w:r>
      <w:r>
        <w:rPr>
          <w:highlight w:val="none"/>
        </w:rPr>
        <w:instrText xml:space="preserve"> PAGEREF _Toc13128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_Toc10873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1.12 政府采购政策</w:t>
      </w:r>
      <w:r>
        <w:rPr>
          <w:highlight w:val="none"/>
        </w:rPr>
        <w:tab/>
      </w:r>
      <w:r>
        <w:rPr>
          <w:highlight w:val="none"/>
        </w:rPr>
        <w:fldChar w:fldCharType="begin"/>
      </w:r>
      <w:r>
        <w:rPr>
          <w:highlight w:val="none"/>
        </w:rPr>
        <w:instrText xml:space="preserve"> PAGEREF _Toc10873 \h </w:instrText>
      </w:r>
      <w:r>
        <w:rPr>
          <w:highlight w:val="none"/>
        </w:rPr>
        <w:fldChar w:fldCharType="separate"/>
      </w:r>
      <w:r>
        <w:rPr>
          <w:highlight w:val="none"/>
        </w:rPr>
        <w:t>10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_Toc14744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二、 </w:t>
      </w:r>
      <w:r>
        <w:rPr>
          <w:rFonts w:hint="eastAsia" w:ascii="宋体" w:hAnsi="宋体" w:eastAsia="宋体" w:cs="宋体"/>
          <w:bCs/>
          <w:kern w:val="2"/>
          <w:szCs w:val="28"/>
          <w:highlight w:val="none"/>
          <w:lang w:val="en-US" w:eastAsia="zh-CN" w:bidi="ar-SA"/>
        </w:rPr>
        <w:t>招标文件</w:t>
      </w:r>
      <w:r>
        <w:rPr>
          <w:highlight w:val="none"/>
        </w:rPr>
        <w:tab/>
      </w:r>
      <w:r>
        <w:rPr>
          <w:highlight w:val="none"/>
        </w:rPr>
        <w:fldChar w:fldCharType="begin"/>
      </w:r>
      <w:r>
        <w:rPr>
          <w:highlight w:val="none"/>
        </w:rPr>
        <w:instrText xml:space="preserve"> PAGEREF _Toc14744 \h </w:instrText>
      </w:r>
      <w:r>
        <w:rPr>
          <w:highlight w:val="none"/>
        </w:rPr>
        <w:fldChar w:fldCharType="separate"/>
      </w:r>
      <w:r>
        <w:rPr>
          <w:highlight w:val="none"/>
        </w:rPr>
        <w:t>11</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_Toc15511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2.1 招标文件的组成</w:t>
      </w:r>
      <w:r>
        <w:rPr>
          <w:highlight w:val="none"/>
        </w:rPr>
        <w:tab/>
      </w:r>
      <w:r>
        <w:rPr>
          <w:highlight w:val="none"/>
        </w:rPr>
        <w:fldChar w:fldCharType="begin"/>
      </w:r>
      <w:r>
        <w:rPr>
          <w:highlight w:val="none"/>
        </w:rPr>
        <w:instrText xml:space="preserve"> PAGEREF _Toc15511 \h </w:instrText>
      </w:r>
      <w:r>
        <w:rPr>
          <w:highlight w:val="none"/>
        </w:rPr>
        <w:fldChar w:fldCharType="separate"/>
      </w:r>
      <w:r>
        <w:rPr>
          <w:highlight w:val="none"/>
        </w:rPr>
        <w:t>11</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_Toc14132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2.2 招标文件的澄清或者修改</w:t>
      </w:r>
      <w:r>
        <w:rPr>
          <w:highlight w:val="none"/>
        </w:rPr>
        <w:tab/>
      </w:r>
      <w:r>
        <w:rPr>
          <w:highlight w:val="none"/>
        </w:rPr>
        <w:fldChar w:fldCharType="begin"/>
      </w:r>
      <w:r>
        <w:rPr>
          <w:highlight w:val="none"/>
        </w:rPr>
        <w:instrText xml:space="preserve"> PAGEREF _Toc14132 \h </w:instrText>
      </w:r>
      <w:r>
        <w:rPr>
          <w:highlight w:val="none"/>
        </w:rPr>
        <w:fldChar w:fldCharType="separate"/>
      </w:r>
      <w:r>
        <w:rPr>
          <w:highlight w:val="none"/>
        </w:rPr>
        <w:t>12</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_Toc16005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三、 </w:t>
      </w:r>
      <w:r>
        <w:rPr>
          <w:rFonts w:hint="eastAsia" w:ascii="宋体" w:hAnsi="宋体" w:eastAsia="宋体" w:cs="宋体"/>
          <w:bCs/>
          <w:kern w:val="2"/>
          <w:szCs w:val="28"/>
          <w:highlight w:val="none"/>
          <w:lang w:val="en-US" w:eastAsia="zh-CN" w:bidi="ar-SA"/>
        </w:rPr>
        <w:t>投标文件</w:t>
      </w:r>
      <w:r>
        <w:rPr>
          <w:highlight w:val="none"/>
        </w:rPr>
        <w:tab/>
      </w:r>
      <w:r>
        <w:rPr>
          <w:highlight w:val="none"/>
        </w:rPr>
        <w:fldChar w:fldCharType="begin"/>
      </w:r>
      <w:r>
        <w:rPr>
          <w:highlight w:val="none"/>
        </w:rPr>
        <w:instrText xml:space="preserve"> PAGEREF _Toc16005 \h </w:instrText>
      </w:r>
      <w:r>
        <w:rPr>
          <w:highlight w:val="none"/>
        </w:rPr>
        <w:fldChar w:fldCharType="separate"/>
      </w:r>
      <w:r>
        <w:rPr>
          <w:highlight w:val="none"/>
        </w:rPr>
        <w:t>12</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_Toc32071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3.1 投标文件的组成</w:t>
      </w:r>
      <w:r>
        <w:rPr>
          <w:highlight w:val="none"/>
        </w:rPr>
        <w:tab/>
      </w:r>
      <w:r>
        <w:rPr>
          <w:highlight w:val="none"/>
        </w:rPr>
        <w:fldChar w:fldCharType="begin"/>
      </w:r>
      <w:r>
        <w:rPr>
          <w:highlight w:val="none"/>
        </w:rPr>
        <w:instrText xml:space="preserve"> PAGEREF _Toc32071 \h </w:instrText>
      </w:r>
      <w:r>
        <w:rPr>
          <w:highlight w:val="none"/>
        </w:rPr>
        <w:fldChar w:fldCharType="separate"/>
      </w:r>
      <w:r>
        <w:rPr>
          <w:highlight w:val="none"/>
        </w:rPr>
        <w:t>12</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_Toc21583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3.2 投标报价</w:t>
      </w:r>
      <w:r>
        <w:rPr>
          <w:highlight w:val="none"/>
        </w:rPr>
        <w:tab/>
      </w:r>
      <w:r>
        <w:rPr>
          <w:highlight w:val="none"/>
        </w:rPr>
        <w:fldChar w:fldCharType="begin"/>
      </w:r>
      <w:r>
        <w:rPr>
          <w:highlight w:val="none"/>
        </w:rPr>
        <w:instrText xml:space="preserve"> PAGEREF _Toc21583 \h </w:instrText>
      </w:r>
      <w:r>
        <w:rPr>
          <w:highlight w:val="none"/>
        </w:rPr>
        <w:fldChar w:fldCharType="separate"/>
      </w:r>
      <w:r>
        <w:rPr>
          <w:highlight w:val="none"/>
        </w:rPr>
        <w:t>12</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_Toc8441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3.3 投标有效期</w:t>
      </w:r>
      <w:r>
        <w:rPr>
          <w:highlight w:val="none"/>
        </w:rPr>
        <w:tab/>
      </w:r>
      <w:r>
        <w:rPr>
          <w:highlight w:val="none"/>
        </w:rPr>
        <w:fldChar w:fldCharType="begin"/>
      </w:r>
      <w:r>
        <w:rPr>
          <w:highlight w:val="none"/>
        </w:rPr>
        <w:instrText xml:space="preserve"> PAGEREF _Toc8441 \h </w:instrText>
      </w:r>
      <w:r>
        <w:rPr>
          <w:highlight w:val="none"/>
        </w:rPr>
        <w:fldChar w:fldCharType="separate"/>
      </w:r>
      <w:r>
        <w:rPr>
          <w:highlight w:val="none"/>
        </w:rPr>
        <w:t>13</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_Toc25252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3.4 投标保证金</w:t>
      </w:r>
      <w:r>
        <w:rPr>
          <w:highlight w:val="none"/>
        </w:rPr>
        <w:tab/>
      </w:r>
      <w:r>
        <w:rPr>
          <w:highlight w:val="none"/>
        </w:rPr>
        <w:fldChar w:fldCharType="begin"/>
      </w:r>
      <w:r>
        <w:rPr>
          <w:highlight w:val="none"/>
        </w:rPr>
        <w:instrText xml:space="preserve"> PAGEREF _Toc25252 \h </w:instrText>
      </w:r>
      <w:r>
        <w:rPr>
          <w:highlight w:val="none"/>
        </w:rPr>
        <w:fldChar w:fldCharType="separate"/>
      </w:r>
      <w:r>
        <w:rPr>
          <w:highlight w:val="none"/>
        </w:rPr>
        <w:t>13</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_Toc4058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3.5 备选投标方案</w:t>
      </w:r>
      <w:r>
        <w:rPr>
          <w:highlight w:val="none"/>
        </w:rPr>
        <w:tab/>
      </w:r>
      <w:r>
        <w:rPr>
          <w:highlight w:val="none"/>
        </w:rPr>
        <w:fldChar w:fldCharType="begin"/>
      </w:r>
      <w:r>
        <w:rPr>
          <w:highlight w:val="none"/>
        </w:rPr>
        <w:instrText xml:space="preserve"> PAGEREF _Toc4058 \h </w:instrText>
      </w:r>
      <w:r>
        <w:rPr>
          <w:highlight w:val="none"/>
        </w:rPr>
        <w:fldChar w:fldCharType="separate"/>
      </w:r>
      <w:r>
        <w:rPr>
          <w:highlight w:val="none"/>
        </w:rPr>
        <w:t>13</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_Toc13831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3.6 投标文件的编制</w:t>
      </w:r>
      <w:r>
        <w:rPr>
          <w:highlight w:val="none"/>
        </w:rPr>
        <w:tab/>
      </w:r>
      <w:r>
        <w:rPr>
          <w:highlight w:val="none"/>
        </w:rPr>
        <w:fldChar w:fldCharType="begin"/>
      </w:r>
      <w:r>
        <w:rPr>
          <w:highlight w:val="none"/>
        </w:rPr>
        <w:instrText xml:space="preserve"> PAGEREF _Toc13831 \h </w:instrText>
      </w:r>
      <w:r>
        <w:rPr>
          <w:highlight w:val="none"/>
        </w:rPr>
        <w:fldChar w:fldCharType="separate"/>
      </w:r>
      <w:r>
        <w:rPr>
          <w:highlight w:val="none"/>
        </w:rPr>
        <w:t>13</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_Toc27849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四、 </w:t>
      </w:r>
      <w:r>
        <w:rPr>
          <w:rFonts w:hint="eastAsia" w:ascii="宋体" w:hAnsi="宋体" w:eastAsia="宋体" w:cs="宋体"/>
          <w:bCs/>
          <w:kern w:val="2"/>
          <w:szCs w:val="28"/>
          <w:highlight w:val="none"/>
          <w:lang w:val="en-US" w:eastAsia="zh-CN" w:bidi="ar-SA"/>
        </w:rPr>
        <w:t>投标</w:t>
      </w:r>
      <w:r>
        <w:rPr>
          <w:highlight w:val="none"/>
        </w:rPr>
        <w:tab/>
      </w:r>
      <w:r>
        <w:rPr>
          <w:highlight w:val="none"/>
        </w:rPr>
        <w:fldChar w:fldCharType="begin"/>
      </w:r>
      <w:r>
        <w:rPr>
          <w:highlight w:val="none"/>
        </w:rPr>
        <w:instrText xml:space="preserve"> PAGEREF _Toc27849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_Toc29846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4.1 投标文件的密封和标记</w:t>
      </w:r>
      <w:r>
        <w:rPr>
          <w:highlight w:val="none"/>
        </w:rPr>
        <w:tab/>
      </w:r>
      <w:r>
        <w:rPr>
          <w:highlight w:val="none"/>
        </w:rPr>
        <w:fldChar w:fldCharType="begin"/>
      </w:r>
      <w:r>
        <w:rPr>
          <w:highlight w:val="none"/>
        </w:rPr>
        <w:instrText xml:space="preserve"> PAGEREF _Toc29846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_Toc8483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4.2 投标文件的递交</w:t>
      </w:r>
      <w:r>
        <w:rPr>
          <w:highlight w:val="none"/>
        </w:rPr>
        <w:tab/>
      </w:r>
      <w:r>
        <w:rPr>
          <w:highlight w:val="none"/>
        </w:rPr>
        <w:fldChar w:fldCharType="begin"/>
      </w:r>
      <w:r>
        <w:rPr>
          <w:highlight w:val="none"/>
        </w:rPr>
        <w:instrText xml:space="preserve"> PAGEREF _Toc8483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_Toc14099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4.3 投标文件的修改与撤回</w:t>
      </w:r>
      <w:r>
        <w:rPr>
          <w:highlight w:val="none"/>
        </w:rPr>
        <w:tab/>
      </w:r>
      <w:r>
        <w:rPr>
          <w:highlight w:val="none"/>
        </w:rPr>
        <w:fldChar w:fldCharType="begin"/>
      </w:r>
      <w:r>
        <w:rPr>
          <w:highlight w:val="none"/>
        </w:rPr>
        <w:instrText xml:space="preserve"> PAGEREF _Toc14099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_Toc11310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五、 </w:t>
      </w:r>
      <w:r>
        <w:rPr>
          <w:rFonts w:hint="eastAsia" w:ascii="宋体" w:hAnsi="宋体" w:eastAsia="宋体" w:cs="宋体"/>
          <w:bCs/>
          <w:kern w:val="2"/>
          <w:szCs w:val="28"/>
          <w:highlight w:val="none"/>
          <w:lang w:val="en-US" w:eastAsia="zh-CN" w:bidi="ar-SA"/>
        </w:rPr>
        <w:t>开标</w:t>
      </w:r>
      <w:r>
        <w:rPr>
          <w:highlight w:val="none"/>
        </w:rPr>
        <w:tab/>
      </w:r>
      <w:r>
        <w:rPr>
          <w:highlight w:val="none"/>
        </w:rPr>
        <w:fldChar w:fldCharType="begin"/>
      </w:r>
      <w:r>
        <w:rPr>
          <w:highlight w:val="none"/>
        </w:rPr>
        <w:instrText xml:space="preserve"> PAGEREF _Toc11310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_Toc19210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5.1 开标时间和地点</w:t>
      </w:r>
      <w:r>
        <w:rPr>
          <w:highlight w:val="none"/>
        </w:rPr>
        <w:tab/>
      </w:r>
      <w:r>
        <w:rPr>
          <w:highlight w:val="none"/>
        </w:rPr>
        <w:fldChar w:fldCharType="begin"/>
      </w:r>
      <w:r>
        <w:rPr>
          <w:highlight w:val="none"/>
        </w:rPr>
        <w:instrText xml:space="preserve"> PAGEREF _Toc19210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_Toc19233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5.2 开标程序</w:t>
      </w:r>
      <w:r>
        <w:rPr>
          <w:highlight w:val="none"/>
        </w:rPr>
        <w:tab/>
      </w:r>
      <w:r>
        <w:rPr>
          <w:highlight w:val="none"/>
        </w:rPr>
        <w:fldChar w:fldCharType="begin"/>
      </w:r>
      <w:r>
        <w:rPr>
          <w:highlight w:val="none"/>
        </w:rPr>
        <w:instrText xml:space="preserve"> PAGEREF _Toc19233 \h </w:instrText>
      </w:r>
      <w:r>
        <w:rPr>
          <w:highlight w:val="none"/>
        </w:rPr>
        <w:fldChar w:fldCharType="separate"/>
      </w:r>
      <w:r>
        <w:rPr>
          <w:highlight w:val="none"/>
        </w:rPr>
        <w:t>14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_Toc28487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5.3 开标异议</w:t>
      </w:r>
      <w:r>
        <w:rPr>
          <w:highlight w:val="none"/>
        </w:rPr>
        <w:tab/>
      </w:r>
      <w:r>
        <w:rPr>
          <w:highlight w:val="none"/>
        </w:rPr>
        <w:fldChar w:fldCharType="begin"/>
      </w:r>
      <w:r>
        <w:rPr>
          <w:highlight w:val="none"/>
        </w:rPr>
        <w:instrText xml:space="preserve"> PAGEREF _Toc28487 \h </w:instrText>
      </w:r>
      <w:r>
        <w:rPr>
          <w:highlight w:val="none"/>
        </w:rPr>
        <w:fldChar w:fldCharType="separate"/>
      </w:r>
      <w:r>
        <w:rPr>
          <w:highlight w:val="none"/>
        </w:rPr>
        <w:t>15</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_Toc9792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六、 </w:t>
      </w:r>
      <w:r>
        <w:rPr>
          <w:rFonts w:hint="eastAsia" w:ascii="宋体" w:hAnsi="宋体" w:eastAsia="宋体" w:cs="宋体"/>
          <w:bCs/>
          <w:kern w:val="2"/>
          <w:szCs w:val="28"/>
          <w:highlight w:val="none"/>
          <w:lang w:val="en-US" w:eastAsia="zh-CN" w:bidi="ar-SA"/>
        </w:rPr>
        <w:t>评标</w:t>
      </w:r>
      <w:r>
        <w:rPr>
          <w:highlight w:val="none"/>
        </w:rPr>
        <w:tab/>
      </w:r>
      <w:r>
        <w:rPr>
          <w:highlight w:val="none"/>
        </w:rPr>
        <w:fldChar w:fldCharType="begin"/>
      </w:r>
      <w:r>
        <w:rPr>
          <w:highlight w:val="none"/>
        </w:rPr>
        <w:instrText xml:space="preserve"> PAGEREF _Toc9792 \h </w:instrText>
      </w:r>
      <w:r>
        <w:rPr>
          <w:highlight w:val="none"/>
        </w:rPr>
        <w:fldChar w:fldCharType="separate"/>
      </w:r>
      <w:r>
        <w:rPr>
          <w:highlight w:val="none"/>
        </w:rPr>
        <w:t>15</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_Toc9478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6.1 评标委员会</w:t>
      </w:r>
      <w:r>
        <w:rPr>
          <w:highlight w:val="none"/>
        </w:rPr>
        <w:tab/>
      </w:r>
      <w:r>
        <w:rPr>
          <w:highlight w:val="none"/>
        </w:rPr>
        <w:fldChar w:fldCharType="begin"/>
      </w:r>
      <w:r>
        <w:rPr>
          <w:highlight w:val="none"/>
        </w:rPr>
        <w:instrText xml:space="preserve"> PAGEREF _Toc9478 \h </w:instrText>
      </w:r>
      <w:r>
        <w:rPr>
          <w:highlight w:val="none"/>
        </w:rPr>
        <w:fldChar w:fldCharType="separate"/>
      </w:r>
      <w:r>
        <w:rPr>
          <w:highlight w:val="none"/>
        </w:rPr>
        <w:t>15</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_Toc21461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6.2 评标原则</w:t>
      </w:r>
      <w:r>
        <w:rPr>
          <w:highlight w:val="none"/>
        </w:rPr>
        <w:tab/>
      </w:r>
      <w:r>
        <w:rPr>
          <w:highlight w:val="none"/>
        </w:rPr>
        <w:fldChar w:fldCharType="begin"/>
      </w:r>
      <w:r>
        <w:rPr>
          <w:highlight w:val="none"/>
        </w:rPr>
        <w:instrText xml:space="preserve"> PAGEREF _Toc21461 \h </w:instrText>
      </w:r>
      <w:r>
        <w:rPr>
          <w:highlight w:val="none"/>
        </w:rPr>
        <w:fldChar w:fldCharType="separate"/>
      </w:r>
      <w:r>
        <w:rPr>
          <w:highlight w:val="none"/>
        </w:rPr>
        <w:t>15</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_Toc17269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6.3 评标</w:t>
      </w:r>
      <w:r>
        <w:rPr>
          <w:highlight w:val="none"/>
        </w:rPr>
        <w:tab/>
      </w:r>
      <w:r>
        <w:rPr>
          <w:highlight w:val="none"/>
        </w:rPr>
        <w:fldChar w:fldCharType="begin"/>
      </w:r>
      <w:r>
        <w:rPr>
          <w:highlight w:val="none"/>
        </w:rPr>
        <w:instrText xml:space="preserve"> PAGEREF _Toc17269 \h </w:instrText>
      </w:r>
      <w:r>
        <w:rPr>
          <w:highlight w:val="none"/>
        </w:rPr>
        <w:fldChar w:fldCharType="separate"/>
      </w:r>
      <w:r>
        <w:rPr>
          <w:highlight w:val="none"/>
        </w:rPr>
        <w:t>15</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_Toc18459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七、 </w:t>
      </w:r>
      <w:r>
        <w:rPr>
          <w:rFonts w:hint="eastAsia" w:ascii="宋体" w:hAnsi="宋体" w:eastAsia="宋体" w:cs="宋体"/>
          <w:bCs/>
          <w:kern w:val="2"/>
          <w:szCs w:val="28"/>
          <w:highlight w:val="none"/>
          <w:lang w:val="en-US" w:eastAsia="zh-CN" w:bidi="ar-SA"/>
        </w:rPr>
        <w:t>定标</w:t>
      </w:r>
      <w:r>
        <w:rPr>
          <w:highlight w:val="none"/>
        </w:rPr>
        <w:tab/>
      </w:r>
      <w:r>
        <w:rPr>
          <w:highlight w:val="none"/>
        </w:rPr>
        <w:fldChar w:fldCharType="begin"/>
      </w:r>
      <w:r>
        <w:rPr>
          <w:highlight w:val="none"/>
        </w:rPr>
        <w:instrText xml:space="preserve"> PAGEREF _Toc18459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_Toc10376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7.1 确定中标人</w:t>
      </w:r>
      <w:r>
        <w:rPr>
          <w:highlight w:val="none"/>
        </w:rPr>
        <w:tab/>
      </w:r>
      <w:r>
        <w:rPr>
          <w:highlight w:val="none"/>
        </w:rPr>
        <w:fldChar w:fldCharType="begin"/>
      </w:r>
      <w:r>
        <w:rPr>
          <w:highlight w:val="none"/>
        </w:rPr>
        <w:instrText xml:space="preserve"> PAGEREF _Toc10376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_Toc16722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7.2 中标结果公告</w:t>
      </w:r>
      <w:r>
        <w:rPr>
          <w:highlight w:val="none"/>
        </w:rPr>
        <w:tab/>
      </w:r>
      <w:r>
        <w:rPr>
          <w:highlight w:val="none"/>
        </w:rPr>
        <w:fldChar w:fldCharType="begin"/>
      </w:r>
      <w:r>
        <w:rPr>
          <w:highlight w:val="none"/>
        </w:rPr>
        <w:instrText xml:space="preserve"> PAGEREF _Toc16722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_Toc31025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7.3 中标通知</w:t>
      </w:r>
      <w:r>
        <w:rPr>
          <w:highlight w:val="none"/>
        </w:rPr>
        <w:tab/>
      </w:r>
      <w:r>
        <w:rPr>
          <w:highlight w:val="none"/>
        </w:rPr>
        <w:fldChar w:fldCharType="begin"/>
      </w:r>
      <w:r>
        <w:rPr>
          <w:highlight w:val="none"/>
        </w:rPr>
        <w:instrText xml:space="preserve"> PAGEREF _Toc31025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_Toc31120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八、 </w:t>
      </w:r>
      <w:r>
        <w:rPr>
          <w:rFonts w:hint="eastAsia" w:ascii="宋体" w:hAnsi="宋体" w:eastAsia="宋体" w:cs="宋体"/>
          <w:bCs/>
          <w:kern w:val="2"/>
          <w:szCs w:val="28"/>
          <w:highlight w:val="none"/>
          <w:lang w:val="en-US" w:eastAsia="zh-CN" w:bidi="ar-SA"/>
        </w:rPr>
        <w:t>质疑和</w:t>
      </w:r>
      <w:r>
        <w:rPr>
          <w:rFonts w:hint="eastAsia" w:ascii="宋体" w:hAnsi="宋体" w:cs="宋体"/>
          <w:bCs/>
          <w:kern w:val="2"/>
          <w:szCs w:val="28"/>
          <w:highlight w:val="none"/>
          <w:lang w:val="en-US" w:eastAsia="zh-CN" w:bidi="ar-SA"/>
        </w:rPr>
        <w:t>回复</w:t>
      </w:r>
      <w:r>
        <w:rPr>
          <w:highlight w:val="none"/>
        </w:rPr>
        <w:tab/>
      </w:r>
      <w:r>
        <w:rPr>
          <w:highlight w:val="none"/>
        </w:rPr>
        <w:fldChar w:fldCharType="begin"/>
      </w:r>
      <w:r>
        <w:rPr>
          <w:highlight w:val="none"/>
        </w:rPr>
        <w:instrText xml:space="preserve"> PAGEREF _Toc31120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_Toc13422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8.1质疑</w:t>
      </w:r>
      <w:r>
        <w:rPr>
          <w:highlight w:val="none"/>
        </w:rPr>
        <w:tab/>
      </w:r>
      <w:r>
        <w:rPr>
          <w:highlight w:val="none"/>
        </w:rPr>
        <w:fldChar w:fldCharType="begin"/>
      </w:r>
      <w:r>
        <w:rPr>
          <w:highlight w:val="none"/>
        </w:rPr>
        <w:instrText xml:space="preserve"> PAGEREF _Toc13422 \h </w:instrText>
      </w:r>
      <w:r>
        <w:rPr>
          <w:highlight w:val="none"/>
        </w:rPr>
        <w:fldChar w:fldCharType="separate"/>
      </w:r>
      <w:r>
        <w:rPr>
          <w:highlight w:val="none"/>
        </w:rPr>
        <w:t>16</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_Toc29716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8.2质疑回复</w:t>
      </w:r>
      <w:r>
        <w:rPr>
          <w:highlight w:val="none"/>
        </w:rPr>
        <w:tab/>
      </w:r>
      <w:r>
        <w:rPr>
          <w:highlight w:val="none"/>
        </w:rPr>
        <w:fldChar w:fldCharType="begin"/>
      </w:r>
      <w:r>
        <w:rPr>
          <w:highlight w:val="none"/>
        </w:rPr>
        <w:instrText xml:space="preserve"> PAGEREF _Toc29716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_Toc14295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九、 </w:t>
      </w:r>
      <w:r>
        <w:rPr>
          <w:rFonts w:hint="eastAsia" w:ascii="宋体" w:hAnsi="宋体" w:eastAsia="宋体" w:cs="宋体"/>
          <w:bCs/>
          <w:kern w:val="2"/>
          <w:szCs w:val="28"/>
          <w:highlight w:val="none"/>
          <w:lang w:val="en-US" w:eastAsia="zh-CN" w:bidi="ar-SA"/>
        </w:rPr>
        <w:t>合同授予</w:t>
      </w:r>
      <w:r>
        <w:rPr>
          <w:highlight w:val="none"/>
        </w:rPr>
        <w:tab/>
      </w:r>
      <w:r>
        <w:rPr>
          <w:highlight w:val="none"/>
        </w:rPr>
        <w:fldChar w:fldCharType="begin"/>
      </w:r>
      <w:r>
        <w:rPr>
          <w:highlight w:val="none"/>
        </w:rPr>
        <w:instrText xml:space="preserve"> PAGEREF _Toc14295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_Toc10779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9.1履约保证金</w:t>
      </w:r>
      <w:r>
        <w:rPr>
          <w:highlight w:val="none"/>
        </w:rPr>
        <w:tab/>
      </w:r>
      <w:r>
        <w:rPr>
          <w:highlight w:val="none"/>
        </w:rPr>
        <w:fldChar w:fldCharType="begin"/>
      </w:r>
      <w:r>
        <w:rPr>
          <w:highlight w:val="none"/>
        </w:rPr>
        <w:instrText xml:space="preserve"> PAGEREF _Toc10779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_Toc2451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9.2 签订合同</w:t>
      </w:r>
      <w:r>
        <w:rPr>
          <w:highlight w:val="none"/>
        </w:rPr>
        <w:tab/>
      </w:r>
      <w:r>
        <w:rPr>
          <w:highlight w:val="none"/>
        </w:rPr>
        <w:fldChar w:fldCharType="begin"/>
      </w:r>
      <w:r>
        <w:rPr>
          <w:highlight w:val="none"/>
        </w:rPr>
        <w:instrText xml:space="preserve"> PAGEREF _Toc2451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_Toc15250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十、 </w:t>
      </w:r>
      <w:r>
        <w:rPr>
          <w:rFonts w:hint="eastAsia" w:ascii="宋体" w:hAnsi="宋体" w:eastAsia="宋体" w:cs="宋体"/>
          <w:bCs/>
          <w:kern w:val="2"/>
          <w:szCs w:val="28"/>
          <w:highlight w:val="none"/>
          <w:lang w:val="en-US" w:eastAsia="zh-CN" w:bidi="ar-SA"/>
        </w:rPr>
        <w:t>招标代理服务费</w:t>
      </w:r>
      <w:r>
        <w:rPr>
          <w:highlight w:val="none"/>
        </w:rPr>
        <w:tab/>
      </w:r>
      <w:r>
        <w:rPr>
          <w:highlight w:val="none"/>
        </w:rPr>
        <w:fldChar w:fldCharType="begin"/>
      </w:r>
      <w:r>
        <w:rPr>
          <w:highlight w:val="none"/>
        </w:rPr>
        <w:instrText xml:space="preserve"> PAGEREF _Toc15250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_Toc6864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10.1收取方式和标准</w:t>
      </w:r>
      <w:r>
        <w:rPr>
          <w:highlight w:val="none"/>
        </w:rPr>
        <w:tab/>
      </w:r>
      <w:r>
        <w:rPr>
          <w:highlight w:val="none"/>
        </w:rPr>
        <w:fldChar w:fldCharType="begin"/>
      </w:r>
      <w:r>
        <w:rPr>
          <w:highlight w:val="none"/>
        </w:rPr>
        <w:instrText xml:space="preserve"> PAGEREF _Toc6864 \h </w:instrText>
      </w:r>
      <w:r>
        <w:rPr>
          <w:highlight w:val="none"/>
        </w:rPr>
        <w:fldChar w:fldCharType="separate"/>
      </w:r>
      <w:r>
        <w:rPr>
          <w:highlight w:val="none"/>
        </w:rPr>
        <w:t>17</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_Toc10773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10.2收取时间</w:t>
      </w:r>
      <w:r>
        <w:rPr>
          <w:highlight w:val="none"/>
        </w:rPr>
        <w:tab/>
      </w:r>
      <w:r>
        <w:rPr>
          <w:highlight w:val="none"/>
        </w:rPr>
        <w:fldChar w:fldCharType="begin"/>
      </w:r>
      <w:r>
        <w:rPr>
          <w:highlight w:val="none"/>
        </w:rPr>
        <w:instrText xml:space="preserve"> PAGEREF _Toc10773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_Toc3899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十一、 </w:t>
      </w:r>
      <w:r>
        <w:rPr>
          <w:rFonts w:hint="eastAsia" w:ascii="宋体" w:hAnsi="宋体" w:eastAsia="宋体" w:cs="宋体"/>
          <w:bCs/>
          <w:kern w:val="2"/>
          <w:szCs w:val="28"/>
          <w:highlight w:val="none"/>
          <w:lang w:val="en-US" w:eastAsia="zh-CN" w:bidi="ar-SA"/>
        </w:rPr>
        <w:t>无效投标和废标</w:t>
      </w:r>
      <w:r>
        <w:rPr>
          <w:highlight w:val="none"/>
        </w:rPr>
        <w:tab/>
      </w:r>
      <w:r>
        <w:rPr>
          <w:highlight w:val="none"/>
        </w:rPr>
        <w:fldChar w:fldCharType="begin"/>
      </w:r>
      <w:r>
        <w:rPr>
          <w:highlight w:val="none"/>
        </w:rPr>
        <w:instrText xml:space="preserve"> PAGEREF _Toc3899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_Toc6422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11.1 无效投标</w:t>
      </w:r>
      <w:r>
        <w:rPr>
          <w:highlight w:val="none"/>
        </w:rPr>
        <w:tab/>
      </w:r>
      <w:r>
        <w:rPr>
          <w:highlight w:val="none"/>
        </w:rPr>
        <w:fldChar w:fldCharType="begin"/>
      </w:r>
      <w:r>
        <w:rPr>
          <w:highlight w:val="none"/>
        </w:rPr>
        <w:instrText xml:space="preserve"> PAGEREF _Toc6422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_Toc14608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11.2 废标</w:t>
      </w:r>
      <w:r>
        <w:rPr>
          <w:highlight w:val="none"/>
        </w:rPr>
        <w:tab/>
      </w:r>
      <w:r>
        <w:rPr>
          <w:highlight w:val="none"/>
        </w:rPr>
        <w:fldChar w:fldCharType="begin"/>
      </w:r>
      <w:r>
        <w:rPr>
          <w:highlight w:val="none"/>
        </w:rPr>
        <w:instrText xml:space="preserve"> PAGEREF _Toc14608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_Toc9259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十二、 </w:t>
      </w:r>
      <w:r>
        <w:rPr>
          <w:rFonts w:hint="eastAsia" w:ascii="宋体" w:hAnsi="宋体" w:eastAsia="宋体" w:cs="宋体"/>
          <w:bCs/>
          <w:kern w:val="2"/>
          <w:szCs w:val="28"/>
          <w:highlight w:val="none"/>
          <w:lang w:val="en-US" w:eastAsia="zh-CN" w:bidi="ar-SA"/>
        </w:rPr>
        <w:t>纪律和监督</w:t>
      </w:r>
      <w:r>
        <w:rPr>
          <w:highlight w:val="none"/>
        </w:rPr>
        <w:tab/>
      </w:r>
      <w:r>
        <w:rPr>
          <w:highlight w:val="none"/>
        </w:rPr>
        <w:fldChar w:fldCharType="begin"/>
      </w:r>
      <w:r>
        <w:rPr>
          <w:highlight w:val="none"/>
        </w:rPr>
        <w:instrText xml:space="preserve"> PAGEREF _Toc9259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_Toc14001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12.1 对采购人和采购代理机构的纪律要求</w:t>
      </w:r>
      <w:r>
        <w:rPr>
          <w:highlight w:val="none"/>
        </w:rPr>
        <w:tab/>
      </w:r>
      <w:r>
        <w:rPr>
          <w:highlight w:val="none"/>
        </w:rPr>
        <w:fldChar w:fldCharType="begin"/>
      </w:r>
      <w:r>
        <w:rPr>
          <w:highlight w:val="none"/>
        </w:rPr>
        <w:instrText xml:space="preserve"> PAGEREF _Toc14001 \h </w:instrText>
      </w:r>
      <w:r>
        <w:rPr>
          <w:highlight w:val="none"/>
        </w:rPr>
        <w:fldChar w:fldCharType="separate"/>
      </w:r>
      <w:r>
        <w:rPr>
          <w:highlight w:val="none"/>
        </w:rPr>
        <w:t>18</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_Toc9421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12.2 对投标人的纪律要求</w:t>
      </w:r>
      <w:r>
        <w:rPr>
          <w:highlight w:val="none"/>
        </w:rPr>
        <w:tab/>
      </w:r>
      <w:r>
        <w:rPr>
          <w:highlight w:val="none"/>
        </w:rPr>
        <w:fldChar w:fldCharType="begin"/>
      </w:r>
      <w:r>
        <w:rPr>
          <w:highlight w:val="none"/>
        </w:rPr>
        <w:instrText xml:space="preserve"> PAGEREF _Toc9421 \h </w:instrText>
      </w:r>
      <w:r>
        <w:rPr>
          <w:highlight w:val="none"/>
        </w:rPr>
        <w:fldChar w:fldCharType="separate"/>
      </w:r>
      <w:r>
        <w:rPr>
          <w:highlight w:val="none"/>
        </w:rPr>
        <w:t>19</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_Toc17891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lang w:val="en-US" w:eastAsia="zh-CN" w:bidi="ar-SA"/>
        </w:rPr>
        <w:t>12.3 对评标委员会成员的纪律要求</w:t>
      </w:r>
      <w:r>
        <w:rPr>
          <w:highlight w:val="none"/>
        </w:rPr>
        <w:tab/>
      </w:r>
      <w:r>
        <w:rPr>
          <w:highlight w:val="none"/>
        </w:rPr>
        <w:fldChar w:fldCharType="begin"/>
      </w:r>
      <w:r>
        <w:rPr>
          <w:highlight w:val="none"/>
        </w:rPr>
        <w:instrText xml:space="preserve"> PAGEREF _Toc17891 \h </w:instrText>
      </w:r>
      <w:r>
        <w:rPr>
          <w:highlight w:val="none"/>
        </w:rPr>
        <w:fldChar w:fldCharType="separate"/>
      </w:r>
      <w:r>
        <w:rPr>
          <w:highlight w:val="none"/>
        </w:rPr>
        <w:t>19</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_Toc19215 </w:instrText>
      </w:r>
      <w:r>
        <w:rPr>
          <w:rFonts w:hint="eastAsia" w:ascii="宋体" w:hAnsi="宋体" w:cs="宋体"/>
          <w:szCs w:val="18"/>
          <w:highlight w:val="none"/>
        </w:rPr>
        <w:fldChar w:fldCharType="separate"/>
      </w:r>
      <w:r>
        <w:rPr>
          <w:rFonts w:hint="default" w:ascii="宋体" w:hAnsi="宋体" w:eastAsia="宋体" w:cs="宋体"/>
          <w:bCs/>
          <w:kern w:val="2"/>
          <w:szCs w:val="28"/>
          <w:highlight w:val="none"/>
          <w:lang w:val="en-US" w:eastAsia="zh-CN" w:bidi="ar-SA"/>
        </w:rPr>
        <w:t xml:space="preserve">十三、 </w:t>
      </w:r>
      <w:r>
        <w:rPr>
          <w:rFonts w:hint="eastAsia" w:ascii="宋体" w:hAnsi="宋体" w:eastAsia="宋体" w:cs="宋体"/>
          <w:bCs/>
          <w:kern w:val="2"/>
          <w:szCs w:val="28"/>
          <w:highlight w:val="none"/>
          <w:lang w:val="en-US" w:eastAsia="zh-CN" w:bidi="ar-SA"/>
        </w:rPr>
        <w:t>需要补充的其他内容</w:t>
      </w:r>
      <w:r>
        <w:rPr>
          <w:highlight w:val="none"/>
        </w:rPr>
        <w:tab/>
      </w:r>
      <w:r>
        <w:rPr>
          <w:highlight w:val="none"/>
        </w:rPr>
        <w:fldChar w:fldCharType="begin"/>
      </w:r>
      <w:r>
        <w:rPr>
          <w:highlight w:val="none"/>
        </w:rPr>
        <w:instrText xml:space="preserve"> PAGEREF _Toc19215 \h </w:instrText>
      </w:r>
      <w:r>
        <w:rPr>
          <w:highlight w:val="none"/>
        </w:rPr>
        <w:fldChar w:fldCharType="separate"/>
      </w:r>
      <w:r>
        <w:rPr>
          <w:highlight w:val="none"/>
        </w:rPr>
        <w:t>19</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_Toc16942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第三章 </w:t>
      </w:r>
      <w:r>
        <w:rPr>
          <w:rFonts w:hint="eastAsia" w:hAnsi="宋体" w:cs="宋体"/>
          <w:szCs w:val="32"/>
          <w:highlight w:val="none"/>
        </w:rPr>
        <w:t>项目采购需求</w:t>
      </w:r>
      <w:r>
        <w:rPr>
          <w:highlight w:val="none"/>
        </w:rPr>
        <w:tab/>
      </w:r>
      <w:r>
        <w:rPr>
          <w:highlight w:val="none"/>
        </w:rPr>
        <w:fldChar w:fldCharType="begin"/>
      </w:r>
      <w:r>
        <w:rPr>
          <w:highlight w:val="none"/>
        </w:rPr>
        <w:instrText xml:space="preserve"> PAGEREF _Toc16942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_Toc18714 </w:instrText>
      </w:r>
      <w:r>
        <w:rPr>
          <w:rFonts w:hint="eastAsia" w:ascii="宋体" w:hAnsi="宋体" w:cs="宋体"/>
          <w:szCs w:val="18"/>
          <w:highlight w:val="none"/>
        </w:rPr>
        <w:fldChar w:fldCharType="separate"/>
      </w:r>
      <w:r>
        <w:rPr>
          <w:rFonts w:hint="eastAsia" w:ascii="宋体" w:hAnsi="宋体" w:eastAsia="宋体" w:cs="宋体"/>
          <w:bCs/>
          <w:kern w:val="0"/>
          <w:szCs w:val="24"/>
          <w:highlight w:val="none"/>
        </w:rPr>
        <w:t>一、</w:t>
      </w:r>
      <w:r>
        <w:rPr>
          <w:rFonts w:hint="eastAsia" w:ascii="宋体" w:hAnsi="宋体" w:eastAsia="宋体" w:cs="宋体"/>
          <w:bCs/>
          <w:kern w:val="0"/>
          <w:szCs w:val="24"/>
          <w:highlight w:val="none"/>
          <w:lang w:bidi="ar"/>
        </w:rPr>
        <w:t>项目概况</w:t>
      </w:r>
      <w:r>
        <w:rPr>
          <w:highlight w:val="none"/>
        </w:rPr>
        <w:tab/>
      </w:r>
      <w:r>
        <w:rPr>
          <w:highlight w:val="none"/>
        </w:rPr>
        <w:fldChar w:fldCharType="begin"/>
      </w:r>
      <w:r>
        <w:rPr>
          <w:highlight w:val="none"/>
        </w:rPr>
        <w:instrText xml:space="preserve"> PAGEREF _Toc18714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_Toc12010 </w:instrText>
      </w:r>
      <w:r>
        <w:rPr>
          <w:rFonts w:hint="eastAsia" w:ascii="宋体" w:hAnsi="宋体" w:cs="宋体"/>
          <w:szCs w:val="18"/>
          <w:highlight w:val="none"/>
        </w:rPr>
        <w:fldChar w:fldCharType="separate"/>
      </w:r>
      <w:r>
        <w:rPr>
          <w:rFonts w:hint="eastAsia" w:ascii="宋体" w:hAnsi="宋体" w:eastAsia="宋体" w:cs="宋体"/>
          <w:bCs/>
          <w:kern w:val="2"/>
          <w:szCs w:val="24"/>
          <w:highlight w:val="none"/>
        </w:rPr>
        <w:t>二、主要标的</w:t>
      </w:r>
      <w:r>
        <w:rPr>
          <w:highlight w:val="none"/>
        </w:rPr>
        <w:tab/>
      </w:r>
      <w:r>
        <w:rPr>
          <w:highlight w:val="none"/>
        </w:rPr>
        <w:fldChar w:fldCharType="begin"/>
      </w:r>
      <w:r>
        <w:rPr>
          <w:highlight w:val="none"/>
        </w:rPr>
        <w:instrText xml:space="preserve"> PAGEREF _Toc12010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_Toc3949 </w:instrText>
      </w:r>
      <w:r>
        <w:rPr>
          <w:rFonts w:hint="eastAsia" w:ascii="宋体" w:hAnsi="宋体" w:cs="宋体"/>
          <w:szCs w:val="18"/>
          <w:highlight w:val="none"/>
        </w:rPr>
        <w:fldChar w:fldCharType="separate"/>
      </w:r>
      <w:r>
        <w:rPr>
          <w:rFonts w:hint="eastAsia" w:ascii="宋体" w:hAnsi="宋体" w:eastAsia="宋体" w:cs="宋体"/>
          <w:bCs/>
          <w:kern w:val="2"/>
          <w:szCs w:val="24"/>
          <w:highlight w:val="none"/>
          <w:vertAlign w:val="baseline"/>
          <w:lang w:val="en-US" w:eastAsia="zh-CN"/>
        </w:rPr>
        <w:t>序号</w:t>
      </w:r>
      <w:r>
        <w:rPr>
          <w:highlight w:val="none"/>
        </w:rPr>
        <w:tab/>
      </w:r>
      <w:r>
        <w:rPr>
          <w:highlight w:val="none"/>
        </w:rPr>
        <w:fldChar w:fldCharType="begin"/>
      </w:r>
      <w:r>
        <w:rPr>
          <w:highlight w:val="none"/>
        </w:rPr>
        <w:instrText xml:space="preserve"> PAGEREF _Toc3949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_Toc29437 </w:instrText>
      </w:r>
      <w:r>
        <w:rPr>
          <w:rFonts w:hint="eastAsia" w:ascii="宋体" w:hAnsi="宋体" w:cs="宋体"/>
          <w:szCs w:val="18"/>
          <w:highlight w:val="none"/>
        </w:rPr>
        <w:fldChar w:fldCharType="separate"/>
      </w:r>
      <w:r>
        <w:rPr>
          <w:rFonts w:hint="eastAsia" w:ascii="宋体" w:hAnsi="宋体" w:eastAsia="宋体" w:cs="宋体"/>
          <w:bCs/>
          <w:kern w:val="2"/>
          <w:szCs w:val="24"/>
          <w:highlight w:val="none"/>
          <w:vertAlign w:val="baseline"/>
          <w:lang w:val="en-US" w:eastAsia="zh-CN"/>
        </w:rPr>
        <w:t>名称</w:t>
      </w:r>
      <w:r>
        <w:rPr>
          <w:highlight w:val="none"/>
        </w:rPr>
        <w:tab/>
      </w:r>
      <w:r>
        <w:rPr>
          <w:highlight w:val="none"/>
        </w:rPr>
        <w:fldChar w:fldCharType="begin"/>
      </w:r>
      <w:r>
        <w:rPr>
          <w:highlight w:val="none"/>
        </w:rPr>
        <w:instrText xml:space="preserve"> PAGEREF _Toc29437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_Toc18480 </w:instrText>
      </w:r>
      <w:r>
        <w:rPr>
          <w:rFonts w:hint="eastAsia" w:ascii="宋体" w:hAnsi="宋体" w:cs="宋体"/>
          <w:szCs w:val="18"/>
          <w:highlight w:val="none"/>
        </w:rPr>
        <w:fldChar w:fldCharType="separate"/>
      </w:r>
      <w:r>
        <w:rPr>
          <w:rFonts w:hint="eastAsia" w:ascii="宋体" w:hAnsi="宋体" w:eastAsia="宋体" w:cs="宋体"/>
          <w:bCs/>
          <w:kern w:val="2"/>
          <w:szCs w:val="24"/>
          <w:highlight w:val="none"/>
          <w:vertAlign w:val="baseline"/>
          <w:lang w:val="en-US" w:eastAsia="zh-CN"/>
        </w:rPr>
        <w:t>规模</w:t>
      </w:r>
      <w:r>
        <w:rPr>
          <w:highlight w:val="none"/>
        </w:rPr>
        <w:tab/>
      </w:r>
      <w:r>
        <w:rPr>
          <w:highlight w:val="none"/>
        </w:rPr>
        <w:fldChar w:fldCharType="begin"/>
      </w:r>
      <w:r>
        <w:rPr>
          <w:highlight w:val="none"/>
        </w:rPr>
        <w:instrText xml:space="preserve"> PAGEREF _Toc18480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_Toc23392 </w:instrText>
      </w:r>
      <w:r>
        <w:rPr>
          <w:rFonts w:hint="eastAsia" w:ascii="宋体" w:hAnsi="宋体" w:cs="宋体"/>
          <w:szCs w:val="18"/>
          <w:highlight w:val="none"/>
        </w:rPr>
        <w:fldChar w:fldCharType="separate"/>
      </w:r>
      <w:r>
        <w:rPr>
          <w:rFonts w:hint="eastAsia" w:ascii="宋体" w:hAnsi="宋体" w:eastAsia="宋体" w:cs="宋体"/>
          <w:bCs w:val="0"/>
          <w:kern w:val="2"/>
          <w:szCs w:val="24"/>
          <w:highlight w:val="none"/>
          <w:vertAlign w:val="baseline"/>
          <w:lang w:val="en-US" w:eastAsia="zh-CN"/>
        </w:rPr>
        <w:t>1</w:t>
      </w:r>
      <w:r>
        <w:rPr>
          <w:highlight w:val="none"/>
        </w:rPr>
        <w:tab/>
      </w:r>
      <w:r>
        <w:rPr>
          <w:highlight w:val="none"/>
        </w:rPr>
        <w:fldChar w:fldCharType="begin"/>
      </w:r>
      <w:r>
        <w:rPr>
          <w:highlight w:val="none"/>
        </w:rPr>
        <w:instrText xml:space="preserve"> PAGEREF _Toc23392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_Toc29217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rPr>
        <w:t>企业年金年度缴费规模</w:t>
      </w:r>
      <w:r>
        <w:rPr>
          <w:highlight w:val="none"/>
        </w:rPr>
        <w:tab/>
      </w:r>
      <w:r>
        <w:rPr>
          <w:highlight w:val="none"/>
        </w:rPr>
        <w:fldChar w:fldCharType="begin"/>
      </w:r>
      <w:r>
        <w:rPr>
          <w:highlight w:val="none"/>
        </w:rPr>
        <w:instrText xml:space="preserve"> PAGEREF _Toc29217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_Toc25309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rPr>
        <w:t>960万元</w:t>
      </w:r>
      <w:r>
        <w:rPr>
          <w:highlight w:val="none"/>
        </w:rPr>
        <w:tab/>
      </w:r>
      <w:r>
        <w:rPr>
          <w:highlight w:val="none"/>
        </w:rPr>
        <w:fldChar w:fldCharType="begin"/>
      </w:r>
      <w:r>
        <w:rPr>
          <w:highlight w:val="none"/>
        </w:rPr>
        <w:instrText xml:space="preserve"> PAGEREF _Toc25309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_Toc16352 </w:instrText>
      </w:r>
      <w:r>
        <w:rPr>
          <w:rFonts w:hint="eastAsia" w:ascii="宋体" w:hAnsi="宋体" w:cs="宋体"/>
          <w:szCs w:val="18"/>
          <w:highlight w:val="none"/>
        </w:rPr>
        <w:fldChar w:fldCharType="separate"/>
      </w:r>
      <w:r>
        <w:rPr>
          <w:rFonts w:hint="eastAsia" w:ascii="宋体" w:hAnsi="宋体" w:eastAsia="宋体" w:cs="宋体"/>
          <w:bCs w:val="0"/>
          <w:kern w:val="2"/>
          <w:szCs w:val="24"/>
          <w:highlight w:val="none"/>
          <w:vertAlign w:val="baseline"/>
          <w:lang w:val="en-US" w:eastAsia="zh-CN"/>
        </w:rPr>
        <w:t>2</w:t>
      </w:r>
      <w:r>
        <w:rPr>
          <w:highlight w:val="none"/>
        </w:rPr>
        <w:tab/>
      </w:r>
      <w:r>
        <w:rPr>
          <w:highlight w:val="none"/>
        </w:rPr>
        <w:fldChar w:fldCharType="begin"/>
      </w:r>
      <w:r>
        <w:rPr>
          <w:highlight w:val="none"/>
        </w:rPr>
        <w:instrText xml:space="preserve"> PAGEREF _Toc16352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_Toc28834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rPr>
        <w:t>企业年金补缴</w:t>
      </w:r>
      <w:r>
        <w:rPr>
          <w:highlight w:val="none"/>
        </w:rPr>
        <w:tab/>
      </w:r>
      <w:r>
        <w:rPr>
          <w:highlight w:val="none"/>
        </w:rPr>
        <w:fldChar w:fldCharType="begin"/>
      </w:r>
      <w:r>
        <w:rPr>
          <w:highlight w:val="none"/>
        </w:rPr>
        <w:instrText xml:space="preserve"> PAGEREF _Toc28834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_Toc18087 </w:instrText>
      </w:r>
      <w:r>
        <w:rPr>
          <w:rFonts w:hint="eastAsia" w:ascii="宋体" w:hAnsi="宋体" w:cs="宋体"/>
          <w:szCs w:val="18"/>
          <w:highlight w:val="none"/>
        </w:rPr>
        <w:fldChar w:fldCharType="separate"/>
      </w:r>
      <w:r>
        <w:rPr>
          <w:rFonts w:hint="eastAsia" w:ascii="宋体" w:hAnsi="宋体" w:eastAsia="宋体" w:cs="宋体"/>
          <w:kern w:val="2"/>
          <w:szCs w:val="24"/>
          <w:highlight w:val="none"/>
        </w:rPr>
        <w:t>7000万元</w:t>
      </w:r>
      <w:r>
        <w:rPr>
          <w:highlight w:val="none"/>
        </w:rPr>
        <w:tab/>
      </w:r>
      <w:r>
        <w:rPr>
          <w:highlight w:val="none"/>
        </w:rPr>
        <w:fldChar w:fldCharType="begin"/>
      </w:r>
      <w:r>
        <w:rPr>
          <w:highlight w:val="none"/>
        </w:rPr>
        <w:instrText xml:space="preserve"> PAGEREF _Toc18087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_Toc3239 </w:instrText>
      </w:r>
      <w:r>
        <w:rPr>
          <w:rFonts w:hint="eastAsia" w:ascii="宋体" w:hAnsi="宋体" w:cs="宋体"/>
          <w:szCs w:val="18"/>
          <w:highlight w:val="none"/>
        </w:rPr>
        <w:fldChar w:fldCharType="separate"/>
      </w:r>
      <w:r>
        <w:rPr>
          <w:rFonts w:hint="eastAsia" w:ascii="宋体" w:hAnsi="宋体" w:eastAsia="宋体" w:cs="宋体"/>
          <w:bCs/>
          <w:kern w:val="0"/>
          <w:szCs w:val="24"/>
          <w:highlight w:val="none"/>
          <w:lang w:val="en-US" w:eastAsia="zh-CN"/>
        </w:rPr>
        <w:t>三</w:t>
      </w:r>
      <w:r>
        <w:rPr>
          <w:rFonts w:hint="eastAsia" w:ascii="宋体" w:hAnsi="宋体" w:eastAsia="宋体" w:cs="宋体"/>
          <w:bCs/>
          <w:kern w:val="0"/>
          <w:szCs w:val="24"/>
          <w:highlight w:val="none"/>
        </w:rPr>
        <w:t>、</w:t>
      </w:r>
      <w:r>
        <w:rPr>
          <w:rFonts w:hint="eastAsia" w:ascii="宋体" w:hAnsi="宋体" w:eastAsia="宋体" w:cs="宋体"/>
          <w:bCs/>
          <w:kern w:val="0"/>
          <w:szCs w:val="24"/>
          <w:highlight w:val="none"/>
          <w:lang w:val="en-US" w:eastAsia="zh-CN"/>
        </w:rPr>
        <w:t>技术</w:t>
      </w:r>
      <w:r>
        <w:rPr>
          <w:rFonts w:hint="eastAsia" w:ascii="宋体" w:hAnsi="宋体" w:eastAsia="宋体" w:cs="宋体"/>
          <w:bCs/>
          <w:kern w:val="0"/>
          <w:szCs w:val="24"/>
          <w:highlight w:val="none"/>
        </w:rPr>
        <w:t>要求</w:t>
      </w:r>
      <w:r>
        <w:rPr>
          <w:highlight w:val="none"/>
        </w:rPr>
        <w:tab/>
      </w:r>
      <w:r>
        <w:rPr>
          <w:highlight w:val="none"/>
        </w:rPr>
        <w:fldChar w:fldCharType="begin"/>
      </w:r>
      <w:r>
        <w:rPr>
          <w:highlight w:val="none"/>
        </w:rPr>
        <w:instrText xml:space="preserve"> PAGEREF _Toc3239 \h </w:instrText>
      </w:r>
      <w:r>
        <w:rPr>
          <w:highlight w:val="none"/>
        </w:rPr>
        <w:fldChar w:fldCharType="separate"/>
      </w:r>
      <w:r>
        <w:rPr>
          <w:highlight w:val="none"/>
        </w:rPr>
        <w:t>20</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_Toc8111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第四章 </w:t>
      </w:r>
      <w:r>
        <w:rPr>
          <w:rFonts w:hint="eastAsia" w:hAnsi="宋体" w:cs="宋体"/>
          <w:szCs w:val="32"/>
          <w:highlight w:val="none"/>
        </w:rPr>
        <w:t>评标方法、步骤及标准</w:t>
      </w:r>
      <w:r>
        <w:rPr>
          <w:highlight w:val="none"/>
        </w:rPr>
        <w:tab/>
      </w:r>
      <w:r>
        <w:rPr>
          <w:highlight w:val="none"/>
        </w:rPr>
        <w:fldChar w:fldCharType="begin"/>
      </w:r>
      <w:r>
        <w:rPr>
          <w:highlight w:val="none"/>
        </w:rPr>
        <w:instrText xml:space="preserve"> PAGEREF _Toc8111 \h </w:instrText>
      </w:r>
      <w:r>
        <w:rPr>
          <w:highlight w:val="none"/>
        </w:rPr>
        <w:fldChar w:fldCharType="separate"/>
      </w:r>
      <w:r>
        <w:rPr>
          <w:highlight w:val="none"/>
        </w:rPr>
        <w:t>24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_Toc16367 </w:instrText>
      </w:r>
      <w:r>
        <w:rPr>
          <w:rFonts w:hint="eastAsia" w:ascii="宋体" w:hAnsi="宋体" w:cs="宋体"/>
          <w:szCs w:val="18"/>
          <w:highlight w:val="none"/>
        </w:rPr>
        <w:fldChar w:fldCharType="separate"/>
      </w:r>
      <w:r>
        <w:rPr>
          <w:rFonts w:hint="eastAsia" w:ascii="宋体" w:hAnsi="宋体"/>
          <w:szCs w:val="21"/>
          <w:highlight w:val="none"/>
        </w:rPr>
        <w:t>一、评标方法</w:t>
      </w:r>
      <w:r>
        <w:rPr>
          <w:highlight w:val="none"/>
        </w:rPr>
        <w:tab/>
      </w:r>
      <w:r>
        <w:rPr>
          <w:highlight w:val="none"/>
        </w:rPr>
        <w:fldChar w:fldCharType="begin"/>
      </w:r>
      <w:r>
        <w:rPr>
          <w:highlight w:val="none"/>
        </w:rPr>
        <w:instrText xml:space="preserve"> PAGEREF _Toc16367 \h </w:instrText>
      </w:r>
      <w:r>
        <w:rPr>
          <w:highlight w:val="none"/>
        </w:rPr>
        <w:fldChar w:fldCharType="separate"/>
      </w:r>
      <w:r>
        <w:rPr>
          <w:highlight w:val="none"/>
        </w:rPr>
        <w:t>24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_Toc31187 </w:instrText>
      </w:r>
      <w:r>
        <w:rPr>
          <w:rFonts w:hint="eastAsia" w:ascii="宋体" w:hAnsi="宋体" w:cs="宋体"/>
          <w:szCs w:val="18"/>
          <w:highlight w:val="none"/>
        </w:rPr>
        <w:fldChar w:fldCharType="separate"/>
      </w:r>
      <w:r>
        <w:rPr>
          <w:rFonts w:hint="eastAsia" w:ascii="宋体" w:hAnsi="宋体"/>
          <w:szCs w:val="21"/>
          <w:highlight w:val="none"/>
        </w:rPr>
        <w:t>二、评标步骤</w:t>
      </w:r>
      <w:r>
        <w:rPr>
          <w:highlight w:val="none"/>
        </w:rPr>
        <w:tab/>
      </w:r>
      <w:r>
        <w:rPr>
          <w:highlight w:val="none"/>
        </w:rPr>
        <w:fldChar w:fldCharType="begin"/>
      </w:r>
      <w:r>
        <w:rPr>
          <w:highlight w:val="none"/>
        </w:rPr>
        <w:instrText xml:space="preserve"> PAGEREF _Toc31187 \h </w:instrText>
      </w:r>
      <w:r>
        <w:rPr>
          <w:highlight w:val="none"/>
        </w:rPr>
        <w:fldChar w:fldCharType="separate"/>
      </w:r>
      <w:r>
        <w:rPr>
          <w:highlight w:val="none"/>
        </w:rPr>
        <w:t>24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_Toc17708 </w:instrText>
      </w:r>
      <w:r>
        <w:rPr>
          <w:rFonts w:hint="eastAsia" w:ascii="宋体" w:hAnsi="宋体" w:cs="宋体"/>
          <w:szCs w:val="18"/>
          <w:highlight w:val="none"/>
        </w:rPr>
        <w:fldChar w:fldCharType="separate"/>
      </w:r>
      <w:r>
        <w:rPr>
          <w:rFonts w:hint="eastAsia" w:ascii="宋体" w:hAnsi="宋体"/>
          <w:bCs/>
          <w:szCs w:val="21"/>
          <w:highlight w:val="none"/>
        </w:rPr>
        <w:t>（一）投标文件初审</w:t>
      </w:r>
      <w:r>
        <w:rPr>
          <w:highlight w:val="none"/>
        </w:rPr>
        <w:tab/>
      </w:r>
      <w:r>
        <w:rPr>
          <w:highlight w:val="none"/>
        </w:rPr>
        <w:fldChar w:fldCharType="begin"/>
      </w:r>
      <w:r>
        <w:rPr>
          <w:highlight w:val="none"/>
        </w:rPr>
        <w:instrText xml:space="preserve"> PAGEREF _Toc17708 \h </w:instrText>
      </w:r>
      <w:r>
        <w:rPr>
          <w:highlight w:val="none"/>
        </w:rPr>
        <w:fldChar w:fldCharType="separate"/>
      </w:r>
      <w:r>
        <w:rPr>
          <w:highlight w:val="none"/>
        </w:rPr>
        <w:t>24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_Toc16748 </w:instrText>
      </w:r>
      <w:r>
        <w:rPr>
          <w:rFonts w:hint="eastAsia" w:ascii="宋体" w:hAnsi="宋体" w:cs="宋体"/>
          <w:szCs w:val="18"/>
          <w:highlight w:val="none"/>
        </w:rPr>
        <w:fldChar w:fldCharType="separate"/>
      </w:r>
      <w:r>
        <w:rPr>
          <w:rFonts w:hint="eastAsia" w:ascii="宋体" w:hAnsi="宋体"/>
          <w:bCs/>
          <w:szCs w:val="21"/>
          <w:highlight w:val="none"/>
        </w:rPr>
        <w:t>（二）澄清有关问题</w:t>
      </w:r>
      <w:r>
        <w:rPr>
          <w:highlight w:val="none"/>
        </w:rPr>
        <w:tab/>
      </w:r>
      <w:r>
        <w:rPr>
          <w:highlight w:val="none"/>
        </w:rPr>
        <w:fldChar w:fldCharType="begin"/>
      </w:r>
      <w:r>
        <w:rPr>
          <w:highlight w:val="none"/>
        </w:rPr>
        <w:instrText xml:space="preserve"> PAGEREF _Toc16748 \h </w:instrText>
      </w:r>
      <w:r>
        <w:rPr>
          <w:highlight w:val="none"/>
        </w:rPr>
        <w:fldChar w:fldCharType="separate"/>
      </w:r>
      <w:r>
        <w:rPr>
          <w:highlight w:val="none"/>
        </w:rPr>
        <w:t>24</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_Toc12482 </w:instrText>
      </w:r>
      <w:r>
        <w:rPr>
          <w:rFonts w:hint="eastAsia" w:ascii="宋体" w:hAnsi="宋体" w:cs="宋体"/>
          <w:szCs w:val="18"/>
          <w:highlight w:val="none"/>
        </w:rPr>
        <w:fldChar w:fldCharType="separate"/>
      </w:r>
      <w:r>
        <w:rPr>
          <w:rFonts w:hint="eastAsia" w:ascii="宋体" w:hAnsi="宋体"/>
          <w:bCs/>
          <w:szCs w:val="21"/>
          <w:highlight w:val="none"/>
        </w:rPr>
        <w:t>（三）投标报价修正（如有）</w:t>
      </w:r>
      <w:r>
        <w:rPr>
          <w:highlight w:val="none"/>
        </w:rPr>
        <w:tab/>
      </w:r>
      <w:r>
        <w:rPr>
          <w:highlight w:val="none"/>
        </w:rPr>
        <w:fldChar w:fldCharType="begin"/>
      </w:r>
      <w:r>
        <w:rPr>
          <w:highlight w:val="none"/>
        </w:rPr>
        <w:instrText xml:space="preserve"> PAGEREF _Toc12482 \h </w:instrText>
      </w:r>
      <w:r>
        <w:rPr>
          <w:highlight w:val="none"/>
        </w:rPr>
        <w:fldChar w:fldCharType="separate"/>
      </w:r>
      <w:r>
        <w:rPr>
          <w:highlight w:val="none"/>
        </w:rPr>
        <w:t>25</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_Toc15729 </w:instrText>
      </w:r>
      <w:r>
        <w:rPr>
          <w:rFonts w:hint="eastAsia" w:ascii="宋体" w:hAnsi="宋体" w:cs="宋体"/>
          <w:szCs w:val="18"/>
          <w:highlight w:val="none"/>
        </w:rPr>
        <w:fldChar w:fldCharType="separate"/>
      </w:r>
      <w:r>
        <w:rPr>
          <w:rFonts w:ascii="宋体" w:hAnsi="宋体"/>
          <w:bCs/>
          <w:szCs w:val="21"/>
          <w:highlight w:val="none"/>
        </w:rPr>
        <w:t>（</w:t>
      </w:r>
      <w:r>
        <w:rPr>
          <w:rFonts w:hint="eastAsia" w:ascii="宋体" w:hAnsi="宋体"/>
          <w:bCs/>
          <w:szCs w:val="21"/>
          <w:highlight w:val="none"/>
        </w:rPr>
        <w:t>四</w:t>
      </w:r>
      <w:r>
        <w:rPr>
          <w:rFonts w:ascii="宋体" w:hAnsi="宋体"/>
          <w:bCs/>
          <w:szCs w:val="21"/>
          <w:highlight w:val="none"/>
        </w:rPr>
        <w:t>）比较与评价</w:t>
      </w:r>
      <w:r>
        <w:rPr>
          <w:highlight w:val="none"/>
        </w:rPr>
        <w:tab/>
      </w:r>
      <w:r>
        <w:rPr>
          <w:highlight w:val="none"/>
        </w:rPr>
        <w:fldChar w:fldCharType="begin"/>
      </w:r>
      <w:r>
        <w:rPr>
          <w:highlight w:val="none"/>
        </w:rPr>
        <w:instrText xml:space="preserve"> PAGEREF _Toc15729 \h </w:instrText>
      </w:r>
      <w:r>
        <w:rPr>
          <w:highlight w:val="none"/>
        </w:rPr>
        <w:fldChar w:fldCharType="separate"/>
      </w:r>
      <w:r>
        <w:rPr>
          <w:highlight w:val="none"/>
        </w:rPr>
        <w:t>25</w:t>
      </w:r>
      <w:r>
        <w:rPr>
          <w:highlight w:val="none"/>
        </w:rPr>
        <w:fldChar w:fldCharType="end"/>
      </w:r>
      <w:r>
        <w:rPr>
          <w:rFonts w:hint="eastAsia" w:ascii="宋体" w:hAnsi="宋体" w:cs="宋体"/>
          <w:szCs w:val="18"/>
          <w:highlight w:val="none"/>
        </w:rPr>
        <w:fldChar w:fldCharType="end"/>
      </w:r>
    </w:p>
    <w:p>
      <w:pPr>
        <w:pStyle w:val="4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_Toc12929 </w:instrText>
      </w:r>
      <w:r>
        <w:rPr>
          <w:rFonts w:hint="eastAsia" w:ascii="宋体" w:hAnsi="宋体" w:cs="宋体"/>
          <w:szCs w:val="18"/>
          <w:highlight w:val="none"/>
        </w:rPr>
        <w:fldChar w:fldCharType="separate"/>
      </w:r>
      <w:r>
        <w:rPr>
          <w:rFonts w:ascii="宋体" w:hAnsi="宋体"/>
          <w:bCs/>
          <w:szCs w:val="21"/>
          <w:highlight w:val="none"/>
        </w:rPr>
        <w:t>（</w:t>
      </w:r>
      <w:r>
        <w:rPr>
          <w:rFonts w:hint="eastAsia" w:ascii="宋体" w:hAnsi="宋体"/>
          <w:bCs/>
          <w:szCs w:val="21"/>
          <w:highlight w:val="none"/>
        </w:rPr>
        <w:t>五</w:t>
      </w:r>
      <w:r>
        <w:rPr>
          <w:rFonts w:ascii="宋体" w:hAnsi="宋体"/>
          <w:bCs/>
          <w:szCs w:val="21"/>
          <w:highlight w:val="none"/>
        </w:rPr>
        <w:t>）推荐中标候选</w:t>
      </w:r>
      <w:r>
        <w:rPr>
          <w:rFonts w:hint="eastAsia" w:ascii="宋体" w:hAnsi="宋体"/>
          <w:bCs/>
          <w:szCs w:val="21"/>
          <w:highlight w:val="none"/>
        </w:rPr>
        <w:t>人</w:t>
      </w:r>
      <w:r>
        <w:rPr>
          <w:rFonts w:ascii="宋体" w:hAnsi="宋体"/>
          <w:bCs/>
          <w:szCs w:val="21"/>
          <w:highlight w:val="none"/>
        </w:rPr>
        <w:t>名单</w:t>
      </w:r>
      <w:r>
        <w:rPr>
          <w:highlight w:val="none"/>
        </w:rPr>
        <w:tab/>
      </w:r>
      <w:r>
        <w:rPr>
          <w:highlight w:val="none"/>
        </w:rPr>
        <w:fldChar w:fldCharType="begin"/>
      </w:r>
      <w:r>
        <w:rPr>
          <w:highlight w:val="none"/>
        </w:rPr>
        <w:instrText xml:space="preserve"> PAGEREF _Toc12929 \h </w:instrText>
      </w:r>
      <w:r>
        <w:rPr>
          <w:highlight w:val="none"/>
        </w:rPr>
        <w:fldChar w:fldCharType="separate"/>
      </w:r>
      <w:r>
        <w:rPr>
          <w:highlight w:val="none"/>
        </w:rPr>
        <w:t>25</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_Toc16491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第五章 </w:t>
      </w:r>
      <w:r>
        <w:rPr>
          <w:rFonts w:hint="eastAsia" w:hAnsi="宋体" w:cs="宋体"/>
          <w:szCs w:val="32"/>
          <w:highlight w:val="none"/>
        </w:rPr>
        <w:t>合同主要条款</w:t>
      </w:r>
      <w:r>
        <w:rPr>
          <w:highlight w:val="none"/>
        </w:rPr>
        <w:tab/>
      </w:r>
      <w:r>
        <w:rPr>
          <w:highlight w:val="none"/>
        </w:rPr>
        <w:fldChar w:fldCharType="begin"/>
      </w:r>
      <w:r>
        <w:rPr>
          <w:highlight w:val="none"/>
        </w:rPr>
        <w:instrText xml:space="preserve"> PAGEREF _Toc16491 \h </w:instrText>
      </w:r>
      <w:r>
        <w:rPr>
          <w:highlight w:val="none"/>
        </w:rPr>
        <w:fldChar w:fldCharType="separate"/>
      </w:r>
      <w:r>
        <w:rPr>
          <w:highlight w:val="none"/>
        </w:rPr>
        <w:t>33</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_Toc21520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前  言</w:t>
      </w:r>
      <w:r>
        <w:rPr>
          <w:highlight w:val="none"/>
        </w:rPr>
        <w:tab/>
      </w:r>
      <w:r>
        <w:rPr>
          <w:highlight w:val="none"/>
        </w:rPr>
        <w:fldChar w:fldCharType="begin"/>
      </w:r>
      <w:r>
        <w:rPr>
          <w:highlight w:val="none"/>
        </w:rPr>
        <w:instrText xml:space="preserve"> PAGEREF _Toc21520 \h </w:instrText>
      </w:r>
      <w:r>
        <w:rPr>
          <w:highlight w:val="none"/>
        </w:rPr>
        <w:fldChar w:fldCharType="separate"/>
      </w:r>
      <w:r>
        <w:rPr>
          <w:highlight w:val="none"/>
        </w:rPr>
        <w:t>36</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_Toc4837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第一章　定义</w:t>
      </w:r>
      <w:r>
        <w:rPr>
          <w:highlight w:val="none"/>
        </w:rPr>
        <w:tab/>
      </w:r>
      <w:r>
        <w:rPr>
          <w:highlight w:val="none"/>
        </w:rPr>
        <w:fldChar w:fldCharType="begin"/>
      </w:r>
      <w:r>
        <w:rPr>
          <w:highlight w:val="none"/>
        </w:rPr>
        <w:instrText xml:space="preserve"> PAGEREF _Toc4837 \h </w:instrText>
      </w:r>
      <w:r>
        <w:rPr>
          <w:highlight w:val="none"/>
        </w:rPr>
        <w:fldChar w:fldCharType="separate"/>
      </w:r>
      <w:r>
        <w:rPr>
          <w:highlight w:val="none"/>
        </w:rPr>
        <w:t>36</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_Toc4935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第二章  声明与承诺</w:t>
      </w:r>
      <w:r>
        <w:rPr>
          <w:highlight w:val="none"/>
        </w:rPr>
        <w:tab/>
      </w:r>
      <w:r>
        <w:rPr>
          <w:highlight w:val="none"/>
        </w:rPr>
        <w:fldChar w:fldCharType="begin"/>
      </w:r>
      <w:r>
        <w:rPr>
          <w:highlight w:val="none"/>
        </w:rPr>
        <w:instrText xml:space="preserve"> PAGEREF _Toc4935 \h </w:instrText>
      </w:r>
      <w:r>
        <w:rPr>
          <w:highlight w:val="none"/>
        </w:rPr>
        <w:fldChar w:fldCharType="separate"/>
      </w:r>
      <w:r>
        <w:rPr>
          <w:highlight w:val="none"/>
        </w:rPr>
        <w:t>40</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_Toc7404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第三章  受托的设立</w:t>
      </w:r>
      <w:r>
        <w:rPr>
          <w:highlight w:val="none"/>
        </w:rPr>
        <w:tab/>
      </w:r>
      <w:r>
        <w:rPr>
          <w:highlight w:val="none"/>
        </w:rPr>
        <w:fldChar w:fldCharType="begin"/>
      </w:r>
      <w:r>
        <w:rPr>
          <w:highlight w:val="none"/>
        </w:rPr>
        <w:instrText xml:space="preserve"> PAGEREF _Toc7404 \h </w:instrText>
      </w:r>
      <w:r>
        <w:rPr>
          <w:highlight w:val="none"/>
        </w:rPr>
        <w:fldChar w:fldCharType="separate"/>
      </w:r>
      <w:r>
        <w:rPr>
          <w:highlight w:val="none"/>
        </w:rPr>
        <w:t>41</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_Toc23371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第四章  受托当事人的权利与义务</w:t>
      </w:r>
      <w:r>
        <w:rPr>
          <w:highlight w:val="none"/>
        </w:rPr>
        <w:tab/>
      </w:r>
      <w:r>
        <w:rPr>
          <w:highlight w:val="none"/>
        </w:rPr>
        <w:fldChar w:fldCharType="begin"/>
      </w:r>
      <w:r>
        <w:rPr>
          <w:highlight w:val="none"/>
        </w:rPr>
        <w:instrText xml:space="preserve"> PAGEREF _Toc23371 \h </w:instrText>
      </w:r>
      <w:r>
        <w:rPr>
          <w:highlight w:val="none"/>
        </w:rPr>
        <w:fldChar w:fldCharType="separate"/>
      </w:r>
      <w:r>
        <w:rPr>
          <w:highlight w:val="none"/>
        </w:rPr>
        <w:t>42</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_Toc23347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第五章　企业年金基金的管理</w:t>
      </w:r>
      <w:r>
        <w:rPr>
          <w:highlight w:val="none"/>
        </w:rPr>
        <w:tab/>
      </w:r>
      <w:r>
        <w:rPr>
          <w:highlight w:val="none"/>
        </w:rPr>
        <w:fldChar w:fldCharType="begin"/>
      </w:r>
      <w:r>
        <w:rPr>
          <w:highlight w:val="none"/>
        </w:rPr>
        <w:instrText xml:space="preserve"> PAGEREF _Toc23347 \h </w:instrText>
      </w:r>
      <w:r>
        <w:rPr>
          <w:highlight w:val="none"/>
        </w:rPr>
        <w:fldChar w:fldCharType="separate"/>
      </w:r>
      <w:r>
        <w:rPr>
          <w:highlight w:val="none"/>
        </w:rPr>
        <w:t>47</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_Toc927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第六章  企业年金的缴费、领取、转移与保留</w:t>
      </w:r>
      <w:r>
        <w:rPr>
          <w:highlight w:val="none"/>
        </w:rPr>
        <w:tab/>
      </w:r>
      <w:r>
        <w:rPr>
          <w:highlight w:val="none"/>
        </w:rPr>
        <w:fldChar w:fldCharType="begin"/>
      </w:r>
      <w:r>
        <w:rPr>
          <w:highlight w:val="none"/>
        </w:rPr>
        <w:instrText xml:space="preserve"> PAGEREF _Toc927 \h </w:instrText>
      </w:r>
      <w:r>
        <w:rPr>
          <w:highlight w:val="none"/>
        </w:rPr>
        <w:fldChar w:fldCharType="separate"/>
      </w:r>
      <w:r>
        <w:rPr>
          <w:highlight w:val="none"/>
        </w:rPr>
        <w:t>50</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_Toc18020 </w:instrText>
      </w:r>
      <w:r>
        <w:rPr>
          <w:rFonts w:hint="eastAsia" w:ascii="宋体" w:hAnsi="宋体" w:cs="宋体"/>
          <w:szCs w:val="18"/>
          <w:highlight w:val="none"/>
        </w:rPr>
        <w:fldChar w:fldCharType="separate"/>
      </w:r>
      <w:r>
        <w:rPr>
          <w:rFonts w:hint="eastAsia" w:ascii="黑体" w:hAnsi="Times New Roman" w:eastAsia="黑体" w:cs="Times New Roman"/>
          <w:bCs/>
          <w:kern w:val="44"/>
          <w:szCs w:val="28"/>
          <w:highlight w:val="none"/>
          <w:lang w:val="en-US" w:eastAsia="zh-CN" w:bidi="ar-SA"/>
        </w:rPr>
        <w:t>第七章  投资政策</w:t>
      </w:r>
      <w:r>
        <w:rPr>
          <w:highlight w:val="none"/>
        </w:rPr>
        <w:tab/>
      </w:r>
      <w:r>
        <w:rPr>
          <w:highlight w:val="none"/>
        </w:rPr>
        <w:fldChar w:fldCharType="begin"/>
      </w:r>
      <w:r>
        <w:rPr>
          <w:highlight w:val="none"/>
        </w:rPr>
        <w:instrText xml:space="preserve"> PAGEREF _Toc18020 \h </w:instrText>
      </w:r>
      <w:r>
        <w:rPr>
          <w:highlight w:val="none"/>
        </w:rPr>
        <w:fldChar w:fldCharType="separate"/>
      </w:r>
      <w:r>
        <w:rPr>
          <w:highlight w:val="none"/>
        </w:rPr>
        <w:t>52</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_Toc27816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第八章　投资管理风险准备金</w:t>
      </w:r>
      <w:r>
        <w:rPr>
          <w:highlight w:val="none"/>
        </w:rPr>
        <w:tab/>
      </w:r>
      <w:r>
        <w:rPr>
          <w:highlight w:val="none"/>
        </w:rPr>
        <w:fldChar w:fldCharType="begin"/>
      </w:r>
      <w:r>
        <w:rPr>
          <w:highlight w:val="none"/>
        </w:rPr>
        <w:instrText xml:space="preserve"> PAGEREF _Toc27816 \h </w:instrText>
      </w:r>
      <w:r>
        <w:rPr>
          <w:highlight w:val="none"/>
        </w:rPr>
        <w:fldChar w:fldCharType="separate"/>
      </w:r>
      <w:r>
        <w:rPr>
          <w:highlight w:val="none"/>
        </w:rPr>
        <w:t>54</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_Toc1549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第九章  企业年金基金财产的核算</w:t>
      </w:r>
      <w:r>
        <w:rPr>
          <w:highlight w:val="none"/>
        </w:rPr>
        <w:tab/>
      </w:r>
      <w:r>
        <w:rPr>
          <w:highlight w:val="none"/>
        </w:rPr>
        <w:fldChar w:fldCharType="begin"/>
      </w:r>
      <w:r>
        <w:rPr>
          <w:highlight w:val="none"/>
        </w:rPr>
        <w:instrText xml:space="preserve"> PAGEREF _Toc1549 \h </w:instrText>
      </w:r>
      <w:r>
        <w:rPr>
          <w:highlight w:val="none"/>
        </w:rPr>
        <w:fldChar w:fldCharType="separate"/>
      </w:r>
      <w:r>
        <w:rPr>
          <w:highlight w:val="none"/>
        </w:rPr>
        <w:t>54</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_Toc19838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第十章  企业年金基金的费用</w:t>
      </w:r>
      <w:r>
        <w:rPr>
          <w:highlight w:val="none"/>
        </w:rPr>
        <w:tab/>
      </w:r>
      <w:r>
        <w:rPr>
          <w:highlight w:val="none"/>
        </w:rPr>
        <w:fldChar w:fldCharType="begin"/>
      </w:r>
      <w:r>
        <w:rPr>
          <w:highlight w:val="none"/>
        </w:rPr>
        <w:instrText xml:space="preserve"> PAGEREF _Toc19838 \h </w:instrText>
      </w:r>
      <w:r>
        <w:rPr>
          <w:highlight w:val="none"/>
        </w:rPr>
        <w:fldChar w:fldCharType="separate"/>
      </w:r>
      <w:r>
        <w:rPr>
          <w:highlight w:val="none"/>
        </w:rPr>
        <w:t>56</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_Toc21438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第十一章  企业年金基金的审计与清算</w:t>
      </w:r>
      <w:r>
        <w:rPr>
          <w:highlight w:val="none"/>
        </w:rPr>
        <w:tab/>
      </w:r>
      <w:r>
        <w:rPr>
          <w:highlight w:val="none"/>
        </w:rPr>
        <w:fldChar w:fldCharType="begin"/>
      </w:r>
      <w:r>
        <w:rPr>
          <w:highlight w:val="none"/>
        </w:rPr>
        <w:instrText xml:space="preserve"> PAGEREF _Toc21438 \h </w:instrText>
      </w:r>
      <w:r>
        <w:rPr>
          <w:highlight w:val="none"/>
        </w:rPr>
        <w:fldChar w:fldCharType="separate"/>
      </w:r>
      <w:r>
        <w:rPr>
          <w:highlight w:val="none"/>
        </w:rPr>
        <w:t>60</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_Toc9461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第十二章  企业年金基金的信息报告与披露</w:t>
      </w:r>
      <w:r>
        <w:rPr>
          <w:highlight w:val="none"/>
        </w:rPr>
        <w:tab/>
      </w:r>
      <w:r>
        <w:rPr>
          <w:highlight w:val="none"/>
        </w:rPr>
        <w:fldChar w:fldCharType="begin"/>
      </w:r>
      <w:r>
        <w:rPr>
          <w:highlight w:val="none"/>
        </w:rPr>
        <w:instrText xml:space="preserve"> PAGEREF _Toc9461 \h </w:instrText>
      </w:r>
      <w:r>
        <w:rPr>
          <w:highlight w:val="none"/>
        </w:rPr>
        <w:fldChar w:fldCharType="separate"/>
      </w:r>
      <w:r>
        <w:rPr>
          <w:highlight w:val="none"/>
        </w:rPr>
        <w:t>61</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_Toc22616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第十三章  禁止行为</w:t>
      </w:r>
      <w:r>
        <w:rPr>
          <w:highlight w:val="none"/>
        </w:rPr>
        <w:tab/>
      </w:r>
      <w:r>
        <w:rPr>
          <w:highlight w:val="none"/>
        </w:rPr>
        <w:fldChar w:fldCharType="begin"/>
      </w:r>
      <w:r>
        <w:rPr>
          <w:highlight w:val="none"/>
        </w:rPr>
        <w:instrText xml:space="preserve"> PAGEREF _Toc22616 \h </w:instrText>
      </w:r>
      <w:r>
        <w:rPr>
          <w:highlight w:val="none"/>
        </w:rPr>
        <w:fldChar w:fldCharType="separate"/>
      </w:r>
      <w:r>
        <w:rPr>
          <w:highlight w:val="none"/>
        </w:rPr>
        <w:t>62</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_Toc4168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第十四章  违约责任与免责条款</w:t>
      </w:r>
      <w:r>
        <w:rPr>
          <w:highlight w:val="none"/>
        </w:rPr>
        <w:tab/>
      </w:r>
      <w:r>
        <w:rPr>
          <w:highlight w:val="none"/>
        </w:rPr>
        <w:fldChar w:fldCharType="begin"/>
      </w:r>
      <w:r>
        <w:rPr>
          <w:highlight w:val="none"/>
        </w:rPr>
        <w:instrText xml:space="preserve"> PAGEREF _Toc4168 \h </w:instrText>
      </w:r>
      <w:r>
        <w:rPr>
          <w:highlight w:val="none"/>
        </w:rPr>
        <w:fldChar w:fldCharType="separate"/>
      </w:r>
      <w:r>
        <w:rPr>
          <w:highlight w:val="none"/>
        </w:rPr>
        <w:t>62</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_Toc23712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第十五章  争议的处理</w:t>
      </w:r>
      <w:r>
        <w:rPr>
          <w:highlight w:val="none"/>
        </w:rPr>
        <w:tab/>
      </w:r>
      <w:r>
        <w:rPr>
          <w:highlight w:val="none"/>
        </w:rPr>
        <w:fldChar w:fldCharType="begin"/>
      </w:r>
      <w:r>
        <w:rPr>
          <w:highlight w:val="none"/>
        </w:rPr>
        <w:instrText xml:space="preserve"> PAGEREF _Toc23712 \h </w:instrText>
      </w:r>
      <w:r>
        <w:rPr>
          <w:highlight w:val="none"/>
        </w:rPr>
        <w:fldChar w:fldCharType="separate"/>
      </w:r>
      <w:r>
        <w:rPr>
          <w:highlight w:val="none"/>
        </w:rPr>
        <w:t>63</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_Toc7119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第十六章  本合同的生效、期限、变更与终止</w:t>
      </w:r>
      <w:r>
        <w:rPr>
          <w:highlight w:val="none"/>
        </w:rPr>
        <w:tab/>
      </w:r>
      <w:r>
        <w:rPr>
          <w:highlight w:val="none"/>
        </w:rPr>
        <w:fldChar w:fldCharType="begin"/>
      </w:r>
      <w:r>
        <w:rPr>
          <w:highlight w:val="none"/>
        </w:rPr>
        <w:instrText xml:space="preserve"> PAGEREF _Toc7119 \h </w:instrText>
      </w:r>
      <w:r>
        <w:rPr>
          <w:highlight w:val="none"/>
        </w:rPr>
        <w:fldChar w:fldCharType="separate"/>
      </w:r>
      <w:r>
        <w:rPr>
          <w:highlight w:val="none"/>
        </w:rPr>
        <w:t>64</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_Toc12173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第十七章  保密条款</w:t>
      </w:r>
      <w:r>
        <w:rPr>
          <w:highlight w:val="none"/>
        </w:rPr>
        <w:tab/>
      </w:r>
      <w:r>
        <w:rPr>
          <w:highlight w:val="none"/>
        </w:rPr>
        <w:fldChar w:fldCharType="begin"/>
      </w:r>
      <w:r>
        <w:rPr>
          <w:highlight w:val="none"/>
        </w:rPr>
        <w:instrText xml:space="preserve"> PAGEREF _Toc12173 \h </w:instrText>
      </w:r>
      <w:r>
        <w:rPr>
          <w:highlight w:val="none"/>
        </w:rPr>
        <w:fldChar w:fldCharType="separate"/>
      </w:r>
      <w:r>
        <w:rPr>
          <w:highlight w:val="none"/>
        </w:rPr>
        <w:t>66</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_Toc1697 </w:instrText>
      </w:r>
      <w:r>
        <w:rPr>
          <w:rFonts w:hint="eastAsia" w:ascii="宋体" w:hAnsi="宋体" w:cs="宋体"/>
          <w:szCs w:val="18"/>
          <w:highlight w:val="none"/>
        </w:rPr>
        <w:fldChar w:fldCharType="separate"/>
      </w:r>
      <w:r>
        <w:rPr>
          <w:rFonts w:hint="eastAsia" w:ascii="黑体" w:hAnsi="黑体" w:eastAsia="黑体" w:cs="Times New Roman"/>
          <w:bCs w:val="0"/>
          <w:kern w:val="44"/>
          <w:szCs w:val="28"/>
          <w:highlight w:val="none"/>
          <w:lang w:val="en-US" w:eastAsia="zh-CN" w:bidi="ar-SA"/>
        </w:rPr>
        <w:t>第十八章  通知及送达</w:t>
      </w:r>
      <w:r>
        <w:rPr>
          <w:highlight w:val="none"/>
        </w:rPr>
        <w:tab/>
      </w:r>
      <w:r>
        <w:rPr>
          <w:highlight w:val="none"/>
        </w:rPr>
        <w:fldChar w:fldCharType="begin"/>
      </w:r>
      <w:r>
        <w:rPr>
          <w:highlight w:val="none"/>
        </w:rPr>
        <w:instrText xml:space="preserve"> PAGEREF _Toc1697 \h </w:instrText>
      </w:r>
      <w:r>
        <w:rPr>
          <w:highlight w:val="none"/>
        </w:rPr>
        <w:fldChar w:fldCharType="separate"/>
      </w:r>
      <w:r>
        <w:rPr>
          <w:highlight w:val="none"/>
        </w:rPr>
        <w:t>66</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_Toc30703 </w:instrText>
      </w:r>
      <w:r>
        <w:rPr>
          <w:rFonts w:hint="eastAsia" w:ascii="宋体" w:hAnsi="宋体" w:cs="宋体"/>
          <w:szCs w:val="18"/>
          <w:highlight w:val="none"/>
        </w:rPr>
        <w:fldChar w:fldCharType="separate"/>
      </w:r>
      <w:r>
        <w:rPr>
          <w:rFonts w:hint="eastAsia" w:ascii="黑体" w:hAnsi="黑体" w:eastAsia="黑体" w:cs="Times New Roman"/>
          <w:bCs/>
          <w:kern w:val="44"/>
          <w:szCs w:val="28"/>
          <w:highlight w:val="none"/>
          <w:lang w:val="en-US" w:eastAsia="zh-CN" w:bidi="ar-SA"/>
        </w:rPr>
        <w:t>第十九章  风险提示</w:t>
      </w:r>
      <w:r>
        <w:rPr>
          <w:highlight w:val="none"/>
        </w:rPr>
        <w:tab/>
      </w:r>
      <w:r>
        <w:rPr>
          <w:highlight w:val="none"/>
        </w:rPr>
        <w:fldChar w:fldCharType="begin"/>
      </w:r>
      <w:r>
        <w:rPr>
          <w:highlight w:val="none"/>
        </w:rPr>
        <w:instrText xml:space="preserve"> PAGEREF _Toc30703 \h </w:instrText>
      </w:r>
      <w:r>
        <w:rPr>
          <w:highlight w:val="none"/>
        </w:rPr>
        <w:fldChar w:fldCharType="separate"/>
      </w:r>
      <w:r>
        <w:rPr>
          <w:highlight w:val="none"/>
        </w:rPr>
        <w:t>67</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_Toc30741 </w:instrText>
      </w:r>
      <w:r>
        <w:rPr>
          <w:rFonts w:hint="eastAsia" w:ascii="宋体" w:hAnsi="宋体" w:cs="宋体"/>
          <w:szCs w:val="18"/>
          <w:highlight w:val="none"/>
        </w:rPr>
        <w:fldChar w:fldCharType="separate"/>
      </w:r>
      <w:r>
        <w:rPr>
          <w:rFonts w:hint="eastAsia" w:ascii="黑体" w:hAnsi="黑体" w:eastAsia="黑体" w:cs="Times New Roman"/>
          <w:bCs/>
          <w:kern w:val="44"/>
          <w:szCs w:val="28"/>
          <w:highlight w:val="none"/>
          <w:lang w:val="en-US" w:eastAsia="zh-CN" w:bidi="ar-SA"/>
        </w:rPr>
        <w:t>第二十章  其他事项</w:t>
      </w:r>
      <w:r>
        <w:rPr>
          <w:highlight w:val="none"/>
        </w:rPr>
        <w:tab/>
      </w:r>
      <w:r>
        <w:rPr>
          <w:highlight w:val="none"/>
        </w:rPr>
        <w:fldChar w:fldCharType="begin"/>
      </w:r>
      <w:r>
        <w:rPr>
          <w:highlight w:val="none"/>
        </w:rPr>
        <w:instrText xml:space="preserve"> PAGEREF _Toc30741 \h </w:instrText>
      </w:r>
      <w:r>
        <w:rPr>
          <w:highlight w:val="none"/>
        </w:rPr>
        <w:fldChar w:fldCharType="separate"/>
      </w:r>
      <w:r>
        <w:rPr>
          <w:highlight w:val="none"/>
        </w:rPr>
        <w:t>67</w:t>
      </w:r>
      <w:r>
        <w:rPr>
          <w:highlight w:val="none"/>
        </w:rPr>
        <w:fldChar w:fldCharType="end"/>
      </w:r>
      <w:r>
        <w:rPr>
          <w:rFonts w:hint="eastAsia" w:ascii="宋体" w:hAnsi="宋体" w:cs="宋体"/>
          <w:szCs w:val="18"/>
          <w:highlight w:val="none"/>
        </w:rPr>
        <w:fldChar w:fldCharType="end"/>
      </w:r>
    </w:p>
    <w:p>
      <w:pPr>
        <w:pStyle w:val="59"/>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_Toc5215 </w:instrText>
      </w:r>
      <w:r>
        <w:rPr>
          <w:rFonts w:hint="eastAsia" w:ascii="宋体" w:hAnsi="宋体" w:cs="宋体"/>
          <w:szCs w:val="18"/>
          <w:highlight w:val="none"/>
        </w:rPr>
        <w:fldChar w:fldCharType="separate"/>
      </w:r>
      <w:r>
        <w:rPr>
          <w:rFonts w:hint="eastAsia" w:ascii="宋体" w:hAnsi="宋体" w:eastAsia="宋体" w:cs="宋体"/>
          <w:i w:val="0"/>
          <w:szCs w:val="32"/>
          <w:highlight w:val="none"/>
        </w:rPr>
        <w:t xml:space="preserve">第六章 </w:t>
      </w:r>
      <w:r>
        <w:rPr>
          <w:rFonts w:hint="eastAsia" w:hAnsi="宋体" w:cs="宋体"/>
          <w:szCs w:val="32"/>
          <w:highlight w:val="none"/>
        </w:rPr>
        <w:t>投标文件格式</w:t>
      </w:r>
      <w:r>
        <w:rPr>
          <w:highlight w:val="none"/>
        </w:rPr>
        <w:tab/>
      </w:r>
      <w:r>
        <w:rPr>
          <w:highlight w:val="none"/>
        </w:rPr>
        <w:fldChar w:fldCharType="begin"/>
      </w:r>
      <w:r>
        <w:rPr>
          <w:highlight w:val="none"/>
        </w:rPr>
        <w:instrText xml:space="preserve"> PAGEREF _Toc5215 \h </w:instrText>
      </w:r>
      <w:r>
        <w:rPr>
          <w:highlight w:val="none"/>
        </w:rPr>
        <w:fldChar w:fldCharType="separate"/>
      </w:r>
      <w:r>
        <w:rPr>
          <w:highlight w:val="none"/>
        </w:rPr>
        <w:t>71</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_Toc24192 </w:instrText>
      </w:r>
      <w:r>
        <w:rPr>
          <w:rFonts w:hint="eastAsia" w:ascii="宋体" w:hAnsi="宋体" w:cs="宋体"/>
          <w:szCs w:val="18"/>
          <w:highlight w:val="none"/>
        </w:rPr>
        <w:fldChar w:fldCharType="separate"/>
      </w:r>
      <w:r>
        <w:rPr>
          <w:rFonts w:hint="eastAsia" w:ascii="宋体" w:hAnsi="宋体" w:eastAsia="宋体" w:cs="宋体"/>
          <w:bCs w:val="0"/>
          <w:highlight w:val="none"/>
        </w:rPr>
        <w:t>一、投标函及附件</w:t>
      </w:r>
      <w:r>
        <w:rPr>
          <w:highlight w:val="none"/>
        </w:rPr>
        <w:tab/>
      </w:r>
      <w:r>
        <w:rPr>
          <w:highlight w:val="none"/>
        </w:rPr>
        <w:fldChar w:fldCharType="begin"/>
      </w:r>
      <w:r>
        <w:rPr>
          <w:highlight w:val="none"/>
        </w:rPr>
        <w:instrText xml:space="preserve"> PAGEREF _Toc24192 \h </w:instrText>
      </w:r>
      <w:r>
        <w:rPr>
          <w:highlight w:val="none"/>
        </w:rPr>
        <w:fldChar w:fldCharType="separate"/>
      </w:r>
      <w:r>
        <w:rPr>
          <w:highlight w:val="none"/>
        </w:rPr>
        <w:t>77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_Toc917 </w:instrText>
      </w:r>
      <w:r>
        <w:rPr>
          <w:rFonts w:hint="eastAsia" w:ascii="宋体" w:hAnsi="宋体" w:cs="宋体"/>
          <w:szCs w:val="18"/>
          <w:highlight w:val="none"/>
        </w:rPr>
        <w:fldChar w:fldCharType="separate"/>
      </w:r>
      <w:r>
        <w:rPr>
          <w:rFonts w:hint="eastAsia" w:ascii="宋体" w:hAnsi="宋体" w:eastAsia="宋体" w:cs="宋体"/>
          <w:bCs w:val="0"/>
          <w:highlight w:val="none"/>
        </w:rPr>
        <w:t>（一）投标函</w:t>
      </w:r>
      <w:r>
        <w:rPr>
          <w:highlight w:val="none"/>
        </w:rPr>
        <w:tab/>
      </w:r>
      <w:r>
        <w:rPr>
          <w:highlight w:val="none"/>
        </w:rPr>
        <w:fldChar w:fldCharType="begin"/>
      </w:r>
      <w:r>
        <w:rPr>
          <w:highlight w:val="none"/>
        </w:rPr>
        <w:instrText xml:space="preserve"> PAGEREF _Toc917 \h </w:instrText>
      </w:r>
      <w:r>
        <w:rPr>
          <w:highlight w:val="none"/>
        </w:rPr>
        <w:fldChar w:fldCharType="separate"/>
      </w:r>
      <w:r>
        <w:rPr>
          <w:highlight w:val="none"/>
        </w:rPr>
        <w:t>77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_Toc10397 </w:instrText>
      </w:r>
      <w:r>
        <w:rPr>
          <w:rFonts w:hint="eastAsia" w:ascii="宋体" w:hAnsi="宋体" w:cs="宋体"/>
          <w:szCs w:val="18"/>
          <w:highlight w:val="none"/>
        </w:rPr>
        <w:fldChar w:fldCharType="separate"/>
      </w:r>
      <w:r>
        <w:rPr>
          <w:rFonts w:hint="eastAsia" w:ascii="宋体" w:hAnsi="宋体" w:eastAsia="宋体" w:cs="宋体"/>
          <w:bCs w:val="0"/>
          <w:highlight w:val="none"/>
        </w:rPr>
        <w:t>（二）法定代表人身份证明</w:t>
      </w:r>
      <w:r>
        <w:rPr>
          <w:highlight w:val="none"/>
        </w:rPr>
        <w:tab/>
      </w:r>
      <w:r>
        <w:rPr>
          <w:highlight w:val="none"/>
        </w:rPr>
        <w:fldChar w:fldCharType="begin"/>
      </w:r>
      <w:r>
        <w:rPr>
          <w:highlight w:val="none"/>
        </w:rPr>
        <w:instrText xml:space="preserve"> PAGEREF _Toc10397 \h </w:instrText>
      </w:r>
      <w:r>
        <w:rPr>
          <w:highlight w:val="none"/>
        </w:rPr>
        <w:fldChar w:fldCharType="separate"/>
      </w:r>
      <w:r>
        <w:rPr>
          <w:highlight w:val="none"/>
        </w:rPr>
        <w:t>79</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_Toc24734 </w:instrText>
      </w:r>
      <w:r>
        <w:rPr>
          <w:rFonts w:hint="eastAsia" w:ascii="宋体" w:hAnsi="宋体" w:cs="宋体"/>
          <w:szCs w:val="18"/>
          <w:highlight w:val="none"/>
        </w:rPr>
        <w:fldChar w:fldCharType="separate"/>
      </w:r>
      <w:r>
        <w:rPr>
          <w:rFonts w:hint="eastAsia" w:ascii="宋体" w:hAnsi="宋体" w:eastAsia="宋体" w:cs="宋体"/>
          <w:bCs w:val="0"/>
          <w:highlight w:val="none"/>
        </w:rPr>
        <w:t>（三）法定代表人授权书</w:t>
      </w:r>
      <w:r>
        <w:rPr>
          <w:highlight w:val="none"/>
        </w:rPr>
        <w:tab/>
      </w:r>
      <w:r>
        <w:rPr>
          <w:highlight w:val="none"/>
        </w:rPr>
        <w:fldChar w:fldCharType="begin"/>
      </w:r>
      <w:r>
        <w:rPr>
          <w:highlight w:val="none"/>
        </w:rPr>
        <w:instrText xml:space="preserve"> PAGEREF _Toc24734 \h </w:instrText>
      </w:r>
      <w:r>
        <w:rPr>
          <w:highlight w:val="none"/>
        </w:rPr>
        <w:fldChar w:fldCharType="separate"/>
      </w:r>
      <w:r>
        <w:rPr>
          <w:highlight w:val="none"/>
        </w:rPr>
        <w:t>80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_Toc22404 </w:instrText>
      </w:r>
      <w:r>
        <w:rPr>
          <w:rFonts w:hint="eastAsia" w:ascii="宋体" w:hAnsi="宋体" w:cs="宋体"/>
          <w:szCs w:val="18"/>
          <w:highlight w:val="none"/>
        </w:rPr>
        <w:fldChar w:fldCharType="separate"/>
      </w:r>
      <w:r>
        <w:rPr>
          <w:rFonts w:hint="eastAsia" w:ascii="宋体" w:hAnsi="宋体" w:eastAsia="宋体" w:cs="宋体"/>
          <w:bCs w:val="0"/>
          <w:highlight w:val="none"/>
        </w:rPr>
        <w:t>二、报价文件</w:t>
      </w:r>
      <w:r>
        <w:rPr>
          <w:highlight w:val="none"/>
        </w:rPr>
        <w:tab/>
      </w:r>
      <w:r>
        <w:rPr>
          <w:highlight w:val="none"/>
        </w:rPr>
        <w:fldChar w:fldCharType="begin"/>
      </w:r>
      <w:r>
        <w:rPr>
          <w:highlight w:val="none"/>
        </w:rPr>
        <w:instrText xml:space="preserve"> PAGEREF _Toc22404 \h </w:instrText>
      </w:r>
      <w:r>
        <w:rPr>
          <w:highlight w:val="none"/>
        </w:rPr>
        <w:fldChar w:fldCharType="separate"/>
      </w:r>
      <w:r>
        <w:rPr>
          <w:highlight w:val="none"/>
        </w:rPr>
        <w:t>81</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_Toc6530 </w:instrText>
      </w:r>
      <w:r>
        <w:rPr>
          <w:rFonts w:hint="eastAsia" w:ascii="宋体" w:hAnsi="宋体" w:cs="宋体"/>
          <w:szCs w:val="18"/>
          <w:highlight w:val="none"/>
        </w:rPr>
        <w:fldChar w:fldCharType="separate"/>
      </w:r>
      <w:r>
        <w:rPr>
          <w:rFonts w:hint="eastAsia" w:ascii="宋体" w:hAnsi="宋体" w:eastAsia="宋体" w:cs="宋体"/>
          <w:bCs w:val="0"/>
          <w:highlight w:val="none"/>
        </w:rPr>
        <w:t>（一）开标一览表</w:t>
      </w:r>
      <w:r>
        <w:rPr>
          <w:highlight w:val="none"/>
        </w:rPr>
        <w:tab/>
      </w:r>
      <w:r>
        <w:rPr>
          <w:highlight w:val="none"/>
        </w:rPr>
        <w:fldChar w:fldCharType="begin"/>
      </w:r>
      <w:r>
        <w:rPr>
          <w:highlight w:val="none"/>
        </w:rPr>
        <w:instrText xml:space="preserve"> PAGEREF _Toc6530 \h </w:instrText>
      </w:r>
      <w:r>
        <w:rPr>
          <w:highlight w:val="none"/>
        </w:rPr>
        <w:fldChar w:fldCharType="separate"/>
      </w:r>
      <w:r>
        <w:rPr>
          <w:highlight w:val="none"/>
        </w:rPr>
        <w:t>81</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_Toc5413 </w:instrText>
      </w:r>
      <w:r>
        <w:rPr>
          <w:rFonts w:hint="eastAsia" w:ascii="宋体" w:hAnsi="宋体" w:cs="宋体"/>
          <w:szCs w:val="18"/>
          <w:highlight w:val="none"/>
        </w:rPr>
        <w:fldChar w:fldCharType="separate"/>
      </w:r>
      <w:r>
        <w:rPr>
          <w:rFonts w:hint="eastAsia" w:cs="Arial"/>
          <w:bCs w:val="0"/>
          <w:highlight w:val="none"/>
        </w:rPr>
        <w:t>（</w:t>
      </w:r>
      <w:r>
        <w:rPr>
          <w:rFonts w:hint="eastAsia" w:cs="Arial"/>
          <w:bCs w:val="0"/>
          <w:highlight w:val="none"/>
          <w:lang w:val="en-US" w:eastAsia="zh-CN"/>
        </w:rPr>
        <w:t>二</w:t>
      </w:r>
      <w:r>
        <w:rPr>
          <w:rFonts w:hint="eastAsia" w:cs="Arial"/>
          <w:bCs w:val="0"/>
          <w:highlight w:val="none"/>
        </w:rPr>
        <w:t>）报价说明（如果有）</w:t>
      </w:r>
      <w:r>
        <w:rPr>
          <w:highlight w:val="none"/>
        </w:rPr>
        <w:tab/>
      </w:r>
      <w:r>
        <w:rPr>
          <w:highlight w:val="none"/>
        </w:rPr>
        <w:fldChar w:fldCharType="begin"/>
      </w:r>
      <w:r>
        <w:rPr>
          <w:highlight w:val="none"/>
        </w:rPr>
        <w:instrText xml:space="preserve"> PAGEREF _Toc5413 \h </w:instrText>
      </w:r>
      <w:r>
        <w:rPr>
          <w:highlight w:val="none"/>
        </w:rPr>
        <w:fldChar w:fldCharType="separate"/>
      </w:r>
      <w:r>
        <w:rPr>
          <w:highlight w:val="none"/>
        </w:rPr>
        <w:t>82</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_Toc31835 </w:instrText>
      </w:r>
      <w:r>
        <w:rPr>
          <w:rFonts w:hint="eastAsia" w:ascii="宋体" w:hAnsi="宋体" w:cs="宋体"/>
          <w:szCs w:val="18"/>
          <w:highlight w:val="none"/>
        </w:rPr>
        <w:fldChar w:fldCharType="separate"/>
      </w:r>
      <w:r>
        <w:rPr>
          <w:rFonts w:hint="eastAsia" w:cs="Arial"/>
          <w:bCs w:val="0"/>
          <w:highlight w:val="none"/>
        </w:rPr>
        <w:t>三、商务</w:t>
      </w:r>
      <w:r>
        <w:rPr>
          <w:rFonts w:cs="Arial"/>
          <w:bCs w:val="0"/>
          <w:highlight w:val="none"/>
        </w:rPr>
        <w:t>文件</w:t>
      </w:r>
      <w:r>
        <w:rPr>
          <w:highlight w:val="none"/>
        </w:rPr>
        <w:tab/>
      </w:r>
      <w:r>
        <w:rPr>
          <w:highlight w:val="none"/>
        </w:rPr>
        <w:fldChar w:fldCharType="begin"/>
      </w:r>
      <w:r>
        <w:rPr>
          <w:highlight w:val="none"/>
        </w:rPr>
        <w:instrText xml:space="preserve"> PAGEREF _Toc31835 \h </w:instrText>
      </w:r>
      <w:r>
        <w:rPr>
          <w:highlight w:val="none"/>
        </w:rPr>
        <w:fldChar w:fldCharType="separate"/>
      </w:r>
      <w:r>
        <w:rPr>
          <w:highlight w:val="none"/>
        </w:rPr>
        <w:t>83</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_Toc7052 </w:instrText>
      </w:r>
      <w:r>
        <w:rPr>
          <w:rFonts w:hint="eastAsia" w:ascii="宋体" w:hAnsi="宋体" w:cs="宋体"/>
          <w:szCs w:val="18"/>
          <w:highlight w:val="none"/>
        </w:rPr>
        <w:fldChar w:fldCharType="separate"/>
      </w:r>
      <w:r>
        <w:rPr>
          <w:rFonts w:hint="eastAsia" w:cs="Arial"/>
          <w:bCs w:val="0"/>
          <w:highlight w:val="none"/>
        </w:rPr>
        <w:t>（一）</w:t>
      </w:r>
      <w:r>
        <w:rPr>
          <w:rFonts w:cs="Arial"/>
          <w:bCs w:val="0"/>
          <w:highlight w:val="none"/>
        </w:rPr>
        <w:t>投标人基本情况</w:t>
      </w:r>
      <w:r>
        <w:rPr>
          <w:rFonts w:hint="eastAsia" w:cs="Arial"/>
          <w:bCs w:val="0"/>
          <w:highlight w:val="none"/>
        </w:rPr>
        <w:t>表</w:t>
      </w:r>
      <w:r>
        <w:rPr>
          <w:highlight w:val="none"/>
        </w:rPr>
        <w:tab/>
      </w:r>
      <w:r>
        <w:rPr>
          <w:highlight w:val="none"/>
        </w:rPr>
        <w:fldChar w:fldCharType="begin"/>
      </w:r>
      <w:r>
        <w:rPr>
          <w:highlight w:val="none"/>
        </w:rPr>
        <w:instrText xml:space="preserve"> PAGEREF _Toc7052 \h </w:instrText>
      </w:r>
      <w:r>
        <w:rPr>
          <w:highlight w:val="none"/>
        </w:rPr>
        <w:fldChar w:fldCharType="separate"/>
      </w:r>
      <w:r>
        <w:rPr>
          <w:highlight w:val="none"/>
        </w:rPr>
        <w:t>83</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_Toc22000 </w:instrText>
      </w:r>
      <w:r>
        <w:rPr>
          <w:rFonts w:hint="eastAsia" w:ascii="宋体" w:hAnsi="宋体" w:cs="宋体"/>
          <w:szCs w:val="18"/>
          <w:highlight w:val="none"/>
        </w:rPr>
        <w:fldChar w:fldCharType="separate"/>
      </w:r>
      <w:r>
        <w:rPr>
          <w:rFonts w:hint="eastAsia" w:cs="Arial"/>
          <w:bCs w:val="0"/>
          <w:highlight w:val="none"/>
        </w:rPr>
        <w:t>（二）资格证明文件</w:t>
      </w:r>
      <w:r>
        <w:rPr>
          <w:highlight w:val="none"/>
        </w:rPr>
        <w:tab/>
      </w:r>
      <w:r>
        <w:rPr>
          <w:highlight w:val="none"/>
        </w:rPr>
        <w:fldChar w:fldCharType="begin"/>
      </w:r>
      <w:r>
        <w:rPr>
          <w:highlight w:val="none"/>
        </w:rPr>
        <w:instrText xml:space="preserve"> PAGEREF _Toc22000 \h </w:instrText>
      </w:r>
      <w:r>
        <w:rPr>
          <w:highlight w:val="none"/>
        </w:rPr>
        <w:fldChar w:fldCharType="separate"/>
      </w:r>
      <w:r>
        <w:rPr>
          <w:highlight w:val="none"/>
        </w:rPr>
        <w:t>84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_Toc23436 </w:instrText>
      </w:r>
      <w:r>
        <w:rPr>
          <w:rFonts w:hint="eastAsia" w:ascii="宋体" w:hAnsi="宋体" w:cs="宋体"/>
          <w:szCs w:val="18"/>
          <w:highlight w:val="none"/>
        </w:rPr>
        <w:fldChar w:fldCharType="separate"/>
      </w:r>
      <w:r>
        <w:rPr>
          <w:rFonts w:hint="eastAsia" w:cs="Arial"/>
          <w:bCs w:val="0"/>
          <w:highlight w:val="none"/>
        </w:rPr>
        <w:t>（三）</w:t>
      </w:r>
      <w:r>
        <w:rPr>
          <w:rFonts w:hint="eastAsia" w:ascii="等线" w:hAnsi="等线" w:eastAsia="等线" w:cs="宋体"/>
          <w:bCs w:val="0"/>
          <w:szCs w:val="21"/>
          <w:highlight w:val="none"/>
        </w:rPr>
        <w:t>关于资格条件的有关承诺及声明</w:t>
      </w:r>
      <w:r>
        <w:rPr>
          <w:highlight w:val="none"/>
        </w:rPr>
        <w:tab/>
      </w:r>
      <w:r>
        <w:rPr>
          <w:highlight w:val="none"/>
        </w:rPr>
        <w:fldChar w:fldCharType="begin"/>
      </w:r>
      <w:r>
        <w:rPr>
          <w:highlight w:val="none"/>
        </w:rPr>
        <w:instrText xml:space="preserve"> PAGEREF _Toc23436 \h </w:instrText>
      </w:r>
      <w:r>
        <w:rPr>
          <w:highlight w:val="none"/>
        </w:rPr>
        <w:fldChar w:fldCharType="separate"/>
      </w:r>
      <w:r>
        <w:rPr>
          <w:highlight w:val="none"/>
        </w:rPr>
        <w:t>85</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_Toc30285 </w:instrText>
      </w:r>
      <w:r>
        <w:rPr>
          <w:rFonts w:hint="eastAsia" w:ascii="宋体" w:hAnsi="宋体" w:cs="宋体"/>
          <w:szCs w:val="18"/>
          <w:highlight w:val="none"/>
        </w:rPr>
        <w:fldChar w:fldCharType="separate"/>
      </w:r>
      <w:r>
        <w:rPr>
          <w:rFonts w:hint="eastAsia" w:cs="Arial"/>
          <w:bCs w:val="0"/>
          <w:highlight w:val="none"/>
        </w:rPr>
        <w:t>（四）中小企业声明函</w:t>
      </w:r>
      <w:r>
        <w:rPr>
          <w:highlight w:val="none"/>
        </w:rPr>
        <w:tab/>
      </w:r>
      <w:r>
        <w:rPr>
          <w:highlight w:val="none"/>
        </w:rPr>
        <w:fldChar w:fldCharType="begin"/>
      </w:r>
      <w:r>
        <w:rPr>
          <w:highlight w:val="none"/>
        </w:rPr>
        <w:instrText xml:space="preserve"> PAGEREF _Toc30285 \h </w:instrText>
      </w:r>
      <w:r>
        <w:rPr>
          <w:highlight w:val="none"/>
        </w:rPr>
        <w:fldChar w:fldCharType="separate"/>
      </w:r>
      <w:r>
        <w:rPr>
          <w:highlight w:val="none"/>
        </w:rPr>
        <w:t>86</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_Toc1410 </w:instrText>
      </w:r>
      <w:r>
        <w:rPr>
          <w:rFonts w:hint="eastAsia" w:ascii="宋体" w:hAnsi="宋体" w:cs="宋体"/>
          <w:szCs w:val="18"/>
          <w:highlight w:val="none"/>
        </w:rPr>
        <w:fldChar w:fldCharType="separate"/>
      </w:r>
      <w:r>
        <w:rPr>
          <w:rFonts w:hint="eastAsia" w:cs="Arial"/>
          <w:bCs w:val="0"/>
          <w:highlight w:val="none"/>
        </w:rPr>
        <w:t>（五）</w:t>
      </w:r>
      <w:r>
        <w:rPr>
          <w:rFonts w:hint="eastAsia" w:ascii="宋体" w:hAnsi="宋体" w:cs="Arial"/>
          <w:szCs w:val="21"/>
          <w:highlight w:val="none"/>
        </w:rPr>
        <w:t>监狱企业证明文件</w:t>
      </w:r>
      <w:r>
        <w:rPr>
          <w:highlight w:val="none"/>
        </w:rPr>
        <w:tab/>
      </w:r>
      <w:r>
        <w:rPr>
          <w:highlight w:val="none"/>
        </w:rPr>
        <w:fldChar w:fldCharType="begin"/>
      </w:r>
      <w:r>
        <w:rPr>
          <w:highlight w:val="none"/>
        </w:rPr>
        <w:instrText xml:space="preserve"> PAGEREF _Toc1410 \h </w:instrText>
      </w:r>
      <w:r>
        <w:rPr>
          <w:highlight w:val="none"/>
        </w:rPr>
        <w:fldChar w:fldCharType="separate"/>
      </w:r>
      <w:r>
        <w:rPr>
          <w:highlight w:val="none"/>
        </w:rPr>
        <w:t>87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_Toc21228 </w:instrText>
      </w:r>
      <w:r>
        <w:rPr>
          <w:rFonts w:hint="eastAsia" w:ascii="宋体" w:hAnsi="宋体" w:cs="宋体"/>
          <w:szCs w:val="18"/>
          <w:highlight w:val="none"/>
        </w:rPr>
        <w:fldChar w:fldCharType="separate"/>
      </w:r>
      <w:r>
        <w:rPr>
          <w:rFonts w:hint="eastAsia" w:cs="Arial"/>
          <w:bCs w:val="0"/>
          <w:highlight w:val="none"/>
        </w:rPr>
        <w:t>（六）</w:t>
      </w:r>
      <w:r>
        <w:rPr>
          <w:rFonts w:ascii="宋体" w:hAnsi="宋体" w:cs="Arial"/>
          <w:szCs w:val="21"/>
          <w:highlight w:val="none"/>
        </w:rPr>
        <w:t>残疾人福利性单位声明函</w:t>
      </w:r>
      <w:r>
        <w:rPr>
          <w:highlight w:val="none"/>
        </w:rPr>
        <w:tab/>
      </w:r>
      <w:r>
        <w:rPr>
          <w:highlight w:val="none"/>
        </w:rPr>
        <w:fldChar w:fldCharType="begin"/>
      </w:r>
      <w:r>
        <w:rPr>
          <w:highlight w:val="none"/>
        </w:rPr>
        <w:instrText xml:space="preserve"> PAGEREF _Toc21228 \h </w:instrText>
      </w:r>
      <w:r>
        <w:rPr>
          <w:highlight w:val="none"/>
        </w:rPr>
        <w:fldChar w:fldCharType="separate"/>
      </w:r>
      <w:r>
        <w:rPr>
          <w:highlight w:val="none"/>
        </w:rPr>
        <w:t>88</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_Toc27970 </w:instrText>
      </w:r>
      <w:r>
        <w:rPr>
          <w:rFonts w:hint="eastAsia" w:ascii="宋体" w:hAnsi="宋体" w:cs="宋体"/>
          <w:szCs w:val="18"/>
          <w:highlight w:val="none"/>
        </w:rPr>
        <w:fldChar w:fldCharType="separate"/>
      </w:r>
      <w:r>
        <w:rPr>
          <w:rFonts w:hint="eastAsia" w:cs="Arial"/>
          <w:bCs w:val="0"/>
          <w:highlight w:val="none"/>
        </w:rPr>
        <w:t>（七）纳入创新产品应用示范推荐目录内的企业证明材料</w:t>
      </w:r>
      <w:r>
        <w:rPr>
          <w:highlight w:val="none"/>
        </w:rPr>
        <w:tab/>
      </w:r>
      <w:r>
        <w:rPr>
          <w:highlight w:val="none"/>
        </w:rPr>
        <w:fldChar w:fldCharType="begin"/>
      </w:r>
      <w:r>
        <w:rPr>
          <w:highlight w:val="none"/>
        </w:rPr>
        <w:instrText xml:space="preserve"> PAGEREF _Toc27970 \h </w:instrText>
      </w:r>
      <w:r>
        <w:rPr>
          <w:highlight w:val="none"/>
        </w:rPr>
        <w:fldChar w:fldCharType="separate"/>
      </w:r>
      <w:r>
        <w:rPr>
          <w:highlight w:val="none"/>
        </w:rPr>
        <w:t>89</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_Toc31603 </w:instrText>
      </w:r>
      <w:r>
        <w:rPr>
          <w:rFonts w:hint="eastAsia" w:ascii="宋体" w:hAnsi="宋体" w:cs="宋体"/>
          <w:szCs w:val="18"/>
          <w:highlight w:val="none"/>
        </w:rPr>
        <w:fldChar w:fldCharType="separate"/>
      </w:r>
      <w:r>
        <w:rPr>
          <w:rFonts w:hint="eastAsia" w:cs="Arial"/>
          <w:bCs w:val="0"/>
          <w:highlight w:val="none"/>
        </w:rPr>
        <w:t>（八）政府优先采购相关证书</w:t>
      </w:r>
      <w:r>
        <w:rPr>
          <w:highlight w:val="none"/>
        </w:rPr>
        <w:tab/>
      </w:r>
      <w:r>
        <w:rPr>
          <w:highlight w:val="none"/>
        </w:rPr>
        <w:fldChar w:fldCharType="begin"/>
      </w:r>
      <w:r>
        <w:rPr>
          <w:highlight w:val="none"/>
        </w:rPr>
        <w:instrText xml:space="preserve"> PAGEREF _Toc31603 \h </w:instrText>
      </w:r>
      <w:r>
        <w:rPr>
          <w:highlight w:val="none"/>
        </w:rPr>
        <w:fldChar w:fldCharType="separate"/>
      </w:r>
      <w:r>
        <w:rPr>
          <w:highlight w:val="none"/>
        </w:rPr>
        <w:t>90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_Toc19063 </w:instrText>
      </w:r>
      <w:r>
        <w:rPr>
          <w:rFonts w:hint="eastAsia" w:ascii="宋体" w:hAnsi="宋体" w:cs="宋体"/>
          <w:szCs w:val="18"/>
          <w:highlight w:val="none"/>
        </w:rPr>
        <w:fldChar w:fldCharType="separate"/>
      </w:r>
      <w:r>
        <w:rPr>
          <w:rFonts w:hint="eastAsia" w:cs="Arial"/>
          <w:bCs w:val="0"/>
          <w:highlight w:val="none"/>
        </w:rPr>
        <w:t>（九）业绩情况一览表</w:t>
      </w:r>
      <w:r>
        <w:rPr>
          <w:highlight w:val="none"/>
        </w:rPr>
        <w:tab/>
      </w:r>
      <w:r>
        <w:rPr>
          <w:highlight w:val="none"/>
        </w:rPr>
        <w:fldChar w:fldCharType="begin"/>
      </w:r>
      <w:r>
        <w:rPr>
          <w:highlight w:val="none"/>
        </w:rPr>
        <w:instrText xml:space="preserve"> PAGEREF _Toc19063 \h </w:instrText>
      </w:r>
      <w:r>
        <w:rPr>
          <w:highlight w:val="none"/>
        </w:rPr>
        <w:fldChar w:fldCharType="separate"/>
      </w:r>
      <w:r>
        <w:rPr>
          <w:highlight w:val="none"/>
        </w:rPr>
        <w:t>91</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_Toc32018 </w:instrText>
      </w:r>
      <w:r>
        <w:rPr>
          <w:rFonts w:hint="eastAsia" w:ascii="宋体" w:hAnsi="宋体" w:cs="宋体"/>
          <w:szCs w:val="18"/>
          <w:highlight w:val="none"/>
        </w:rPr>
        <w:fldChar w:fldCharType="separate"/>
      </w:r>
      <w:r>
        <w:rPr>
          <w:rFonts w:hint="eastAsia" w:cs="Arial"/>
          <w:bCs w:val="0"/>
          <w:highlight w:val="none"/>
        </w:rPr>
        <w:t>（十）信誉、信用等证明文件</w:t>
      </w:r>
      <w:r>
        <w:rPr>
          <w:highlight w:val="none"/>
        </w:rPr>
        <w:tab/>
      </w:r>
      <w:r>
        <w:rPr>
          <w:highlight w:val="none"/>
        </w:rPr>
        <w:fldChar w:fldCharType="begin"/>
      </w:r>
      <w:r>
        <w:rPr>
          <w:highlight w:val="none"/>
        </w:rPr>
        <w:instrText xml:space="preserve"> PAGEREF _Toc32018 \h </w:instrText>
      </w:r>
      <w:r>
        <w:rPr>
          <w:highlight w:val="none"/>
        </w:rPr>
        <w:fldChar w:fldCharType="separate"/>
      </w:r>
      <w:r>
        <w:rPr>
          <w:highlight w:val="none"/>
        </w:rPr>
        <w:t>93</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_Toc8445 </w:instrText>
      </w:r>
      <w:r>
        <w:rPr>
          <w:rFonts w:hint="eastAsia" w:ascii="宋体" w:hAnsi="宋体" w:cs="宋体"/>
          <w:szCs w:val="18"/>
          <w:highlight w:val="none"/>
        </w:rPr>
        <w:fldChar w:fldCharType="separate"/>
      </w:r>
      <w:r>
        <w:rPr>
          <w:rFonts w:hint="eastAsia" w:cs="Arial"/>
          <w:bCs w:val="0"/>
          <w:highlight w:val="none"/>
        </w:rPr>
        <w:t>（十一）</w:t>
      </w:r>
      <w:r>
        <w:rPr>
          <w:rFonts w:cs="Arial"/>
          <w:bCs w:val="0"/>
          <w:highlight w:val="none"/>
        </w:rPr>
        <w:t>商务偏离表</w:t>
      </w:r>
      <w:r>
        <w:rPr>
          <w:highlight w:val="none"/>
        </w:rPr>
        <w:tab/>
      </w:r>
      <w:r>
        <w:rPr>
          <w:highlight w:val="none"/>
        </w:rPr>
        <w:fldChar w:fldCharType="begin"/>
      </w:r>
      <w:r>
        <w:rPr>
          <w:highlight w:val="none"/>
        </w:rPr>
        <w:instrText xml:space="preserve"> PAGEREF _Toc8445 \h </w:instrText>
      </w:r>
      <w:r>
        <w:rPr>
          <w:highlight w:val="none"/>
        </w:rPr>
        <w:fldChar w:fldCharType="separate"/>
      </w:r>
      <w:r>
        <w:rPr>
          <w:highlight w:val="none"/>
        </w:rPr>
        <w:t>94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_Toc29179 </w:instrText>
      </w:r>
      <w:r>
        <w:rPr>
          <w:rFonts w:hint="eastAsia" w:ascii="宋体" w:hAnsi="宋体" w:cs="宋体"/>
          <w:szCs w:val="18"/>
          <w:highlight w:val="none"/>
        </w:rPr>
        <w:fldChar w:fldCharType="separate"/>
      </w:r>
      <w:r>
        <w:rPr>
          <w:rFonts w:hint="eastAsia" w:cs="Arial"/>
          <w:bCs w:val="0"/>
          <w:highlight w:val="none"/>
        </w:rPr>
        <w:t>（十二）</w:t>
      </w:r>
      <w:r>
        <w:rPr>
          <w:rFonts w:cs="Arial"/>
          <w:bCs w:val="0"/>
          <w:highlight w:val="none"/>
        </w:rPr>
        <w:t>其它</w:t>
      </w:r>
      <w:r>
        <w:rPr>
          <w:highlight w:val="none"/>
        </w:rPr>
        <w:tab/>
      </w:r>
      <w:r>
        <w:rPr>
          <w:highlight w:val="none"/>
        </w:rPr>
        <w:fldChar w:fldCharType="begin"/>
      </w:r>
      <w:r>
        <w:rPr>
          <w:highlight w:val="none"/>
        </w:rPr>
        <w:instrText xml:space="preserve"> PAGEREF _Toc29179 \h </w:instrText>
      </w:r>
      <w:r>
        <w:rPr>
          <w:highlight w:val="none"/>
        </w:rPr>
        <w:fldChar w:fldCharType="separate"/>
      </w:r>
      <w:r>
        <w:rPr>
          <w:highlight w:val="none"/>
        </w:rPr>
        <w:t>95</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_Toc14581 </w:instrText>
      </w:r>
      <w:r>
        <w:rPr>
          <w:rFonts w:hint="eastAsia" w:ascii="宋体" w:hAnsi="宋体" w:cs="宋体"/>
          <w:szCs w:val="18"/>
          <w:highlight w:val="none"/>
        </w:rPr>
        <w:fldChar w:fldCharType="separate"/>
      </w:r>
      <w:r>
        <w:rPr>
          <w:rFonts w:hint="eastAsia" w:cs="Arial"/>
          <w:bCs w:val="0"/>
          <w:highlight w:val="none"/>
        </w:rPr>
        <w:t>四、技术</w:t>
      </w:r>
      <w:r>
        <w:rPr>
          <w:rFonts w:cs="Arial"/>
          <w:bCs w:val="0"/>
          <w:highlight w:val="none"/>
        </w:rPr>
        <w:t>文件</w:t>
      </w:r>
      <w:r>
        <w:rPr>
          <w:highlight w:val="none"/>
        </w:rPr>
        <w:tab/>
      </w:r>
      <w:r>
        <w:rPr>
          <w:highlight w:val="none"/>
        </w:rPr>
        <w:fldChar w:fldCharType="begin"/>
      </w:r>
      <w:r>
        <w:rPr>
          <w:highlight w:val="none"/>
        </w:rPr>
        <w:instrText xml:space="preserve"> PAGEREF _Toc14581 \h </w:instrText>
      </w:r>
      <w:r>
        <w:rPr>
          <w:highlight w:val="none"/>
        </w:rPr>
        <w:fldChar w:fldCharType="separate"/>
      </w:r>
      <w:r>
        <w:rPr>
          <w:highlight w:val="none"/>
        </w:rPr>
        <w:t>96</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_Toc9624 </w:instrText>
      </w:r>
      <w:r>
        <w:rPr>
          <w:rFonts w:hint="eastAsia" w:ascii="宋体" w:hAnsi="宋体" w:cs="宋体"/>
          <w:szCs w:val="18"/>
          <w:highlight w:val="none"/>
        </w:rPr>
        <w:fldChar w:fldCharType="separate"/>
      </w:r>
      <w:r>
        <w:rPr>
          <w:rFonts w:hint="eastAsia" w:cs="Arial"/>
          <w:bCs w:val="0"/>
          <w:highlight w:val="none"/>
        </w:rPr>
        <w:t>（一）项目实施方案</w:t>
      </w:r>
      <w:r>
        <w:rPr>
          <w:highlight w:val="none"/>
        </w:rPr>
        <w:tab/>
      </w:r>
      <w:r>
        <w:rPr>
          <w:highlight w:val="none"/>
        </w:rPr>
        <w:fldChar w:fldCharType="begin"/>
      </w:r>
      <w:r>
        <w:rPr>
          <w:highlight w:val="none"/>
        </w:rPr>
        <w:instrText xml:space="preserve"> PAGEREF _Toc9624 \h </w:instrText>
      </w:r>
      <w:r>
        <w:rPr>
          <w:highlight w:val="none"/>
        </w:rPr>
        <w:fldChar w:fldCharType="separate"/>
      </w:r>
      <w:r>
        <w:rPr>
          <w:highlight w:val="none"/>
        </w:rPr>
        <w:t>96</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_Toc3245 </w:instrText>
      </w:r>
      <w:r>
        <w:rPr>
          <w:rFonts w:hint="eastAsia" w:ascii="宋体" w:hAnsi="宋体" w:cs="宋体"/>
          <w:szCs w:val="18"/>
          <w:highlight w:val="none"/>
        </w:rPr>
        <w:fldChar w:fldCharType="separate"/>
      </w:r>
      <w:r>
        <w:rPr>
          <w:rFonts w:hint="eastAsia" w:cs="Arial"/>
          <w:bCs w:val="0"/>
          <w:highlight w:val="none"/>
        </w:rPr>
        <w:t>（二）拟投入人员情况</w:t>
      </w:r>
      <w:r>
        <w:rPr>
          <w:highlight w:val="none"/>
        </w:rPr>
        <w:tab/>
      </w:r>
      <w:r>
        <w:rPr>
          <w:highlight w:val="none"/>
        </w:rPr>
        <w:fldChar w:fldCharType="begin"/>
      </w:r>
      <w:r>
        <w:rPr>
          <w:highlight w:val="none"/>
        </w:rPr>
        <w:instrText xml:space="preserve"> PAGEREF _Toc3245 \h </w:instrText>
      </w:r>
      <w:r>
        <w:rPr>
          <w:highlight w:val="none"/>
        </w:rPr>
        <w:fldChar w:fldCharType="separate"/>
      </w:r>
      <w:r>
        <w:rPr>
          <w:highlight w:val="none"/>
        </w:rPr>
        <w:t>97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_Toc15203 </w:instrText>
      </w:r>
      <w:r>
        <w:rPr>
          <w:rFonts w:hint="eastAsia" w:ascii="宋体" w:hAnsi="宋体" w:cs="宋体"/>
          <w:szCs w:val="18"/>
          <w:highlight w:val="none"/>
        </w:rPr>
        <w:fldChar w:fldCharType="separate"/>
      </w:r>
      <w:r>
        <w:rPr>
          <w:rFonts w:hint="eastAsia" w:cs="Arial"/>
          <w:bCs w:val="0"/>
          <w:highlight w:val="none"/>
        </w:rPr>
        <w:t>（三）拟投入设备、工具情况（如有）</w:t>
      </w:r>
      <w:r>
        <w:rPr>
          <w:highlight w:val="none"/>
        </w:rPr>
        <w:tab/>
      </w:r>
      <w:r>
        <w:rPr>
          <w:highlight w:val="none"/>
        </w:rPr>
        <w:fldChar w:fldCharType="begin"/>
      </w:r>
      <w:r>
        <w:rPr>
          <w:highlight w:val="none"/>
        </w:rPr>
        <w:instrText xml:space="preserve"> PAGEREF _Toc15203 \h </w:instrText>
      </w:r>
      <w:r>
        <w:rPr>
          <w:highlight w:val="none"/>
        </w:rPr>
        <w:fldChar w:fldCharType="separate"/>
      </w:r>
      <w:r>
        <w:rPr>
          <w:highlight w:val="none"/>
        </w:rPr>
        <w:t>98</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_Toc656 </w:instrText>
      </w:r>
      <w:r>
        <w:rPr>
          <w:rFonts w:hint="eastAsia" w:ascii="宋体" w:hAnsi="宋体" w:cs="宋体"/>
          <w:szCs w:val="18"/>
          <w:highlight w:val="none"/>
        </w:rPr>
        <w:fldChar w:fldCharType="separate"/>
      </w:r>
      <w:r>
        <w:rPr>
          <w:rFonts w:hint="eastAsia" w:cs="Arial"/>
          <w:bCs w:val="0"/>
          <w:highlight w:val="none"/>
        </w:rPr>
        <w:t>（四）质量保证计划</w:t>
      </w:r>
      <w:r>
        <w:rPr>
          <w:highlight w:val="none"/>
        </w:rPr>
        <w:tab/>
      </w:r>
      <w:r>
        <w:rPr>
          <w:highlight w:val="none"/>
        </w:rPr>
        <w:fldChar w:fldCharType="begin"/>
      </w:r>
      <w:r>
        <w:rPr>
          <w:highlight w:val="none"/>
        </w:rPr>
        <w:instrText xml:space="preserve"> PAGEREF _Toc656 \h </w:instrText>
      </w:r>
      <w:r>
        <w:rPr>
          <w:highlight w:val="none"/>
        </w:rPr>
        <w:fldChar w:fldCharType="separate"/>
      </w:r>
      <w:r>
        <w:rPr>
          <w:highlight w:val="none"/>
        </w:rPr>
        <w:t>99</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_Toc30094 </w:instrText>
      </w:r>
      <w:r>
        <w:rPr>
          <w:rFonts w:hint="eastAsia" w:ascii="宋体" w:hAnsi="宋体" w:cs="宋体"/>
          <w:szCs w:val="18"/>
          <w:highlight w:val="none"/>
        </w:rPr>
        <w:fldChar w:fldCharType="separate"/>
      </w:r>
      <w:r>
        <w:rPr>
          <w:rFonts w:hint="eastAsia" w:cs="Arial"/>
          <w:bCs w:val="0"/>
          <w:highlight w:val="none"/>
        </w:rPr>
        <w:t>（五） 标注“★”的条款的响应情况</w:t>
      </w:r>
      <w:r>
        <w:rPr>
          <w:highlight w:val="none"/>
        </w:rPr>
        <w:tab/>
      </w:r>
      <w:r>
        <w:rPr>
          <w:highlight w:val="none"/>
        </w:rPr>
        <w:fldChar w:fldCharType="begin"/>
      </w:r>
      <w:r>
        <w:rPr>
          <w:highlight w:val="none"/>
        </w:rPr>
        <w:instrText xml:space="preserve"> PAGEREF _Toc30094 \h </w:instrText>
      </w:r>
      <w:r>
        <w:rPr>
          <w:highlight w:val="none"/>
        </w:rPr>
        <w:fldChar w:fldCharType="separate"/>
      </w:r>
      <w:r>
        <w:rPr>
          <w:highlight w:val="none"/>
        </w:rPr>
        <w:t>100</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_Toc15283 </w:instrText>
      </w:r>
      <w:r>
        <w:rPr>
          <w:rFonts w:hint="eastAsia" w:ascii="宋体" w:hAnsi="宋体" w:cs="宋体"/>
          <w:szCs w:val="18"/>
          <w:highlight w:val="none"/>
        </w:rPr>
        <w:fldChar w:fldCharType="separate"/>
      </w:r>
      <w:r>
        <w:rPr>
          <w:rFonts w:hint="eastAsia" w:cs="Arial"/>
          <w:bCs w:val="0"/>
          <w:highlight w:val="none"/>
        </w:rPr>
        <w:t>（六）受托管理集合计划收益情况</w:t>
      </w:r>
      <w:r>
        <w:rPr>
          <w:highlight w:val="none"/>
        </w:rPr>
        <w:tab/>
      </w:r>
      <w:r>
        <w:rPr>
          <w:highlight w:val="none"/>
        </w:rPr>
        <w:fldChar w:fldCharType="begin"/>
      </w:r>
      <w:r>
        <w:rPr>
          <w:highlight w:val="none"/>
        </w:rPr>
        <w:instrText xml:space="preserve"> PAGEREF _Toc15283 \h </w:instrText>
      </w:r>
      <w:r>
        <w:rPr>
          <w:highlight w:val="none"/>
        </w:rPr>
        <w:fldChar w:fldCharType="separate"/>
      </w:r>
      <w:r>
        <w:rPr>
          <w:highlight w:val="none"/>
        </w:rPr>
        <w:t>101</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_Toc25054 </w:instrText>
      </w:r>
      <w:r>
        <w:rPr>
          <w:rFonts w:hint="eastAsia" w:ascii="宋体" w:hAnsi="宋体" w:cs="宋体"/>
          <w:szCs w:val="18"/>
          <w:highlight w:val="none"/>
        </w:rPr>
        <w:fldChar w:fldCharType="separate"/>
      </w:r>
      <w:r>
        <w:rPr>
          <w:rFonts w:hint="eastAsia" w:cs="Arial"/>
          <w:bCs w:val="0"/>
          <w:highlight w:val="none"/>
        </w:rPr>
        <w:t>（</w:t>
      </w:r>
      <w:r>
        <w:rPr>
          <w:rFonts w:hint="eastAsia" w:cs="Arial"/>
          <w:bCs w:val="0"/>
          <w:highlight w:val="none"/>
          <w:lang w:val="en-US" w:eastAsia="zh-CN"/>
        </w:rPr>
        <w:t>七</w:t>
      </w:r>
      <w:r>
        <w:rPr>
          <w:rFonts w:hint="eastAsia" w:cs="Arial"/>
          <w:bCs w:val="0"/>
          <w:highlight w:val="none"/>
        </w:rPr>
        <w:t>）近三年累积收益率（综合）数值承诺函</w:t>
      </w:r>
      <w:r>
        <w:rPr>
          <w:rFonts w:hint="eastAsia" w:cs="Arial"/>
          <w:bCs w:val="0"/>
          <w:highlight w:val="none"/>
          <w:lang w:eastAsia="zh-CN"/>
        </w:rPr>
        <w:t>（</w:t>
      </w:r>
      <w:r>
        <w:rPr>
          <w:rFonts w:hint="eastAsia" w:cs="Arial"/>
          <w:bCs w:val="0"/>
          <w:highlight w:val="none"/>
          <w:lang w:val="en-US" w:eastAsia="zh-CN"/>
        </w:rPr>
        <w:t>格式自拟</w:t>
      </w:r>
      <w:r>
        <w:rPr>
          <w:rFonts w:hint="eastAsia" w:cs="Arial"/>
          <w:bCs w:val="0"/>
          <w:highlight w:val="none"/>
          <w:lang w:eastAsia="zh-CN"/>
        </w:rPr>
        <w:t>）</w:t>
      </w:r>
      <w:r>
        <w:rPr>
          <w:highlight w:val="none"/>
        </w:rPr>
        <w:tab/>
      </w:r>
      <w:r>
        <w:rPr>
          <w:highlight w:val="none"/>
        </w:rPr>
        <w:fldChar w:fldCharType="begin"/>
      </w:r>
      <w:r>
        <w:rPr>
          <w:highlight w:val="none"/>
        </w:rPr>
        <w:instrText xml:space="preserve"> PAGEREF _Toc25054 \h </w:instrText>
      </w:r>
      <w:r>
        <w:rPr>
          <w:highlight w:val="none"/>
        </w:rPr>
        <w:fldChar w:fldCharType="separate"/>
      </w:r>
      <w:r>
        <w:rPr>
          <w:highlight w:val="none"/>
        </w:rPr>
        <w:t>104</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_Toc17343 </w:instrText>
      </w:r>
      <w:r>
        <w:rPr>
          <w:rFonts w:hint="eastAsia" w:ascii="宋体" w:hAnsi="宋体" w:cs="宋体"/>
          <w:szCs w:val="18"/>
          <w:highlight w:val="none"/>
        </w:rPr>
        <w:fldChar w:fldCharType="separate"/>
      </w:r>
      <w:r>
        <w:rPr>
          <w:rFonts w:hint="eastAsia"/>
          <w:highlight w:val="none"/>
          <w:lang w:val="en-US" w:eastAsia="zh-CN"/>
        </w:rPr>
        <w:t>（八）其他</w:t>
      </w:r>
      <w:r>
        <w:rPr>
          <w:highlight w:val="none"/>
        </w:rPr>
        <w:tab/>
      </w:r>
      <w:r>
        <w:rPr>
          <w:highlight w:val="none"/>
        </w:rPr>
        <w:fldChar w:fldCharType="begin"/>
      </w:r>
      <w:r>
        <w:rPr>
          <w:highlight w:val="none"/>
        </w:rPr>
        <w:instrText xml:space="preserve"> PAGEREF _Toc17343 \h </w:instrText>
      </w:r>
      <w:r>
        <w:rPr>
          <w:highlight w:val="none"/>
        </w:rPr>
        <w:fldChar w:fldCharType="separate"/>
      </w:r>
      <w:r>
        <w:rPr>
          <w:highlight w:val="none"/>
        </w:rPr>
        <w:t>107</w:t>
      </w:r>
      <w:r>
        <w:rPr>
          <w:highlight w:val="none"/>
        </w:rPr>
        <w:fldChar w:fldCharType="end"/>
      </w:r>
      <w:r>
        <w:rPr>
          <w:rFonts w:hint="eastAsia" w:ascii="宋体" w:hAnsi="宋体" w:cs="宋体"/>
          <w:szCs w:val="18"/>
          <w:highlight w:val="none"/>
        </w:rPr>
        <w:fldChar w:fldCharType="end"/>
      </w:r>
    </w:p>
    <w:p>
      <w:pPr>
        <w:pStyle w:val="74"/>
        <w:tabs>
          <w:tab w:val="right" w:leader="dot" w:pos="8731"/>
        </w:tabs>
        <w:rPr>
          <w:highlight w:val="none"/>
        </w:rPr>
      </w:pPr>
      <w:r>
        <w:rPr>
          <w:rFonts w:hint="eastAsia" w:ascii="宋体" w:hAnsi="宋体" w:cs="宋体"/>
          <w:szCs w:val="18"/>
          <w:highlight w:val="none"/>
        </w:rPr>
        <w:fldChar w:fldCharType="begin"/>
      </w:r>
      <w:r>
        <w:rPr>
          <w:rFonts w:hint="eastAsia" w:ascii="宋体" w:hAnsi="宋体" w:cs="宋体"/>
          <w:szCs w:val="18"/>
          <w:highlight w:val="none"/>
        </w:rPr>
        <w:instrText xml:space="preserve"> HYPERLINK \l _Toc9827 </w:instrText>
      </w:r>
      <w:r>
        <w:rPr>
          <w:rFonts w:hint="eastAsia" w:ascii="宋体" w:hAnsi="宋体" w:cs="宋体"/>
          <w:szCs w:val="18"/>
          <w:highlight w:val="none"/>
        </w:rPr>
        <w:fldChar w:fldCharType="separate"/>
      </w:r>
      <w:r>
        <w:rPr>
          <w:rFonts w:hint="eastAsia" w:cs="Arial"/>
          <w:bCs w:val="0"/>
          <w:highlight w:val="none"/>
        </w:rPr>
        <w:t>附件：</w:t>
      </w:r>
      <w:r>
        <w:rPr>
          <w:rFonts w:cs="Arial"/>
          <w:highlight w:val="none"/>
        </w:rPr>
        <w:t>关于印发中小企业划型标准规定的通知</w:t>
      </w:r>
      <w:r>
        <w:rPr>
          <w:highlight w:val="none"/>
        </w:rPr>
        <w:tab/>
      </w:r>
      <w:r>
        <w:rPr>
          <w:highlight w:val="none"/>
        </w:rPr>
        <w:fldChar w:fldCharType="begin"/>
      </w:r>
      <w:r>
        <w:rPr>
          <w:highlight w:val="none"/>
        </w:rPr>
        <w:instrText xml:space="preserve"> PAGEREF _Toc9827 \h </w:instrText>
      </w:r>
      <w:r>
        <w:rPr>
          <w:highlight w:val="none"/>
        </w:rPr>
        <w:fldChar w:fldCharType="separate"/>
      </w:r>
      <w:r>
        <w:rPr>
          <w:highlight w:val="none"/>
        </w:rPr>
        <w:t>108</w:t>
      </w:r>
      <w:r>
        <w:rPr>
          <w:highlight w:val="none"/>
        </w:rPr>
        <w:fldChar w:fldCharType="end"/>
      </w:r>
      <w:r>
        <w:rPr>
          <w:rFonts w:hint="eastAsia" w:ascii="宋体" w:hAnsi="宋体" w:cs="宋体"/>
          <w:szCs w:val="18"/>
          <w:highlight w:val="none"/>
        </w:rPr>
        <w:fldChar w:fldCharType="end"/>
      </w:r>
    </w:p>
    <w:p>
      <w:pPr>
        <w:adjustRightInd w:val="0"/>
        <w:snapToGrid w:val="0"/>
        <w:spacing w:line="324" w:lineRule="auto"/>
        <w:jc w:val="distribute"/>
        <w:rPr>
          <w:rFonts w:ascii="宋体" w:hAnsi="宋体" w:cs="宋体"/>
          <w:sz w:val="18"/>
          <w:szCs w:val="18"/>
          <w:highlight w:val="none"/>
        </w:rPr>
        <w:sectPr>
          <w:headerReference r:id="rId7" w:type="default"/>
          <w:footerReference r:id="rId8" w:type="default"/>
          <w:type w:val="nextColumn"/>
          <w:pgSz w:w="11907" w:h="16840"/>
          <w:pgMar w:top="1247" w:right="1588" w:bottom="1247" w:left="1588" w:header="851" w:footer="851" w:gutter="0"/>
          <w:pgNumType w:start="1"/>
          <w:cols w:space="720" w:num="1"/>
          <w:docGrid w:linePitch="312" w:charSpace="0"/>
        </w:sectPr>
      </w:pPr>
      <w:r>
        <w:rPr>
          <w:rFonts w:hint="eastAsia" w:ascii="宋体" w:hAnsi="宋体" w:cs="宋体"/>
          <w:szCs w:val="18"/>
          <w:highlight w:val="none"/>
        </w:rPr>
        <w:fldChar w:fldCharType="end"/>
      </w:r>
    </w:p>
    <w:p>
      <w:pPr>
        <w:pStyle w:val="4"/>
        <w:numPr>
          <w:ilvl w:val="0"/>
          <w:numId w:val="3"/>
        </w:numPr>
        <w:spacing w:before="120" w:after="120" w:line="300" w:lineRule="auto"/>
        <w:rPr>
          <w:rFonts w:hAnsi="宋体" w:cs="宋体"/>
          <w:highlight w:val="none"/>
        </w:rPr>
      </w:pPr>
      <w:bookmarkStart w:id="0" w:name="_Toc32243"/>
      <w:r>
        <w:rPr>
          <w:rFonts w:hint="eastAsia" w:hAnsi="宋体" w:cs="宋体"/>
          <w:sz w:val="32"/>
          <w:szCs w:val="32"/>
          <w:highlight w:val="none"/>
        </w:rPr>
        <w:t>投标邀请</w:t>
      </w:r>
      <w:bookmarkEnd w:id="0"/>
    </w:p>
    <w:p>
      <w:pPr>
        <w:rPr>
          <w:rFonts w:ascii="宋体" w:hAnsi="宋体" w:cs="宋体"/>
          <w:highlight w:val="none"/>
        </w:rPr>
      </w:pPr>
    </w:p>
    <w:p>
      <w:pPr>
        <w:pStyle w:val="81"/>
        <w:pBdr>
          <w:top w:val="single" w:color="auto" w:sz="4" w:space="0"/>
          <w:left w:val="single" w:color="auto" w:sz="4" w:space="2"/>
          <w:right w:val="single" w:color="auto" w:sz="4" w:space="2"/>
        </w:pBdr>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项目概况 </w:t>
      </w:r>
    </w:p>
    <w:p>
      <w:pPr>
        <w:pStyle w:val="81"/>
        <w:pBdr>
          <w:left w:val="single" w:color="auto" w:sz="4" w:space="2"/>
          <w:bottom w:val="single" w:color="auto" w:sz="4" w:space="0"/>
          <w:right w:val="single" w:color="auto" w:sz="4" w:space="2"/>
        </w:pBdr>
        <w:snapToGrid w:val="0"/>
        <w:spacing w:before="0" w:beforeAutospacing="0" w:after="0" w:afterAutospacing="0" w:line="360" w:lineRule="auto"/>
        <w:ind w:firstLine="370"/>
        <w:jc w:val="both"/>
        <w:rPr>
          <w:sz w:val="21"/>
          <w:szCs w:val="21"/>
          <w:highlight w:val="none"/>
        </w:rPr>
      </w:pPr>
      <w:r>
        <w:rPr>
          <w:rFonts w:hint="eastAsia"/>
          <w:sz w:val="21"/>
          <w:szCs w:val="21"/>
          <w:highlight w:val="none"/>
          <w:u w:val="single"/>
        </w:rPr>
        <w:t xml:space="preserve">中南民族大学企业年金受托管理服务项目的潜在投标人应在网络获取招标文件，并于2026年 </w:t>
      </w:r>
      <w:r>
        <w:rPr>
          <w:rFonts w:hint="eastAsia"/>
          <w:sz w:val="21"/>
          <w:szCs w:val="21"/>
          <w:highlight w:val="none"/>
          <w:u w:val="single"/>
          <w:lang w:val="en-US" w:eastAsia="zh-CN"/>
        </w:rPr>
        <w:t>09</w:t>
      </w:r>
      <w:r>
        <w:rPr>
          <w:rFonts w:hint="eastAsia"/>
          <w:sz w:val="21"/>
          <w:szCs w:val="21"/>
          <w:highlight w:val="none"/>
          <w:u w:val="single"/>
        </w:rPr>
        <w:t xml:space="preserve"> 月 </w:t>
      </w:r>
      <w:r>
        <w:rPr>
          <w:rFonts w:hint="eastAsia"/>
          <w:sz w:val="21"/>
          <w:szCs w:val="21"/>
          <w:highlight w:val="none"/>
          <w:u w:val="single"/>
          <w:lang w:val="en-US" w:eastAsia="zh-CN"/>
        </w:rPr>
        <w:t>07</w:t>
      </w:r>
      <w:r>
        <w:rPr>
          <w:rFonts w:hint="eastAsia"/>
          <w:sz w:val="21"/>
          <w:szCs w:val="21"/>
          <w:highlight w:val="none"/>
          <w:u w:val="single"/>
        </w:rPr>
        <w:t xml:space="preserve"> 日 </w:t>
      </w:r>
      <w:r>
        <w:rPr>
          <w:rFonts w:hint="eastAsia"/>
          <w:sz w:val="21"/>
          <w:szCs w:val="21"/>
          <w:highlight w:val="none"/>
          <w:u w:val="single"/>
          <w:lang w:val="en-US" w:eastAsia="zh-CN"/>
        </w:rPr>
        <w:t>10</w:t>
      </w:r>
      <w:r>
        <w:rPr>
          <w:rFonts w:hint="eastAsia"/>
          <w:sz w:val="21"/>
          <w:szCs w:val="21"/>
          <w:highlight w:val="none"/>
          <w:u w:val="single"/>
        </w:rPr>
        <w:t xml:space="preserve"> 点 </w:t>
      </w:r>
      <w:r>
        <w:rPr>
          <w:rFonts w:hint="eastAsia"/>
          <w:sz w:val="21"/>
          <w:szCs w:val="21"/>
          <w:highlight w:val="none"/>
          <w:u w:val="single"/>
          <w:lang w:val="en-US" w:eastAsia="zh-CN"/>
        </w:rPr>
        <w:t>00</w:t>
      </w:r>
      <w:r>
        <w:rPr>
          <w:rFonts w:hint="eastAsia"/>
          <w:sz w:val="21"/>
          <w:szCs w:val="21"/>
          <w:highlight w:val="none"/>
          <w:u w:val="single"/>
        </w:rPr>
        <w:t xml:space="preserve"> 分（北京时间）前递交投标文件</w:t>
      </w:r>
      <w:r>
        <w:rPr>
          <w:rFonts w:hint="eastAsia"/>
          <w:sz w:val="21"/>
          <w:szCs w:val="21"/>
          <w:highlight w:val="none"/>
        </w:rPr>
        <w:t xml:space="preserve">。 </w:t>
      </w:r>
    </w:p>
    <w:p>
      <w:pPr>
        <w:pStyle w:val="81"/>
        <w:snapToGrid w:val="0"/>
        <w:spacing w:before="0" w:beforeAutospacing="0" w:after="0" w:afterAutospacing="0" w:line="360" w:lineRule="auto"/>
        <w:ind w:firstLine="369"/>
        <w:jc w:val="both"/>
        <w:rPr>
          <w:sz w:val="21"/>
          <w:szCs w:val="21"/>
          <w:highlight w:val="none"/>
        </w:rPr>
      </w:pPr>
      <w:r>
        <w:rPr>
          <w:rFonts w:hint="eastAsia"/>
          <w:b/>
          <w:bCs/>
          <w:sz w:val="21"/>
          <w:szCs w:val="21"/>
          <w:highlight w:val="none"/>
        </w:rPr>
        <w:t>一、项目基本情况</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1.项目编号：HBT-23125052-265396</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2.项目名称：中南民族大学企业年金受托管理服务项目</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3.采购方式：公开招标</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4.托管企业年金基金规模：约8000万元</w:t>
      </w:r>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lang w:val="en-US" w:eastAsia="zh-CN"/>
        </w:rPr>
        <w:t>5.采购预算：1.5万元/年</w:t>
      </w:r>
      <w:r>
        <w:rPr>
          <w:rFonts w:hint="eastAsia"/>
          <w:b/>
          <w:bCs/>
          <w:sz w:val="21"/>
          <w:szCs w:val="21"/>
          <w:highlight w:val="none"/>
          <w:lang w:val="en-US" w:eastAsia="zh-CN"/>
        </w:rPr>
        <w:t>（</w:t>
      </w:r>
      <w:r>
        <w:rPr>
          <w:rFonts w:hint="eastAsia"/>
          <w:b/>
          <w:bCs/>
          <w:sz w:val="21"/>
          <w:szCs w:val="21"/>
          <w:highlight w:val="none"/>
        </w:rPr>
        <w:t>账户管理费</w:t>
      </w:r>
      <w:r>
        <w:rPr>
          <w:rFonts w:hint="eastAsia"/>
          <w:b/>
          <w:bCs/>
          <w:sz w:val="21"/>
          <w:szCs w:val="21"/>
          <w:highlight w:val="none"/>
          <w:lang w:val="en-US" w:eastAsia="zh-CN"/>
        </w:rPr>
        <w:t>支出）</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6</w:t>
      </w:r>
      <w:r>
        <w:rPr>
          <w:rFonts w:hint="eastAsia"/>
          <w:sz w:val="21"/>
          <w:szCs w:val="21"/>
          <w:highlight w:val="none"/>
        </w:rPr>
        <w:t>.最高限价：企业年金受托人和托管人提取的管理费均不得高于企业年金基金净值的1.5‰，投资管理人提取的管理费不得高于企业年金基金净值的6‰，</w:t>
      </w:r>
      <w:bookmarkStart w:id="1" w:name="OLE_LINK15"/>
      <w:r>
        <w:rPr>
          <w:rFonts w:hint="eastAsia"/>
          <w:sz w:val="21"/>
          <w:szCs w:val="21"/>
          <w:highlight w:val="none"/>
        </w:rPr>
        <w:t>账户管理费</w:t>
      </w:r>
      <w:bookmarkEnd w:id="1"/>
      <w:r>
        <w:rPr>
          <w:rFonts w:hint="eastAsia"/>
          <w:sz w:val="21"/>
          <w:szCs w:val="21"/>
          <w:highlight w:val="none"/>
        </w:rPr>
        <w:t>每户每月不超过1</w:t>
      </w:r>
      <w:r>
        <w:rPr>
          <w:rFonts w:hint="eastAsia"/>
          <w:sz w:val="21"/>
          <w:szCs w:val="21"/>
          <w:highlight w:val="none"/>
          <w:lang w:val="en-US" w:eastAsia="zh-CN"/>
        </w:rPr>
        <w:t>.5</w:t>
      </w:r>
      <w:r>
        <w:rPr>
          <w:rFonts w:hint="eastAsia"/>
          <w:sz w:val="21"/>
          <w:szCs w:val="21"/>
          <w:highlight w:val="none"/>
        </w:rPr>
        <w:t>元</w:t>
      </w:r>
      <w:bookmarkStart w:id="2" w:name="OLE_LINK5"/>
      <w:r>
        <w:rPr>
          <w:rFonts w:hint="eastAsia"/>
          <w:sz w:val="21"/>
          <w:szCs w:val="21"/>
          <w:highlight w:val="none"/>
          <w:lang w:eastAsia="zh-CN"/>
        </w:rPr>
        <w:t>（</w:t>
      </w:r>
      <w:r>
        <w:rPr>
          <w:rFonts w:hint="eastAsia"/>
          <w:sz w:val="21"/>
          <w:szCs w:val="21"/>
          <w:highlight w:val="none"/>
          <w:lang w:val="en-US" w:eastAsia="zh-CN"/>
        </w:rPr>
        <w:t>不得0元报价</w:t>
      </w:r>
      <w:r>
        <w:rPr>
          <w:rFonts w:hint="eastAsia"/>
          <w:sz w:val="21"/>
          <w:szCs w:val="21"/>
          <w:highlight w:val="none"/>
          <w:lang w:eastAsia="zh-CN"/>
        </w:rPr>
        <w:t>）</w:t>
      </w:r>
      <w:bookmarkEnd w:id="2"/>
      <w:r>
        <w:rPr>
          <w:rFonts w:hint="eastAsia"/>
          <w:sz w:val="21"/>
          <w:szCs w:val="21"/>
          <w:highlight w:val="none"/>
        </w:rPr>
        <w:t>。投标人报价须符合《企业年金基金管理办法》与《企业年金基金管理机构基本服务和收费标准行业自律公约》规定。</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6.采购需求：为中南民族大学选择合适的企业年金基金受托管理人，受托管理人根据中南民族大学对企业年金管理的相关要求和风险承受能力，选择合适的账户管理人、托管人、投资管理人和投资产品，以保证企业年金基金的安全性和收益性。本项目年金计划采用集合计划管理运作。</w:t>
      </w:r>
    </w:p>
    <w:p>
      <w:pPr>
        <w:pStyle w:val="81"/>
        <w:snapToGrid w:val="0"/>
        <w:spacing w:before="0" w:beforeAutospacing="0" w:after="0" w:afterAutospacing="0" w:line="360" w:lineRule="auto"/>
        <w:ind w:firstLine="370"/>
        <w:jc w:val="both"/>
        <w:rPr>
          <w:rFonts w:hint="default"/>
          <w:sz w:val="21"/>
          <w:szCs w:val="21"/>
          <w:highlight w:val="none"/>
          <w:lang w:val="en-US"/>
        </w:rPr>
      </w:pPr>
      <w:r>
        <w:rPr>
          <w:rFonts w:hint="eastAsia"/>
          <w:sz w:val="21"/>
          <w:szCs w:val="21"/>
          <w:highlight w:val="none"/>
        </w:rPr>
        <w:t>7.合同履约期限：合同签订后三年；合同期限截止日一个月前，中南民族大学对受托管理人进行考核，考核合格后可续签下一年的合同，最多续签两次。</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8</w:t>
      </w:r>
      <w:r>
        <w:rPr>
          <w:rFonts w:hint="eastAsia"/>
          <w:sz w:val="21"/>
          <w:szCs w:val="21"/>
          <w:highlight w:val="none"/>
        </w:rPr>
        <w:t>.本项目（是/否）接受联合体投标：否</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lang w:val="en-US" w:eastAsia="zh-CN"/>
        </w:rPr>
        <w:t>9</w:t>
      </w:r>
      <w:r>
        <w:rPr>
          <w:rFonts w:hint="eastAsia"/>
          <w:sz w:val="21"/>
          <w:szCs w:val="21"/>
          <w:highlight w:val="none"/>
        </w:rPr>
        <w:t>.是否可采购进口产品：否</w:t>
      </w:r>
    </w:p>
    <w:p>
      <w:pPr>
        <w:pStyle w:val="81"/>
        <w:snapToGrid w:val="0"/>
        <w:spacing w:before="0" w:beforeAutospacing="0" w:after="0" w:afterAutospacing="0" w:line="360" w:lineRule="auto"/>
        <w:ind w:firstLine="370"/>
        <w:jc w:val="both"/>
        <w:rPr>
          <w:rFonts w:hint="eastAsia"/>
          <w:sz w:val="21"/>
          <w:szCs w:val="21"/>
          <w:highlight w:val="none"/>
        </w:rPr>
      </w:pPr>
      <w:r>
        <w:rPr>
          <w:rFonts w:hint="default"/>
          <w:sz w:val="21"/>
          <w:szCs w:val="21"/>
          <w:highlight w:val="none"/>
          <w:lang w:val="en-US" w:eastAsia="zh-CN"/>
        </w:rPr>
        <w:t>1</w:t>
      </w:r>
      <w:r>
        <w:rPr>
          <w:rFonts w:hint="eastAsia"/>
          <w:sz w:val="21"/>
          <w:szCs w:val="21"/>
          <w:highlight w:val="none"/>
          <w:lang w:val="en-US" w:eastAsia="zh-CN"/>
        </w:rPr>
        <w:t>0</w:t>
      </w:r>
      <w:r>
        <w:rPr>
          <w:rFonts w:hint="default"/>
          <w:sz w:val="21"/>
          <w:szCs w:val="21"/>
          <w:highlight w:val="none"/>
          <w:lang w:val="en-US" w:eastAsia="zh-CN"/>
        </w:rPr>
        <w:t xml:space="preserve">. </w:t>
      </w:r>
      <w:r>
        <w:rPr>
          <w:rFonts w:hint="eastAsia"/>
          <w:sz w:val="21"/>
          <w:szCs w:val="21"/>
          <w:highlight w:val="none"/>
          <w:lang w:val="en-US" w:eastAsia="zh-CN"/>
        </w:rPr>
        <w:t>本项目（是</w:t>
      </w:r>
      <w:r>
        <w:rPr>
          <w:rFonts w:hint="default"/>
          <w:sz w:val="21"/>
          <w:szCs w:val="21"/>
          <w:highlight w:val="none"/>
          <w:lang w:val="en-US" w:eastAsia="zh-CN"/>
        </w:rPr>
        <w:t>/</w:t>
      </w:r>
      <w:r>
        <w:rPr>
          <w:rFonts w:hint="eastAsia"/>
          <w:sz w:val="21"/>
          <w:szCs w:val="21"/>
          <w:highlight w:val="none"/>
          <w:lang w:val="en-US" w:eastAsia="zh-CN"/>
        </w:rPr>
        <w:t xml:space="preserve">否）专门面向中小微企业：否 </w:t>
      </w:r>
    </w:p>
    <w:p>
      <w:pPr>
        <w:pStyle w:val="81"/>
        <w:snapToGrid w:val="0"/>
        <w:spacing w:before="0" w:beforeAutospacing="0" w:after="0" w:afterAutospacing="0" w:line="360" w:lineRule="auto"/>
        <w:ind w:firstLine="370"/>
        <w:jc w:val="both"/>
        <w:rPr>
          <w:rFonts w:hint="eastAsia" w:eastAsia="宋体"/>
          <w:sz w:val="21"/>
          <w:szCs w:val="21"/>
          <w:highlight w:val="none"/>
          <w:lang w:eastAsia="zh-CN"/>
        </w:rPr>
      </w:pPr>
      <w:r>
        <w:rPr>
          <w:rFonts w:hint="default"/>
          <w:sz w:val="21"/>
          <w:szCs w:val="21"/>
          <w:highlight w:val="none"/>
          <w:lang w:val="en-US" w:eastAsia="zh-CN"/>
        </w:rPr>
        <w:t>1</w:t>
      </w:r>
      <w:r>
        <w:rPr>
          <w:rFonts w:hint="eastAsia"/>
          <w:sz w:val="21"/>
          <w:szCs w:val="21"/>
          <w:highlight w:val="none"/>
          <w:lang w:val="en-US" w:eastAsia="zh-CN"/>
        </w:rPr>
        <w:t>1</w:t>
      </w:r>
      <w:r>
        <w:rPr>
          <w:rFonts w:hint="default"/>
          <w:sz w:val="21"/>
          <w:szCs w:val="21"/>
          <w:highlight w:val="none"/>
          <w:lang w:val="en-US" w:eastAsia="zh-CN"/>
        </w:rPr>
        <w:t xml:space="preserve">. </w:t>
      </w:r>
      <w:r>
        <w:rPr>
          <w:rFonts w:hint="eastAsia"/>
          <w:sz w:val="21"/>
          <w:szCs w:val="21"/>
          <w:highlight w:val="none"/>
          <w:lang w:val="en-US" w:eastAsia="zh-CN"/>
        </w:rPr>
        <w:t>符合条件的小微企业价格扣除优惠为：</w:t>
      </w:r>
      <w:r>
        <w:rPr>
          <w:rFonts w:hint="default"/>
          <w:sz w:val="21"/>
          <w:szCs w:val="21"/>
          <w:highlight w:val="none"/>
          <w:lang w:val="en-US" w:eastAsia="zh-CN"/>
        </w:rPr>
        <w:t>10%</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二、申请人的资格要求</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1.满足《中华人民共和国政府采购法》第二十二条规定，即：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（1）具有独立承担民事责任的能力；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（2）具有良好的商业信誉和健全的财务会计制度；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（3）具有履行合同所必需的设备和专业技术能力；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（4）有依法缴纳税收和社会保障资金的良好记录；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（5）参加政府采购活动前三年内，在经营活动中没有重大违法记录；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（6）法律、行政法规规定的其他条件。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2.单位负责人为同一人或者存在直接控股、管理关系的不同投标人，不得参加本项目同一合同项下的政府采购活动。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3.为本采购项目提供整体设计、规范编制或者项目管理、监理、检测等服务的，不得再参加本项目的其他招标采购活动。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4.未被列入失信被执行人、重大税收违法失信主体，未被列入政府采购严重违法失信行为记录名单。 </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5.落实政府采购政策需满足的</w:t>
      </w:r>
      <w:r>
        <w:rPr>
          <w:rFonts w:hint="eastAsia"/>
          <w:color w:val="auto"/>
          <w:sz w:val="21"/>
          <w:szCs w:val="21"/>
          <w:highlight w:val="none"/>
        </w:rPr>
        <w:t>资格要求：</w:t>
      </w:r>
      <w:r>
        <w:rPr>
          <w:rFonts w:hint="eastAsia"/>
          <w:color w:val="auto"/>
          <w:sz w:val="21"/>
          <w:szCs w:val="21"/>
          <w:highlight w:val="none"/>
          <w:u w:val="single"/>
        </w:rPr>
        <w:t xml:space="preserve"> / </w:t>
      </w:r>
      <w:r>
        <w:rPr>
          <w:rFonts w:hint="eastAsia"/>
          <w:color w:val="auto"/>
          <w:sz w:val="21"/>
          <w:szCs w:val="21"/>
          <w:highlight w:val="none"/>
        </w:rPr>
        <w:t>。</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6.本项目的特定资格要求：</w:t>
      </w:r>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lang w:eastAsia="zh-CN"/>
        </w:rPr>
        <w:t>（</w:t>
      </w:r>
      <w:r>
        <w:rPr>
          <w:rFonts w:hint="eastAsia"/>
          <w:sz w:val="21"/>
          <w:szCs w:val="21"/>
          <w:highlight w:val="none"/>
          <w:lang w:val="en-US" w:eastAsia="zh-CN"/>
        </w:rPr>
        <w:t>1</w:t>
      </w:r>
      <w:r>
        <w:rPr>
          <w:rFonts w:hint="eastAsia"/>
          <w:sz w:val="21"/>
          <w:szCs w:val="21"/>
          <w:highlight w:val="none"/>
          <w:lang w:eastAsia="zh-CN"/>
        </w:rPr>
        <w:t>）</w:t>
      </w:r>
      <w:r>
        <w:rPr>
          <w:rFonts w:hint="eastAsia"/>
          <w:sz w:val="21"/>
          <w:szCs w:val="21"/>
          <w:highlight w:val="none"/>
          <w:u w:val="single"/>
          <w:lang w:val="en-US" w:eastAsia="zh-CN"/>
        </w:rPr>
        <w:t>本项目允许分支机构参与投标，投标人隶属同一集团旗下的分公司或分支机构，只允许一家参与本次招投标活动，不得同时参与本项目投标；如同时参与投标的，对同时参与投标的投标人同时否决。</w:t>
      </w:r>
    </w:p>
    <w:p>
      <w:pPr>
        <w:pStyle w:val="81"/>
        <w:snapToGrid w:val="0"/>
        <w:spacing w:before="0" w:beforeAutospacing="0" w:after="0" w:afterAutospacing="0" w:line="360" w:lineRule="auto"/>
        <w:ind w:firstLine="370"/>
        <w:jc w:val="both"/>
        <w:rPr>
          <w:rFonts w:hint="default"/>
          <w:sz w:val="21"/>
          <w:szCs w:val="21"/>
          <w:highlight w:val="none"/>
          <w:u w:val="single"/>
          <w:lang w:val="en-US"/>
        </w:rPr>
      </w:pPr>
      <w:r>
        <w:rPr>
          <w:rFonts w:hint="eastAsia"/>
          <w:sz w:val="21"/>
          <w:szCs w:val="21"/>
          <w:highlight w:val="none"/>
          <w:u w:val="single"/>
          <w:lang w:val="en-US" w:eastAsia="zh-CN"/>
        </w:rPr>
        <w:t>（2）投标人或其总公司具有有效的中华人民共和国人力资源和社会保障部颁发的</w:t>
      </w:r>
      <w:bookmarkStart w:id="3" w:name="OLE_LINK6"/>
      <w:r>
        <w:rPr>
          <w:rFonts w:hint="eastAsia"/>
          <w:sz w:val="21"/>
          <w:szCs w:val="21"/>
          <w:highlight w:val="none"/>
          <w:u w:val="single"/>
          <w:lang w:val="en-US" w:eastAsia="zh-CN"/>
        </w:rPr>
        <w:t>《企业年金基金管理机构》资格证书</w:t>
      </w:r>
      <w:bookmarkEnd w:id="3"/>
      <w:r>
        <w:rPr>
          <w:rFonts w:hint="eastAsia"/>
          <w:sz w:val="21"/>
          <w:szCs w:val="21"/>
          <w:highlight w:val="none"/>
          <w:u w:val="single"/>
          <w:lang w:val="en-US" w:eastAsia="zh-CN"/>
        </w:rPr>
        <w:t>。</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三、获取招标文件</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1.时间：2026年</w:t>
      </w:r>
      <w:r>
        <w:rPr>
          <w:rFonts w:hint="eastAsia"/>
          <w:sz w:val="21"/>
          <w:szCs w:val="21"/>
          <w:highlight w:val="none"/>
          <w:lang w:val="en-US" w:eastAsia="zh-CN"/>
        </w:rPr>
        <w:t>08</w:t>
      </w:r>
      <w:r>
        <w:rPr>
          <w:rFonts w:hint="eastAsia"/>
          <w:sz w:val="21"/>
          <w:szCs w:val="21"/>
          <w:highlight w:val="none"/>
        </w:rPr>
        <w:t>月</w:t>
      </w:r>
      <w:r>
        <w:rPr>
          <w:rFonts w:hint="eastAsia"/>
          <w:sz w:val="21"/>
          <w:szCs w:val="21"/>
          <w:highlight w:val="none"/>
          <w:lang w:val="en-US" w:eastAsia="zh-CN"/>
        </w:rPr>
        <w:t>17</w:t>
      </w:r>
      <w:r>
        <w:rPr>
          <w:rFonts w:hint="eastAsia"/>
          <w:sz w:val="21"/>
          <w:szCs w:val="21"/>
          <w:highlight w:val="none"/>
        </w:rPr>
        <w:t>日至2026年</w:t>
      </w:r>
      <w:r>
        <w:rPr>
          <w:rFonts w:hint="eastAsia"/>
          <w:sz w:val="21"/>
          <w:szCs w:val="21"/>
          <w:highlight w:val="none"/>
          <w:lang w:val="en-US" w:eastAsia="zh-CN"/>
        </w:rPr>
        <w:t>08</w:t>
      </w:r>
      <w:r>
        <w:rPr>
          <w:rFonts w:hint="eastAsia"/>
          <w:sz w:val="21"/>
          <w:szCs w:val="21"/>
          <w:highlight w:val="none"/>
        </w:rPr>
        <w:t>月</w:t>
      </w:r>
      <w:r>
        <w:rPr>
          <w:rFonts w:hint="eastAsia"/>
          <w:sz w:val="21"/>
          <w:szCs w:val="21"/>
          <w:highlight w:val="none"/>
          <w:lang w:val="en-US" w:eastAsia="zh-CN"/>
        </w:rPr>
        <w:t>21</w:t>
      </w:r>
      <w:r>
        <w:rPr>
          <w:rFonts w:hint="eastAsia"/>
          <w:sz w:val="21"/>
          <w:szCs w:val="21"/>
          <w:highlight w:val="none"/>
        </w:rPr>
        <w:t>日（每天上午8:30至12:00，下午14:00至17:00（北京时间，法定节假日除外）。</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2.地点：网上获取（https://caizhao.scuec.edu.cn/zb/）</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3.方式：网上获取，符合条件的供应商请登录</w:t>
      </w:r>
      <w:bookmarkStart w:id="4" w:name="OLE_LINK1"/>
      <w:r>
        <w:rPr>
          <w:rFonts w:hint="eastAsia"/>
          <w:sz w:val="21"/>
          <w:szCs w:val="21"/>
          <w:highlight w:val="none"/>
        </w:rPr>
        <w:t>中南民族大学采购综合管理服务平台（https://caizhao.scuec.edu.cn/zb/）</w:t>
      </w:r>
      <w:bookmarkEnd w:id="4"/>
      <w:r>
        <w:rPr>
          <w:rFonts w:hint="eastAsia"/>
          <w:sz w:val="21"/>
          <w:szCs w:val="21"/>
          <w:highlight w:val="none"/>
        </w:rPr>
        <w:t>，完成“供应商注册”（具体操作详见平台网页中“服务指南-操作指南-供应商参与中南民族大学招标项目操作指南”）。完成注册登记后，请于上述“获取采购文件”时间内获取采购文件（具体操作详见平台网页中“服务指南-操作指南-供应商参与中南民族大学招标项目操作指南”），待审核通过后，供应商下载采购文件。</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4.售价： </w:t>
      </w:r>
      <w:r>
        <w:rPr>
          <w:rFonts w:hint="eastAsia"/>
          <w:sz w:val="21"/>
          <w:szCs w:val="21"/>
          <w:highlight w:val="none"/>
          <w:lang w:val="en-US" w:eastAsia="zh-CN"/>
        </w:rPr>
        <w:t>5</w:t>
      </w:r>
      <w:r>
        <w:rPr>
          <w:rFonts w:hint="eastAsia"/>
          <w:sz w:val="21"/>
          <w:szCs w:val="21"/>
          <w:highlight w:val="none"/>
        </w:rPr>
        <w:t>00 元，售后不退</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四、提交投标文件截止时间、开标时间和地点</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1.截止时间：2026年</w:t>
      </w:r>
      <w:r>
        <w:rPr>
          <w:rFonts w:hint="eastAsia"/>
          <w:sz w:val="21"/>
          <w:szCs w:val="21"/>
          <w:highlight w:val="none"/>
          <w:lang w:val="en-US" w:eastAsia="zh-CN"/>
        </w:rPr>
        <w:t>09</w:t>
      </w:r>
      <w:r>
        <w:rPr>
          <w:rFonts w:hint="eastAsia"/>
          <w:sz w:val="21"/>
          <w:szCs w:val="21"/>
          <w:highlight w:val="none"/>
        </w:rPr>
        <w:t>月</w:t>
      </w:r>
      <w:r>
        <w:rPr>
          <w:rFonts w:hint="eastAsia"/>
          <w:sz w:val="21"/>
          <w:szCs w:val="21"/>
          <w:highlight w:val="none"/>
          <w:lang w:val="en-US" w:eastAsia="zh-CN"/>
        </w:rPr>
        <w:t>07</w:t>
      </w:r>
      <w:r>
        <w:rPr>
          <w:rFonts w:hint="eastAsia"/>
          <w:sz w:val="21"/>
          <w:szCs w:val="21"/>
          <w:highlight w:val="none"/>
        </w:rPr>
        <w:t xml:space="preserve">日 </w:t>
      </w:r>
      <w:r>
        <w:rPr>
          <w:rFonts w:hint="eastAsia"/>
          <w:sz w:val="21"/>
          <w:szCs w:val="21"/>
          <w:highlight w:val="none"/>
          <w:lang w:val="en-US" w:eastAsia="zh-CN"/>
        </w:rPr>
        <w:t>10</w:t>
      </w:r>
      <w:r>
        <w:rPr>
          <w:rFonts w:hint="eastAsia"/>
          <w:sz w:val="21"/>
          <w:szCs w:val="21"/>
          <w:highlight w:val="none"/>
        </w:rPr>
        <w:t xml:space="preserve"> 点 </w:t>
      </w:r>
      <w:r>
        <w:rPr>
          <w:rFonts w:hint="eastAsia"/>
          <w:sz w:val="21"/>
          <w:szCs w:val="21"/>
          <w:highlight w:val="none"/>
          <w:lang w:val="en-US" w:eastAsia="zh-CN"/>
        </w:rPr>
        <w:t>00</w:t>
      </w:r>
      <w:r>
        <w:rPr>
          <w:rFonts w:hint="eastAsia"/>
          <w:sz w:val="21"/>
          <w:szCs w:val="21"/>
          <w:highlight w:val="none"/>
        </w:rPr>
        <w:t xml:space="preserve"> 分（北京时间）</w:t>
      </w:r>
    </w:p>
    <w:p>
      <w:pPr>
        <w:pStyle w:val="81"/>
        <w:snapToGrid w:val="0"/>
        <w:spacing w:before="0" w:beforeAutospacing="0" w:after="0" w:afterAutospacing="0" w:line="360" w:lineRule="auto"/>
        <w:ind w:firstLine="370"/>
        <w:jc w:val="both"/>
        <w:rPr>
          <w:rFonts w:hint="default" w:eastAsia="宋体"/>
          <w:sz w:val="21"/>
          <w:szCs w:val="21"/>
          <w:highlight w:val="none"/>
          <w:lang w:val="en-US" w:eastAsia="zh-CN"/>
        </w:rPr>
      </w:pPr>
      <w:r>
        <w:rPr>
          <w:rFonts w:hint="eastAsia"/>
          <w:sz w:val="21"/>
          <w:szCs w:val="21"/>
          <w:highlight w:val="none"/>
        </w:rPr>
        <w:t>2.地点：武汉市洪山区民族大道182号中南民族大学4号教学楼</w:t>
      </w:r>
      <w:r>
        <w:rPr>
          <w:rFonts w:hint="eastAsia"/>
          <w:sz w:val="21"/>
          <w:szCs w:val="21"/>
          <w:highlight w:val="none"/>
          <w:lang w:val="en-US" w:eastAsia="zh-CN"/>
        </w:rPr>
        <w:t>215</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五、公告期限</w:t>
      </w:r>
    </w:p>
    <w:p>
      <w:pPr>
        <w:pStyle w:val="81"/>
        <w:snapToGrid w:val="0"/>
        <w:spacing w:before="0" w:beforeAutospacing="0" w:after="0" w:afterAutospacing="0" w:line="360" w:lineRule="auto"/>
        <w:ind w:firstLine="370"/>
        <w:jc w:val="both"/>
        <w:rPr>
          <w:sz w:val="21"/>
          <w:szCs w:val="21"/>
          <w:highlight w:val="none"/>
        </w:rPr>
      </w:pPr>
      <w:r>
        <w:rPr>
          <w:rFonts w:hint="eastAsia"/>
          <w:sz w:val="21"/>
          <w:szCs w:val="21"/>
          <w:highlight w:val="none"/>
        </w:rPr>
        <w:t xml:space="preserve">自本公告发布之日起5个工作日。 </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六、其他补充事宜</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lang w:val="en-US" w:eastAsia="zh-CN"/>
        </w:rPr>
        <w:t>1</w:t>
      </w:r>
      <w:r>
        <w:rPr>
          <w:rFonts w:hint="eastAsia"/>
          <w:sz w:val="21"/>
          <w:szCs w:val="21"/>
          <w:highlight w:val="none"/>
          <w:u w:val="single"/>
        </w:rPr>
        <w:t>.采购项目需要落实的政府采购政策：本项目需落实的节能环保、中小微型企业扶持（含支持监狱企业发展、促进残疾人就业）等相关政府采购政策详见招标文件。</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lang w:val="en-US" w:eastAsia="zh-CN"/>
        </w:rPr>
        <w:t>2</w:t>
      </w:r>
      <w:r>
        <w:rPr>
          <w:rFonts w:hint="eastAsia"/>
          <w:sz w:val="21"/>
          <w:szCs w:val="21"/>
          <w:highlight w:val="none"/>
          <w:u w:val="single"/>
        </w:rPr>
        <w:t xml:space="preserve">．供应商应将获取文件费用缴款至采购代理机构账户： </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rPr>
        <w:t>户   名：湖北省招标股份有限公司</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rPr>
        <w:t>开 户 行：招商银行水果湖支行</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rPr>
        <w:t>行   号：308521015186</w:t>
      </w:r>
    </w:p>
    <w:p>
      <w:pPr>
        <w:pStyle w:val="81"/>
        <w:snapToGrid w:val="0"/>
        <w:spacing w:before="0" w:beforeAutospacing="0" w:after="0" w:afterAutospacing="0" w:line="360" w:lineRule="auto"/>
        <w:ind w:firstLine="555"/>
        <w:jc w:val="both"/>
        <w:rPr>
          <w:rFonts w:hint="eastAsia"/>
          <w:sz w:val="21"/>
          <w:szCs w:val="21"/>
          <w:highlight w:val="none"/>
          <w:u w:val="single"/>
        </w:rPr>
      </w:pPr>
      <w:r>
        <w:rPr>
          <w:rFonts w:hint="eastAsia"/>
          <w:sz w:val="21"/>
          <w:szCs w:val="21"/>
          <w:highlight w:val="none"/>
          <w:u w:val="single"/>
        </w:rPr>
        <w:t>账   号：12790 54338 10603</w:t>
      </w:r>
    </w:p>
    <w:p>
      <w:pPr>
        <w:pStyle w:val="81"/>
        <w:snapToGrid w:val="0"/>
        <w:spacing w:before="0" w:beforeAutospacing="0" w:after="0" w:afterAutospacing="0" w:line="360" w:lineRule="auto"/>
        <w:ind w:firstLine="555"/>
        <w:jc w:val="both"/>
        <w:rPr>
          <w:rFonts w:hint="eastAsia" w:eastAsia="宋体"/>
          <w:sz w:val="21"/>
          <w:szCs w:val="21"/>
          <w:highlight w:val="none"/>
          <w:lang w:eastAsia="zh-CN"/>
        </w:rPr>
      </w:pPr>
      <w:r>
        <w:rPr>
          <w:rFonts w:hint="eastAsia" w:cs="Segoe UI"/>
          <w:color w:val="333333"/>
          <w:sz w:val="21"/>
          <w:szCs w:val="21"/>
          <w:highlight w:val="none"/>
          <w:lang w:val="en-US" w:eastAsia="zh-CN"/>
        </w:rPr>
        <w:t>3</w:t>
      </w:r>
      <w:r>
        <w:rPr>
          <w:rFonts w:hint="eastAsia" w:cs="Segoe UI"/>
          <w:color w:val="333333"/>
          <w:sz w:val="21"/>
          <w:szCs w:val="21"/>
          <w:highlight w:val="none"/>
        </w:rPr>
        <w:t>.供应商进入学校提交响应文件时需手持填写完整并签字盖章的《校外单位入校投标申请表》，否则由此产生的后果由供应商承担。</w:t>
      </w:r>
    </w:p>
    <w:p>
      <w:pPr>
        <w:pStyle w:val="81"/>
        <w:snapToGrid w:val="0"/>
        <w:spacing w:before="0" w:beforeAutospacing="0" w:after="0" w:afterAutospacing="0" w:line="360" w:lineRule="auto"/>
        <w:ind w:firstLine="370"/>
        <w:jc w:val="both"/>
        <w:rPr>
          <w:sz w:val="21"/>
          <w:szCs w:val="21"/>
          <w:highlight w:val="none"/>
        </w:rPr>
      </w:pPr>
      <w:r>
        <w:rPr>
          <w:rFonts w:hint="eastAsia"/>
          <w:b/>
          <w:bCs/>
          <w:sz w:val="21"/>
          <w:szCs w:val="21"/>
          <w:highlight w:val="none"/>
        </w:rPr>
        <w:t>七、对本次招标提出询问，请按以下方式联系</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1.采购人信息</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名   称：中南民族大学</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地   址：武汉市洪山区民族大道182号</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联  系  人：朱老师</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联 系 方 式：027-67843832</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2.采购代理机构信息</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名   称：湖北省招标股份有限公司</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地   址：武汉市武昌区中北路108号兴业银行大厦五层</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联 系方 式：027-87716883</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 xml:space="preserve">3.项目联系方式 </w:t>
      </w:r>
    </w:p>
    <w:p>
      <w:pPr>
        <w:pStyle w:val="81"/>
        <w:snapToGrid w:val="0"/>
        <w:spacing w:before="0" w:beforeAutospacing="0" w:after="0" w:afterAutospacing="0" w:line="360" w:lineRule="auto"/>
        <w:ind w:firstLine="370"/>
        <w:jc w:val="both"/>
        <w:rPr>
          <w:rFonts w:hint="eastAsia"/>
          <w:sz w:val="21"/>
          <w:szCs w:val="21"/>
          <w:highlight w:val="none"/>
        </w:rPr>
      </w:pPr>
      <w:r>
        <w:rPr>
          <w:rFonts w:hint="eastAsia"/>
          <w:sz w:val="21"/>
          <w:szCs w:val="21"/>
          <w:highlight w:val="none"/>
        </w:rPr>
        <w:t>项目联系人：李彦豪、陈芳铭、田翠</w:t>
      </w:r>
    </w:p>
    <w:p>
      <w:pPr>
        <w:pStyle w:val="81"/>
        <w:snapToGrid w:val="0"/>
        <w:spacing w:before="0" w:beforeAutospacing="0" w:after="0" w:afterAutospacing="0" w:line="360" w:lineRule="auto"/>
        <w:ind w:firstLine="370"/>
        <w:jc w:val="both"/>
        <w:rPr>
          <w:rFonts w:hint="default" w:eastAsia="宋体"/>
          <w:sz w:val="21"/>
          <w:szCs w:val="21"/>
          <w:highlight w:val="none"/>
          <w:u w:val="single"/>
          <w:lang w:val="en-US" w:eastAsia="zh-CN"/>
        </w:rPr>
      </w:pPr>
      <w:r>
        <w:rPr>
          <w:rFonts w:hint="eastAsia"/>
          <w:sz w:val="21"/>
          <w:szCs w:val="21"/>
          <w:highlight w:val="none"/>
        </w:rPr>
        <w:t>电   话：027-87716883</w:t>
      </w:r>
      <w:r>
        <w:rPr>
          <w:rFonts w:hint="eastAsia"/>
          <w:sz w:val="21"/>
          <w:szCs w:val="21"/>
          <w:highlight w:val="none"/>
          <w:lang w:eastAsia="zh-CN"/>
        </w:rPr>
        <w:t>、</w:t>
      </w:r>
      <w:r>
        <w:rPr>
          <w:rFonts w:hint="eastAsia"/>
          <w:sz w:val="21"/>
          <w:szCs w:val="21"/>
          <w:highlight w:val="none"/>
          <w:lang w:val="en-US" w:eastAsia="zh-CN"/>
        </w:rPr>
        <w:t>18271808077</w:t>
      </w:r>
    </w:p>
    <w:p>
      <w:pPr>
        <w:widowControl/>
        <w:snapToGrid w:val="0"/>
        <w:spacing w:line="360" w:lineRule="auto"/>
        <w:jc w:val="right"/>
        <w:rPr>
          <w:rFonts w:ascii="宋体" w:hAnsi="宋体" w:cs="宋体"/>
          <w:szCs w:val="21"/>
          <w:highlight w:val="none"/>
        </w:rPr>
      </w:pPr>
    </w:p>
    <w:p>
      <w:pPr>
        <w:snapToGrid w:val="0"/>
        <w:spacing w:line="360" w:lineRule="auto"/>
        <w:jc w:val="right"/>
        <w:rPr>
          <w:rFonts w:ascii="宋体" w:hAnsi="宋体" w:cs="宋体"/>
          <w:b/>
          <w:kern w:val="0"/>
          <w:szCs w:val="21"/>
          <w:highlight w:val="none"/>
        </w:rPr>
      </w:pPr>
      <w:r>
        <w:rPr>
          <w:rFonts w:hint="eastAsia" w:ascii="宋体" w:hAnsi="宋体" w:cs="宋体"/>
          <w:kern w:val="0"/>
          <w:szCs w:val="21"/>
          <w:highlight w:val="none"/>
        </w:rPr>
        <w:t> </w:t>
      </w:r>
      <w:r>
        <w:rPr>
          <w:rFonts w:hint="eastAsia" w:ascii="宋体" w:hAnsi="宋体" w:cs="宋体"/>
          <w:b/>
          <w:kern w:val="0"/>
          <w:szCs w:val="21"/>
          <w:highlight w:val="none"/>
        </w:rPr>
        <w:t>湖北省招标股份有限公司</w:t>
      </w:r>
    </w:p>
    <w:p>
      <w:pPr>
        <w:snapToGrid w:val="0"/>
        <w:spacing w:line="360" w:lineRule="auto"/>
        <w:jc w:val="right"/>
        <w:rPr>
          <w:rFonts w:ascii="宋体" w:hAnsi="宋体" w:cs="宋体"/>
          <w:color w:val="0000FF"/>
          <w:highlight w:val="none"/>
        </w:rPr>
      </w:pPr>
      <w:r>
        <w:rPr>
          <w:rFonts w:hint="eastAsia" w:ascii="宋体" w:hAnsi="宋体" w:cs="宋体"/>
          <w:b/>
          <w:kern w:val="0"/>
          <w:szCs w:val="21"/>
          <w:highlight w:val="none"/>
        </w:rPr>
        <w:t>202</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年</w:t>
      </w:r>
      <w:r>
        <w:rPr>
          <w:rFonts w:hint="eastAsia" w:ascii="宋体" w:hAnsi="宋体" w:cs="宋体"/>
          <w:b/>
          <w:kern w:val="0"/>
          <w:szCs w:val="21"/>
          <w:highlight w:val="none"/>
          <w:lang w:val="en-US" w:eastAsia="zh-CN"/>
        </w:rPr>
        <w:t xml:space="preserve"> 08 </w:t>
      </w:r>
      <w:r>
        <w:rPr>
          <w:rFonts w:hint="eastAsia" w:ascii="宋体" w:hAnsi="宋体" w:cs="宋体"/>
          <w:b/>
          <w:kern w:val="0"/>
          <w:szCs w:val="21"/>
          <w:highlight w:val="none"/>
        </w:rPr>
        <w:t>月</w:t>
      </w:r>
      <w:r>
        <w:rPr>
          <w:rFonts w:hint="eastAsia" w:ascii="宋体" w:hAnsi="宋体" w:cs="宋体"/>
          <w:b/>
          <w:kern w:val="0"/>
          <w:szCs w:val="21"/>
          <w:highlight w:val="none"/>
          <w:lang w:val="en-US" w:eastAsia="zh-CN"/>
        </w:rPr>
        <w:t>15</w:t>
      </w:r>
      <w:bookmarkStart w:id="1170" w:name="_GoBack"/>
      <w:bookmarkEnd w:id="1170"/>
      <w:r>
        <w:rPr>
          <w:rFonts w:hint="eastAsia" w:ascii="宋体" w:hAnsi="宋体" w:cs="宋体"/>
          <w:b/>
          <w:kern w:val="0"/>
          <w:szCs w:val="21"/>
          <w:highlight w:val="none"/>
        </w:rPr>
        <w:t>日</w:t>
      </w:r>
      <w:r>
        <w:rPr>
          <w:rFonts w:hint="eastAsia" w:ascii="宋体" w:hAnsi="宋体" w:cs="宋体"/>
          <w:b/>
          <w:color w:val="0000FF"/>
          <w:kern w:val="0"/>
          <w:sz w:val="24"/>
          <w:highlight w:val="none"/>
        </w:rPr>
        <w:br w:type="page"/>
      </w:r>
    </w:p>
    <w:p>
      <w:pPr>
        <w:pStyle w:val="4"/>
        <w:numPr>
          <w:ilvl w:val="0"/>
          <w:numId w:val="3"/>
        </w:numPr>
        <w:spacing w:before="120" w:after="120" w:line="300" w:lineRule="auto"/>
        <w:rPr>
          <w:rFonts w:hAnsi="宋体" w:cs="宋体"/>
          <w:sz w:val="32"/>
          <w:szCs w:val="32"/>
          <w:highlight w:val="none"/>
        </w:rPr>
      </w:pPr>
      <w:bookmarkStart w:id="5" w:name="_Toc18892"/>
      <w:r>
        <w:rPr>
          <w:rFonts w:hint="eastAsia" w:hAnsi="宋体" w:cs="宋体"/>
          <w:sz w:val="32"/>
          <w:szCs w:val="32"/>
          <w:highlight w:val="none"/>
        </w:rPr>
        <w:t>投标人须知</w:t>
      </w:r>
      <w:bookmarkEnd w:id="5"/>
    </w:p>
    <w:p>
      <w:pPr>
        <w:pStyle w:val="2"/>
        <w:snapToGrid w:val="0"/>
        <w:spacing w:before="0" w:after="0" w:line="360" w:lineRule="auto"/>
        <w:jc w:val="center"/>
        <w:rPr>
          <w:rFonts w:ascii="宋体" w:hAnsi="宋体" w:eastAsia="宋体" w:cs="宋体"/>
          <w:b w:val="0"/>
          <w:highlight w:val="none"/>
        </w:rPr>
      </w:pPr>
      <w:bookmarkStart w:id="6" w:name="_Toc37569474"/>
      <w:bookmarkStart w:id="7" w:name="_Toc141611042"/>
      <w:bookmarkStart w:id="8" w:name="_Toc46332774"/>
      <w:bookmarkStart w:id="9" w:name="_Toc69087134"/>
      <w:bookmarkStart w:id="10" w:name="_Toc22284338"/>
      <w:bookmarkStart w:id="11" w:name="_Toc432367319"/>
      <w:bookmarkStart w:id="12" w:name="_Toc85864513"/>
      <w:bookmarkStart w:id="13" w:name="_Toc43915610"/>
      <w:bookmarkStart w:id="14" w:name="_Toc430813236"/>
      <w:bookmarkStart w:id="15" w:name="_Toc964"/>
      <w:r>
        <w:rPr>
          <w:rFonts w:hint="eastAsia" w:ascii="宋体" w:hAnsi="宋体" w:eastAsia="宋体" w:cs="宋体"/>
          <w:b w:val="0"/>
          <w:highlight w:val="none"/>
        </w:rPr>
        <w:t>投标人须知前附表</w:t>
      </w:r>
      <w:bookmarkEnd w:id="6"/>
      <w:bookmarkEnd w:id="7"/>
      <w:bookmarkEnd w:id="8"/>
      <w:bookmarkEnd w:id="9"/>
      <w:bookmarkEnd w:id="10"/>
      <w:bookmarkEnd w:id="11"/>
      <w:bookmarkEnd w:id="12"/>
      <w:bookmarkEnd w:id="13"/>
      <w:bookmarkEnd w:id="14"/>
      <w:bookmarkEnd w:id="15"/>
    </w:p>
    <w:p>
      <w:pPr>
        <w:autoSpaceDE w:val="0"/>
        <w:autoSpaceDN w:val="0"/>
        <w:adjustRightInd w:val="0"/>
        <w:snapToGrid w:val="0"/>
        <w:spacing w:line="360" w:lineRule="auto"/>
        <w:ind w:firstLine="420" w:firstLineChars="200"/>
        <w:rPr>
          <w:rFonts w:ascii="宋体" w:hAnsi="宋体" w:cs="宋体"/>
          <w:szCs w:val="21"/>
          <w:highlight w:val="none"/>
          <w:lang w:val="zh-CN"/>
        </w:rPr>
      </w:pPr>
      <w:r>
        <w:rPr>
          <w:rFonts w:hint="eastAsia" w:ascii="宋体" w:hAnsi="宋体" w:cs="宋体"/>
          <w:szCs w:val="21"/>
          <w:highlight w:val="none"/>
        </w:rPr>
        <w:t>投标人应仔细阅读本招标文件的第二章“投标人须知”，下面所列资料是对“投标人须知”的具体补充和说明。</w:t>
      </w:r>
      <w:r>
        <w:rPr>
          <w:rFonts w:hint="eastAsia" w:ascii="宋体" w:hAnsi="宋体" w:cs="宋体"/>
          <w:szCs w:val="21"/>
          <w:highlight w:val="none"/>
          <w:lang w:val="zh-CN"/>
        </w:rPr>
        <w:t>如有矛盾，应以本表为准。</w:t>
      </w:r>
    </w:p>
    <w:tbl>
      <w:tblPr>
        <w:tblStyle w:val="88"/>
        <w:tblW w:w="9226"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1057"/>
        <w:gridCol w:w="2453"/>
        <w:gridCol w:w="571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blHeader/>
        </w:trPr>
        <w:tc>
          <w:tcPr>
            <w:tcW w:w="1057" w:type="dxa"/>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条款号</w:t>
            </w:r>
          </w:p>
        </w:tc>
        <w:tc>
          <w:tcPr>
            <w:tcW w:w="2453" w:type="dxa"/>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条款名称</w:t>
            </w:r>
          </w:p>
        </w:tc>
        <w:tc>
          <w:tcPr>
            <w:tcW w:w="5716" w:type="dxa"/>
            <w:shd w:val="clear" w:color="auto" w:fill="BFBFBF"/>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内容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采购人</w:t>
            </w:r>
          </w:p>
        </w:tc>
        <w:tc>
          <w:tcPr>
            <w:tcW w:w="5716" w:type="dxa"/>
            <w:vAlign w:val="center"/>
          </w:tcPr>
          <w:p>
            <w:pPr>
              <w:snapToGrid w:val="0"/>
              <w:spacing w:line="30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中南民族大学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1.1.3</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采购代理机构</w:t>
            </w:r>
          </w:p>
        </w:tc>
        <w:tc>
          <w:tcPr>
            <w:tcW w:w="5716" w:type="dxa"/>
            <w:vAlign w:val="center"/>
          </w:tcPr>
          <w:p>
            <w:pPr>
              <w:pStyle w:val="81"/>
              <w:widowControl w:val="0"/>
              <w:autoSpaceDE w:val="0"/>
              <w:autoSpaceDN w:val="0"/>
              <w:adjustRightInd w:val="0"/>
              <w:spacing w:before="0" w:beforeAutospacing="0" w:after="0" w:afterAutospacing="0" w:line="300" w:lineRule="auto"/>
              <w:ind w:left="21" w:leftChars="10" w:right="21" w:rightChars="10"/>
              <w:jc w:val="both"/>
              <w:rPr>
                <w:kern w:val="2"/>
                <w:sz w:val="21"/>
                <w:szCs w:val="21"/>
                <w:highlight w:val="none"/>
                <w:lang w:val="zh-CN"/>
              </w:rPr>
            </w:pPr>
            <w:r>
              <w:rPr>
                <w:rFonts w:hint="eastAsia"/>
                <w:kern w:val="2"/>
                <w:sz w:val="21"/>
                <w:szCs w:val="21"/>
                <w:highlight w:val="none"/>
                <w:lang w:val="zh-CN"/>
              </w:rPr>
              <w:t>湖北省招标股份有限公司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4</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项目名称</w:t>
            </w:r>
          </w:p>
        </w:tc>
        <w:tc>
          <w:tcPr>
            <w:tcW w:w="5716" w:type="dxa"/>
            <w:vAlign w:val="center"/>
          </w:tcPr>
          <w:p>
            <w:pPr>
              <w:snapToGrid w:val="0"/>
              <w:spacing w:line="30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中南民族大学企业年金受托管理服务项目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5</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项目地点</w:t>
            </w:r>
          </w:p>
        </w:tc>
        <w:tc>
          <w:tcPr>
            <w:tcW w:w="5716" w:type="dxa"/>
            <w:vAlign w:val="center"/>
          </w:tcPr>
          <w:p>
            <w:pPr>
              <w:autoSpaceDE w:val="0"/>
              <w:autoSpaceDN w:val="0"/>
              <w:snapToGrid w:val="0"/>
              <w:spacing w:line="30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中南民族大学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1.1.</w:t>
            </w:r>
            <w:r>
              <w:rPr>
                <w:rFonts w:hint="eastAsia" w:ascii="宋体" w:hAnsi="宋体" w:cs="宋体"/>
                <w:szCs w:val="21"/>
                <w:highlight w:val="none"/>
                <w:lang w:val="en-US" w:eastAsia="zh-CN"/>
              </w:rPr>
              <w:t>6</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项目内容</w:t>
            </w:r>
          </w:p>
        </w:tc>
        <w:tc>
          <w:tcPr>
            <w:tcW w:w="5716" w:type="dxa"/>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详见第三章《项目采购需求》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1.2.2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资金落实情况</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已落实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1.3.1</w:t>
            </w:r>
          </w:p>
        </w:tc>
        <w:tc>
          <w:tcPr>
            <w:tcW w:w="2453" w:type="dxa"/>
            <w:vAlign w:val="center"/>
          </w:tcPr>
          <w:p>
            <w:pPr>
              <w:autoSpaceDE w:val="0"/>
              <w:autoSpaceDN w:val="0"/>
              <w:snapToGrid w:val="0"/>
              <w:spacing w:line="300" w:lineRule="auto"/>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服务期</w:t>
            </w:r>
          </w:p>
        </w:tc>
        <w:tc>
          <w:tcPr>
            <w:tcW w:w="5716" w:type="dxa"/>
            <w:vAlign w:val="center"/>
          </w:tcPr>
          <w:p>
            <w:pPr>
              <w:snapToGrid w:val="0"/>
              <w:spacing w:line="300" w:lineRule="auto"/>
              <w:rPr>
                <w:rFonts w:ascii="宋体" w:hAnsi="宋体" w:cs="宋体"/>
                <w:szCs w:val="21"/>
                <w:highlight w:val="none"/>
                <w:u w:val="single"/>
              </w:rPr>
            </w:pPr>
            <w:r>
              <w:rPr>
                <w:rFonts w:hint="eastAsia" w:ascii="宋体" w:hAnsi="宋体" w:cs="宋体"/>
                <w:szCs w:val="21"/>
                <w:highlight w:val="none"/>
              </w:rPr>
              <w:t>详见第三章《项目采购需求》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hint="eastAsia" w:ascii="宋体" w:hAnsi="宋体" w:eastAsia="宋体" w:cs="宋体"/>
                <w:szCs w:val="21"/>
                <w:highlight w:val="none"/>
                <w:lang w:eastAsia="zh-CN"/>
              </w:rPr>
            </w:pPr>
            <w:r>
              <w:rPr>
                <w:rFonts w:hint="eastAsia" w:ascii="宋体" w:hAnsi="宋体" w:cs="宋体"/>
                <w:szCs w:val="21"/>
                <w:highlight w:val="none"/>
              </w:rPr>
              <w:t>1.3.</w:t>
            </w:r>
            <w:r>
              <w:rPr>
                <w:rFonts w:hint="eastAsia" w:ascii="宋体" w:hAnsi="宋体" w:cs="宋体"/>
                <w:szCs w:val="21"/>
                <w:highlight w:val="none"/>
                <w:lang w:val="en-US" w:eastAsia="zh-CN"/>
              </w:rPr>
              <w:t>2</w:t>
            </w:r>
          </w:p>
        </w:tc>
        <w:tc>
          <w:tcPr>
            <w:tcW w:w="2453" w:type="dxa"/>
            <w:vAlign w:val="center"/>
          </w:tcPr>
          <w:p>
            <w:pPr>
              <w:snapToGrid w:val="0"/>
              <w:spacing w:line="300" w:lineRule="auto"/>
              <w:jc w:val="center"/>
              <w:rPr>
                <w:rFonts w:hint="eastAsia" w:ascii="宋体" w:hAnsi="宋体" w:cs="宋体"/>
                <w:szCs w:val="21"/>
                <w:highlight w:val="none"/>
              </w:rPr>
            </w:pPr>
            <w:r>
              <w:rPr>
                <w:rFonts w:hint="eastAsia" w:ascii="宋体" w:hAnsi="宋体" w:cs="宋体"/>
                <w:szCs w:val="21"/>
                <w:highlight w:val="none"/>
              </w:rPr>
              <w:t>付款方式</w:t>
            </w:r>
          </w:p>
        </w:tc>
        <w:tc>
          <w:tcPr>
            <w:tcW w:w="5716" w:type="dxa"/>
            <w:vAlign w:val="center"/>
          </w:tcPr>
          <w:p>
            <w:pPr>
              <w:snapToGrid w:val="0"/>
              <w:spacing w:line="300" w:lineRule="auto"/>
              <w:jc w:val="both"/>
              <w:rPr>
                <w:rFonts w:hint="default" w:ascii="宋体" w:hAnsi="宋体" w:cs="宋体"/>
                <w:szCs w:val="21"/>
                <w:highlight w:val="none"/>
                <w:lang w:val="en-US" w:eastAsia="zh-CN"/>
              </w:rPr>
            </w:pPr>
            <w:r>
              <w:rPr>
                <w:rFonts w:hint="eastAsia" w:ascii="宋体" w:hAnsi="宋体" w:cs="宋体"/>
                <w:szCs w:val="21"/>
                <w:highlight w:val="none"/>
                <w:lang w:val="en-US" w:eastAsia="zh-CN"/>
              </w:rPr>
              <w:t>根据《企业年金基金管理办法》第七章收益分配及费用的规定，按照投标人投标报价的中标费率或金额进行管理费支付。</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adjustRightInd w:val="0"/>
              <w:snapToGrid w:val="0"/>
              <w:spacing w:line="300" w:lineRule="auto"/>
              <w:jc w:val="center"/>
              <w:rPr>
                <w:rFonts w:ascii="宋体" w:hAnsi="宋体" w:cs="宋体"/>
                <w:szCs w:val="21"/>
                <w:highlight w:val="none"/>
              </w:rPr>
            </w:pPr>
            <w:r>
              <w:rPr>
                <w:rFonts w:hint="eastAsia" w:ascii="宋体" w:hAnsi="宋体" w:cs="宋体"/>
                <w:szCs w:val="21"/>
                <w:highlight w:val="none"/>
              </w:rPr>
              <w:t>1.4.1</w:t>
            </w:r>
          </w:p>
        </w:tc>
        <w:tc>
          <w:tcPr>
            <w:tcW w:w="2453" w:type="dxa"/>
            <w:vAlign w:val="center"/>
          </w:tcPr>
          <w:p>
            <w:pPr>
              <w:autoSpaceDE w:val="0"/>
              <w:autoSpaceDN w:val="0"/>
              <w:adjustRightInd w:val="0"/>
              <w:snapToGrid w:val="0"/>
              <w:spacing w:line="300" w:lineRule="auto"/>
              <w:jc w:val="center"/>
              <w:rPr>
                <w:rFonts w:ascii="宋体" w:hAnsi="宋体" w:cs="宋体"/>
                <w:szCs w:val="21"/>
                <w:highlight w:val="none"/>
              </w:rPr>
            </w:pPr>
            <w:r>
              <w:rPr>
                <w:rFonts w:hint="eastAsia" w:ascii="宋体" w:hAnsi="宋体" w:cs="宋体"/>
                <w:szCs w:val="21"/>
                <w:highlight w:val="none"/>
              </w:rPr>
              <w:t>申请人资质条件、能力和信誉</w:t>
            </w:r>
          </w:p>
        </w:tc>
        <w:tc>
          <w:tcPr>
            <w:tcW w:w="5716" w:type="dxa"/>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1.具体要求详见第一章《投标邀请》第二条“申请人资格要求”。</w:t>
            </w:r>
          </w:p>
          <w:p>
            <w:pPr>
              <w:snapToGrid w:val="0"/>
              <w:spacing w:line="300" w:lineRule="auto"/>
              <w:rPr>
                <w:rFonts w:ascii="宋体" w:hAnsi="宋体" w:cs="宋体"/>
                <w:szCs w:val="21"/>
                <w:highlight w:val="none"/>
              </w:rPr>
            </w:pPr>
            <w:r>
              <w:rPr>
                <w:rFonts w:hint="eastAsia" w:ascii="宋体" w:hAnsi="宋体" w:cs="宋体"/>
                <w:szCs w:val="21"/>
                <w:highlight w:val="none"/>
              </w:rPr>
              <w:t>2.须提供的证明文件详见第四章《评标方法、步骤及标准》中的《资格审查表》。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1.4.2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是否接受联合体投标</w:t>
            </w:r>
          </w:p>
        </w:tc>
        <w:tc>
          <w:tcPr>
            <w:tcW w:w="5716" w:type="dxa"/>
            <w:vAlign w:val="center"/>
          </w:tcPr>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不接受</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□接受，应满足下列要求：</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联合体资质按照联合体协议约定的分工认定</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1.9.1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踏勘现场</w:t>
            </w:r>
          </w:p>
        </w:tc>
        <w:tc>
          <w:tcPr>
            <w:tcW w:w="5716" w:type="dxa"/>
            <w:vAlign w:val="center"/>
          </w:tcPr>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不组织，投标人自行踏勘</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□组织，踏勘时间：</w:t>
            </w:r>
          </w:p>
          <w:p>
            <w:pPr>
              <w:pStyle w:val="355"/>
              <w:snapToGrid w:val="0"/>
              <w:spacing w:line="300" w:lineRule="auto"/>
              <w:ind w:firstLine="840" w:firstLineChars="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踏勘集中地点：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1.10.1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投标预备会</w:t>
            </w:r>
          </w:p>
        </w:tc>
        <w:tc>
          <w:tcPr>
            <w:tcW w:w="5716" w:type="dxa"/>
            <w:vAlign w:val="center"/>
          </w:tcPr>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sz w:val="15"/>
                <w:szCs w:val="15"/>
                <w:highlight w:val="none"/>
                <w:bdr w:val="single" w:color="auto" w:sz="4" w:space="0"/>
              </w:rPr>
              <w:t>√</w:t>
            </w:r>
            <w:r>
              <w:rPr>
                <w:rFonts w:hint="eastAsia" w:ascii="宋体" w:hAnsi="宋体" w:eastAsia="宋体" w:cs="宋体"/>
                <w:color w:val="auto"/>
                <w:sz w:val="21"/>
                <w:szCs w:val="21"/>
                <w:highlight w:val="none"/>
              </w:rPr>
              <w:t>不召开</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□召开，召开时间：</w:t>
            </w:r>
          </w:p>
          <w:p>
            <w:pPr>
              <w:pStyle w:val="355"/>
              <w:snapToGrid w:val="0"/>
              <w:spacing w:line="300" w:lineRule="auto"/>
              <w:ind w:firstLine="840" w:firstLineChars="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召开地点：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color w:val="000000"/>
                <w:szCs w:val="21"/>
                <w:highlight w:val="none"/>
              </w:rPr>
            </w:pPr>
            <w:r>
              <w:rPr>
                <w:rFonts w:hint="eastAsia" w:ascii="宋体" w:hAnsi="宋体" w:cs="宋体"/>
                <w:color w:val="000000"/>
                <w:szCs w:val="21"/>
                <w:highlight w:val="none"/>
              </w:rPr>
              <w:t>1.11</w:t>
            </w:r>
          </w:p>
        </w:tc>
        <w:tc>
          <w:tcPr>
            <w:tcW w:w="2453" w:type="dxa"/>
            <w:vAlign w:val="center"/>
          </w:tcPr>
          <w:p>
            <w:pPr>
              <w:autoSpaceDE w:val="0"/>
              <w:autoSpaceDN w:val="0"/>
              <w:snapToGrid w:val="0"/>
              <w:spacing w:line="300" w:lineRule="auto"/>
              <w:jc w:val="center"/>
              <w:rPr>
                <w:rFonts w:ascii="宋体" w:hAnsi="宋体" w:cs="宋体"/>
                <w:color w:val="000000"/>
                <w:szCs w:val="21"/>
                <w:highlight w:val="none"/>
              </w:rPr>
            </w:pPr>
            <w:r>
              <w:rPr>
                <w:rFonts w:hint="eastAsia" w:ascii="宋体" w:hAnsi="宋体" w:cs="宋体"/>
                <w:color w:val="000000"/>
                <w:szCs w:val="21"/>
                <w:highlight w:val="none"/>
              </w:rPr>
              <w:t>中标后分包</w:t>
            </w:r>
          </w:p>
        </w:tc>
        <w:tc>
          <w:tcPr>
            <w:tcW w:w="5716" w:type="dxa"/>
            <w:vAlign w:val="center"/>
          </w:tcPr>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15"/>
                <w:szCs w:val="15"/>
                <w:highlight w:val="none"/>
                <w:bdr w:val="single" w:color="auto" w:sz="4" w:space="0"/>
              </w:rPr>
              <w:t>√</w:t>
            </w:r>
            <w:r>
              <w:rPr>
                <w:rFonts w:hint="eastAsia" w:ascii="宋体" w:hAnsi="宋体" w:eastAsia="宋体" w:cs="宋体"/>
                <w:color w:val="auto"/>
                <w:sz w:val="21"/>
                <w:szCs w:val="21"/>
                <w:highlight w:val="none"/>
              </w:rPr>
              <w:t>不允许</w:t>
            </w:r>
          </w:p>
          <w:p>
            <w:pPr>
              <w:pStyle w:val="355"/>
              <w:snapToGrid w:val="0"/>
              <w:spacing w:line="300" w:lineRule="auto"/>
              <w:ind w:left="840" w:hanging="840" w:hangingChars="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□允许，分包内容要求：</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 xml:space="preserve">        分包金额要求：</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 xml:space="preserve">        分包人资质要求：</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restart"/>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1.12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是否接受进口产品</w:t>
            </w:r>
          </w:p>
        </w:tc>
        <w:tc>
          <w:tcPr>
            <w:tcW w:w="5716" w:type="dxa"/>
            <w:vAlign w:val="center"/>
          </w:tcPr>
          <w:p>
            <w:pPr>
              <w:pStyle w:val="31"/>
              <w:topLinePunct/>
              <w:snapToGrid w:val="0"/>
              <w:spacing w:after="0" w:line="300" w:lineRule="auto"/>
              <w:rPr>
                <w:rFonts w:ascii="宋体" w:hAnsi="宋体" w:cs="宋体"/>
                <w:sz w:val="21"/>
                <w:szCs w:val="21"/>
                <w:highlight w:val="none"/>
              </w:rPr>
            </w:pPr>
            <w:r>
              <w:rPr>
                <w:rFonts w:hint="eastAsia" w:ascii="宋体" w:hAnsi="宋体" w:cs="宋体"/>
                <w:sz w:val="21"/>
                <w:szCs w:val="21"/>
                <w:highlight w:val="none"/>
              </w:rPr>
              <w:t>□接  受</w:t>
            </w:r>
          </w:p>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不接受</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支持中小企业政策</w:t>
            </w:r>
          </w:p>
        </w:tc>
        <w:tc>
          <w:tcPr>
            <w:tcW w:w="5716" w:type="dxa"/>
            <w:vAlign w:val="center"/>
          </w:tcPr>
          <w:p>
            <w:pPr>
              <w:snapToGrid w:val="0"/>
              <w:spacing w:line="300" w:lineRule="auto"/>
              <w:rPr>
                <w:rFonts w:ascii="宋体" w:hAnsi="宋体" w:cs="宋体"/>
                <w:b/>
                <w:szCs w:val="21"/>
                <w:highlight w:val="none"/>
              </w:rPr>
            </w:pPr>
            <w:r>
              <w:rPr>
                <w:rFonts w:hint="eastAsia" w:ascii="宋体" w:hAnsi="宋体" w:cs="宋体"/>
                <w:b/>
                <w:szCs w:val="21"/>
                <w:highlight w:val="none"/>
              </w:rPr>
              <w:t>本项目属于非预留份额的采购项目或者采购包，对于小微企业评审时价格扣除比例按以下规定执行：</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依据《关于进一步加大政府采购支持中小企业力度的通知》（财库〔2022〕19号）的规定，本项目对参加政府采购活动的小型和微型企业报价给予10%（工程项目为3%）的扣除，用扣除后的价格参与评审；其中，对小微企业中的“四类小微企业”的报价，即残疾人企业或监狱企业；纳入创新产品应用示范推荐目录内的企业；政府采购项目的品目属于政府优先采购《节能产品政府采购品目清单》《环境标志产品政府采购品目》范围内，获得相关证书的企业，以《关于落实稳住经济一揽子政策进一步加大政府采购支持中小企业力度的通知》（鄂财采发〔2022〕5号）对应的价格评审优惠幅度的上限给予评审优惠。中小企业应当提供《中小企业声明函》（详见本</w:t>
            </w:r>
            <w:r>
              <w:rPr>
                <w:rFonts w:hint="eastAsia" w:ascii="宋体" w:hAnsi="宋体" w:cs="宋体"/>
                <w:szCs w:val="21"/>
                <w:highlight w:val="none"/>
                <w:lang w:val="en-US" w:eastAsia="zh-CN"/>
              </w:rPr>
              <w:t>招标</w:t>
            </w:r>
            <w:r>
              <w:rPr>
                <w:rFonts w:hint="eastAsia" w:ascii="宋体" w:hAnsi="宋体" w:cs="宋体"/>
                <w:szCs w:val="21"/>
                <w:highlight w:val="none"/>
              </w:rPr>
              <w:t xml:space="preserve">文件第六章 </w:t>
            </w:r>
            <w:r>
              <w:rPr>
                <w:rFonts w:hint="eastAsia" w:ascii="宋体" w:hAnsi="宋体" w:cs="宋体"/>
                <w:szCs w:val="21"/>
                <w:highlight w:val="none"/>
                <w:lang w:val="en-US" w:eastAsia="zh-CN"/>
              </w:rPr>
              <w:t>投标</w:t>
            </w:r>
            <w:r>
              <w:rPr>
                <w:rFonts w:hint="eastAsia" w:ascii="宋体" w:hAnsi="宋体" w:cs="宋体"/>
                <w:szCs w:val="21"/>
                <w:highlight w:val="none"/>
              </w:rPr>
              <w:t>文件格式），对符合小微企业中的上述“四类小微企业”，还应提供</w:t>
            </w:r>
            <w:r>
              <w:rPr>
                <w:rFonts w:hint="eastAsia" w:ascii="宋体" w:hAnsi="宋体" w:cs="宋体"/>
                <w:b/>
                <w:bCs/>
                <w:szCs w:val="21"/>
                <w:highlight w:val="none"/>
              </w:rPr>
              <w:t>符合该条款要求的其他证明材料</w:t>
            </w:r>
            <w:r>
              <w:rPr>
                <w:rFonts w:hint="eastAsia" w:ascii="宋体" w:hAnsi="宋体" w:cs="宋体"/>
                <w:snapToGrid w:val="0"/>
                <w:kern w:val="0"/>
                <w:szCs w:val="21"/>
                <w:highlight w:val="none"/>
                <w:lang w:val="zh-CN"/>
              </w:rPr>
              <w:t>，否则在评审时不享受上述评审优惠。</w:t>
            </w:r>
          </w:p>
          <w:p>
            <w:pPr>
              <w:snapToGrid w:val="0"/>
              <w:spacing w:line="300" w:lineRule="auto"/>
              <w:ind w:firstLine="359" w:firstLineChars="171"/>
              <w:rPr>
                <w:rFonts w:ascii="宋体" w:hAnsi="宋体" w:cs="宋体"/>
                <w:b/>
                <w:bCs/>
                <w:szCs w:val="21"/>
                <w:highlight w:val="none"/>
              </w:rPr>
            </w:pPr>
            <w:r>
              <w:rPr>
                <w:rFonts w:hint="eastAsia" w:ascii="宋体" w:hAnsi="宋体" w:cs="宋体"/>
                <w:szCs w:val="21"/>
                <w:highlight w:val="none"/>
              </w:rPr>
              <w:t>根据工业和信息化部 国家统计局 国家发展和改革委员会 财政部《中小企业划型标准规定》（工信部联企业〔2011〕300号）的规定，本项目采购标的对应的中小企业划分标准所属行业为</w:t>
            </w:r>
            <w:r>
              <w:rPr>
                <w:rFonts w:hint="eastAsia" w:ascii="宋体" w:hAnsi="宋体" w:cs="宋体"/>
                <w:b/>
                <w:bCs/>
                <w:szCs w:val="21"/>
                <w:highlight w:val="none"/>
                <w:lang w:val="en-US" w:eastAsia="zh-CN"/>
              </w:rPr>
              <w:t>其他未列明行业</w:t>
            </w:r>
            <w:r>
              <w:rPr>
                <w:rFonts w:hint="eastAsia" w:ascii="宋体" w:hAnsi="宋体" w:cs="宋体"/>
                <w:b/>
                <w:bCs/>
                <w:szCs w:val="21"/>
                <w:highlight w:val="none"/>
              </w:rPr>
              <w:t>。</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依据财政部 司法部《关于政府采购支持监狱企业发展有关问题的通知》（财库[2014]68号）的规定，监狱企业视同小型、微型企业，享受预留份额、评审中价格扣除等促进中小企业发展的政府采购政策。监狱企业应当提供由省级以上监狱管理局、戒毒管理局(含新疆生产建设兵团)出具的属于监狱企业的证明文件。</w:t>
            </w:r>
          </w:p>
          <w:p>
            <w:pPr>
              <w:snapToGrid w:val="0"/>
              <w:spacing w:line="300" w:lineRule="auto"/>
              <w:ind w:firstLine="359" w:firstLineChars="171"/>
              <w:jc w:val="left"/>
              <w:rPr>
                <w:rFonts w:ascii="宋体" w:hAnsi="宋体" w:cs="宋体"/>
                <w:szCs w:val="21"/>
                <w:highlight w:val="none"/>
              </w:rPr>
            </w:pPr>
            <w:r>
              <w:rPr>
                <w:rFonts w:hint="eastAsia" w:ascii="宋体" w:hAnsi="宋体" w:cs="宋体"/>
                <w:szCs w:val="21"/>
                <w:highlight w:val="none"/>
              </w:rPr>
              <w:t>依据财政部 民政部 中国残疾人联合会《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符合该通知规定条件的残疾人福利性单位应当提供《残疾人福利性单位声明函》（见附件）。</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满足本招标文件第1.4.2条的规定且接受大中型企业与小微企业组成联合体，或者满足本招标文件第1.11条的规定且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pPr>
              <w:snapToGrid w:val="0"/>
              <w:spacing w:line="300" w:lineRule="auto"/>
              <w:ind w:firstLine="361" w:firstLineChars="171"/>
              <w:rPr>
                <w:rFonts w:ascii="宋体" w:hAnsi="宋体" w:cs="宋体"/>
                <w:b/>
                <w:szCs w:val="21"/>
                <w:highlight w:val="none"/>
              </w:rPr>
            </w:pPr>
            <w:r>
              <w:rPr>
                <w:rFonts w:hint="eastAsia" w:ascii="宋体" w:hAnsi="宋体" w:cs="宋体"/>
                <w:b/>
                <w:szCs w:val="21"/>
                <w:highlight w:val="none"/>
              </w:rPr>
              <w:t>供应商应当对《中小企业声明函》、监狱企业证明文件、《残疾人福利性单位声明函》及其它符合鄂财采发〔2022〕5号文件第二条规定的证明材料的真实性负责，</w:t>
            </w:r>
            <w:r>
              <w:rPr>
                <w:rFonts w:hint="eastAsia" w:ascii="宋体" w:hAnsi="宋体" w:cs="宋体"/>
                <w:szCs w:val="21"/>
                <w:highlight w:val="none"/>
              </w:rPr>
              <w:t>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采购节能产品政策</w:t>
            </w:r>
          </w:p>
        </w:tc>
        <w:tc>
          <w:tcPr>
            <w:tcW w:w="5716" w:type="dxa"/>
            <w:vAlign w:val="center"/>
          </w:tcPr>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供应商提供的产品如属于《节能产品政府采购品目清单》中“政府强制采购产品”的，评审时不予价格扣除。</w:t>
            </w:r>
          </w:p>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供应商提供的产品如属于《节能产品政府采购品目清单》中非“政府强制采购产品”的，给予该项产品价格1%的扣除，用扣除后的价格参与评审。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Merge w:val="continue"/>
            <w:vAlign w:val="center"/>
          </w:tcPr>
          <w:p>
            <w:pPr>
              <w:autoSpaceDE w:val="0"/>
              <w:autoSpaceDN w:val="0"/>
              <w:snapToGrid w:val="0"/>
              <w:spacing w:line="300" w:lineRule="auto"/>
              <w:jc w:val="center"/>
              <w:rPr>
                <w:rFonts w:ascii="宋体" w:hAnsi="宋体" w:cs="宋体"/>
                <w:szCs w:val="21"/>
                <w:highlight w:val="none"/>
              </w:rPr>
            </w:pP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采购环保产品政策</w:t>
            </w:r>
          </w:p>
        </w:tc>
        <w:tc>
          <w:tcPr>
            <w:tcW w:w="5716" w:type="dxa"/>
            <w:vAlign w:val="center"/>
          </w:tcPr>
          <w:p>
            <w:pPr>
              <w:snapToGrid w:val="0"/>
              <w:spacing w:line="300" w:lineRule="auto"/>
              <w:ind w:firstLine="359" w:firstLineChars="171"/>
              <w:rPr>
                <w:rFonts w:ascii="宋体" w:hAnsi="宋体" w:cs="宋体"/>
                <w:szCs w:val="21"/>
                <w:highlight w:val="none"/>
              </w:rPr>
            </w:pPr>
            <w:r>
              <w:rPr>
                <w:rFonts w:hint="eastAsia" w:ascii="宋体" w:hAnsi="宋体" w:cs="宋体"/>
                <w:szCs w:val="21"/>
                <w:highlight w:val="none"/>
              </w:rPr>
              <w:t>供应商提供的产品如属于《环境标志产品政府采购品目清单》范围的，给予该项产品价格1%的扣除，用扣除后的价格参与评审。</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2.2.3</w:t>
            </w:r>
          </w:p>
        </w:tc>
        <w:tc>
          <w:tcPr>
            <w:tcW w:w="2453"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投标人确认收到招标文件澄清或者修改的时间</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在收到相应澄清文件后</w:t>
            </w:r>
            <w:r>
              <w:rPr>
                <w:rFonts w:hint="eastAsia" w:ascii="宋体" w:hAnsi="宋体" w:cs="宋体"/>
                <w:szCs w:val="21"/>
                <w:highlight w:val="none"/>
                <w:u w:val="single"/>
              </w:rPr>
              <w:t>24</w:t>
            </w:r>
            <w:r>
              <w:rPr>
                <w:rFonts w:hint="eastAsia" w:ascii="宋体" w:hAnsi="宋体" w:cs="宋体"/>
                <w:szCs w:val="21"/>
                <w:highlight w:val="none"/>
              </w:rPr>
              <w:t>小时内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3.2.4</w:t>
            </w:r>
          </w:p>
        </w:tc>
        <w:tc>
          <w:tcPr>
            <w:tcW w:w="2453"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采购预算价格</w:t>
            </w:r>
          </w:p>
        </w:tc>
        <w:tc>
          <w:tcPr>
            <w:tcW w:w="5716" w:type="dxa"/>
            <w:vAlign w:val="center"/>
          </w:tcPr>
          <w:p>
            <w:pPr>
              <w:autoSpaceDE w:val="0"/>
              <w:autoSpaceDN w:val="0"/>
              <w:snapToGrid w:val="0"/>
              <w:spacing w:line="300" w:lineRule="auto"/>
              <w:rPr>
                <w:rFonts w:ascii="宋体" w:hAnsi="宋体" w:cs="宋体"/>
                <w:szCs w:val="21"/>
                <w:highlight w:val="none"/>
                <w:u w:val="single"/>
              </w:rPr>
            </w:pPr>
            <w:r>
              <w:rPr>
                <w:rFonts w:hint="eastAsia" w:ascii="宋体" w:hAnsi="宋体" w:cs="宋体"/>
                <w:szCs w:val="21"/>
                <w:highlight w:val="none"/>
              </w:rPr>
              <w:t>本项目采购预算详见第一章《投标邀请》。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3.3.1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投标有效期</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投标截止日期后</w:t>
            </w:r>
            <w:r>
              <w:rPr>
                <w:rFonts w:hint="eastAsia" w:ascii="宋体" w:hAnsi="宋体" w:cs="宋体"/>
                <w:szCs w:val="21"/>
                <w:highlight w:val="none"/>
                <w:u w:val="single"/>
              </w:rPr>
              <w:t xml:space="preserve"> 90 </w:t>
            </w:r>
            <w:r>
              <w:rPr>
                <w:rFonts w:hint="eastAsia" w:ascii="宋体" w:hAnsi="宋体" w:cs="宋体"/>
                <w:szCs w:val="21"/>
                <w:highlight w:val="none"/>
              </w:rPr>
              <w:t>日历日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3.4.1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投标保证金</w:t>
            </w:r>
          </w:p>
        </w:tc>
        <w:tc>
          <w:tcPr>
            <w:tcW w:w="5716" w:type="dxa"/>
            <w:vAlign w:val="center"/>
          </w:tcPr>
          <w:p>
            <w:pPr>
              <w:autoSpaceDE w:val="0"/>
              <w:autoSpaceDN w:val="0"/>
              <w:snapToGrid w:val="0"/>
              <w:spacing w:line="300" w:lineRule="auto"/>
              <w:rPr>
                <w:rFonts w:ascii="宋体" w:hAnsi="宋体" w:cs="宋体"/>
                <w:b/>
                <w:szCs w:val="21"/>
                <w:highlight w:val="none"/>
              </w:rPr>
            </w:pPr>
            <w:r>
              <w:rPr>
                <w:rFonts w:hint="eastAsia" w:ascii="宋体" w:hAnsi="宋体" w:cs="宋体"/>
                <w:b/>
                <w:szCs w:val="21"/>
                <w:highlight w:val="none"/>
              </w:rPr>
              <w:t>本项目不收投标保证金。</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3.5.1</w:t>
            </w:r>
          </w:p>
        </w:tc>
        <w:tc>
          <w:tcPr>
            <w:tcW w:w="2453" w:type="dxa"/>
            <w:vAlign w:val="center"/>
          </w:tcPr>
          <w:p>
            <w:pPr>
              <w:snapToGrid w:val="0"/>
              <w:spacing w:line="300" w:lineRule="auto"/>
              <w:jc w:val="center"/>
              <w:rPr>
                <w:rFonts w:ascii="宋体" w:hAnsi="宋体" w:cs="宋体"/>
                <w:szCs w:val="21"/>
                <w:highlight w:val="none"/>
              </w:rPr>
            </w:pPr>
            <w:r>
              <w:rPr>
                <w:rFonts w:hint="eastAsia" w:ascii="宋体" w:hAnsi="宋体" w:cs="宋体"/>
                <w:szCs w:val="21"/>
                <w:highlight w:val="none"/>
              </w:rPr>
              <w:t>是否允许递交备选投标方案</w:t>
            </w:r>
          </w:p>
        </w:tc>
        <w:tc>
          <w:tcPr>
            <w:tcW w:w="5716" w:type="dxa"/>
            <w:vAlign w:val="center"/>
          </w:tcPr>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不允许</w:t>
            </w:r>
          </w:p>
          <w:p>
            <w:pPr>
              <w:snapToGrid w:val="0"/>
              <w:spacing w:line="300" w:lineRule="auto"/>
              <w:rPr>
                <w:rFonts w:ascii="宋体" w:hAnsi="宋体" w:cs="宋体"/>
                <w:szCs w:val="21"/>
                <w:highlight w:val="none"/>
              </w:rPr>
            </w:pPr>
            <w:bookmarkStart w:id="16" w:name="OLE_LINK8"/>
            <w:r>
              <w:rPr>
                <w:rFonts w:hint="eastAsia" w:ascii="宋体" w:hAnsi="宋体" w:cs="宋体"/>
                <w:szCs w:val="21"/>
                <w:highlight w:val="none"/>
              </w:rPr>
              <w:t>□</w:t>
            </w:r>
            <w:bookmarkEnd w:id="16"/>
            <w:r>
              <w:rPr>
                <w:rFonts w:hint="eastAsia" w:ascii="宋体" w:hAnsi="宋体" w:cs="宋体"/>
                <w:szCs w:val="21"/>
                <w:highlight w:val="none"/>
              </w:rPr>
              <w:t>允许</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3.6.4</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投标文件份数</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投标文件纸质版：正本一份，副本</w:t>
            </w:r>
            <w:r>
              <w:rPr>
                <w:rFonts w:hint="eastAsia" w:ascii="宋体" w:hAnsi="宋体" w:cs="宋体"/>
                <w:szCs w:val="21"/>
                <w:highlight w:val="none"/>
                <w:lang w:val="en-US" w:eastAsia="zh-CN"/>
              </w:rPr>
              <w:t>四</w:t>
            </w:r>
            <w:r>
              <w:rPr>
                <w:rFonts w:hint="eastAsia" w:ascii="宋体" w:hAnsi="宋体" w:cs="宋体"/>
                <w:szCs w:val="21"/>
                <w:highlight w:val="none"/>
              </w:rPr>
              <w:t>份</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投标文件电子版：</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□不要求</w:t>
            </w:r>
          </w:p>
          <w:p>
            <w:pPr>
              <w:autoSpaceDE w:val="0"/>
              <w:autoSpaceDN w:val="0"/>
              <w:snapToGrid w:val="0"/>
              <w:spacing w:line="30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sym w:font="Wingdings 2" w:char="0052"/>
            </w:r>
            <w:r>
              <w:rPr>
                <w:rFonts w:hint="eastAsia" w:ascii="宋体" w:hAnsi="宋体" w:cs="宋体"/>
                <w:b/>
                <w:bCs/>
                <w:szCs w:val="21"/>
                <w:highlight w:val="none"/>
              </w:rPr>
              <w:t>要求</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与正本保持一致</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以上资料均应密封提交。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bookmarkStart w:id="17" w:name="_Toc293340906"/>
            <w:bookmarkEnd w:id="17"/>
            <w:bookmarkStart w:id="18" w:name="_Toc293650331"/>
            <w:bookmarkEnd w:id="18"/>
            <w:bookmarkStart w:id="19" w:name="_Toc293650191"/>
            <w:bookmarkEnd w:id="19"/>
            <w:bookmarkStart w:id="20" w:name="_Toc291177824"/>
            <w:bookmarkEnd w:id="20"/>
            <w:bookmarkStart w:id="21" w:name="_Toc291177538"/>
            <w:bookmarkEnd w:id="21"/>
            <w:bookmarkStart w:id="22" w:name="_Toc291177681"/>
            <w:bookmarkEnd w:id="22"/>
            <w:bookmarkStart w:id="23" w:name="_Toc293340766"/>
            <w:bookmarkEnd w:id="23"/>
            <w:r>
              <w:rPr>
                <w:rFonts w:hint="eastAsia" w:ascii="宋体" w:hAnsi="宋体" w:cs="宋体"/>
                <w:szCs w:val="21"/>
                <w:highlight w:val="none"/>
              </w:rPr>
              <w:t>3.6.5</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装订要求</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按照投标人须知第3.1项规定的投标文件组成内容，投标文件应按以下要求装订：</w:t>
            </w:r>
          </w:p>
          <w:p>
            <w:pPr>
              <w:pStyle w:val="31"/>
              <w:topLinePunct/>
              <w:snapToGrid w:val="0"/>
              <w:spacing w:after="0" w:line="300" w:lineRule="auto"/>
              <w:rPr>
                <w:rFonts w:ascii="宋体" w:hAnsi="宋体" w:cs="宋体"/>
                <w:sz w:val="21"/>
                <w:szCs w:val="21"/>
                <w:highlight w:val="none"/>
              </w:rPr>
            </w:pPr>
            <w:r>
              <w:rPr>
                <w:rFonts w:hint="eastAsia" w:ascii="宋体" w:hAnsi="宋体" w:cs="宋体"/>
                <w:sz w:val="15"/>
                <w:szCs w:val="15"/>
                <w:highlight w:val="none"/>
                <w:bdr w:val="single" w:color="auto" w:sz="4" w:space="0"/>
              </w:rPr>
              <w:t>√</w:t>
            </w:r>
            <w:r>
              <w:rPr>
                <w:rFonts w:hint="eastAsia" w:ascii="宋体" w:hAnsi="宋体" w:cs="宋体"/>
                <w:sz w:val="21"/>
                <w:szCs w:val="21"/>
                <w:highlight w:val="none"/>
              </w:rPr>
              <w:t>装订成一册</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□分册装订，共分册，分别为：</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第一册，包括</w:t>
            </w:r>
          </w:p>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第二册，包括</w:t>
            </w:r>
          </w:p>
          <w:p>
            <w:pPr>
              <w:pStyle w:val="34"/>
              <w:rPr>
                <w:rFonts w:ascii="宋体" w:hAnsi="宋体" w:cs="宋体"/>
                <w:highlight w:val="none"/>
              </w:rPr>
            </w:pPr>
            <w:r>
              <w:rPr>
                <w:rFonts w:hint="eastAsia" w:ascii="宋体" w:hAnsi="宋体" w:cs="宋体"/>
                <w:szCs w:val="21"/>
                <w:highlight w:val="none"/>
              </w:rPr>
              <w:t>投标文件采用胶粘方式装订，装订应牢固、不易拆散和换页，不得采用活页装订。</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4.1.2</w:t>
            </w:r>
          </w:p>
        </w:tc>
        <w:tc>
          <w:tcPr>
            <w:tcW w:w="2453" w:type="dxa"/>
            <w:vAlign w:val="center"/>
          </w:tcPr>
          <w:p>
            <w:pPr>
              <w:pStyle w:val="355"/>
              <w:snapToGrid w:val="0"/>
              <w:spacing w:line="30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封套上写明</w:t>
            </w:r>
          </w:p>
        </w:tc>
        <w:tc>
          <w:tcPr>
            <w:tcW w:w="5716" w:type="dxa"/>
            <w:vAlign w:val="center"/>
          </w:tcPr>
          <w:p>
            <w:pPr>
              <w:pStyle w:val="355"/>
              <w:snapToGrid w:val="0"/>
              <w:spacing w:line="30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采购代理机构名称：</w:t>
            </w:r>
            <w:r>
              <w:rPr>
                <w:rFonts w:hint="eastAsia" w:ascii="宋体" w:hAnsi="宋体" w:eastAsia="宋体" w:cs="宋体"/>
                <w:color w:val="auto"/>
                <w:sz w:val="21"/>
                <w:szCs w:val="21"/>
                <w:highlight w:val="none"/>
                <w:u w:val="single"/>
              </w:rPr>
              <w:t>湖北省招标股份有限公司</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（项目名称）投标文件在年月日时分前不得开启</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p>
            <w:pPr>
              <w:pStyle w:val="355"/>
              <w:snapToGrid w:val="0"/>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投标人地址：</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4.1.3</w:t>
            </w:r>
          </w:p>
        </w:tc>
        <w:tc>
          <w:tcPr>
            <w:tcW w:w="2453" w:type="dxa"/>
            <w:vAlign w:val="center"/>
          </w:tcPr>
          <w:p>
            <w:pPr>
              <w:pStyle w:val="355"/>
              <w:snapToGrid w:val="0"/>
              <w:spacing w:line="300" w:lineRule="auto"/>
              <w:jc w:val="center"/>
              <w:rPr>
                <w:rFonts w:ascii="宋体" w:hAnsi="宋体" w:eastAsia="宋体" w:cs="宋体"/>
                <w:color w:val="auto"/>
                <w:sz w:val="21"/>
                <w:szCs w:val="21"/>
                <w:highlight w:val="none"/>
              </w:rPr>
            </w:pPr>
            <w:r>
              <w:rPr>
                <w:rFonts w:hint="eastAsia" w:ascii="宋体" w:hAnsi="宋体" w:eastAsia="宋体" w:cs="宋体"/>
                <w:highlight w:val="none"/>
              </w:rPr>
              <w:t>开标一览表</w:t>
            </w:r>
          </w:p>
        </w:tc>
        <w:tc>
          <w:tcPr>
            <w:tcW w:w="5716" w:type="dxa"/>
            <w:vAlign w:val="center"/>
          </w:tcPr>
          <w:p>
            <w:pPr>
              <w:snapToGrid w:val="0"/>
              <w:spacing w:line="360" w:lineRule="auto"/>
              <w:rPr>
                <w:rFonts w:ascii="宋体" w:hAnsi="宋体" w:cs="宋体"/>
                <w:szCs w:val="21"/>
                <w:highlight w:val="none"/>
              </w:rPr>
            </w:pPr>
            <w:r>
              <w:rPr>
                <w:rFonts w:hint="eastAsia" w:ascii="宋体" w:hAnsi="宋体" w:cs="宋体"/>
                <w:highlight w:val="none"/>
              </w:rPr>
              <w:t>为方便开标唱标，投标人应将《开标一览表》和《</w:t>
            </w:r>
            <w:r>
              <w:rPr>
                <w:rFonts w:hint="eastAsia" w:ascii="宋体" w:hAnsi="宋体" w:cs="宋体"/>
                <w:bCs/>
                <w:highlight w:val="none"/>
              </w:rPr>
              <w:t>法定代表人授权书》</w:t>
            </w:r>
            <w:r>
              <w:rPr>
                <w:rFonts w:hint="eastAsia" w:ascii="宋体" w:hAnsi="宋体" w:cs="宋体"/>
                <w:highlight w:val="none"/>
              </w:rPr>
              <w:t>单独密封提交，并在密封袋上标明“开标一览表”字样。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4.2.1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提交投标文件截止时间</w:t>
            </w:r>
          </w:p>
        </w:tc>
        <w:tc>
          <w:tcPr>
            <w:tcW w:w="5716" w:type="dxa"/>
            <w:vAlign w:val="center"/>
          </w:tcPr>
          <w:p>
            <w:pPr>
              <w:autoSpaceDE w:val="0"/>
              <w:autoSpaceDN w:val="0"/>
              <w:snapToGrid w:val="0"/>
              <w:spacing w:line="300" w:lineRule="auto"/>
              <w:rPr>
                <w:rFonts w:ascii="宋体" w:hAnsi="宋体" w:cs="宋体"/>
                <w:bCs/>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4.2.2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提交投标文件地点</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5.1.1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开标时间和地点</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详见第一章《投标邀请》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6.1.1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评标委员会的组建</w:t>
            </w:r>
          </w:p>
        </w:tc>
        <w:tc>
          <w:tcPr>
            <w:tcW w:w="5716" w:type="dxa"/>
            <w:vAlign w:val="center"/>
          </w:tcPr>
          <w:p>
            <w:pPr>
              <w:autoSpaceDE w:val="0"/>
              <w:autoSpaceDN w:val="0"/>
              <w:snapToGrid w:val="0"/>
              <w:spacing w:line="300" w:lineRule="auto"/>
              <w:rPr>
                <w:rFonts w:ascii="宋体" w:hAnsi="宋体" w:cs="宋体"/>
                <w:szCs w:val="21"/>
                <w:highlight w:val="none"/>
              </w:rPr>
            </w:pPr>
            <w:r>
              <w:rPr>
                <w:rFonts w:hint="eastAsia" w:ascii="宋体" w:hAnsi="宋体" w:cs="宋体"/>
                <w:szCs w:val="21"/>
                <w:highlight w:val="none"/>
              </w:rPr>
              <w:t>评标委员会由采购人代表和评审专家组成，成员人数应当为五人以上单数。其中，评审专家不得少于成员总数的2/3，从政府采购专家库中随机抽取。</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6.3.2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推荐中标候选人</w:t>
            </w:r>
          </w:p>
        </w:tc>
        <w:tc>
          <w:tcPr>
            <w:tcW w:w="5716" w:type="dxa"/>
            <w:vAlign w:val="center"/>
          </w:tcPr>
          <w:p>
            <w:pPr>
              <w:snapToGrid w:val="0"/>
              <w:spacing w:line="300" w:lineRule="auto"/>
              <w:rPr>
                <w:rFonts w:ascii="宋体" w:hAnsi="宋体" w:cs="宋体"/>
                <w:szCs w:val="21"/>
                <w:highlight w:val="none"/>
              </w:rPr>
            </w:pPr>
            <w:r>
              <w:rPr>
                <w:rFonts w:hint="eastAsia" w:ascii="宋体" w:hAnsi="宋体" w:cs="宋体"/>
                <w:szCs w:val="21"/>
                <w:highlight w:val="none"/>
              </w:rPr>
              <w:t>中标候选人数量</w:t>
            </w:r>
            <w:r>
              <w:rPr>
                <w:rFonts w:hint="eastAsia" w:ascii="宋体" w:hAnsi="宋体" w:cs="宋体"/>
                <w:szCs w:val="21"/>
                <w:highlight w:val="none"/>
                <w:u w:val="single"/>
              </w:rPr>
              <w:t>3</w:t>
            </w:r>
            <w:r>
              <w:rPr>
                <w:rFonts w:hint="eastAsia" w:ascii="宋体" w:hAnsi="宋体" w:cs="宋体"/>
                <w:szCs w:val="21"/>
                <w:highlight w:val="none"/>
              </w:rPr>
              <w:t>家</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定标原则</w:t>
            </w:r>
          </w:p>
        </w:tc>
        <w:tc>
          <w:tcPr>
            <w:tcW w:w="5716" w:type="dxa"/>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采购人按评审报告中推荐的中标候选人排序确定中标人。</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7.2.2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公告媒介</w:t>
            </w:r>
          </w:p>
        </w:tc>
        <w:tc>
          <w:tcPr>
            <w:tcW w:w="5716" w:type="dxa"/>
            <w:vAlign w:val="center"/>
          </w:tcPr>
          <w:p>
            <w:pPr>
              <w:tabs>
                <w:tab w:val="left" w:pos="1260"/>
              </w:tabs>
              <w:snapToGrid w:val="0"/>
              <w:spacing w:line="30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中国招标投标公共服务平台</w:t>
            </w:r>
          </w:p>
          <w:p>
            <w:pPr>
              <w:tabs>
                <w:tab w:val="left" w:pos="1260"/>
              </w:tabs>
              <w:snapToGrid w:val="0"/>
              <w:spacing w:line="300" w:lineRule="auto"/>
              <w:rPr>
                <w:rFonts w:hint="eastAsia" w:ascii="宋体" w:hAnsi="宋体" w:cs="宋体"/>
                <w:color w:val="000000"/>
                <w:szCs w:val="21"/>
                <w:highlight w:val="none"/>
              </w:rPr>
            </w:pPr>
            <w:r>
              <w:rPr>
                <w:rFonts w:hint="eastAsia" w:ascii="宋体" w:hAnsi="宋体" w:cs="宋体"/>
                <w:color w:val="000000"/>
                <w:szCs w:val="21"/>
                <w:highlight w:val="none"/>
              </w:rPr>
              <w:t>（</w:t>
            </w:r>
            <w:r>
              <w:rPr>
                <w:rFonts w:hint="eastAsia"/>
                <w:highlight w:val="none"/>
              </w:rPr>
              <w:t>http://www.cebpubservice.com/NewIndex/index.shtml</w:t>
            </w:r>
            <w:r>
              <w:rPr>
                <w:rFonts w:hint="eastAsia" w:ascii="宋体" w:hAnsi="宋体" w:cs="宋体"/>
                <w:color w:val="000000"/>
                <w:szCs w:val="21"/>
                <w:highlight w:val="none"/>
              </w:rPr>
              <w:t>）</w:t>
            </w:r>
          </w:p>
          <w:p>
            <w:pPr>
              <w:pStyle w:val="34"/>
              <w:rPr>
                <w:highlight w:val="none"/>
              </w:rPr>
            </w:pPr>
            <w:r>
              <w:rPr>
                <w:rFonts w:hint="eastAsia"/>
                <w:highlight w:val="none"/>
              </w:rPr>
              <w:t>中南民族大学采购综合管理服务平台（https://caizhao.scuec.edu.cn/zb/）</w:t>
            </w:r>
          </w:p>
          <w:p>
            <w:pPr>
              <w:tabs>
                <w:tab w:val="left" w:pos="1260"/>
              </w:tabs>
              <w:snapToGrid w:val="0"/>
              <w:spacing w:line="300" w:lineRule="auto"/>
              <w:rPr>
                <w:rFonts w:ascii="宋体" w:hAnsi="宋体" w:cs="宋体"/>
                <w:szCs w:val="21"/>
                <w:highlight w:val="none"/>
                <w:u w:val="single"/>
              </w:rPr>
            </w:pPr>
            <w:r>
              <w:rPr>
                <w:rFonts w:hint="eastAsia" w:ascii="宋体" w:hAnsi="宋体" w:cs="宋体"/>
                <w:szCs w:val="21"/>
                <w:highlight w:val="none"/>
              </w:rPr>
              <w:t>公告期限：</w:t>
            </w:r>
            <w:r>
              <w:rPr>
                <w:rFonts w:hint="eastAsia" w:ascii="宋体" w:hAnsi="宋体" w:cs="宋体"/>
                <w:szCs w:val="21"/>
                <w:highlight w:val="none"/>
                <w:u w:val="single"/>
              </w:rPr>
              <w:t>1个工作日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7.3.2</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中标通知书领取</w:t>
            </w:r>
          </w:p>
        </w:tc>
        <w:tc>
          <w:tcPr>
            <w:tcW w:w="5716" w:type="dxa"/>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中标结果公告发布后，中标人即可前往采购代理机构处领取中标通知书，并于30日内按照招标文件要求和投标文件承诺与采购人签订政府采购合同。</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8.1.1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质疑期</w:t>
            </w:r>
          </w:p>
        </w:tc>
        <w:tc>
          <w:tcPr>
            <w:tcW w:w="5716" w:type="dxa"/>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投标人认为招标文件、招标过程和中标结果使自己的权益受到损害的，可以在知道或者应知其权益受到损害之日起7个工作日内，以书面形式</w:t>
            </w:r>
            <w:r>
              <w:rPr>
                <w:rFonts w:hint="eastAsia" w:ascii="宋体" w:hAnsi="宋体" w:cs="宋体"/>
                <w:snapToGrid w:val="0"/>
                <w:kern w:val="0"/>
                <w:szCs w:val="21"/>
                <w:highlight w:val="none"/>
                <w:lang w:val="zh-CN"/>
              </w:rPr>
              <w:t>一次性</w:t>
            </w:r>
            <w:r>
              <w:rPr>
                <w:rFonts w:hint="eastAsia" w:ascii="宋体" w:hAnsi="宋体" w:cs="宋体"/>
                <w:szCs w:val="21"/>
                <w:highlight w:val="none"/>
              </w:rPr>
              <w:t>向采购人或采购代理机构提出质疑。</w:t>
            </w:r>
            <w:r>
              <w:rPr>
                <w:rFonts w:hint="eastAsia" w:ascii="宋体" w:hAnsi="宋体" w:cs="宋体"/>
                <w:snapToGrid w:val="0"/>
                <w:kern w:val="0"/>
                <w:szCs w:val="21"/>
                <w:highlight w:val="none"/>
                <w:lang w:val="zh-CN"/>
              </w:rPr>
              <w:t>我公司受理项目质疑部门为运营管理部，联系人：刘刚，联系电话：027-87816246。</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8.2.1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质疑回复</w:t>
            </w:r>
          </w:p>
        </w:tc>
        <w:tc>
          <w:tcPr>
            <w:tcW w:w="5716" w:type="dxa"/>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采购人或采购代理机构应当在收到投标人的书面质疑后7个工作日内作出答复，并以书面形式通知质疑投标人和其他有关投标人，但答复的内容不得涉及商业秘密。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9.1.1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履约担保</w:t>
            </w:r>
          </w:p>
        </w:tc>
        <w:tc>
          <w:tcPr>
            <w:tcW w:w="5716" w:type="dxa"/>
            <w:vAlign w:val="center"/>
          </w:tcPr>
          <w:p>
            <w:pPr>
              <w:tabs>
                <w:tab w:val="left" w:pos="1260"/>
              </w:tabs>
              <w:snapToGrid w:val="0"/>
              <w:spacing w:line="300" w:lineRule="auto"/>
              <w:rPr>
                <w:rFonts w:ascii="宋体" w:hAnsi="宋体" w:cs="宋体"/>
                <w:b/>
                <w:szCs w:val="21"/>
                <w:highlight w:val="none"/>
              </w:rPr>
            </w:pPr>
            <w:r>
              <w:rPr>
                <w:rFonts w:hint="eastAsia" w:ascii="宋体" w:hAnsi="宋体" w:cs="宋体"/>
                <w:szCs w:val="21"/>
                <w:highlight w:val="none"/>
              </w:rPr>
              <w:sym w:font="Wingdings 2" w:char="00A3"/>
            </w:r>
            <w:r>
              <w:rPr>
                <w:rFonts w:hint="eastAsia" w:ascii="宋体" w:hAnsi="宋体" w:cs="宋体"/>
                <w:szCs w:val="21"/>
                <w:highlight w:val="none"/>
              </w:rPr>
              <w:t>有</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sym w:font="Wingdings 2" w:char="0052"/>
            </w:r>
            <w:r>
              <w:rPr>
                <w:rFonts w:hint="eastAsia" w:ascii="宋体" w:hAnsi="宋体" w:cs="宋体"/>
                <w:szCs w:val="21"/>
                <w:highlight w:val="none"/>
              </w:rPr>
              <w:t>无</w:t>
            </w:r>
          </w:p>
          <w:p>
            <w:pPr>
              <w:tabs>
                <w:tab w:val="left" w:pos="1260"/>
              </w:tabs>
              <w:snapToGrid w:val="0"/>
              <w:spacing w:line="300" w:lineRule="auto"/>
              <w:rPr>
                <w:rFonts w:ascii="宋体" w:hAnsi="宋体" w:cs="宋体"/>
                <w:szCs w:val="21"/>
                <w:highlight w:val="none"/>
                <w:u w:val="single"/>
              </w:rPr>
            </w:pPr>
            <w:r>
              <w:rPr>
                <w:rFonts w:hint="eastAsia" w:ascii="宋体" w:hAnsi="宋体" w:cs="宋体"/>
                <w:szCs w:val="21"/>
                <w:highlight w:val="none"/>
              </w:rPr>
              <w:t>履约担保金额：</w:t>
            </w:r>
            <w:r>
              <w:rPr>
                <w:rFonts w:hint="eastAsia" w:ascii="宋体" w:hAnsi="宋体" w:cs="宋体"/>
                <w:szCs w:val="21"/>
                <w:highlight w:val="none"/>
                <w:u w:val="single"/>
                <w:lang w:val="en-US" w:eastAsia="zh-CN"/>
              </w:rPr>
              <w:t>/</w:t>
            </w:r>
            <w:r>
              <w:rPr>
                <w:rFonts w:hint="eastAsia" w:ascii="宋体" w:hAnsi="宋体" w:cs="宋体"/>
                <w:szCs w:val="21"/>
                <w:highlight w:val="none"/>
                <w:u w:val="single"/>
              </w:rPr>
              <w:t xml:space="preserve"> </w:t>
            </w:r>
          </w:p>
          <w:p>
            <w:pPr>
              <w:tabs>
                <w:tab w:val="left" w:pos="1260"/>
              </w:tabs>
              <w:snapToGrid w:val="0"/>
              <w:spacing w:line="300" w:lineRule="auto"/>
              <w:rPr>
                <w:rFonts w:ascii="宋体" w:hAnsi="宋体" w:cs="宋体"/>
                <w:highlight w:val="none"/>
              </w:rPr>
            </w:pPr>
            <w:r>
              <w:rPr>
                <w:rFonts w:hint="eastAsia" w:ascii="宋体" w:hAnsi="宋体" w:cs="宋体"/>
                <w:szCs w:val="21"/>
                <w:highlight w:val="none"/>
              </w:rPr>
              <w:t>履约担保形式：支票、汇票、本票或者金融机构、担保机构出具的保函等非现金形式提交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10.1.1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招标代理服务费收取方式和标准</w:t>
            </w:r>
          </w:p>
        </w:tc>
        <w:tc>
          <w:tcPr>
            <w:tcW w:w="5716" w:type="dxa"/>
            <w:vAlign w:val="center"/>
          </w:tcPr>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根据采购人和采购代理机构签署的委托代理协议书约定：</w:t>
            </w:r>
          </w:p>
          <w:p>
            <w:pPr>
              <w:snapToGrid w:val="0"/>
              <w:spacing w:line="300" w:lineRule="auto"/>
              <w:rPr>
                <w:rFonts w:ascii="宋体" w:hAnsi="宋体" w:cs="宋体"/>
                <w:szCs w:val="21"/>
                <w:highlight w:val="none"/>
              </w:rPr>
            </w:pPr>
            <w:r>
              <w:rPr>
                <w:rFonts w:hint="eastAsia" w:ascii="宋体" w:hAnsi="宋体" w:cs="宋体"/>
                <w:szCs w:val="21"/>
                <w:highlight w:val="none"/>
              </w:rPr>
              <w:t>1）招标代理服务费：</w:t>
            </w:r>
            <w:r>
              <w:rPr>
                <w:rFonts w:hint="eastAsia" w:ascii="宋体" w:hAnsi="宋体" w:cs="宋体"/>
                <w:sz w:val="13"/>
                <w:szCs w:val="21"/>
                <w:highlight w:val="none"/>
                <w:bdr w:val="single" w:color="auto" w:sz="4" w:space="0"/>
              </w:rPr>
              <w:t>√</w:t>
            </w:r>
            <w:r>
              <w:rPr>
                <w:rFonts w:hint="eastAsia" w:ascii="宋体" w:hAnsi="宋体" w:cs="宋体"/>
                <w:szCs w:val="21"/>
                <w:highlight w:val="none"/>
              </w:rPr>
              <w:t>由中标人支付  □由采购人支付</w:t>
            </w:r>
          </w:p>
          <w:p>
            <w:pPr>
              <w:tabs>
                <w:tab w:val="left" w:pos="1260"/>
              </w:tabs>
              <w:snapToGrid w:val="0"/>
              <w:spacing w:line="300" w:lineRule="auto"/>
              <w:rPr>
                <w:rFonts w:hint="default" w:ascii="宋体" w:hAnsi="宋体" w:eastAsia="宋体" w:cs="宋体"/>
                <w:szCs w:val="21"/>
                <w:highlight w:val="none"/>
                <w:u w:val="single"/>
                <w:lang w:val="en-US" w:eastAsia="zh-CN"/>
              </w:rPr>
            </w:pPr>
            <w:r>
              <w:rPr>
                <w:rFonts w:hint="eastAsia" w:ascii="宋体" w:hAnsi="宋体" w:cs="宋体"/>
                <w:szCs w:val="21"/>
                <w:highlight w:val="none"/>
              </w:rPr>
              <w:t>2）支付标准：</w:t>
            </w:r>
            <w:r>
              <w:rPr>
                <w:rFonts w:hint="eastAsia" w:ascii="宋体" w:hAnsi="宋体" w:cs="宋体"/>
                <w:szCs w:val="21"/>
                <w:highlight w:val="none"/>
                <w:lang w:val="en-US" w:eastAsia="zh-CN"/>
              </w:rPr>
              <w:t>4000元</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3）支付时间：招标代理服务费由中标人在领取中标通知书的同时，向代理机构支付。</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4）支付方式：银行转账等非现金方式支付。</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5）银行账户信息</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户    名：湖北省招标股份有限公司</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开 户 行：招商银行水果湖支行</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行    号：308521015186</w:t>
            </w:r>
          </w:p>
          <w:p>
            <w:pPr>
              <w:snapToGrid w:val="0"/>
              <w:spacing w:line="300" w:lineRule="auto"/>
              <w:ind w:firstLine="420" w:firstLineChars="200"/>
              <w:rPr>
                <w:rFonts w:ascii="宋体" w:hAnsi="宋体" w:cs="宋体"/>
                <w:bCs/>
                <w:szCs w:val="21"/>
                <w:highlight w:val="none"/>
              </w:rPr>
            </w:pPr>
            <w:r>
              <w:rPr>
                <w:rFonts w:hint="eastAsia" w:ascii="宋体" w:hAnsi="宋体" w:cs="宋体"/>
                <w:bCs/>
                <w:szCs w:val="21"/>
                <w:highlight w:val="none"/>
              </w:rPr>
              <w:t>账    号：12790 54338 10603</w:t>
            </w:r>
          </w:p>
          <w:p>
            <w:pPr>
              <w:tabs>
                <w:tab w:val="left" w:pos="1260"/>
              </w:tabs>
              <w:snapToGrid w:val="0"/>
              <w:spacing w:line="300" w:lineRule="auto"/>
              <w:rPr>
                <w:rFonts w:ascii="宋体" w:hAnsi="宋体" w:cs="宋体"/>
                <w:szCs w:val="21"/>
                <w:highlight w:val="none"/>
              </w:rPr>
            </w:pPr>
            <w:r>
              <w:rPr>
                <w:rFonts w:hint="eastAsia" w:ascii="宋体" w:hAnsi="宋体" w:cs="宋体"/>
                <w:szCs w:val="21"/>
                <w:highlight w:val="none"/>
              </w:rPr>
              <w:t>6）其他事项：中标人交纳采购代理服务费时需携带以下开票资料：①开票单位名称；②纳税人识别号（或统一社会信用代码）；③营业执照或税务登记证地址；④单位联系电话；⑤开户行及账号。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1057"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10.2.1</w:t>
            </w:r>
          </w:p>
        </w:tc>
        <w:tc>
          <w:tcPr>
            <w:tcW w:w="2453" w:type="dxa"/>
            <w:vAlign w:val="center"/>
          </w:tcPr>
          <w:p>
            <w:pPr>
              <w:autoSpaceDE w:val="0"/>
              <w:autoSpaceDN w:val="0"/>
              <w:snapToGrid w:val="0"/>
              <w:spacing w:line="300" w:lineRule="auto"/>
              <w:jc w:val="center"/>
              <w:rPr>
                <w:rFonts w:ascii="宋体" w:hAnsi="宋体" w:cs="宋体"/>
                <w:szCs w:val="21"/>
                <w:highlight w:val="none"/>
              </w:rPr>
            </w:pPr>
            <w:r>
              <w:rPr>
                <w:rFonts w:hint="eastAsia" w:ascii="宋体" w:hAnsi="宋体" w:cs="宋体"/>
                <w:szCs w:val="21"/>
                <w:highlight w:val="none"/>
              </w:rPr>
              <w:t>招标代理服务费收讫时限</w:t>
            </w:r>
          </w:p>
        </w:tc>
        <w:tc>
          <w:tcPr>
            <w:tcW w:w="5716" w:type="dxa"/>
            <w:vAlign w:val="center"/>
          </w:tcPr>
          <w:p>
            <w:pPr>
              <w:tabs>
                <w:tab w:val="left" w:pos="1260"/>
              </w:tabs>
              <w:snapToGrid w:val="0"/>
              <w:spacing w:line="300" w:lineRule="auto"/>
              <w:rPr>
                <w:rFonts w:ascii="宋体" w:hAnsi="宋体" w:cs="宋体"/>
                <w:i/>
                <w:szCs w:val="21"/>
                <w:highlight w:val="none"/>
                <w:u w:val="single"/>
              </w:rPr>
            </w:pPr>
            <w:r>
              <w:rPr>
                <w:rFonts w:hint="eastAsia" w:ascii="宋体" w:hAnsi="宋体" w:cs="宋体"/>
                <w:szCs w:val="21"/>
                <w:highlight w:val="none"/>
              </w:rPr>
              <w:t>领取中标通知书当天</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226" w:type="dxa"/>
            <w:gridSpan w:val="3"/>
            <w:vAlign w:val="center"/>
          </w:tcPr>
          <w:p>
            <w:pPr>
              <w:autoSpaceDE w:val="0"/>
              <w:autoSpaceDN w:val="0"/>
              <w:snapToGrid w:val="0"/>
              <w:spacing w:line="300" w:lineRule="auto"/>
              <w:jc w:val="center"/>
              <w:rPr>
                <w:rFonts w:ascii="宋体" w:hAnsi="宋体" w:cs="宋体"/>
                <w:b/>
                <w:szCs w:val="21"/>
                <w:highlight w:val="none"/>
              </w:rPr>
            </w:pPr>
            <w:r>
              <w:rPr>
                <w:rFonts w:hint="eastAsia" w:ascii="宋体" w:hAnsi="宋体" w:cs="宋体"/>
                <w:b/>
                <w:szCs w:val="21"/>
                <w:highlight w:val="none"/>
              </w:rPr>
              <w:t>13.需要补充的其他内容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226" w:type="dxa"/>
            <w:gridSpan w:val="3"/>
            <w:vAlign w:val="center"/>
          </w:tcPr>
          <w:p>
            <w:pPr>
              <w:autoSpaceDE w:val="0"/>
              <w:autoSpaceDN w:val="0"/>
              <w:snapToGrid w:val="0"/>
              <w:spacing w:line="300" w:lineRule="auto"/>
              <w:ind w:firstLine="420" w:firstLineChars="200"/>
              <w:jc w:val="left"/>
              <w:rPr>
                <w:rFonts w:ascii="宋体" w:hAnsi="宋体" w:cs="宋体"/>
                <w:szCs w:val="21"/>
                <w:highlight w:val="none"/>
              </w:rPr>
            </w:pPr>
            <w:r>
              <w:rPr>
                <w:rFonts w:hint="eastAsia" w:ascii="宋体" w:hAnsi="宋体" w:cs="宋体"/>
                <w:szCs w:val="21"/>
                <w:highlight w:val="none"/>
              </w:rPr>
              <w:t>1）除本招标文件另有规定外，招标文件中出现的类似于“近三年”或“前三年”、“近五年”或“前五年”均指递交投标文件时间以前3年或前5年，以此类推。如：递交投标文件时间为2019年3月1日，则“近三年”是指2016年3月1日至2019年3月1日。</w:t>
            </w:r>
          </w:p>
          <w:p>
            <w:pPr>
              <w:autoSpaceDE w:val="0"/>
              <w:autoSpaceDN w:val="0"/>
              <w:snapToGrid w:val="0"/>
              <w:spacing w:line="300" w:lineRule="auto"/>
              <w:ind w:firstLine="420" w:firstLineChars="200"/>
              <w:jc w:val="left"/>
              <w:rPr>
                <w:rFonts w:ascii="宋体" w:hAnsi="宋体" w:cs="宋体"/>
                <w:szCs w:val="21"/>
                <w:highlight w:val="none"/>
              </w:rPr>
            </w:pPr>
            <w:r>
              <w:rPr>
                <w:rFonts w:hint="eastAsia" w:ascii="宋体" w:hAnsi="宋体" w:cs="宋体"/>
                <w:szCs w:val="21"/>
                <w:highlight w:val="none"/>
              </w:rPr>
              <w:t>2）本招标文件所称的“以上”、“以下”、“内”、“以内”，包括本数；所称的“不足”，不包括本数。</w:t>
            </w:r>
          </w:p>
          <w:p>
            <w:pPr>
              <w:autoSpaceDE w:val="0"/>
              <w:autoSpaceDN w:val="0"/>
              <w:snapToGrid w:val="0"/>
              <w:spacing w:line="300" w:lineRule="auto"/>
              <w:ind w:firstLine="420" w:firstLineChars="200"/>
              <w:jc w:val="left"/>
              <w:rPr>
                <w:rFonts w:ascii="宋体" w:hAnsi="宋体" w:cs="宋体"/>
                <w:b/>
                <w:szCs w:val="21"/>
                <w:highlight w:val="none"/>
              </w:rPr>
            </w:pPr>
            <w:r>
              <w:rPr>
                <w:rFonts w:hint="eastAsia" w:ascii="宋体" w:hAnsi="宋体" w:cs="宋体"/>
                <w:szCs w:val="21"/>
                <w:highlight w:val="none"/>
              </w:rPr>
              <w:t>3）投标人须知前附表中，“</w:t>
            </w:r>
            <w:r>
              <w:rPr>
                <w:rFonts w:hint="eastAsia" w:ascii="宋体" w:hAnsi="宋体" w:cs="宋体"/>
                <w:sz w:val="15"/>
                <w:szCs w:val="15"/>
                <w:highlight w:val="none"/>
                <w:bdr w:val="single" w:color="auto" w:sz="4" w:space="0"/>
              </w:rPr>
              <w:t>√</w:t>
            </w:r>
            <w:r>
              <w:rPr>
                <w:rFonts w:hint="eastAsia" w:ascii="宋体" w:hAnsi="宋体" w:cs="宋体"/>
                <w:szCs w:val="21"/>
                <w:highlight w:val="none"/>
              </w:rPr>
              <w:t>”代表选中，“□”代表未选中。</w:t>
            </w:r>
          </w:p>
        </w:tc>
      </w:tr>
    </w:tbl>
    <w:p>
      <w:pPr>
        <w:pStyle w:val="294"/>
        <w:jc w:val="center"/>
        <w:rPr>
          <w:rFonts w:ascii="宋体" w:hAnsi="Times New Roman" w:eastAsia="宋体" w:cs="Times New Roman"/>
          <w:highlight w:val="none"/>
        </w:rPr>
      </w:pPr>
      <w:r>
        <w:rPr>
          <w:rFonts w:hint="eastAsia" w:ascii="宋体" w:hAnsi="宋体" w:eastAsia="宋体" w:cs="宋体"/>
          <w:highlight w:val="none"/>
        </w:rPr>
        <w:br w:type="page"/>
      </w:r>
      <w:bookmarkStart w:id="24" w:name="_Toc430813237"/>
      <w:bookmarkStart w:id="25" w:name="_Toc432367320"/>
      <w:bookmarkStart w:id="26" w:name="_Toc152045529"/>
      <w:bookmarkStart w:id="27" w:name="_Toc144974497"/>
      <w:bookmarkStart w:id="28" w:name="_Toc247527553"/>
      <w:bookmarkStart w:id="29" w:name="_Toc300834949"/>
      <w:bookmarkStart w:id="30" w:name="_Toc247513952"/>
      <w:bookmarkStart w:id="31" w:name="_Toc152042305"/>
      <w:r>
        <w:rPr>
          <w:rFonts w:ascii="Arial" w:hAnsi="Arial" w:eastAsia="黑体" w:cs="Arial"/>
          <w:bCs/>
          <w:kern w:val="2"/>
          <w:sz w:val="32"/>
          <w:szCs w:val="32"/>
          <w:highlight w:val="none"/>
        </w:rPr>
        <w:t>投标人须知</w:t>
      </w:r>
      <w:bookmarkEnd w:id="24"/>
      <w:bookmarkEnd w:id="25"/>
    </w:p>
    <w:p>
      <w:pPr>
        <w:keepNext/>
        <w:keepLines/>
        <w:widowControl w:val="0"/>
        <w:numPr>
          <w:ilvl w:val="0"/>
          <w:numId w:val="4"/>
        </w:numPr>
        <w:snapToGrid w:val="0"/>
        <w:spacing w:before="0" w:beforeLines="0" w:after="0" w:afterLines="0" w:line="360" w:lineRule="auto"/>
        <w:ind w:left="930" w:hanging="720"/>
        <w:jc w:val="both"/>
        <w:outlineLvl w:val="1"/>
        <w:rPr>
          <w:rFonts w:ascii="Arial" w:hAnsi="Arial" w:eastAsia="黑体" w:cs="Times New Roman"/>
          <w:b/>
          <w:bCs/>
          <w:kern w:val="2"/>
          <w:sz w:val="28"/>
          <w:szCs w:val="28"/>
          <w:highlight w:val="none"/>
          <w:lang w:val="en-US" w:eastAsia="zh-CN" w:bidi="ar-SA"/>
        </w:rPr>
      </w:pPr>
      <w:bookmarkStart w:id="32" w:name="_Toc76047115"/>
      <w:bookmarkStart w:id="33" w:name="_Toc23094"/>
      <w:bookmarkStart w:id="34" w:name="_Toc29503"/>
      <w:bookmarkStart w:id="35" w:name="_Toc432367321"/>
      <w:bookmarkStart w:id="36" w:name="_Toc430813238"/>
      <w:r>
        <w:rPr>
          <w:rFonts w:ascii="Arial" w:hAnsi="Arial" w:eastAsia="黑体" w:cs="Times New Roman"/>
          <w:b/>
          <w:bCs/>
          <w:kern w:val="2"/>
          <w:sz w:val="28"/>
          <w:szCs w:val="28"/>
          <w:highlight w:val="none"/>
          <w:lang w:val="en-US" w:eastAsia="zh-CN" w:bidi="ar-SA"/>
        </w:rPr>
        <w:t>总则</w:t>
      </w:r>
      <w:bookmarkEnd w:id="26"/>
      <w:bookmarkEnd w:id="27"/>
      <w:bookmarkEnd w:id="28"/>
      <w:bookmarkEnd w:id="29"/>
      <w:bookmarkEnd w:id="30"/>
      <w:bookmarkEnd w:id="31"/>
      <w:bookmarkEnd w:id="32"/>
      <w:bookmarkEnd w:id="33"/>
      <w:bookmarkEnd w:id="34"/>
      <w:bookmarkEnd w:id="35"/>
      <w:bookmarkEnd w:id="36"/>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37" w:name="_Toc300834950"/>
      <w:bookmarkStart w:id="38" w:name="_Toc432367322"/>
      <w:bookmarkStart w:id="39" w:name="_Toc152045530"/>
      <w:bookmarkStart w:id="40" w:name="_Toc247513953"/>
      <w:bookmarkStart w:id="41" w:name="_Toc23232"/>
      <w:bookmarkStart w:id="42" w:name="_Toc152042306"/>
      <w:bookmarkStart w:id="43" w:name="_Toc247527554"/>
      <w:bookmarkStart w:id="44" w:name="_Toc76047116"/>
      <w:bookmarkStart w:id="45" w:name="_Toc430813239"/>
      <w:bookmarkStart w:id="46" w:name="_Toc10968"/>
      <w:bookmarkStart w:id="47" w:name="_Toc144974498"/>
      <w:r>
        <w:rPr>
          <w:rFonts w:hint="eastAsia" w:ascii="宋体" w:hAnsi="宋体" w:eastAsia="宋体" w:cs="Arial"/>
          <w:b/>
          <w:kern w:val="2"/>
          <w:sz w:val="24"/>
          <w:szCs w:val="24"/>
          <w:highlight w:val="none"/>
          <w:lang w:val="en-US" w:eastAsia="zh-CN" w:bidi="ar-SA"/>
        </w:rPr>
        <w:t xml:space="preserve">1.1 </w:t>
      </w:r>
      <w:r>
        <w:rPr>
          <w:rFonts w:ascii="宋体" w:hAnsi="宋体" w:eastAsia="宋体" w:cs="Arial"/>
          <w:b/>
          <w:kern w:val="2"/>
          <w:sz w:val="24"/>
          <w:szCs w:val="24"/>
          <w:highlight w:val="none"/>
          <w:lang w:val="en-US" w:eastAsia="zh-CN" w:bidi="ar-SA"/>
        </w:rPr>
        <w:t>项目概况</w:t>
      </w:r>
      <w:bookmarkEnd w:id="37"/>
      <w:bookmarkEnd w:id="38"/>
      <w:bookmarkEnd w:id="39"/>
      <w:bookmarkEnd w:id="40"/>
      <w:bookmarkEnd w:id="41"/>
      <w:bookmarkEnd w:id="42"/>
      <w:bookmarkEnd w:id="43"/>
      <w:bookmarkEnd w:id="44"/>
      <w:bookmarkEnd w:id="45"/>
      <w:bookmarkEnd w:id="46"/>
      <w:bookmarkEnd w:id="47"/>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1.1.1</w:t>
      </w:r>
      <w:r>
        <w:rPr>
          <w:rFonts w:hint="eastAsia" w:ascii="Arial" w:hAnsi="Arial" w:cs="Arial"/>
          <w:szCs w:val="21"/>
          <w:highlight w:val="none"/>
          <w:lang w:val="en-US" w:eastAsia="zh-CN"/>
        </w:rPr>
        <w:t>参照</w:t>
      </w:r>
      <w:r>
        <w:rPr>
          <w:rFonts w:ascii="Arial" w:hAnsi="Arial" w:eastAsia="宋体" w:cs="Arial"/>
          <w:szCs w:val="21"/>
          <w:highlight w:val="none"/>
        </w:rPr>
        <w:t>《中华人民共和国</w:t>
      </w:r>
      <w:r>
        <w:rPr>
          <w:rFonts w:hint="eastAsia" w:ascii="Arial" w:hAnsi="Arial" w:eastAsia="宋体" w:cs="Arial"/>
          <w:szCs w:val="21"/>
          <w:highlight w:val="none"/>
        </w:rPr>
        <w:t>政府采购</w:t>
      </w:r>
      <w:r>
        <w:rPr>
          <w:rFonts w:ascii="Arial" w:hAnsi="Arial" w:eastAsia="宋体" w:cs="Arial"/>
          <w:szCs w:val="21"/>
          <w:highlight w:val="none"/>
        </w:rPr>
        <w:t>法》</w:t>
      </w:r>
      <w:r>
        <w:rPr>
          <w:rFonts w:hint="eastAsia" w:ascii="Arial" w:hAnsi="Arial" w:eastAsia="宋体" w:cs="Arial"/>
          <w:szCs w:val="21"/>
          <w:highlight w:val="none"/>
        </w:rPr>
        <w:t>、《中华人民共和国政府采购法实施条例》、《政府采购货物和服务招标投标管理办法》</w:t>
      </w:r>
      <w:r>
        <w:rPr>
          <w:rFonts w:ascii="Arial" w:hAnsi="Arial" w:eastAsia="宋体" w:cs="Arial"/>
          <w:szCs w:val="21"/>
          <w:highlight w:val="none"/>
        </w:rPr>
        <w:t>等有关法律、法规和规章的规定，</w:t>
      </w:r>
      <w:r>
        <w:rPr>
          <w:rFonts w:hint="eastAsia" w:ascii="Arial" w:hAnsi="Arial" w:eastAsia="宋体" w:cs="Arial"/>
          <w:szCs w:val="21"/>
          <w:highlight w:val="none"/>
        </w:rPr>
        <w:t>制定本招标文件</w:t>
      </w:r>
      <w:r>
        <w:rPr>
          <w:rFonts w:ascii="Arial" w:hAnsi="Arial" w:eastAsia="宋体" w:cs="Arial"/>
          <w:szCs w:val="21"/>
          <w:highlight w:val="none"/>
        </w:rPr>
        <w:t>。</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1.1.2采购人：见投标人须知前附表。</w:t>
      </w:r>
    </w:p>
    <w:p>
      <w:pPr>
        <w:snapToGrid w:val="0"/>
        <w:spacing w:line="360" w:lineRule="auto"/>
        <w:ind w:firstLine="420" w:firstLineChars="200"/>
        <w:rPr>
          <w:rFonts w:hint="eastAsia" w:ascii="Arial" w:hAnsi="Arial" w:eastAsia="宋体" w:cs="Arial"/>
          <w:szCs w:val="21"/>
          <w:highlight w:val="none"/>
        </w:rPr>
      </w:pPr>
      <w:r>
        <w:rPr>
          <w:rFonts w:ascii="Arial" w:hAnsi="Arial" w:eastAsia="宋体" w:cs="Arial"/>
          <w:szCs w:val="21"/>
          <w:highlight w:val="none"/>
        </w:rPr>
        <w:t>1.1.3采购代理机构：见投标人须知前附表。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4</w:t>
      </w:r>
      <w:r>
        <w:rPr>
          <w:rFonts w:ascii="Arial" w:hAnsi="Arial" w:eastAsia="宋体" w:cs="Arial"/>
          <w:szCs w:val="21"/>
          <w:highlight w:val="none"/>
        </w:rPr>
        <w:t>项目名称：见投标人须知前附表。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5</w:t>
      </w:r>
      <w:r>
        <w:rPr>
          <w:rFonts w:ascii="Arial" w:hAnsi="Arial" w:eastAsia="宋体" w:cs="Arial"/>
          <w:szCs w:val="21"/>
          <w:highlight w:val="none"/>
        </w:rPr>
        <w:t>项目地点：见投标人须知前附表。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1.1.</w:t>
      </w:r>
      <w:r>
        <w:rPr>
          <w:rFonts w:hint="eastAsia" w:ascii="Arial" w:hAnsi="Arial" w:cs="Arial"/>
          <w:szCs w:val="21"/>
          <w:highlight w:val="none"/>
          <w:lang w:val="en-US" w:eastAsia="zh-CN"/>
        </w:rPr>
        <w:t>6</w:t>
      </w:r>
      <w:r>
        <w:rPr>
          <w:rFonts w:ascii="Arial" w:hAnsi="Arial" w:eastAsia="宋体" w:cs="Arial"/>
          <w:szCs w:val="21"/>
          <w:highlight w:val="none"/>
        </w:rPr>
        <w:t>项目内容：见投标人须知前附表。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48" w:name="_Toc19734"/>
      <w:bookmarkStart w:id="49" w:name="_Toc432367323"/>
      <w:bookmarkStart w:id="50" w:name="_Toc5983"/>
      <w:bookmarkStart w:id="51" w:name="_Toc247513954"/>
      <w:bookmarkStart w:id="52" w:name="_Toc76047117"/>
      <w:bookmarkStart w:id="53" w:name="_Toc152045531"/>
      <w:bookmarkStart w:id="54" w:name="_Toc152042307"/>
      <w:bookmarkStart w:id="55" w:name="_Toc300834951"/>
      <w:bookmarkStart w:id="56" w:name="_Toc430813240"/>
      <w:bookmarkStart w:id="57" w:name="_Toc144974499"/>
      <w:bookmarkStart w:id="58" w:name="_Toc247527555"/>
      <w:r>
        <w:rPr>
          <w:rFonts w:ascii="宋体" w:hAnsi="宋体" w:eastAsia="宋体" w:cs="Arial"/>
          <w:b/>
          <w:kern w:val="2"/>
          <w:sz w:val="24"/>
          <w:szCs w:val="24"/>
          <w:highlight w:val="none"/>
          <w:lang w:val="en-US" w:eastAsia="zh-CN" w:bidi="ar-SA"/>
        </w:rPr>
        <w:t>1.2</w:t>
      </w:r>
      <w:r>
        <w:rPr>
          <w:rFonts w:hint="eastAsia" w:ascii="宋体" w:hAnsi="宋体" w:eastAsia="宋体" w:cs="Arial"/>
          <w:b/>
          <w:kern w:val="2"/>
          <w:sz w:val="24"/>
          <w:szCs w:val="24"/>
          <w:highlight w:val="none"/>
          <w:lang w:val="en-US" w:eastAsia="zh-CN" w:bidi="ar-SA"/>
        </w:rPr>
        <w:t xml:space="preserve"> </w:t>
      </w:r>
      <w:r>
        <w:rPr>
          <w:rFonts w:ascii="宋体" w:hAnsi="宋体" w:eastAsia="宋体" w:cs="Arial"/>
          <w:b/>
          <w:kern w:val="2"/>
          <w:sz w:val="24"/>
          <w:szCs w:val="24"/>
          <w:highlight w:val="none"/>
          <w:lang w:val="en-US" w:eastAsia="zh-CN" w:bidi="ar-SA"/>
        </w:rPr>
        <w:t>资金来源和落实情况</w:t>
      </w:r>
      <w:bookmarkEnd w:id="48"/>
      <w:bookmarkEnd w:id="49"/>
      <w:bookmarkEnd w:id="50"/>
      <w:bookmarkEnd w:id="51"/>
      <w:bookmarkEnd w:id="52"/>
      <w:bookmarkEnd w:id="53"/>
      <w:bookmarkEnd w:id="54"/>
      <w:bookmarkEnd w:id="55"/>
      <w:bookmarkEnd w:id="56"/>
      <w:bookmarkEnd w:id="57"/>
      <w:bookmarkEnd w:id="58"/>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1.2.1资金来源：见投标人须知前附表。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1.2.2资金落实情况：见投标人须知前附表。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59" w:name="_Toc247527556"/>
      <w:bookmarkStart w:id="60" w:name="_Toc152042308"/>
      <w:bookmarkStart w:id="61" w:name="_Toc432367324"/>
      <w:bookmarkStart w:id="62" w:name="_Toc430813241"/>
      <w:bookmarkStart w:id="63" w:name="_Toc152045532"/>
      <w:bookmarkStart w:id="64" w:name="_Toc300834952"/>
      <w:bookmarkStart w:id="65" w:name="_Toc247513955"/>
      <w:bookmarkStart w:id="66" w:name="_Toc144974500"/>
      <w:bookmarkStart w:id="67" w:name="_Toc23204"/>
      <w:bookmarkStart w:id="68" w:name="_Toc76047118"/>
      <w:bookmarkStart w:id="69" w:name="_Toc26505"/>
      <w:r>
        <w:rPr>
          <w:rFonts w:ascii="宋体" w:hAnsi="宋体" w:eastAsia="宋体" w:cs="Arial"/>
          <w:b/>
          <w:kern w:val="2"/>
          <w:sz w:val="24"/>
          <w:szCs w:val="24"/>
          <w:highlight w:val="none"/>
          <w:lang w:val="en-US" w:eastAsia="zh-CN" w:bidi="ar-SA"/>
        </w:rPr>
        <w:t xml:space="preserve">1.3 </w:t>
      </w:r>
      <w:r>
        <w:rPr>
          <w:rFonts w:hint="eastAsia" w:ascii="宋体" w:hAnsi="宋体" w:eastAsia="宋体" w:cs="Arial"/>
          <w:b/>
          <w:kern w:val="2"/>
          <w:sz w:val="24"/>
          <w:szCs w:val="24"/>
          <w:highlight w:val="none"/>
          <w:lang w:val="en-US" w:eastAsia="zh-CN" w:bidi="ar-SA"/>
        </w:rPr>
        <w:t>服务</w:t>
      </w:r>
      <w:bookmarkEnd w:id="59"/>
      <w:bookmarkEnd w:id="60"/>
      <w:bookmarkEnd w:id="61"/>
      <w:bookmarkEnd w:id="62"/>
      <w:bookmarkEnd w:id="63"/>
      <w:bookmarkEnd w:id="64"/>
      <w:bookmarkEnd w:id="65"/>
      <w:bookmarkEnd w:id="66"/>
      <w:r>
        <w:rPr>
          <w:rFonts w:hint="eastAsia" w:ascii="宋体" w:hAnsi="宋体" w:eastAsia="宋体" w:cs="Arial"/>
          <w:b/>
          <w:kern w:val="2"/>
          <w:sz w:val="24"/>
          <w:szCs w:val="24"/>
          <w:highlight w:val="none"/>
          <w:lang w:val="en-US" w:eastAsia="zh-CN" w:bidi="ar-SA"/>
        </w:rPr>
        <w:t>期限及付款方式</w:t>
      </w:r>
      <w:bookmarkEnd w:id="67"/>
      <w:bookmarkEnd w:id="68"/>
      <w:bookmarkEnd w:id="69"/>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1.3.1</w:t>
      </w:r>
      <w:r>
        <w:rPr>
          <w:rFonts w:hint="eastAsia" w:ascii="Arial" w:hAnsi="Arial" w:eastAsia="宋体" w:cs="Arial"/>
          <w:szCs w:val="21"/>
          <w:highlight w:val="none"/>
        </w:rPr>
        <w:t>服务期限</w:t>
      </w:r>
      <w:r>
        <w:rPr>
          <w:rFonts w:ascii="Arial" w:hAnsi="Arial" w:eastAsia="宋体" w:cs="Arial"/>
          <w:szCs w:val="21"/>
          <w:highlight w:val="none"/>
        </w:rPr>
        <w:t>：见投标人须知前附表。</w:t>
      </w:r>
    </w:p>
    <w:p>
      <w:pPr>
        <w:snapToGrid w:val="0"/>
        <w:spacing w:line="360" w:lineRule="auto"/>
        <w:ind w:firstLine="420" w:firstLineChars="200"/>
        <w:rPr>
          <w:rFonts w:ascii="Arial" w:hAnsi="Arial" w:eastAsia="宋体" w:cs="Arial"/>
          <w:szCs w:val="21"/>
          <w:highlight w:val="none"/>
        </w:rPr>
      </w:pPr>
      <w:r>
        <w:rPr>
          <w:rFonts w:ascii="Arial" w:hAnsi="Arial" w:eastAsia="宋体" w:cs="Arial"/>
          <w:szCs w:val="21"/>
          <w:highlight w:val="none"/>
        </w:rPr>
        <w:t>1.3.2</w:t>
      </w:r>
      <w:r>
        <w:rPr>
          <w:rFonts w:hint="eastAsia" w:ascii="Arial" w:hAnsi="Arial" w:eastAsia="宋体" w:cs="Arial"/>
          <w:szCs w:val="21"/>
          <w:highlight w:val="none"/>
        </w:rPr>
        <w:t>付款方式：</w:t>
      </w:r>
      <w:r>
        <w:rPr>
          <w:rFonts w:ascii="Arial" w:hAnsi="Arial" w:eastAsia="宋体" w:cs="Arial"/>
          <w:szCs w:val="21"/>
          <w:highlight w:val="none"/>
        </w:rPr>
        <w:t>见投标人须知前附表。</w:t>
      </w:r>
    </w:p>
    <w:p>
      <w:pPr>
        <w:keepNext/>
        <w:keepLines/>
        <w:widowControl w:val="0"/>
        <w:snapToGrid w:val="0"/>
        <w:spacing w:before="0" w:beforeLines="0" w:after="0" w:afterLines="0" w:line="360" w:lineRule="auto"/>
        <w:jc w:val="left"/>
        <w:outlineLvl w:val="2"/>
        <w:rPr>
          <w:rFonts w:ascii="宋体" w:hAnsi="宋体" w:eastAsia="宋体" w:cs="Arial"/>
          <w:b/>
          <w:kern w:val="2"/>
          <w:sz w:val="24"/>
          <w:szCs w:val="24"/>
          <w:highlight w:val="none"/>
          <w:lang w:val="en-US" w:eastAsia="zh-CN" w:bidi="ar-SA"/>
        </w:rPr>
      </w:pPr>
      <w:bookmarkStart w:id="70" w:name="_Toc76047119"/>
      <w:bookmarkStart w:id="71" w:name="_Toc247513957"/>
      <w:bookmarkStart w:id="72" w:name="_Toc432367325"/>
      <w:bookmarkStart w:id="73" w:name="_Toc300834954"/>
      <w:bookmarkStart w:id="74" w:name="_Toc247527558"/>
      <w:bookmarkStart w:id="75" w:name="_Toc430813242"/>
      <w:bookmarkStart w:id="76" w:name="_Toc763"/>
      <w:bookmarkStart w:id="77" w:name="_Toc144974502"/>
      <w:bookmarkStart w:id="78" w:name="_Toc152045534"/>
      <w:bookmarkStart w:id="79" w:name="_Toc152042310"/>
      <w:bookmarkStart w:id="80" w:name="_Toc1724"/>
      <w:r>
        <w:rPr>
          <w:rFonts w:ascii="宋体" w:hAnsi="宋体" w:eastAsia="宋体" w:cs="Arial"/>
          <w:b/>
          <w:kern w:val="2"/>
          <w:sz w:val="24"/>
          <w:szCs w:val="24"/>
          <w:highlight w:val="none"/>
          <w:lang w:val="en-US" w:eastAsia="zh-CN" w:bidi="ar-SA"/>
        </w:rPr>
        <w:t xml:space="preserve">1.4 </w:t>
      </w:r>
      <w:r>
        <w:rPr>
          <w:rFonts w:hint="eastAsia" w:ascii="宋体" w:hAnsi="宋体" w:eastAsia="宋体" w:cs="Arial"/>
          <w:b/>
          <w:kern w:val="2"/>
          <w:sz w:val="24"/>
          <w:szCs w:val="24"/>
          <w:highlight w:val="none"/>
          <w:lang w:val="en-US" w:eastAsia="zh-CN" w:bidi="ar-SA"/>
        </w:rPr>
        <w:t>投标人</w:t>
      </w:r>
      <w:r>
        <w:rPr>
          <w:rFonts w:ascii="宋体" w:hAnsi="宋体" w:eastAsia="宋体" w:cs="Arial"/>
          <w:b/>
          <w:kern w:val="2"/>
          <w:sz w:val="24"/>
          <w:szCs w:val="24"/>
          <w:highlight w:val="none"/>
          <w:lang w:val="en-US" w:eastAsia="zh-CN" w:bidi="ar-SA"/>
        </w:rPr>
        <w:t>资格要求</w:t>
      </w:r>
      <w:bookmarkEnd w:id="70"/>
      <w:bookmarkEnd w:id="71"/>
      <w:bookmarkEnd w:id="72"/>
      <w:bookmarkEnd w:id="73"/>
      <w:bookmarkEnd w:id="74"/>
      <w:bookmarkEnd w:id="75"/>
      <w:bookmarkEnd w:id="76"/>
      <w:bookmarkEnd w:id="77"/>
      <w:bookmarkEnd w:id="78"/>
      <w:bookmarkEnd w:id="79"/>
      <w:bookmarkEnd w:id="80"/>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 xml:space="preserve">1.4.1 </w:t>
      </w:r>
      <w:r>
        <w:rPr>
          <w:rFonts w:hint="eastAsia" w:ascii="Arial" w:hAnsi="Arial" w:eastAsia="宋体" w:cs="Arial"/>
          <w:highlight w:val="none"/>
        </w:rPr>
        <w:t>投标人</w:t>
      </w:r>
      <w:r>
        <w:rPr>
          <w:rFonts w:ascii="Arial" w:hAnsi="Arial" w:eastAsia="宋体" w:cs="Arial"/>
          <w:highlight w:val="none"/>
        </w:rPr>
        <w:t>应具备承担本招标项目资质条件、能力和信誉。</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（1）资质要求：见投标人须知前附表；</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w:t>
      </w:r>
      <w:r>
        <w:rPr>
          <w:rFonts w:hint="eastAsia" w:ascii="Arial" w:hAnsi="Arial" w:eastAsia="宋体" w:cs="Arial"/>
          <w:highlight w:val="none"/>
        </w:rPr>
        <w:t>2</w:t>
      </w:r>
      <w:r>
        <w:rPr>
          <w:rFonts w:ascii="Arial" w:hAnsi="Arial" w:eastAsia="宋体" w:cs="Arial"/>
          <w:highlight w:val="none"/>
        </w:rPr>
        <w:t>）其他要求：见投标人须知前附表。</w:t>
      </w:r>
    </w:p>
    <w:p>
      <w:pPr>
        <w:snapToGrid w:val="0"/>
        <w:spacing w:line="360" w:lineRule="auto"/>
        <w:ind w:firstLine="420" w:firstLineChars="200"/>
        <w:rPr>
          <w:rFonts w:ascii="Arial" w:hAnsi="Arial" w:eastAsia="宋体" w:cs="Arial"/>
          <w:highlight w:val="none"/>
        </w:rPr>
      </w:pPr>
      <w:r>
        <w:rPr>
          <w:rFonts w:ascii="Arial" w:hAnsi="Arial" w:eastAsia="宋体" w:cs="Arial"/>
          <w:highlight w:val="none"/>
        </w:rPr>
        <w:t xml:space="preserve">1.4.2 投标人须知前附表规定接受联合体投标的，除应符合本章第1.4.1项和投标人须知前附表的要求外，还应遵守以下规定： </w:t>
      </w:r>
    </w:p>
    <w:p>
      <w:pPr>
        <w:snapToGrid w:val="0"/>
        <w:spacing w:line="360" w:lineRule="auto"/>
        <w:ind w:firstLine="315" w:firstLineChars="150"/>
        <w:rPr>
          <w:rFonts w:ascii="Arial" w:hAnsi="Arial" w:eastAsia="宋体" w:cs="Arial"/>
          <w:highlight w:val="none"/>
        </w:rPr>
      </w:pPr>
      <w:r>
        <w:rPr>
          <w:rFonts w:ascii="Arial" w:hAnsi="Arial" w:eastAsia="宋体" w:cs="Arial"/>
          <w:highlight w:val="none"/>
        </w:rPr>
        <w:t>（1）联合体各方应按招标文件提供的格式签订联合体协议书，明确联合体牵头人和各方权利义务；</w:t>
      </w:r>
    </w:p>
    <w:p>
      <w:pPr>
        <w:snapToGrid w:val="0"/>
        <w:spacing w:line="360" w:lineRule="auto"/>
        <w:ind w:firstLine="315" w:firstLineChars="150"/>
        <w:rPr>
          <w:rFonts w:ascii="Arial" w:hAnsi="Arial" w:eastAsia="宋体" w:cs="Arial"/>
          <w:highlight w:val="none"/>
        </w:rPr>
      </w:pPr>
      <w:r>
        <w:rPr>
          <w:rFonts w:ascii="Arial" w:hAnsi="Arial" w:eastAsia="宋体" w:cs="Arial"/>
          <w:highlight w:val="none"/>
        </w:rPr>
        <w:t>（2）由同一专业的单位组成的联合体，按照资质等级较低的单位确定资质等级；</w:t>
      </w:r>
    </w:p>
    <w:p>
      <w:pPr>
        <w:snapToGrid w:val="0"/>
        <w:spacing w:line="360" w:lineRule="auto"/>
        <w:ind w:firstLine="315" w:firstLineChars="150"/>
        <w:rPr>
          <w:rFonts w:hint="eastAsia" w:ascii="Arial" w:hAnsi="Arial" w:eastAsia="宋体" w:cs="Arial"/>
          <w:highlight w:val="none"/>
        </w:rPr>
      </w:pPr>
      <w:r>
        <w:rPr>
          <w:rFonts w:ascii="Arial" w:hAnsi="Arial" w:eastAsia="宋体" w:cs="Arial"/>
          <w:highlight w:val="none"/>
        </w:rPr>
        <w:t>（3）联合体各方不得再以自己名义单独或参加其他联合体在本招标项目中投标</w:t>
      </w:r>
      <w:r>
        <w:rPr>
          <w:rFonts w:hint="eastAsia" w:ascii="Arial" w:hAnsi="Arial" w:eastAsia="宋体" w:cs="Arial"/>
          <w:highlight w:val="none"/>
        </w:rPr>
        <w:t>；</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81" w:name="_Toc18239"/>
      <w:bookmarkStart w:id="82" w:name="_Toc27836"/>
      <w:bookmarkStart w:id="83" w:name="_Toc432367326"/>
      <w:r>
        <w:rPr>
          <w:rFonts w:hint="eastAsia" w:ascii="宋体" w:hAnsi="宋体" w:eastAsia="宋体" w:cs="宋体"/>
          <w:b/>
          <w:kern w:val="2"/>
          <w:sz w:val="24"/>
          <w:szCs w:val="24"/>
          <w:highlight w:val="none"/>
          <w:lang w:val="en-US" w:eastAsia="zh-CN" w:bidi="ar-SA"/>
        </w:rPr>
        <w:t>1.5</w:t>
      </w:r>
      <w:bookmarkStart w:id="84" w:name="_Toc247527559"/>
      <w:bookmarkStart w:id="85" w:name="_Toc152042311"/>
      <w:bookmarkStart w:id="86" w:name="_Toc247513958"/>
      <w:bookmarkStart w:id="87" w:name="_Toc430813243"/>
      <w:bookmarkStart w:id="88" w:name="_Toc152045535"/>
      <w:bookmarkStart w:id="89" w:name="_Toc144974503"/>
      <w:bookmarkStart w:id="90" w:name="_Toc300834955"/>
      <w:r>
        <w:rPr>
          <w:rFonts w:hint="eastAsia" w:ascii="宋体" w:hAnsi="宋体" w:eastAsia="宋体" w:cs="宋体"/>
          <w:b/>
          <w:kern w:val="2"/>
          <w:sz w:val="24"/>
          <w:szCs w:val="24"/>
          <w:highlight w:val="none"/>
          <w:lang w:val="en-US" w:eastAsia="zh-CN" w:bidi="ar-SA"/>
        </w:rPr>
        <w:t xml:space="preserve"> 费用承担</w:t>
      </w:r>
      <w:bookmarkEnd w:id="81"/>
      <w:bookmarkEnd w:id="82"/>
      <w:bookmarkEnd w:id="8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84"/>
      <w:bookmarkEnd w:id="85"/>
      <w:bookmarkEnd w:id="86"/>
      <w:bookmarkEnd w:id="87"/>
      <w:bookmarkEnd w:id="88"/>
      <w:bookmarkEnd w:id="89"/>
      <w:bookmarkEnd w:id="90"/>
      <w:r>
        <w:rPr>
          <w:rFonts w:hint="eastAsia" w:ascii="宋体" w:hAnsi="宋体" w:eastAsia="宋体" w:cs="宋体"/>
          <w:highlight w:val="none"/>
        </w:rPr>
        <w:t>5.1投标人应承担所有与准备和参加投标有关的费用。不论投标的结果如何，采购代理机构和采购人均无义务和责任承担这些费用。</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91" w:name="_Toc979"/>
      <w:bookmarkStart w:id="92" w:name="_Toc14830"/>
      <w:bookmarkStart w:id="93" w:name="_Toc432367327"/>
      <w:r>
        <w:rPr>
          <w:rFonts w:hint="eastAsia" w:ascii="宋体" w:hAnsi="宋体" w:eastAsia="宋体" w:cs="宋体"/>
          <w:b/>
          <w:kern w:val="2"/>
          <w:sz w:val="24"/>
          <w:szCs w:val="24"/>
          <w:highlight w:val="none"/>
          <w:lang w:val="en-US" w:eastAsia="zh-CN" w:bidi="ar-SA"/>
        </w:rPr>
        <w:t>1.6</w:t>
      </w:r>
      <w:bookmarkStart w:id="94" w:name="_Toc152042312"/>
      <w:bookmarkStart w:id="95" w:name="_Toc300834956"/>
      <w:bookmarkStart w:id="96" w:name="_Toc247513959"/>
      <w:bookmarkStart w:id="97" w:name="_Toc247527560"/>
      <w:bookmarkStart w:id="98" w:name="_Toc430813244"/>
      <w:bookmarkStart w:id="99" w:name="_Toc152045536"/>
      <w:bookmarkStart w:id="100" w:name="_Toc144974504"/>
      <w:r>
        <w:rPr>
          <w:rFonts w:hint="eastAsia" w:ascii="宋体" w:hAnsi="宋体" w:eastAsia="宋体" w:cs="宋体"/>
          <w:b/>
          <w:kern w:val="2"/>
          <w:sz w:val="24"/>
          <w:szCs w:val="24"/>
          <w:highlight w:val="none"/>
          <w:lang w:val="en-US" w:eastAsia="zh-CN" w:bidi="ar-SA"/>
        </w:rPr>
        <w:t xml:space="preserve"> 保密</w:t>
      </w:r>
      <w:bookmarkEnd w:id="91"/>
      <w:bookmarkEnd w:id="92"/>
      <w:bookmarkEnd w:id="9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94"/>
      <w:bookmarkEnd w:id="95"/>
      <w:bookmarkEnd w:id="96"/>
      <w:bookmarkEnd w:id="97"/>
      <w:bookmarkEnd w:id="98"/>
      <w:bookmarkEnd w:id="99"/>
      <w:bookmarkEnd w:id="100"/>
      <w:r>
        <w:rPr>
          <w:rFonts w:hint="eastAsia" w:ascii="宋体" w:hAnsi="宋体" w:eastAsia="宋体" w:cs="宋体"/>
          <w:highlight w:val="none"/>
        </w:rPr>
        <w:t>6.1参与招标投标活动的各方应对招标文件和投标文件中的商业和技术等秘密保密，否则应承担相应的法律责任。</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01" w:name="_Toc2669"/>
      <w:bookmarkStart w:id="102" w:name="_Toc20780"/>
      <w:bookmarkStart w:id="103" w:name="_Toc432367328"/>
      <w:r>
        <w:rPr>
          <w:rFonts w:hint="eastAsia" w:ascii="宋体" w:hAnsi="宋体" w:eastAsia="宋体" w:cs="宋体"/>
          <w:b/>
          <w:kern w:val="2"/>
          <w:sz w:val="24"/>
          <w:szCs w:val="24"/>
          <w:highlight w:val="none"/>
          <w:lang w:val="en-US" w:eastAsia="zh-CN" w:bidi="ar-SA"/>
        </w:rPr>
        <w:t>1.7</w:t>
      </w:r>
      <w:bookmarkStart w:id="104" w:name="_Toc144974505"/>
      <w:bookmarkStart w:id="105" w:name="_Toc247527561"/>
      <w:bookmarkStart w:id="106" w:name="_Toc152045537"/>
      <w:bookmarkStart w:id="107" w:name="_Toc152042313"/>
      <w:bookmarkStart w:id="108" w:name="_Toc300834957"/>
      <w:bookmarkStart w:id="109" w:name="_Toc430813245"/>
      <w:bookmarkStart w:id="110" w:name="_Toc247513960"/>
      <w:r>
        <w:rPr>
          <w:rFonts w:hint="eastAsia" w:ascii="宋体" w:hAnsi="宋体" w:eastAsia="宋体" w:cs="宋体"/>
          <w:b/>
          <w:kern w:val="2"/>
          <w:sz w:val="24"/>
          <w:szCs w:val="24"/>
          <w:highlight w:val="none"/>
          <w:lang w:val="en-US" w:eastAsia="zh-CN" w:bidi="ar-SA"/>
        </w:rPr>
        <w:t xml:space="preserve"> 语言文字</w:t>
      </w:r>
      <w:bookmarkEnd w:id="101"/>
      <w:bookmarkEnd w:id="102"/>
      <w:bookmarkEnd w:id="103"/>
    </w:p>
    <w:bookmarkEnd w:id="104"/>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05"/>
      <w:bookmarkEnd w:id="106"/>
      <w:bookmarkEnd w:id="107"/>
      <w:bookmarkEnd w:id="108"/>
      <w:bookmarkEnd w:id="109"/>
      <w:bookmarkEnd w:id="110"/>
      <w:r>
        <w:rPr>
          <w:rFonts w:hint="eastAsia" w:ascii="宋体" w:hAnsi="宋体" w:eastAsia="宋体" w:cs="宋体"/>
          <w:highlight w:val="none"/>
        </w:rPr>
        <w:t>7.1招标投标文件使用的语言文字为中文。专用术语使用外文的，应附有中文注释。</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11" w:name="_Toc14305"/>
      <w:bookmarkStart w:id="112" w:name="_Toc432367329"/>
      <w:bookmarkStart w:id="113" w:name="_Toc23950"/>
      <w:r>
        <w:rPr>
          <w:rFonts w:hint="eastAsia" w:ascii="宋体" w:hAnsi="宋体" w:eastAsia="宋体" w:cs="宋体"/>
          <w:b/>
          <w:kern w:val="2"/>
          <w:sz w:val="24"/>
          <w:szCs w:val="24"/>
          <w:highlight w:val="none"/>
          <w:lang w:val="en-US" w:eastAsia="zh-CN" w:bidi="ar-SA"/>
        </w:rPr>
        <w:t>1.8</w:t>
      </w:r>
      <w:bookmarkStart w:id="114" w:name="_Toc152042314"/>
      <w:bookmarkStart w:id="115" w:name="_Toc144974506"/>
      <w:bookmarkStart w:id="116" w:name="_Toc247513961"/>
      <w:bookmarkStart w:id="117" w:name="_Toc430813246"/>
      <w:bookmarkStart w:id="118" w:name="_Toc247527562"/>
      <w:bookmarkStart w:id="119" w:name="_Toc300834958"/>
      <w:bookmarkStart w:id="120" w:name="_Toc152045538"/>
      <w:r>
        <w:rPr>
          <w:rFonts w:hint="eastAsia" w:ascii="宋体" w:hAnsi="宋体" w:eastAsia="宋体" w:cs="宋体"/>
          <w:b/>
          <w:kern w:val="2"/>
          <w:sz w:val="24"/>
          <w:szCs w:val="24"/>
          <w:highlight w:val="none"/>
          <w:lang w:val="en-US" w:eastAsia="zh-CN" w:bidi="ar-SA"/>
        </w:rPr>
        <w:t xml:space="preserve"> 计量单位</w:t>
      </w:r>
      <w:bookmarkEnd w:id="111"/>
      <w:bookmarkEnd w:id="112"/>
      <w:bookmarkEnd w:id="11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14"/>
      <w:bookmarkEnd w:id="115"/>
      <w:bookmarkEnd w:id="116"/>
      <w:bookmarkEnd w:id="117"/>
      <w:bookmarkEnd w:id="118"/>
      <w:bookmarkEnd w:id="119"/>
      <w:bookmarkEnd w:id="120"/>
      <w:r>
        <w:rPr>
          <w:rFonts w:hint="eastAsia" w:ascii="宋体" w:hAnsi="宋体" w:eastAsia="宋体" w:cs="宋体"/>
          <w:highlight w:val="none"/>
        </w:rPr>
        <w:t>8.1所有计量均采用中华人民共和国法定计量单位。</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21" w:name="_Toc7058"/>
      <w:bookmarkStart w:id="122" w:name="_Toc432367330"/>
      <w:bookmarkStart w:id="123" w:name="_Toc17317"/>
      <w:r>
        <w:rPr>
          <w:rFonts w:hint="eastAsia" w:ascii="宋体" w:hAnsi="宋体" w:eastAsia="宋体" w:cs="宋体"/>
          <w:b/>
          <w:kern w:val="2"/>
          <w:sz w:val="24"/>
          <w:szCs w:val="24"/>
          <w:highlight w:val="none"/>
          <w:lang w:val="en-US" w:eastAsia="zh-CN" w:bidi="ar-SA"/>
        </w:rPr>
        <w:t>1.9</w:t>
      </w:r>
      <w:bookmarkStart w:id="124" w:name="_Toc152045539"/>
      <w:bookmarkStart w:id="125" w:name="_Toc152042315"/>
      <w:bookmarkStart w:id="126" w:name="_Toc247527563"/>
      <w:bookmarkStart w:id="127" w:name="_Toc247513962"/>
      <w:bookmarkStart w:id="128" w:name="_Toc430813247"/>
      <w:bookmarkStart w:id="129" w:name="_Toc144974507"/>
      <w:bookmarkStart w:id="130" w:name="_Toc300834959"/>
      <w:r>
        <w:rPr>
          <w:rFonts w:hint="eastAsia" w:ascii="宋体" w:hAnsi="宋体" w:eastAsia="宋体" w:cs="宋体"/>
          <w:b/>
          <w:kern w:val="2"/>
          <w:sz w:val="24"/>
          <w:szCs w:val="24"/>
          <w:highlight w:val="none"/>
          <w:lang w:val="en-US" w:eastAsia="zh-CN" w:bidi="ar-SA"/>
        </w:rPr>
        <w:t xml:space="preserve"> 踏勘现场</w:t>
      </w:r>
      <w:bookmarkEnd w:id="121"/>
      <w:bookmarkEnd w:id="122"/>
      <w:bookmarkEnd w:id="12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24"/>
      <w:bookmarkEnd w:id="125"/>
      <w:bookmarkEnd w:id="126"/>
      <w:bookmarkEnd w:id="127"/>
      <w:bookmarkEnd w:id="128"/>
      <w:bookmarkEnd w:id="129"/>
      <w:bookmarkEnd w:id="130"/>
      <w:r>
        <w:rPr>
          <w:rFonts w:hint="eastAsia" w:ascii="宋体" w:hAnsi="宋体" w:eastAsia="宋体" w:cs="宋体"/>
          <w:highlight w:val="none"/>
        </w:rPr>
        <w:t>9.1 投标人须知前附表规定组织踏勘现场的，采购代理机构按投标人须知前附表规定的时间、地点组织投标人踏勘项目现场。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1.9.2 投标人踏勘现场发生的费用自理。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1.9.3 除采购人和采购代理机构的原因外，投标人自行负责在踏勘现场中所发生的人员伤亡和财产损失。</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1.9.4 采购人在踏勘现场中介绍的项目场地和相关的周边环境情况，投标人在编制投标文件时参考，采购人和采购代理机构不对投标人据此作出的判断和决策负责。</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31" w:name="_Toc432367331"/>
      <w:bookmarkStart w:id="132" w:name="_Toc20773"/>
      <w:bookmarkStart w:id="133" w:name="_Toc14012"/>
      <w:r>
        <w:rPr>
          <w:rFonts w:hint="eastAsia" w:ascii="宋体" w:hAnsi="宋体" w:eastAsia="宋体" w:cs="宋体"/>
          <w:b/>
          <w:kern w:val="2"/>
          <w:sz w:val="24"/>
          <w:szCs w:val="24"/>
          <w:highlight w:val="none"/>
          <w:lang w:val="en-US" w:eastAsia="zh-CN" w:bidi="ar-SA"/>
        </w:rPr>
        <w:t>1.1</w:t>
      </w:r>
      <w:bookmarkStart w:id="134" w:name="_Toc300834960"/>
      <w:bookmarkStart w:id="135" w:name="_Toc152045540"/>
      <w:bookmarkStart w:id="136" w:name="_Toc430813248"/>
      <w:bookmarkStart w:id="137" w:name="_Toc152042316"/>
      <w:bookmarkStart w:id="138" w:name="_Toc144974508"/>
      <w:bookmarkStart w:id="139" w:name="_Toc247527564"/>
      <w:bookmarkStart w:id="140" w:name="_Toc247513963"/>
      <w:r>
        <w:rPr>
          <w:rFonts w:hint="eastAsia" w:ascii="宋体" w:hAnsi="宋体" w:eastAsia="宋体" w:cs="宋体"/>
          <w:b/>
          <w:kern w:val="2"/>
          <w:sz w:val="24"/>
          <w:szCs w:val="24"/>
          <w:highlight w:val="none"/>
          <w:lang w:val="en-US" w:eastAsia="zh-CN" w:bidi="ar-SA"/>
        </w:rPr>
        <w:t>0 投标预备会</w:t>
      </w:r>
      <w:bookmarkEnd w:id="131"/>
      <w:bookmarkEnd w:id="132"/>
      <w:bookmarkEnd w:id="13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134"/>
      <w:bookmarkEnd w:id="135"/>
      <w:bookmarkEnd w:id="136"/>
      <w:bookmarkEnd w:id="137"/>
      <w:bookmarkEnd w:id="138"/>
      <w:bookmarkEnd w:id="139"/>
      <w:bookmarkEnd w:id="140"/>
      <w:r>
        <w:rPr>
          <w:rFonts w:hint="eastAsia" w:ascii="宋体" w:hAnsi="宋体" w:eastAsia="宋体" w:cs="宋体"/>
          <w:highlight w:val="none"/>
        </w:rPr>
        <w:t>10.1 投标人须知前附表规定召开投标预备会的，采购代理机构按投标人须知前附表规定的时间和地点召开投标预备会，澄清投标人提出的问题。</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41" w:name="_Toc432367332"/>
      <w:bookmarkStart w:id="142" w:name="_Toc13128"/>
      <w:bookmarkStart w:id="143" w:name="_Toc1265"/>
      <w:r>
        <w:rPr>
          <w:rFonts w:hint="eastAsia" w:ascii="宋体" w:hAnsi="宋体" w:eastAsia="宋体" w:cs="宋体"/>
          <w:b/>
          <w:kern w:val="2"/>
          <w:sz w:val="24"/>
          <w:szCs w:val="24"/>
          <w:highlight w:val="none"/>
          <w:lang w:val="en-US" w:eastAsia="zh-CN" w:bidi="ar-SA"/>
        </w:rPr>
        <w:t>1.1</w:t>
      </w:r>
      <w:bookmarkStart w:id="144" w:name="_Toc430813249"/>
      <w:bookmarkStart w:id="145" w:name="_Toc247527565"/>
      <w:bookmarkStart w:id="146" w:name="_Toc300834961"/>
      <w:bookmarkStart w:id="147" w:name="_Toc144974509"/>
      <w:bookmarkStart w:id="148" w:name="_Toc152045541"/>
      <w:bookmarkStart w:id="149" w:name="_Toc152042317"/>
      <w:bookmarkStart w:id="150" w:name="_Toc247513964"/>
      <w:r>
        <w:rPr>
          <w:rFonts w:hint="eastAsia" w:ascii="宋体" w:hAnsi="宋体" w:eastAsia="宋体" w:cs="宋体"/>
          <w:b/>
          <w:kern w:val="2"/>
          <w:sz w:val="24"/>
          <w:szCs w:val="24"/>
          <w:highlight w:val="none"/>
          <w:lang w:val="en-US" w:eastAsia="zh-CN" w:bidi="ar-SA"/>
        </w:rPr>
        <w:t>1 中标后分包</w:t>
      </w:r>
      <w:bookmarkEnd w:id="141"/>
      <w:bookmarkEnd w:id="142"/>
      <w:bookmarkEnd w:id="143"/>
    </w:p>
    <w:bookmarkEnd w:id="144"/>
    <w:bookmarkEnd w:id="145"/>
    <w:bookmarkEnd w:id="146"/>
    <w:bookmarkEnd w:id="147"/>
    <w:bookmarkEnd w:id="148"/>
    <w:bookmarkEnd w:id="149"/>
    <w:bookmarkEnd w:id="150"/>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1.11.1 投标人须知前附表规定应当由分包人实施的非主体、非关键性工作，投标人应当提供分包人名称及其相应资料。</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1.11.2 投标人拟在中标后将中标项目的部分非主体、非关键性工作进行分包的，应符合投标人须知前附表规定的分包内容、分包金额和资质要求等限制性条件，并提供分包人名称及其相应资料。</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51" w:name="_Toc18582"/>
      <w:bookmarkStart w:id="152" w:name="_Toc432367334"/>
      <w:bookmarkStart w:id="153" w:name="_Toc10873"/>
      <w:r>
        <w:rPr>
          <w:rFonts w:hint="eastAsia" w:ascii="宋体" w:hAnsi="宋体" w:eastAsia="宋体" w:cs="宋体"/>
          <w:b/>
          <w:kern w:val="2"/>
          <w:sz w:val="24"/>
          <w:szCs w:val="24"/>
          <w:highlight w:val="none"/>
          <w:lang w:val="en-US" w:eastAsia="zh-CN" w:bidi="ar-SA"/>
        </w:rPr>
        <w:t>1.12 政府采购政策</w:t>
      </w:r>
      <w:bookmarkEnd w:id="151"/>
      <w:bookmarkEnd w:id="152"/>
      <w:bookmarkEnd w:id="153"/>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1.12.1 除非</w:t>
      </w:r>
      <w:r>
        <w:rPr>
          <w:rFonts w:hint="eastAsia" w:ascii="宋体" w:hAnsi="宋体" w:eastAsia="宋体" w:cs="宋体"/>
          <w:b/>
          <w:highlight w:val="none"/>
        </w:rPr>
        <w:t>《投标人须知前附表》</w:t>
      </w:r>
      <w:r>
        <w:rPr>
          <w:rFonts w:hint="eastAsia" w:ascii="宋体" w:hAnsi="宋体" w:eastAsia="宋体" w:cs="宋体"/>
          <w:highlight w:val="none"/>
        </w:rPr>
        <w:t>中有特殊规定，本项目所采购的货物应当为中华人民共和国境内提供。</w:t>
      </w:r>
    </w:p>
    <w:p>
      <w:pPr>
        <w:snapToGrid w:val="0"/>
        <w:spacing w:line="360" w:lineRule="auto"/>
        <w:ind w:firstLine="359" w:firstLineChars="171"/>
        <w:rPr>
          <w:rFonts w:ascii="宋体" w:hAnsi="宋体" w:eastAsia="宋体" w:cs="宋体"/>
          <w:szCs w:val="21"/>
          <w:highlight w:val="none"/>
        </w:rPr>
      </w:pPr>
      <w:r>
        <w:rPr>
          <w:rFonts w:hint="eastAsia" w:ascii="宋体" w:hAnsi="宋体" w:eastAsia="宋体" w:cs="宋体"/>
          <w:highlight w:val="none"/>
        </w:rPr>
        <w:t>1.12.2为促进中小企业发展，</w:t>
      </w:r>
      <w:r>
        <w:rPr>
          <w:rFonts w:hint="eastAsia" w:ascii="宋体" w:hAnsi="宋体" w:eastAsia="宋体" w:cs="宋体"/>
          <w:szCs w:val="21"/>
          <w:highlight w:val="none"/>
        </w:rPr>
        <w:t>依据《关于进一步加大政府采购支持中小企业力度的通知》（财库〔2022〕19号）、</w:t>
      </w:r>
      <w:r>
        <w:rPr>
          <w:rFonts w:hint="eastAsia" w:ascii="宋体" w:hAnsi="宋体" w:eastAsia="宋体" w:cs="宋体"/>
          <w:highlight w:val="none"/>
        </w:rPr>
        <w:t>财政部、工业和信息化部</w:t>
      </w:r>
      <w:r>
        <w:rPr>
          <w:rFonts w:hint="eastAsia" w:ascii="宋体" w:hAnsi="宋体" w:eastAsia="宋体" w:cs="宋体"/>
          <w:szCs w:val="21"/>
          <w:highlight w:val="none"/>
        </w:rPr>
        <w:t>《关于印发&lt;政府采购促进中小企业发展管理办法&gt;的通知》（财库[2020]46号）、财政部 司法部《关于政府采购支持监狱企业发展有关问题的通知》（财库[2014]68号）、财政部 民政部 中国残疾人联合会《关于促进残疾人就业政府采购政策的通知》（财库[2017]141号），本项目投标人如符合上述文件规定的，需提供《中小企业声明函》、监狱企业证明文件、《残疾人福利性单位声明函》，评审时将对投标人报价给予一定比例的扣除，用扣除后的价格参与评审。具体扣除比例详见《投标人须知前附表》。</w:t>
      </w:r>
    </w:p>
    <w:p>
      <w:pPr>
        <w:snapToGrid w:val="0"/>
        <w:spacing w:line="360" w:lineRule="auto"/>
        <w:ind w:firstLine="359" w:firstLineChars="171"/>
        <w:rPr>
          <w:rFonts w:ascii="宋体" w:hAnsi="宋体" w:eastAsia="宋体" w:cs="宋体"/>
          <w:szCs w:val="21"/>
          <w:highlight w:val="none"/>
        </w:rPr>
      </w:pPr>
      <w:r>
        <w:rPr>
          <w:rFonts w:hint="eastAsia" w:ascii="宋体" w:hAnsi="宋体" w:eastAsia="宋体" w:cs="宋体"/>
          <w:szCs w:val="21"/>
          <w:highlight w:val="none"/>
        </w:rPr>
        <w:t>中小企业划型标准详见附件1：工业和信息化部 国家统计局 国家发展和改革委员会 财政部《中小企业划型标准规定》（工信部联企业〔2011〕300号）。</w:t>
      </w:r>
    </w:p>
    <w:p>
      <w:pPr>
        <w:snapToGrid w:val="0"/>
        <w:spacing w:line="360" w:lineRule="auto"/>
        <w:ind w:firstLine="359" w:firstLineChars="171"/>
        <w:rPr>
          <w:rFonts w:ascii="宋体" w:hAnsi="宋体" w:eastAsia="宋体" w:cs="宋体"/>
          <w:szCs w:val="21"/>
          <w:highlight w:val="none"/>
        </w:rPr>
      </w:pPr>
      <w:r>
        <w:rPr>
          <w:rFonts w:hint="eastAsia" w:ascii="宋体" w:hAnsi="宋体" w:eastAsia="宋体" w:cs="宋体"/>
          <w:szCs w:val="21"/>
          <w:highlight w:val="none"/>
        </w:rPr>
        <w:t>1.12.3 根据《财政部 国家发展改革委关于印发&lt;节能产品政府采购实施意见&gt;的通知》（财库［2004］185号）、《关于环境标志产品政府采购实施的意见》（财库[2006]90号）《财政部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供应商所投产品如属于节能产品政府采购品目清单、环境标志产品政府采购品目清单范围的，供应商必须提供国家确定的认证机构出具的、处于有效期之内的节能产品、环境标志产品认证证书，并进行单独分项报价。属于政府强制采购产品的，已作为投标时强制性要求不再给予价格扣除。属于优先采购范围的，按照《投标人须知前附</w:t>
      </w:r>
      <w:r>
        <w:rPr>
          <w:rFonts w:hint="eastAsia" w:ascii="宋体" w:hAnsi="宋体" w:eastAsia="宋体" w:cs="宋体"/>
          <w:highlight w:val="none"/>
        </w:rPr>
        <w:t>表》中相关规定，对该项产品的价格给予一定比例的扣除，具体扣除比例详见《投标人须知前附表》。</w:t>
      </w:r>
    </w:p>
    <w:p>
      <w:pPr>
        <w:snapToGrid w:val="0"/>
        <w:spacing w:line="360" w:lineRule="auto"/>
        <w:ind w:firstLine="359" w:firstLineChars="171"/>
        <w:rPr>
          <w:rFonts w:hint="eastAsia" w:ascii="宋体" w:hAnsi="宋体" w:eastAsia="宋体" w:cs="宋体"/>
          <w:highlight w:val="none"/>
        </w:rPr>
      </w:pPr>
      <w:r>
        <w:rPr>
          <w:rFonts w:hint="eastAsia" w:ascii="宋体" w:hAnsi="宋体" w:eastAsia="宋体" w:cs="宋体"/>
          <w:highlight w:val="none"/>
        </w:rPr>
        <w:t>1.12.4</w:t>
      </w:r>
      <w:r>
        <w:rPr>
          <w:rFonts w:hint="eastAsia" w:ascii="宋体" w:hAnsi="宋体" w:eastAsia="宋体" w:cs="宋体"/>
          <w:szCs w:val="21"/>
          <w:highlight w:val="none"/>
        </w:rPr>
        <w:t>依据湖北省财政厅 湖北省公共资源交易监督管理局《关于落实稳住经济一揽子政策进一步加大政府采购支持中小企业力度的通知》（鄂财采发〔2022〕5号）的规定，货物服务采购项目给予小微企业的价格扣除优惠，由财库〔2020〕46号文件规定的 6%—10%提高至 10%—20%。大中型企业与小微企业组成联合体或者大中型企业向小微企业分包的，评审优惠幅度由 2%—3%提高至 4%—6%。政府采购工程的价格评审优惠按照财库〔2020〕46号文件中对应的 3%—5%、1%—2%的规定执行。对小微企业中的残疾人企业、监狱企业、采购产品纳入创新产品应用示范推荐目录内企业、采购产品获得节能产品或环境标志产品认证证书的企业，以价格评审优惠幅度的上限给予评审优惠。</w:t>
      </w:r>
      <w:r>
        <w:rPr>
          <w:rFonts w:hint="eastAsia" w:ascii="宋体" w:hAnsi="宋体" w:eastAsia="宋体" w:cs="宋体"/>
          <w:highlight w:val="none"/>
        </w:rPr>
        <w:t>本招标文件第1.12条关于政府采购政策优惠须经评标委员会评审后执行，未提供单独分项报价或未提供有效证明材料的不给予价格扣除</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154" w:name="_Toc17590"/>
      <w:bookmarkStart w:id="155" w:name="_Toc14744"/>
      <w:bookmarkStart w:id="156" w:name="_Toc432367335"/>
      <w:bookmarkStart w:id="157" w:name="_Toc144974510"/>
      <w:bookmarkStart w:id="158" w:name="_Toc152042318"/>
      <w:bookmarkStart w:id="159" w:name="_Toc300834963"/>
      <w:bookmarkStart w:id="160" w:name="_Toc247527567"/>
      <w:bookmarkStart w:id="161" w:name="_Toc430813251"/>
      <w:bookmarkStart w:id="162" w:name="_Toc247513966"/>
      <w:bookmarkStart w:id="163" w:name="_Toc152045542"/>
      <w:r>
        <w:rPr>
          <w:rFonts w:hint="eastAsia" w:ascii="宋体" w:hAnsi="宋体" w:eastAsia="宋体" w:cs="宋体"/>
          <w:b/>
          <w:bCs/>
          <w:kern w:val="2"/>
          <w:sz w:val="28"/>
          <w:szCs w:val="28"/>
          <w:highlight w:val="none"/>
          <w:lang w:val="en-US" w:eastAsia="zh-CN" w:bidi="ar-SA"/>
        </w:rPr>
        <w:t>招标文件</w:t>
      </w:r>
      <w:bookmarkEnd w:id="154"/>
      <w:bookmarkEnd w:id="155"/>
      <w:bookmarkEnd w:id="156"/>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64" w:name="_Toc3741"/>
      <w:bookmarkStart w:id="165" w:name="_Toc432367336"/>
      <w:bookmarkStart w:id="166" w:name="_Toc15511"/>
      <w:r>
        <w:rPr>
          <w:rFonts w:hint="eastAsia" w:ascii="宋体" w:hAnsi="宋体" w:eastAsia="宋体" w:cs="宋体"/>
          <w:b/>
          <w:kern w:val="2"/>
          <w:sz w:val="24"/>
          <w:szCs w:val="24"/>
          <w:highlight w:val="none"/>
          <w:lang w:val="en-US" w:eastAsia="zh-CN" w:bidi="ar-SA"/>
        </w:rPr>
        <w:t>2.</w:t>
      </w:r>
      <w:bookmarkEnd w:id="157"/>
      <w:bookmarkEnd w:id="158"/>
      <w:bookmarkEnd w:id="159"/>
      <w:bookmarkEnd w:id="160"/>
      <w:bookmarkEnd w:id="161"/>
      <w:bookmarkEnd w:id="162"/>
      <w:bookmarkEnd w:id="163"/>
      <w:r>
        <w:rPr>
          <w:rFonts w:hint="eastAsia" w:ascii="宋体" w:hAnsi="宋体" w:eastAsia="宋体" w:cs="宋体"/>
          <w:b/>
          <w:kern w:val="2"/>
          <w:sz w:val="24"/>
          <w:szCs w:val="24"/>
          <w:highlight w:val="none"/>
          <w:lang w:val="en-US" w:eastAsia="zh-CN" w:bidi="ar-SA"/>
        </w:rPr>
        <w:t>1</w:t>
      </w:r>
      <w:bookmarkStart w:id="167" w:name="_Toc430813252"/>
      <w:bookmarkStart w:id="168" w:name="_Toc300834964"/>
      <w:bookmarkStart w:id="169" w:name="_Toc144974511"/>
      <w:bookmarkStart w:id="170" w:name="_Toc247527568"/>
      <w:bookmarkStart w:id="171" w:name="_Toc247513967"/>
      <w:bookmarkStart w:id="172" w:name="_Toc152045543"/>
      <w:bookmarkStart w:id="173" w:name="_Toc152042319"/>
      <w:r>
        <w:rPr>
          <w:rFonts w:hint="eastAsia" w:ascii="宋体" w:hAnsi="宋体" w:eastAsia="宋体" w:cs="宋体"/>
          <w:b/>
          <w:kern w:val="2"/>
          <w:sz w:val="24"/>
          <w:szCs w:val="24"/>
          <w:highlight w:val="none"/>
          <w:lang w:val="en-US" w:eastAsia="zh-CN" w:bidi="ar-SA"/>
        </w:rPr>
        <w:t xml:space="preserve"> 招标文件的组成</w:t>
      </w:r>
      <w:bookmarkEnd w:id="164"/>
      <w:bookmarkEnd w:id="165"/>
      <w:bookmarkEnd w:id="16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w:t>
      </w:r>
      <w:bookmarkEnd w:id="167"/>
      <w:bookmarkEnd w:id="168"/>
      <w:bookmarkEnd w:id="169"/>
      <w:bookmarkEnd w:id="170"/>
      <w:bookmarkEnd w:id="171"/>
      <w:bookmarkEnd w:id="172"/>
      <w:bookmarkEnd w:id="173"/>
      <w:r>
        <w:rPr>
          <w:rFonts w:hint="eastAsia" w:ascii="宋体" w:hAnsi="宋体" w:eastAsia="宋体" w:cs="宋体"/>
          <w:highlight w:val="none"/>
        </w:rPr>
        <w:t>1.1本</w:t>
      </w:r>
      <w:r>
        <w:rPr>
          <w:rFonts w:hint="eastAsia" w:ascii="宋体" w:hAnsi="宋体" w:eastAsia="宋体" w:cs="宋体"/>
          <w:szCs w:val="21"/>
          <w:highlight w:val="none"/>
        </w:rPr>
        <w:t>招标</w:t>
      </w:r>
      <w:r>
        <w:rPr>
          <w:rFonts w:hint="eastAsia" w:ascii="宋体" w:hAnsi="宋体" w:eastAsia="宋体" w:cs="宋体"/>
          <w:highlight w:val="none"/>
        </w:rPr>
        <w:t>文件包括下列文件及根据本章第1.10款、第2.2款对招标文件所作的澄清、修改。</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第一章投标邀请</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第二章投标人须知</w:t>
      </w:r>
    </w:p>
    <w:p>
      <w:pPr>
        <w:snapToGrid w:val="0"/>
        <w:spacing w:line="360" w:lineRule="auto"/>
        <w:ind w:firstLine="1115" w:firstLineChars="531"/>
        <w:rPr>
          <w:rFonts w:ascii="宋体" w:hAnsi="宋体" w:eastAsia="宋体" w:cs="宋体"/>
          <w:highlight w:val="none"/>
        </w:rPr>
      </w:pPr>
      <w:r>
        <w:rPr>
          <w:rFonts w:hint="eastAsia" w:ascii="宋体" w:hAnsi="宋体" w:eastAsia="宋体" w:cs="宋体"/>
          <w:highlight w:val="none"/>
        </w:rPr>
        <w:t>投标人须知前附表</w:t>
      </w:r>
    </w:p>
    <w:p>
      <w:pPr>
        <w:snapToGrid w:val="0"/>
        <w:spacing w:line="360" w:lineRule="auto"/>
        <w:ind w:firstLine="1115" w:firstLineChars="531"/>
        <w:rPr>
          <w:rFonts w:ascii="宋体" w:hAnsi="宋体" w:eastAsia="宋体" w:cs="宋体"/>
          <w:highlight w:val="none"/>
        </w:rPr>
      </w:pPr>
      <w:r>
        <w:rPr>
          <w:rFonts w:hint="eastAsia" w:ascii="宋体" w:hAnsi="宋体" w:eastAsia="宋体" w:cs="宋体"/>
          <w:highlight w:val="none"/>
        </w:rPr>
        <w:t>投标人须知</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第三章项目采购需求</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第四章评标方法、步骤及标准</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第五章合同主要条款</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第六章投标文件格式</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2.1.2投标人获取招标文件后，应仔细检查招标文件的所有内容，</w:t>
      </w:r>
      <w:r>
        <w:rPr>
          <w:rFonts w:hint="eastAsia" w:ascii="宋体" w:hAnsi="宋体" w:eastAsia="宋体" w:cs="宋体"/>
          <w:szCs w:val="21"/>
          <w:highlight w:val="none"/>
        </w:rPr>
        <w:t>如发现缺页或附件不全，</w:t>
      </w:r>
      <w:r>
        <w:rPr>
          <w:rFonts w:hint="eastAsia" w:ascii="宋体" w:hAnsi="宋体" w:eastAsia="宋体" w:cs="宋体"/>
          <w:highlight w:val="none"/>
        </w:rPr>
        <w:t>应</w:t>
      </w:r>
      <w:r>
        <w:rPr>
          <w:rFonts w:hint="eastAsia" w:ascii="宋体" w:hAnsi="宋体" w:eastAsia="宋体" w:cs="宋体"/>
          <w:szCs w:val="21"/>
          <w:highlight w:val="none"/>
        </w:rPr>
        <w:t>在</w:t>
      </w:r>
      <w:r>
        <w:rPr>
          <w:rFonts w:hint="eastAsia" w:ascii="宋体" w:hAnsi="宋体" w:eastAsia="宋体" w:cs="宋体"/>
          <w:highlight w:val="none"/>
        </w:rPr>
        <w:t>获得招标文件1日内向采购代理机构提出</w:t>
      </w:r>
      <w:r>
        <w:rPr>
          <w:rFonts w:hint="eastAsia" w:ascii="宋体" w:hAnsi="宋体" w:eastAsia="宋体" w:cs="宋体"/>
          <w:szCs w:val="21"/>
          <w:highlight w:val="none"/>
        </w:rPr>
        <w:t>，以便补齐。</w:t>
      </w:r>
      <w:r>
        <w:rPr>
          <w:rFonts w:hint="eastAsia" w:ascii="宋体" w:hAnsi="宋体" w:eastAsia="宋体" w:cs="宋体"/>
          <w:highlight w:val="none"/>
        </w:rPr>
        <w:t>否则，由此引起的损失由投标人自己承担。</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2.1.3投标人或者其他利害关系人对招标文件有质疑的，应当在收到招标文件之日起7个工作日内以书面形式向采购人或采购代理机构提出质疑。采购人或采购代理机构应当在收到投标人的书面质疑后7个工作日内作出答复，并以书面形式通知质疑投标人和其他有关投标人，但答复的内容不得涉及商业秘密。本处所称“质疑”是指投标人或者其他利害关系人认为招标文件的内容违反法律、行政法规的强制性规定，违反公开、公平、公正和诚实信用原则，影响投标人投标而向采购代理机构提出的质疑。质疑与答复应采取书面形式。</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2.1.4采购代理机构对质疑的答复构成对招标文件澄清或者修改的，采购代理机构应当按照第2.2款规定办理。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2.1.5投标人应认真审阅招标文件中所有的事项、格式、条款和要求等，若投标人的投标文件没有按招标文件要求提交全部资料，或投标文件没有对招标文件做出实质性响应，其风险由投标人自行承担。评标委员会将否决未对招标文件做出实质性响应的投标文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74" w:name="_Toc432367337"/>
      <w:bookmarkStart w:id="175" w:name="_Toc14132"/>
      <w:bookmarkStart w:id="176" w:name="_Toc31687"/>
      <w:r>
        <w:rPr>
          <w:rFonts w:hint="eastAsia" w:ascii="宋体" w:hAnsi="宋体" w:eastAsia="宋体" w:cs="宋体"/>
          <w:b/>
          <w:kern w:val="2"/>
          <w:sz w:val="24"/>
          <w:szCs w:val="24"/>
          <w:highlight w:val="none"/>
          <w:lang w:val="en-US" w:eastAsia="zh-CN" w:bidi="ar-SA"/>
        </w:rPr>
        <w:t>2.2</w:t>
      </w:r>
      <w:bookmarkStart w:id="177" w:name="_Toc300834965"/>
      <w:bookmarkStart w:id="178" w:name="_Toc144974512"/>
      <w:bookmarkStart w:id="179" w:name="_Toc247513968"/>
      <w:bookmarkStart w:id="180" w:name="_Toc152042320"/>
      <w:bookmarkStart w:id="181" w:name="_Toc430813253"/>
      <w:bookmarkStart w:id="182" w:name="_Toc247527569"/>
      <w:bookmarkStart w:id="183" w:name="_Toc152045544"/>
      <w:r>
        <w:rPr>
          <w:rFonts w:hint="eastAsia" w:ascii="宋体" w:hAnsi="宋体" w:eastAsia="宋体" w:cs="宋体"/>
          <w:b/>
          <w:kern w:val="2"/>
          <w:sz w:val="24"/>
          <w:szCs w:val="24"/>
          <w:highlight w:val="none"/>
          <w:lang w:val="en-US" w:eastAsia="zh-CN" w:bidi="ar-SA"/>
        </w:rPr>
        <w:t xml:space="preserve"> 招标文件的澄清</w:t>
      </w:r>
      <w:bookmarkEnd w:id="174"/>
      <w:r>
        <w:rPr>
          <w:rFonts w:hint="eastAsia" w:ascii="宋体" w:hAnsi="宋体" w:eastAsia="宋体" w:cs="宋体"/>
          <w:b/>
          <w:kern w:val="2"/>
          <w:sz w:val="24"/>
          <w:szCs w:val="24"/>
          <w:highlight w:val="none"/>
          <w:lang w:val="en-US" w:eastAsia="zh-CN" w:bidi="ar-SA"/>
        </w:rPr>
        <w:t>或者修改</w:t>
      </w:r>
      <w:bookmarkEnd w:id="175"/>
      <w:bookmarkEnd w:id="176"/>
    </w:p>
    <w:bookmarkEnd w:id="177"/>
    <w:bookmarkEnd w:id="178"/>
    <w:bookmarkEnd w:id="179"/>
    <w:bookmarkEnd w:id="180"/>
    <w:bookmarkEnd w:id="181"/>
    <w:bookmarkEnd w:id="182"/>
    <w:bookmarkEnd w:id="183"/>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2.2.1 采购人或者采购代理机构可以对已发出的招标文件进行必要的澄清或者修改。</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2.2.2 招标文件的澄清或者修改以书面形式发给所有领取招标文件的投标人，但不包括问题的来源。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2.2.3 投标人在收到澄清或者修改通知后，应在投标人须知前附表规定的时间内以书面形式通知采购代理机构，确认已收到该澄清或者修改通知。</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2.2.4上述书面形式通知包括纸质的文件、信件，也包括电报、电传、传真、电子数据交换和电子邮件等数据电文。</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184" w:name="_Toc432367339"/>
      <w:bookmarkStart w:id="185" w:name="_Toc16005"/>
      <w:bookmarkStart w:id="186" w:name="_Toc667"/>
      <w:bookmarkStart w:id="187" w:name="_Toc152045546"/>
      <w:bookmarkStart w:id="188" w:name="_Toc247527571"/>
      <w:bookmarkStart w:id="189" w:name="_Toc430813255"/>
      <w:bookmarkStart w:id="190" w:name="_Toc144974514"/>
      <w:bookmarkStart w:id="191" w:name="_Toc247513970"/>
      <w:bookmarkStart w:id="192" w:name="_Toc152042322"/>
      <w:bookmarkStart w:id="193" w:name="_Toc300834967"/>
      <w:r>
        <w:rPr>
          <w:rFonts w:hint="eastAsia" w:ascii="宋体" w:hAnsi="宋体" w:eastAsia="宋体" w:cs="宋体"/>
          <w:b/>
          <w:bCs/>
          <w:kern w:val="2"/>
          <w:sz w:val="28"/>
          <w:szCs w:val="28"/>
          <w:highlight w:val="none"/>
          <w:lang w:val="en-US" w:eastAsia="zh-CN" w:bidi="ar-SA"/>
        </w:rPr>
        <w:t>投标文件</w:t>
      </w:r>
      <w:bookmarkEnd w:id="184"/>
      <w:bookmarkEnd w:id="185"/>
      <w:bookmarkEnd w:id="186"/>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194" w:name="_Toc432367340"/>
      <w:bookmarkStart w:id="195" w:name="_Toc13911"/>
      <w:bookmarkStart w:id="196" w:name="_Toc32071"/>
      <w:r>
        <w:rPr>
          <w:rFonts w:hint="eastAsia" w:ascii="宋体" w:hAnsi="宋体" w:eastAsia="宋体" w:cs="宋体"/>
          <w:b/>
          <w:kern w:val="2"/>
          <w:sz w:val="24"/>
          <w:szCs w:val="24"/>
          <w:highlight w:val="none"/>
          <w:lang w:val="en-US" w:eastAsia="zh-CN" w:bidi="ar-SA"/>
        </w:rPr>
        <w:t>3.</w:t>
      </w:r>
      <w:bookmarkEnd w:id="187"/>
      <w:bookmarkEnd w:id="188"/>
      <w:bookmarkEnd w:id="189"/>
      <w:bookmarkEnd w:id="190"/>
      <w:bookmarkEnd w:id="191"/>
      <w:bookmarkEnd w:id="192"/>
      <w:bookmarkEnd w:id="193"/>
      <w:r>
        <w:rPr>
          <w:rFonts w:hint="eastAsia" w:ascii="宋体" w:hAnsi="宋体" w:eastAsia="宋体" w:cs="宋体"/>
          <w:b/>
          <w:kern w:val="2"/>
          <w:sz w:val="24"/>
          <w:szCs w:val="24"/>
          <w:highlight w:val="none"/>
          <w:lang w:val="en-US" w:eastAsia="zh-CN" w:bidi="ar-SA"/>
        </w:rPr>
        <w:t>1</w:t>
      </w:r>
      <w:bookmarkStart w:id="197" w:name="_Toc152042323"/>
      <w:bookmarkStart w:id="198" w:name="_Toc247527572"/>
      <w:bookmarkStart w:id="199" w:name="_Toc144974515"/>
      <w:bookmarkStart w:id="200" w:name="_Toc430813256"/>
      <w:bookmarkStart w:id="201" w:name="_Toc300834968"/>
      <w:bookmarkStart w:id="202" w:name="_Toc152045547"/>
      <w:bookmarkStart w:id="203" w:name="_Toc247513971"/>
      <w:r>
        <w:rPr>
          <w:rFonts w:hint="eastAsia" w:ascii="宋体" w:hAnsi="宋体" w:eastAsia="宋体" w:cs="宋体"/>
          <w:b/>
          <w:kern w:val="2"/>
          <w:sz w:val="24"/>
          <w:szCs w:val="24"/>
          <w:highlight w:val="none"/>
          <w:lang w:val="en-US" w:eastAsia="zh-CN" w:bidi="ar-SA"/>
        </w:rPr>
        <w:t xml:space="preserve"> 投标文件的组成</w:t>
      </w:r>
      <w:bookmarkEnd w:id="194"/>
      <w:bookmarkEnd w:id="195"/>
      <w:bookmarkEnd w:id="19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197"/>
      <w:bookmarkEnd w:id="198"/>
      <w:bookmarkEnd w:id="199"/>
      <w:bookmarkEnd w:id="200"/>
      <w:bookmarkEnd w:id="201"/>
      <w:bookmarkEnd w:id="202"/>
      <w:bookmarkEnd w:id="203"/>
      <w:r>
        <w:rPr>
          <w:rFonts w:hint="eastAsia" w:ascii="宋体" w:hAnsi="宋体" w:eastAsia="宋体" w:cs="宋体"/>
          <w:highlight w:val="none"/>
        </w:rPr>
        <w:t>1.1 投标函及附件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3.1.2 报价文件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3.1.3 商务文件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3.1.4 技术文件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04" w:name="_Toc432367341"/>
      <w:bookmarkStart w:id="205" w:name="_Toc21583"/>
      <w:bookmarkStart w:id="206" w:name="_Toc26862"/>
      <w:r>
        <w:rPr>
          <w:rFonts w:hint="eastAsia" w:ascii="宋体" w:hAnsi="宋体" w:eastAsia="宋体" w:cs="宋体"/>
          <w:b/>
          <w:kern w:val="2"/>
          <w:sz w:val="24"/>
          <w:szCs w:val="24"/>
          <w:highlight w:val="none"/>
          <w:lang w:val="en-US" w:eastAsia="zh-CN" w:bidi="ar-SA"/>
        </w:rPr>
        <w:t>3.2</w:t>
      </w:r>
      <w:bookmarkStart w:id="207" w:name="_Toc430813257"/>
      <w:bookmarkStart w:id="208" w:name="_Toc144974516"/>
      <w:bookmarkStart w:id="209" w:name="_Toc247513972"/>
      <w:bookmarkStart w:id="210" w:name="_Toc247527573"/>
      <w:bookmarkStart w:id="211" w:name="_Toc152045548"/>
      <w:bookmarkStart w:id="212" w:name="_Toc300834969"/>
      <w:bookmarkStart w:id="213" w:name="_Toc152042324"/>
      <w:r>
        <w:rPr>
          <w:rFonts w:hint="eastAsia" w:ascii="宋体" w:hAnsi="宋体" w:eastAsia="宋体" w:cs="宋体"/>
          <w:b/>
          <w:kern w:val="2"/>
          <w:sz w:val="24"/>
          <w:szCs w:val="24"/>
          <w:highlight w:val="none"/>
          <w:lang w:val="en-US" w:eastAsia="zh-CN" w:bidi="ar-SA"/>
        </w:rPr>
        <w:t xml:space="preserve"> 投标报价</w:t>
      </w:r>
      <w:bookmarkEnd w:id="204"/>
      <w:bookmarkEnd w:id="205"/>
      <w:bookmarkEnd w:id="20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07"/>
      <w:r>
        <w:rPr>
          <w:rFonts w:hint="eastAsia" w:ascii="宋体" w:hAnsi="宋体" w:eastAsia="宋体" w:cs="宋体"/>
          <w:highlight w:val="none"/>
        </w:rPr>
        <w:t>2.1投标人的投标报价应包含完成本项目的全部费用，包括但不限于货物的设计、制造、采购、运输、保险、装卸、仓储、保管、安装指导、检测、调试、验收、售后服务、利润和税金等费用。投标人对报价的准确性和完整性负责，任何漏报、错报等均是投标人的风险。</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3.2.2本项目投标单价在合同执行过程中是固定不变的，投标人应充分考虑合同履行期间各类材料、配件和人工的市场风险和国家政策性调整风险系数，并计入投标报价。除合同约定的情况外，投标人不得以任何理由在合同执行期间要求予以价格调整。</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3.2.3投标人应在报价表上注明拟提供货物的单价和总价。每种货物只允许有一个报价，以可调整的价格或可选择的价格提交的投标文件将不予接受。</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3.2.4投标报价不得超过投标人须知前附表中规定的采购预算价格，否则评标委员会将否决其投标。</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14" w:name="_Toc432367342"/>
      <w:bookmarkStart w:id="215" w:name="_Toc8441"/>
      <w:bookmarkStart w:id="216" w:name="_Toc13431"/>
      <w:r>
        <w:rPr>
          <w:rFonts w:hint="eastAsia" w:ascii="宋体" w:hAnsi="宋体" w:eastAsia="宋体" w:cs="宋体"/>
          <w:b/>
          <w:kern w:val="2"/>
          <w:sz w:val="24"/>
          <w:szCs w:val="24"/>
          <w:highlight w:val="none"/>
          <w:lang w:val="en-US" w:eastAsia="zh-CN" w:bidi="ar-SA"/>
        </w:rPr>
        <w:t>3.3</w:t>
      </w:r>
      <w:bookmarkEnd w:id="208"/>
      <w:bookmarkEnd w:id="209"/>
      <w:bookmarkEnd w:id="210"/>
      <w:bookmarkEnd w:id="211"/>
      <w:bookmarkEnd w:id="212"/>
      <w:bookmarkEnd w:id="213"/>
      <w:bookmarkStart w:id="217" w:name="_Toc430813258"/>
      <w:bookmarkStart w:id="218" w:name="_Toc144974517"/>
      <w:bookmarkStart w:id="219" w:name="_Toc247513973"/>
      <w:bookmarkStart w:id="220" w:name="_Toc152042325"/>
      <w:bookmarkStart w:id="221" w:name="_Toc300834970"/>
      <w:bookmarkStart w:id="222" w:name="_Toc247527574"/>
      <w:bookmarkStart w:id="223" w:name="_Toc152045549"/>
      <w:r>
        <w:rPr>
          <w:rFonts w:hint="eastAsia" w:ascii="宋体" w:hAnsi="宋体" w:eastAsia="宋体" w:cs="宋体"/>
          <w:b/>
          <w:kern w:val="2"/>
          <w:sz w:val="24"/>
          <w:szCs w:val="24"/>
          <w:highlight w:val="none"/>
          <w:lang w:val="en-US" w:eastAsia="zh-CN" w:bidi="ar-SA"/>
        </w:rPr>
        <w:t xml:space="preserve"> 投标有效期</w:t>
      </w:r>
      <w:bookmarkEnd w:id="214"/>
      <w:bookmarkEnd w:id="215"/>
      <w:bookmarkEnd w:id="21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17"/>
      <w:bookmarkEnd w:id="218"/>
      <w:bookmarkEnd w:id="219"/>
      <w:bookmarkEnd w:id="220"/>
      <w:bookmarkEnd w:id="221"/>
      <w:bookmarkEnd w:id="222"/>
      <w:bookmarkEnd w:id="223"/>
      <w:r>
        <w:rPr>
          <w:rFonts w:hint="eastAsia" w:ascii="宋体" w:hAnsi="宋体" w:eastAsia="宋体" w:cs="宋体"/>
          <w:highlight w:val="none"/>
        </w:rPr>
        <w:t>3.1 投标有效期见投标人须知前附表。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3.3.2 在投标有效期内，投标人撤销或修改其投标文件的，应承担法律和招标文件规定的责任。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3.3.3需要延长投标有效期的，采购代理机构将以书面形式通知所有投标人延长投标有效期。投标人同意延长的，不得要求或被允许修改或撤销其投标文件；投标人拒绝延长的，其投标失效。</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24" w:name="_Toc25252"/>
      <w:bookmarkStart w:id="225" w:name="_Toc432367343"/>
      <w:bookmarkStart w:id="226" w:name="_Toc481"/>
      <w:r>
        <w:rPr>
          <w:rFonts w:hint="eastAsia" w:ascii="宋体" w:hAnsi="宋体" w:eastAsia="宋体" w:cs="宋体"/>
          <w:b/>
          <w:kern w:val="2"/>
          <w:sz w:val="24"/>
          <w:szCs w:val="24"/>
          <w:highlight w:val="none"/>
          <w:lang w:val="en-US" w:eastAsia="zh-CN" w:bidi="ar-SA"/>
        </w:rPr>
        <w:t>3.4</w:t>
      </w:r>
      <w:bookmarkStart w:id="227" w:name="_Toc430813259"/>
      <w:bookmarkStart w:id="228" w:name="_Toc300834971"/>
      <w:bookmarkStart w:id="229" w:name="_Toc152042326"/>
      <w:bookmarkStart w:id="230" w:name="_Toc247513974"/>
      <w:bookmarkStart w:id="231" w:name="_Toc152045550"/>
      <w:bookmarkStart w:id="232" w:name="_Toc247527575"/>
      <w:bookmarkStart w:id="233" w:name="_Toc144974518"/>
      <w:r>
        <w:rPr>
          <w:rFonts w:hint="eastAsia" w:ascii="宋体" w:hAnsi="宋体" w:eastAsia="宋体" w:cs="宋体"/>
          <w:b/>
          <w:kern w:val="2"/>
          <w:sz w:val="24"/>
          <w:szCs w:val="24"/>
          <w:highlight w:val="none"/>
          <w:lang w:val="en-US" w:eastAsia="zh-CN" w:bidi="ar-SA"/>
        </w:rPr>
        <w:t xml:space="preserve"> 投标保证金</w:t>
      </w:r>
      <w:bookmarkEnd w:id="224"/>
      <w:bookmarkEnd w:id="225"/>
      <w:bookmarkEnd w:id="22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27"/>
      <w:bookmarkEnd w:id="228"/>
      <w:bookmarkEnd w:id="229"/>
      <w:bookmarkEnd w:id="230"/>
      <w:bookmarkEnd w:id="231"/>
      <w:bookmarkEnd w:id="232"/>
      <w:bookmarkEnd w:id="233"/>
      <w:r>
        <w:rPr>
          <w:rFonts w:hint="eastAsia" w:ascii="宋体" w:hAnsi="宋体" w:eastAsia="宋体" w:cs="宋体"/>
          <w:highlight w:val="none"/>
        </w:rPr>
        <w:t>4.1本项目不收投标保证金。</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34" w:name="_Toc4058"/>
      <w:bookmarkStart w:id="235" w:name="_Toc15297"/>
      <w:bookmarkStart w:id="236" w:name="_Toc432367344"/>
      <w:r>
        <w:rPr>
          <w:rFonts w:hint="eastAsia" w:ascii="宋体" w:hAnsi="宋体" w:eastAsia="宋体" w:cs="宋体"/>
          <w:b/>
          <w:kern w:val="2"/>
          <w:sz w:val="24"/>
          <w:szCs w:val="24"/>
          <w:highlight w:val="none"/>
          <w:lang w:val="en-US" w:eastAsia="zh-CN" w:bidi="ar-SA"/>
        </w:rPr>
        <w:t>3.5</w:t>
      </w:r>
      <w:bookmarkStart w:id="237" w:name="_Toc247513977"/>
      <w:bookmarkStart w:id="238" w:name="_Toc300834974"/>
      <w:bookmarkStart w:id="239" w:name="_Toc430813260"/>
      <w:bookmarkStart w:id="240" w:name="_Toc152045553"/>
      <w:bookmarkStart w:id="241" w:name="_Toc144974521"/>
      <w:bookmarkStart w:id="242" w:name="_Toc152042329"/>
      <w:bookmarkStart w:id="243" w:name="_Toc247527578"/>
      <w:r>
        <w:rPr>
          <w:rFonts w:hint="eastAsia" w:ascii="宋体" w:hAnsi="宋体" w:eastAsia="宋体" w:cs="宋体"/>
          <w:b/>
          <w:kern w:val="2"/>
          <w:sz w:val="24"/>
          <w:szCs w:val="24"/>
          <w:highlight w:val="none"/>
          <w:lang w:val="en-US" w:eastAsia="zh-CN" w:bidi="ar-SA"/>
        </w:rPr>
        <w:t xml:space="preserve"> 备选投标方案</w:t>
      </w:r>
      <w:bookmarkEnd w:id="234"/>
      <w:bookmarkEnd w:id="235"/>
      <w:bookmarkEnd w:id="236"/>
    </w:p>
    <w:bookmarkEnd w:id="237"/>
    <w:bookmarkEnd w:id="238"/>
    <w:bookmarkEnd w:id="239"/>
    <w:bookmarkEnd w:id="240"/>
    <w:bookmarkEnd w:id="241"/>
    <w:bookmarkEnd w:id="242"/>
    <w:bookmarkEnd w:id="243"/>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3.5.1本项目是否允许递交备选投标方案详见《投标人须知前附表》的规定。</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3.5.1.1本项目不允许投标人递交备选投标方案的，</w:t>
      </w:r>
      <w:r>
        <w:rPr>
          <w:rFonts w:hint="eastAsia" w:ascii="宋体" w:hAnsi="宋体" w:eastAsia="宋体" w:cs="宋体"/>
          <w:snapToGrid w:val="0"/>
          <w:kern w:val="0"/>
          <w:szCs w:val="21"/>
          <w:highlight w:val="none"/>
          <w:lang w:val="zh-CN"/>
        </w:rPr>
        <w:t>若在投标文件中递交了备选方案，</w:t>
      </w:r>
      <w:r>
        <w:rPr>
          <w:rFonts w:hint="eastAsia" w:ascii="宋体" w:hAnsi="宋体" w:eastAsia="宋体" w:cs="宋体"/>
          <w:b/>
          <w:snapToGrid w:val="0"/>
          <w:kern w:val="0"/>
          <w:szCs w:val="21"/>
          <w:highlight w:val="none"/>
          <w:lang w:val="zh-CN"/>
        </w:rPr>
        <w:t>其投标文件将被视为无效文件。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3.5.1.2本项目允许投标人递交备选投标方案的，只有中标人所递交的备选投标方案方可予以考虑。评标委员会认为中标人的备选投标方案优于其按照招标文件要求编制的投标方案的，采购人可以接受该备选投标方案。</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44" w:name="_Toc432367345"/>
      <w:bookmarkStart w:id="245" w:name="_Toc20798"/>
      <w:bookmarkStart w:id="246" w:name="_Toc13831"/>
      <w:r>
        <w:rPr>
          <w:rFonts w:hint="eastAsia" w:ascii="宋体" w:hAnsi="宋体" w:eastAsia="宋体" w:cs="宋体"/>
          <w:b/>
          <w:kern w:val="2"/>
          <w:sz w:val="24"/>
          <w:szCs w:val="24"/>
          <w:highlight w:val="none"/>
          <w:lang w:val="en-US" w:eastAsia="zh-CN" w:bidi="ar-SA"/>
        </w:rPr>
        <w:t>3.6</w:t>
      </w:r>
      <w:bookmarkStart w:id="247" w:name="_Toc430813261"/>
      <w:bookmarkStart w:id="248" w:name="_Toc247527579"/>
      <w:bookmarkStart w:id="249" w:name="_Toc300834975"/>
      <w:bookmarkStart w:id="250" w:name="_Toc152045554"/>
      <w:bookmarkStart w:id="251" w:name="_Toc247513978"/>
      <w:bookmarkStart w:id="252" w:name="_Toc152042330"/>
      <w:bookmarkStart w:id="253" w:name="_Toc144974522"/>
      <w:r>
        <w:rPr>
          <w:rFonts w:hint="eastAsia" w:ascii="宋体" w:hAnsi="宋体" w:eastAsia="宋体" w:cs="宋体"/>
          <w:b/>
          <w:kern w:val="2"/>
          <w:sz w:val="24"/>
          <w:szCs w:val="24"/>
          <w:highlight w:val="none"/>
          <w:lang w:val="en-US" w:eastAsia="zh-CN" w:bidi="ar-SA"/>
        </w:rPr>
        <w:t xml:space="preserve"> 投标文件的编制</w:t>
      </w:r>
      <w:bookmarkEnd w:id="244"/>
      <w:bookmarkEnd w:id="245"/>
      <w:bookmarkEnd w:id="24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w:t>
      </w:r>
      <w:bookmarkEnd w:id="247"/>
      <w:bookmarkEnd w:id="248"/>
      <w:bookmarkEnd w:id="249"/>
      <w:bookmarkEnd w:id="250"/>
      <w:bookmarkEnd w:id="251"/>
      <w:bookmarkEnd w:id="252"/>
      <w:bookmarkEnd w:id="253"/>
      <w:r>
        <w:rPr>
          <w:rFonts w:hint="eastAsia" w:ascii="宋体" w:hAnsi="宋体" w:eastAsia="宋体" w:cs="宋体"/>
          <w:highlight w:val="none"/>
        </w:rPr>
        <w:t>6.1 投标文件应按第六章“投标文件格式”进行编写，如有必要，可以增加附页，作为投标文件的组成部分。</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highlight w:val="none"/>
        </w:rPr>
        <w:t>3.6.2 投标文件应当对招标文件的</w:t>
      </w:r>
      <w:r>
        <w:rPr>
          <w:rFonts w:hint="eastAsia" w:ascii="宋体" w:hAnsi="宋体" w:eastAsia="宋体" w:cs="宋体"/>
          <w:szCs w:val="21"/>
          <w:highlight w:val="none"/>
        </w:rPr>
        <w:t>实质性内容作出响应。</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3.6.3 投标文件应用不褪色的材料书写或打印，并由投标人授权代表签字、盖单位章。投标人代表是法定代表人的，投标文件应附法定代表人身份证明；投标人代表是授权代理人的，投标文件应附法定代表人签署的授权委托书和授权代理人身份证明。投标文件应尽量避免涂改、行间插字或删除。如果出现上述情况，改动之处应加盖单位章或由投标人授权代表签字确认。</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3.6.4 投标文件份数见投标人须知前附表。正本和副本的封面上应清楚地标记“正本”或“副本”的字样。当副本和正本不一致时，以正本为准。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3.6.5 投标文件的正本与副本应分别装订成册，并编制目录，具体装订要求见投标人须知前附表规定。</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254" w:name="_Toc2846"/>
      <w:bookmarkStart w:id="255" w:name="_Toc27849"/>
      <w:bookmarkStart w:id="256" w:name="_Toc432367346"/>
      <w:bookmarkStart w:id="257" w:name="_Toc247513979"/>
      <w:bookmarkStart w:id="258" w:name="_Toc247527580"/>
      <w:bookmarkStart w:id="259" w:name="_Toc152042331"/>
      <w:bookmarkStart w:id="260" w:name="_Toc144974523"/>
      <w:bookmarkStart w:id="261" w:name="_Toc152045555"/>
      <w:bookmarkStart w:id="262" w:name="_Toc300834976"/>
      <w:bookmarkStart w:id="263" w:name="_Toc430813262"/>
      <w:r>
        <w:rPr>
          <w:rFonts w:hint="eastAsia" w:ascii="宋体" w:hAnsi="宋体" w:eastAsia="宋体" w:cs="宋体"/>
          <w:b/>
          <w:bCs/>
          <w:kern w:val="2"/>
          <w:sz w:val="28"/>
          <w:szCs w:val="28"/>
          <w:highlight w:val="none"/>
          <w:lang w:val="en-US" w:eastAsia="zh-CN" w:bidi="ar-SA"/>
        </w:rPr>
        <w:t>投标</w:t>
      </w:r>
      <w:bookmarkEnd w:id="254"/>
      <w:bookmarkEnd w:id="255"/>
      <w:bookmarkEnd w:id="256"/>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64" w:name="_Toc432367347"/>
      <w:bookmarkStart w:id="265" w:name="_Toc29846"/>
      <w:bookmarkStart w:id="266" w:name="_Toc25444"/>
      <w:r>
        <w:rPr>
          <w:rFonts w:hint="eastAsia" w:ascii="宋体" w:hAnsi="宋体" w:eastAsia="宋体" w:cs="宋体"/>
          <w:b/>
          <w:kern w:val="2"/>
          <w:sz w:val="24"/>
          <w:szCs w:val="24"/>
          <w:highlight w:val="none"/>
          <w:lang w:val="en-US" w:eastAsia="zh-CN" w:bidi="ar-SA"/>
        </w:rPr>
        <w:t>4.</w:t>
      </w:r>
      <w:bookmarkEnd w:id="257"/>
      <w:bookmarkEnd w:id="258"/>
      <w:bookmarkEnd w:id="259"/>
      <w:bookmarkEnd w:id="260"/>
      <w:bookmarkEnd w:id="261"/>
      <w:bookmarkEnd w:id="262"/>
      <w:bookmarkEnd w:id="263"/>
      <w:r>
        <w:rPr>
          <w:rFonts w:hint="eastAsia" w:ascii="宋体" w:hAnsi="宋体" w:eastAsia="宋体" w:cs="宋体"/>
          <w:b/>
          <w:kern w:val="2"/>
          <w:sz w:val="24"/>
          <w:szCs w:val="24"/>
          <w:highlight w:val="none"/>
          <w:lang w:val="en-US" w:eastAsia="zh-CN" w:bidi="ar-SA"/>
        </w:rPr>
        <w:t>1</w:t>
      </w:r>
      <w:bookmarkStart w:id="267" w:name="_Toc152045556"/>
      <w:bookmarkStart w:id="268" w:name="_Toc430813263"/>
      <w:bookmarkStart w:id="269" w:name="_Toc152042332"/>
      <w:bookmarkStart w:id="270" w:name="_Toc144974524"/>
      <w:bookmarkStart w:id="271" w:name="_Toc247527581"/>
      <w:bookmarkStart w:id="272" w:name="_Toc300834977"/>
      <w:bookmarkStart w:id="273" w:name="_Toc247513980"/>
      <w:r>
        <w:rPr>
          <w:rFonts w:hint="eastAsia" w:ascii="宋体" w:hAnsi="宋体" w:eastAsia="宋体" w:cs="宋体"/>
          <w:b/>
          <w:kern w:val="2"/>
          <w:sz w:val="24"/>
          <w:szCs w:val="24"/>
          <w:highlight w:val="none"/>
          <w:lang w:val="en-US" w:eastAsia="zh-CN" w:bidi="ar-SA"/>
        </w:rPr>
        <w:t xml:space="preserve"> 投标文件的密封和标记</w:t>
      </w:r>
      <w:bookmarkEnd w:id="264"/>
      <w:bookmarkEnd w:id="265"/>
      <w:bookmarkEnd w:id="26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267"/>
      <w:bookmarkEnd w:id="268"/>
      <w:bookmarkEnd w:id="269"/>
      <w:bookmarkEnd w:id="270"/>
      <w:bookmarkEnd w:id="271"/>
      <w:bookmarkEnd w:id="272"/>
      <w:bookmarkEnd w:id="273"/>
      <w:r>
        <w:rPr>
          <w:rFonts w:hint="eastAsia" w:ascii="宋体" w:hAnsi="宋体" w:eastAsia="宋体" w:cs="宋体"/>
          <w:highlight w:val="none"/>
        </w:rPr>
        <w:t>1.1投标人应将所有投标文件（包括纸质文件和电子文件）密封完好。</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4.1.2封套上应写明的内容见投标人须知前附表。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4.1.3为方便开标唱标，投标人应将开标一览表单独密封提交，并在密封袋上标明“开标一览表”字样。</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74" w:name="_Toc8483"/>
      <w:bookmarkStart w:id="275" w:name="_Toc432367348"/>
      <w:bookmarkStart w:id="276" w:name="_Toc10767"/>
      <w:r>
        <w:rPr>
          <w:rFonts w:hint="eastAsia" w:ascii="宋体" w:hAnsi="宋体" w:eastAsia="宋体" w:cs="宋体"/>
          <w:b/>
          <w:kern w:val="2"/>
          <w:sz w:val="24"/>
          <w:szCs w:val="24"/>
          <w:highlight w:val="none"/>
          <w:lang w:val="en-US" w:eastAsia="zh-CN" w:bidi="ar-SA"/>
        </w:rPr>
        <w:t>4.2</w:t>
      </w:r>
      <w:bookmarkStart w:id="277" w:name="_Toc247527582"/>
      <w:bookmarkStart w:id="278" w:name="_Toc152042333"/>
      <w:bookmarkStart w:id="279" w:name="_Toc152045557"/>
      <w:bookmarkStart w:id="280" w:name="_Toc144974525"/>
      <w:bookmarkStart w:id="281" w:name="_Toc430813264"/>
      <w:bookmarkStart w:id="282" w:name="_Toc300834978"/>
      <w:bookmarkStart w:id="283" w:name="_Toc247513981"/>
      <w:r>
        <w:rPr>
          <w:rFonts w:hint="eastAsia" w:ascii="宋体" w:hAnsi="宋体" w:eastAsia="宋体" w:cs="宋体"/>
          <w:b/>
          <w:kern w:val="2"/>
          <w:sz w:val="24"/>
          <w:szCs w:val="24"/>
          <w:highlight w:val="none"/>
          <w:lang w:val="en-US" w:eastAsia="zh-CN" w:bidi="ar-SA"/>
        </w:rPr>
        <w:t xml:space="preserve"> 投标文件的递交</w:t>
      </w:r>
      <w:bookmarkEnd w:id="274"/>
      <w:bookmarkEnd w:id="275"/>
      <w:bookmarkEnd w:id="27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277"/>
      <w:bookmarkEnd w:id="278"/>
      <w:bookmarkEnd w:id="279"/>
      <w:bookmarkEnd w:id="280"/>
      <w:bookmarkEnd w:id="281"/>
      <w:bookmarkEnd w:id="282"/>
      <w:bookmarkEnd w:id="283"/>
      <w:r>
        <w:rPr>
          <w:rFonts w:hint="eastAsia" w:ascii="宋体" w:hAnsi="宋体" w:eastAsia="宋体" w:cs="宋体"/>
          <w:highlight w:val="none"/>
        </w:rPr>
        <w:t>2.1 投标人应在投标人须知前附表规定的投标截止时间前递交投标文件。</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4.2.2 投标人递交投标文件的地点见投标人须知前附表。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4.2.3投标人所递交的投标文件不予退还。</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4.2.4逾期送达指定地点的或者不按照本章第4.1.1项要求密封的投标文件，采购人和采购代理机构应当拒收。</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284" w:name="_Toc1032"/>
      <w:bookmarkStart w:id="285" w:name="_Toc14099"/>
      <w:bookmarkStart w:id="286" w:name="_Toc432367349"/>
      <w:r>
        <w:rPr>
          <w:rFonts w:hint="eastAsia" w:ascii="宋体" w:hAnsi="宋体" w:eastAsia="宋体" w:cs="宋体"/>
          <w:b/>
          <w:kern w:val="2"/>
          <w:sz w:val="24"/>
          <w:szCs w:val="24"/>
          <w:highlight w:val="none"/>
          <w:lang w:val="en-US" w:eastAsia="zh-CN" w:bidi="ar-SA"/>
        </w:rPr>
        <w:t>4.3</w:t>
      </w:r>
      <w:bookmarkStart w:id="287" w:name="_Toc300834979"/>
      <w:bookmarkStart w:id="288" w:name="_Toc152045558"/>
      <w:bookmarkStart w:id="289" w:name="_Toc430813265"/>
      <w:bookmarkStart w:id="290" w:name="_Toc247513982"/>
      <w:bookmarkStart w:id="291" w:name="_Toc144974526"/>
      <w:bookmarkStart w:id="292" w:name="_Toc152042334"/>
      <w:bookmarkStart w:id="293" w:name="_Toc247527583"/>
      <w:r>
        <w:rPr>
          <w:rFonts w:hint="eastAsia" w:ascii="宋体" w:hAnsi="宋体" w:eastAsia="宋体" w:cs="宋体"/>
          <w:b/>
          <w:kern w:val="2"/>
          <w:sz w:val="24"/>
          <w:szCs w:val="24"/>
          <w:highlight w:val="none"/>
          <w:lang w:val="en-US" w:eastAsia="zh-CN" w:bidi="ar-SA"/>
        </w:rPr>
        <w:t xml:space="preserve"> 投标文件的修改与撤回</w:t>
      </w:r>
      <w:bookmarkEnd w:id="284"/>
      <w:bookmarkEnd w:id="285"/>
      <w:bookmarkEnd w:id="28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w:t>
      </w:r>
      <w:bookmarkEnd w:id="287"/>
      <w:bookmarkEnd w:id="288"/>
      <w:bookmarkEnd w:id="289"/>
      <w:bookmarkEnd w:id="290"/>
      <w:bookmarkEnd w:id="291"/>
      <w:bookmarkEnd w:id="292"/>
      <w:bookmarkEnd w:id="293"/>
      <w:r>
        <w:rPr>
          <w:rFonts w:hint="eastAsia" w:ascii="宋体" w:hAnsi="宋体" w:eastAsia="宋体" w:cs="宋体"/>
          <w:highlight w:val="none"/>
        </w:rPr>
        <w:t>3.1 在投标截止时间前，投标人可以修改或撤回已递交的投标文件，但应以书面形式通知采购代理机构。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4.3.2 投标人修改或撤回已递交投标文件的书面通知应按照本章第3.6.3项的要求签字、盖章。</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4.3.3修改的内容为投标文件的组成部分。修改的投标文件应按照本章第三条、第四条规定进行编制、密封、标记和递交，并标明“修改”字样。</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294" w:name="_Toc22238"/>
      <w:bookmarkStart w:id="295" w:name="_Toc11310"/>
      <w:bookmarkStart w:id="296" w:name="_Toc432367350"/>
      <w:bookmarkStart w:id="297" w:name="_Toc247527584"/>
      <w:bookmarkStart w:id="298" w:name="_Toc152045559"/>
      <w:bookmarkStart w:id="299" w:name="_Toc144974527"/>
      <w:bookmarkStart w:id="300" w:name="_Toc300834980"/>
      <w:bookmarkStart w:id="301" w:name="_Toc247513983"/>
      <w:bookmarkStart w:id="302" w:name="_Toc430813266"/>
      <w:bookmarkStart w:id="303" w:name="_Toc152042335"/>
      <w:r>
        <w:rPr>
          <w:rFonts w:hint="eastAsia" w:ascii="宋体" w:hAnsi="宋体" w:eastAsia="宋体" w:cs="宋体"/>
          <w:b/>
          <w:bCs/>
          <w:kern w:val="2"/>
          <w:sz w:val="28"/>
          <w:szCs w:val="28"/>
          <w:highlight w:val="none"/>
          <w:lang w:val="en-US" w:eastAsia="zh-CN" w:bidi="ar-SA"/>
        </w:rPr>
        <w:t>开标</w:t>
      </w:r>
      <w:bookmarkEnd w:id="294"/>
      <w:bookmarkEnd w:id="295"/>
      <w:bookmarkEnd w:id="296"/>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04" w:name="_Toc19210"/>
      <w:bookmarkStart w:id="305" w:name="_Toc15373"/>
      <w:bookmarkStart w:id="306" w:name="_Toc432367351"/>
      <w:r>
        <w:rPr>
          <w:rFonts w:hint="eastAsia" w:ascii="宋体" w:hAnsi="宋体" w:eastAsia="宋体" w:cs="宋体"/>
          <w:b/>
          <w:kern w:val="2"/>
          <w:sz w:val="24"/>
          <w:szCs w:val="24"/>
          <w:highlight w:val="none"/>
          <w:lang w:val="en-US" w:eastAsia="zh-CN" w:bidi="ar-SA"/>
        </w:rPr>
        <w:t>5.</w:t>
      </w:r>
      <w:bookmarkEnd w:id="297"/>
      <w:bookmarkEnd w:id="298"/>
      <w:bookmarkEnd w:id="299"/>
      <w:bookmarkEnd w:id="300"/>
      <w:bookmarkEnd w:id="301"/>
      <w:bookmarkEnd w:id="302"/>
      <w:bookmarkEnd w:id="303"/>
      <w:r>
        <w:rPr>
          <w:rFonts w:hint="eastAsia" w:ascii="宋体" w:hAnsi="宋体" w:eastAsia="宋体" w:cs="宋体"/>
          <w:b/>
          <w:kern w:val="2"/>
          <w:sz w:val="24"/>
          <w:szCs w:val="24"/>
          <w:highlight w:val="none"/>
          <w:lang w:val="en-US" w:eastAsia="zh-CN" w:bidi="ar-SA"/>
        </w:rPr>
        <w:t>1</w:t>
      </w:r>
      <w:bookmarkStart w:id="307" w:name="_Toc152045560"/>
      <w:bookmarkStart w:id="308" w:name="_Toc152042336"/>
      <w:bookmarkStart w:id="309" w:name="_Toc300834981"/>
      <w:bookmarkStart w:id="310" w:name="_Toc430813267"/>
      <w:bookmarkStart w:id="311" w:name="_Toc144974528"/>
      <w:bookmarkStart w:id="312" w:name="_Toc247527585"/>
      <w:bookmarkStart w:id="313" w:name="_Toc247513984"/>
      <w:r>
        <w:rPr>
          <w:rFonts w:hint="eastAsia" w:ascii="宋体" w:hAnsi="宋体" w:eastAsia="宋体" w:cs="宋体"/>
          <w:b/>
          <w:kern w:val="2"/>
          <w:sz w:val="24"/>
          <w:szCs w:val="24"/>
          <w:highlight w:val="none"/>
          <w:lang w:val="en-US" w:eastAsia="zh-CN" w:bidi="ar-SA"/>
        </w:rPr>
        <w:t xml:space="preserve"> 开标时间和地点</w:t>
      </w:r>
      <w:bookmarkEnd w:id="304"/>
      <w:bookmarkEnd w:id="305"/>
      <w:bookmarkEnd w:id="30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w:t>
      </w:r>
      <w:bookmarkEnd w:id="307"/>
      <w:bookmarkEnd w:id="308"/>
      <w:bookmarkEnd w:id="309"/>
      <w:bookmarkEnd w:id="310"/>
      <w:bookmarkEnd w:id="311"/>
      <w:bookmarkEnd w:id="312"/>
      <w:bookmarkEnd w:id="313"/>
      <w:r>
        <w:rPr>
          <w:rFonts w:hint="eastAsia" w:ascii="宋体" w:hAnsi="宋体" w:eastAsia="宋体" w:cs="宋体"/>
          <w:highlight w:val="none"/>
        </w:rPr>
        <w:t>1.1开标会按投标人须知前附表规定的开标时间和地点准时举行，采购代理机构在此邀请所有投标人授权代表准时参加开标会。投标人授权代表如出席会议，应向采购代理机构提交投标人授权代表身份证明，出示本人身份证，以证明其出席。投标人授权代表如不出席会议，则视为对开标程序和内容无异议。</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14" w:name="_Toc432367352"/>
      <w:bookmarkStart w:id="315" w:name="_Toc19233"/>
      <w:bookmarkStart w:id="316" w:name="_Toc13208"/>
      <w:r>
        <w:rPr>
          <w:rFonts w:hint="eastAsia" w:ascii="宋体" w:hAnsi="宋体" w:eastAsia="宋体" w:cs="宋体"/>
          <w:b/>
          <w:kern w:val="2"/>
          <w:sz w:val="24"/>
          <w:szCs w:val="24"/>
          <w:highlight w:val="none"/>
          <w:lang w:val="en-US" w:eastAsia="zh-CN" w:bidi="ar-SA"/>
        </w:rPr>
        <w:t>5.2</w:t>
      </w:r>
      <w:bookmarkStart w:id="317" w:name="_Toc152045561"/>
      <w:bookmarkStart w:id="318" w:name="_Toc300834982"/>
      <w:bookmarkStart w:id="319" w:name="_Toc152042337"/>
      <w:bookmarkStart w:id="320" w:name="_Toc144974529"/>
      <w:bookmarkStart w:id="321" w:name="_Toc247527586"/>
      <w:bookmarkStart w:id="322" w:name="_Toc247513985"/>
      <w:bookmarkStart w:id="323" w:name="_Toc430813268"/>
      <w:r>
        <w:rPr>
          <w:rFonts w:hint="eastAsia" w:ascii="宋体" w:hAnsi="宋体" w:eastAsia="宋体" w:cs="宋体"/>
          <w:b/>
          <w:kern w:val="2"/>
          <w:sz w:val="24"/>
          <w:szCs w:val="24"/>
          <w:highlight w:val="none"/>
          <w:lang w:val="en-US" w:eastAsia="zh-CN" w:bidi="ar-SA"/>
        </w:rPr>
        <w:t xml:space="preserve"> 开标程序</w:t>
      </w:r>
      <w:bookmarkEnd w:id="314"/>
      <w:bookmarkEnd w:id="315"/>
      <w:bookmarkEnd w:id="31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w:t>
      </w:r>
      <w:bookmarkEnd w:id="317"/>
      <w:bookmarkEnd w:id="318"/>
      <w:bookmarkEnd w:id="319"/>
      <w:bookmarkEnd w:id="320"/>
      <w:bookmarkEnd w:id="321"/>
      <w:bookmarkEnd w:id="322"/>
      <w:bookmarkEnd w:id="323"/>
      <w:r>
        <w:rPr>
          <w:rFonts w:hint="eastAsia" w:ascii="宋体" w:hAnsi="宋体" w:eastAsia="宋体" w:cs="宋体"/>
          <w:highlight w:val="none"/>
        </w:rPr>
        <w:t>2.1主持人按下列程序进行开标：</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（1）宣布开标会纪律</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（2）介绍参加开标会的单位和人员</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（3）介绍本项目招标的主要过程</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（4）检验投标文件密封情况</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（5）启封投标文件、核验投标人授权代表身份</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（6）唱标</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（7）宣布评标安排及其他事项</w:t>
      </w:r>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（8）开标会结束</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24" w:name="_Toc432367353"/>
      <w:bookmarkStart w:id="325" w:name="_Toc28487"/>
      <w:bookmarkStart w:id="326" w:name="_Toc22300"/>
      <w:r>
        <w:rPr>
          <w:rFonts w:hint="eastAsia" w:ascii="宋体" w:hAnsi="宋体" w:eastAsia="宋体" w:cs="宋体"/>
          <w:b/>
          <w:kern w:val="2"/>
          <w:sz w:val="24"/>
          <w:szCs w:val="24"/>
          <w:highlight w:val="none"/>
          <w:lang w:val="en-US" w:eastAsia="zh-CN" w:bidi="ar-SA"/>
        </w:rPr>
        <w:t>5.3</w:t>
      </w:r>
      <w:bookmarkStart w:id="327" w:name="_Toc300834983"/>
      <w:bookmarkStart w:id="328" w:name="_Toc430813269"/>
      <w:r>
        <w:rPr>
          <w:rFonts w:hint="eastAsia" w:ascii="宋体" w:hAnsi="宋体" w:eastAsia="宋体" w:cs="宋体"/>
          <w:b/>
          <w:kern w:val="2"/>
          <w:sz w:val="24"/>
          <w:szCs w:val="24"/>
          <w:highlight w:val="none"/>
          <w:lang w:val="en-US" w:eastAsia="zh-CN" w:bidi="ar-SA"/>
        </w:rPr>
        <w:t xml:space="preserve"> 开标异议</w:t>
      </w:r>
      <w:bookmarkEnd w:id="324"/>
      <w:bookmarkEnd w:id="325"/>
      <w:bookmarkEnd w:id="326"/>
    </w:p>
    <w:p>
      <w:pPr>
        <w:snapToGrid w:val="0"/>
        <w:spacing w:line="360" w:lineRule="auto"/>
        <w:ind w:firstLine="359" w:firstLineChars="171"/>
        <w:rPr>
          <w:rFonts w:ascii="宋体" w:hAnsi="宋体" w:eastAsia="宋体" w:cs="宋体"/>
          <w:highlight w:val="none"/>
        </w:rPr>
      </w:pPr>
      <w:r>
        <w:rPr>
          <w:rFonts w:hint="eastAsia" w:ascii="宋体" w:hAnsi="宋体" w:eastAsia="宋体" w:cs="宋体"/>
          <w:highlight w:val="none"/>
        </w:rPr>
        <w:t>5.</w:t>
      </w:r>
      <w:bookmarkEnd w:id="327"/>
      <w:bookmarkEnd w:id="328"/>
      <w:r>
        <w:rPr>
          <w:rFonts w:hint="eastAsia" w:ascii="宋体" w:hAnsi="宋体" w:eastAsia="宋体" w:cs="宋体"/>
          <w:highlight w:val="none"/>
        </w:rPr>
        <w:t>3.1投标人对开标程序有异议的，投标人授权代表应当在开标现场提出，采购代理机构当场作出答复，并制作记录。</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329" w:name="_Toc4051"/>
      <w:bookmarkStart w:id="330" w:name="_Toc432367354"/>
      <w:bookmarkStart w:id="331" w:name="_Toc9792"/>
      <w:bookmarkStart w:id="332" w:name="_Toc247513986"/>
      <w:bookmarkStart w:id="333" w:name="_Toc152042338"/>
      <w:bookmarkStart w:id="334" w:name="_Toc247527587"/>
      <w:bookmarkStart w:id="335" w:name="_Toc430813270"/>
      <w:bookmarkStart w:id="336" w:name="_Toc300834984"/>
      <w:bookmarkStart w:id="337" w:name="_Toc144974530"/>
      <w:bookmarkStart w:id="338" w:name="_Toc152045562"/>
      <w:r>
        <w:rPr>
          <w:rFonts w:hint="eastAsia" w:ascii="宋体" w:hAnsi="宋体" w:eastAsia="宋体" w:cs="宋体"/>
          <w:b/>
          <w:bCs/>
          <w:kern w:val="2"/>
          <w:sz w:val="28"/>
          <w:szCs w:val="28"/>
          <w:highlight w:val="none"/>
          <w:lang w:val="en-US" w:eastAsia="zh-CN" w:bidi="ar-SA"/>
        </w:rPr>
        <w:t>评标</w:t>
      </w:r>
      <w:bookmarkEnd w:id="329"/>
      <w:bookmarkEnd w:id="330"/>
      <w:bookmarkEnd w:id="331"/>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39" w:name="_Toc432367355"/>
      <w:bookmarkStart w:id="340" w:name="_Toc9478"/>
      <w:bookmarkStart w:id="341" w:name="_Toc30423"/>
      <w:r>
        <w:rPr>
          <w:rFonts w:hint="eastAsia" w:ascii="宋体" w:hAnsi="宋体" w:eastAsia="宋体" w:cs="宋体"/>
          <w:b/>
          <w:kern w:val="2"/>
          <w:sz w:val="24"/>
          <w:szCs w:val="24"/>
          <w:highlight w:val="none"/>
          <w:lang w:val="en-US" w:eastAsia="zh-CN" w:bidi="ar-SA"/>
        </w:rPr>
        <w:t>6.</w:t>
      </w:r>
      <w:bookmarkEnd w:id="332"/>
      <w:bookmarkEnd w:id="333"/>
      <w:bookmarkEnd w:id="334"/>
      <w:bookmarkEnd w:id="335"/>
      <w:bookmarkEnd w:id="336"/>
      <w:bookmarkEnd w:id="337"/>
      <w:bookmarkEnd w:id="338"/>
      <w:r>
        <w:rPr>
          <w:rFonts w:hint="eastAsia" w:ascii="宋体" w:hAnsi="宋体" w:eastAsia="宋体" w:cs="宋体"/>
          <w:b/>
          <w:kern w:val="2"/>
          <w:sz w:val="24"/>
          <w:szCs w:val="24"/>
          <w:highlight w:val="none"/>
          <w:lang w:val="en-US" w:eastAsia="zh-CN" w:bidi="ar-SA"/>
        </w:rPr>
        <w:t>1</w:t>
      </w:r>
      <w:bookmarkStart w:id="342" w:name="_Toc152045563"/>
      <w:bookmarkStart w:id="343" w:name="_Toc144974531"/>
      <w:bookmarkStart w:id="344" w:name="_Toc247513987"/>
      <w:bookmarkStart w:id="345" w:name="_Toc430813271"/>
      <w:bookmarkStart w:id="346" w:name="_Toc300834985"/>
      <w:bookmarkStart w:id="347" w:name="_Toc247527588"/>
      <w:bookmarkStart w:id="348" w:name="_Toc152042339"/>
      <w:r>
        <w:rPr>
          <w:rFonts w:hint="eastAsia" w:ascii="宋体" w:hAnsi="宋体" w:eastAsia="宋体" w:cs="宋体"/>
          <w:b/>
          <w:kern w:val="2"/>
          <w:sz w:val="24"/>
          <w:szCs w:val="24"/>
          <w:highlight w:val="none"/>
          <w:lang w:val="en-US" w:eastAsia="zh-CN" w:bidi="ar-SA"/>
        </w:rPr>
        <w:t xml:space="preserve"> 评标委员会</w:t>
      </w:r>
      <w:bookmarkEnd w:id="339"/>
      <w:bookmarkEnd w:id="340"/>
      <w:bookmarkEnd w:id="34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42"/>
      <w:bookmarkEnd w:id="343"/>
      <w:bookmarkEnd w:id="344"/>
      <w:bookmarkEnd w:id="345"/>
      <w:bookmarkEnd w:id="346"/>
      <w:bookmarkEnd w:id="347"/>
      <w:bookmarkEnd w:id="348"/>
      <w:r>
        <w:rPr>
          <w:rFonts w:hint="eastAsia" w:ascii="宋体" w:hAnsi="宋体" w:eastAsia="宋体" w:cs="宋体"/>
          <w:highlight w:val="none"/>
        </w:rPr>
        <w:t>1.1 评标由采购人依法组建的评标委员会负责。评标委员会由采购人代表和评审专家组成。评标委员会成员人数以及评审专家的确定方式见投标人须知前附表。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6.1.2采购人不得以专家身份参与本项目的评标，采购代理机构工作人员不得参加本项目的评标。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6.1.3评标委员会成员有下列情形之一的，应当回避：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（1）参加采购活动前3年内与投标人存在劳动关系；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（2）参加采购活动前3年内担任投标人的董事、监事；</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（3）参加采购活动前3年内是投标人的控股股东或者实际控制人；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（4）与投标人的法定代表人或者负责人有夫妻、直系血亲、三代以内旁系血亲或者近姻亲关系；</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（5）与投标人有其他可能影响政府采购活动公平、公正进行的关系。</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49" w:name="_Toc21461"/>
      <w:bookmarkStart w:id="350" w:name="_Toc432367356"/>
      <w:bookmarkStart w:id="351" w:name="_Toc23933"/>
      <w:r>
        <w:rPr>
          <w:rFonts w:hint="eastAsia" w:ascii="宋体" w:hAnsi="宋体" w:eastAsia="宋体" w:cs="宋体"/>
          <w:b/>
          <w:kern w:val="2"/>
          <w:sz w:val="24"/>
          <w:szCs w:val="24"/>
          <w:highlight w:val="none"/>
          <w:lang w:val="en-US" w:eastAsia="zh-CN" w:bidi="ar-SA"/>
        </w:rPr>
        <w:t>6.2</w:t>
      </w:r>
      <w:bookmarkStart w:id="352" w:name="_Toc144974532"/>
      <w:bookmarkStart w:id="353" w:name="_Toc247513988"/>
      <w:bookmarkStart w:id="354" w:name="_Toc247527589"/>
      <w:bookmarkStart w:id="355" w:name="_Toc430813272"/>
      <w:bookmarkStart w:id="356" w:name="_Toc152042340"/>
      <w:bookmarkStart w:id="357" w:name="_Toc152045564"/>
      <w:bookmarkStart w:id="358" w:name="_Toc300834986"/>
      <w:r>
        <w:rPr>
          <w:rFonts w:hint="eastAsia" w:ascii="宋体" w:hAnsi="宋体" w:eastAsia="宋体" w:cs="宋体"/>
          <w:b/>
          <w:kern w:val="2"/>
          <w:sz w:val="24"/>
          <w:szCs w:val="24"/>
          <w:highlight w:val="none"/>
          <w:lang w:val="en-US" w:eastAsia="zh-CN" w:bidi="ar-SA"/>
        </w:rPr>
        <w:t xml:space="preserve"> 评标原则</w:t>
      </w:r>
      <w:bookmarkEnd w:id="349"/>
      <w:bookmarkEnd w:id="350"/>
      <w:bookmarkEnd w:id="35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52"/>
      <w:bookmarkEnd w:id="353"/>
      <w:bookmarkEnd w:id="354"/>
      <w:bookmarkEnd w:id="355"/>
      <w:bookmarkEnd w:id="356"/>
      <w:bookmarkEnd w:id="357"/>
      <w:bookmarkEnd w:id="358"/>
      <w:r>
        <w:rPr>
          <w:rFonts w:hint="eastAsia" w:ascii="宋体" w:hAnsi="宋体" w:eastAsia="宋体" w:cs="宋体"/>
          <w:highlight w:val="none"/>
        </w:rPr>
        <w:t>2.1评标活动遵循公平、公正、科学和择优的原则。</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59" w:name="_Toc17269"/>
      <w:bookmarkStart w:id="360" w:name="_Toc10471"/>
      <w:bookmarkStart w:id="361" w:name="_Toc432367357"/>
      <w:r>
        <w:rPr>
          <w:rFonts w:hint="eastAsia" w:ascii="宋体" w:hAnsi="宋体" w:eastAsia="宋体" w:cs="宋体"/>
          <w:b/>
          <w:kern w:val="2"/>
          <w:sz w:val="24"/>
          <w:szCs w:val="24"/>
          <w:highlight w:val="none"/>
          <w:lang w:val="en-US" w:eastAsia="zh-CN" w:bidi="ar-SA"/>
        </w:rPr>
        <w:t>6.3</w:t>
      </w:r>
      <w:bookmarkStart w:id="362" w:name="_Toc152042341"/>
      <w:bookmarkStart w:id="363" w:name="_Toc430813273"/>
      <w:bookmarkStart w:id="364" w:name="_Toc247513989"/>
      <w:bookmarkStart w:id="365" w:name="_Toc300834987"/>
      <w:bookmarkStart w:id="366" w:name="_Toc247527590"/>
      <w:bookmarkStart w:id="367" w:name="_Toc144974533"/>
      <w:bookmarkStart w:id="368" w:name="_Toc152045565"/>
      <w:r>
        <w:rPr>
          <w:rFonts w:hint="eastAsia" w:ascii="宋体" w:hAnsi="宋体" w:eastAsia="宋体" w:cs="宋体"/>
          <w:b/>
          <w:kern w:val="2"/>
          <w:sz w:val="24"/>
          <w:szCs w:val="24"/>
          <w:highlight w:val="none"/>
          <w:lang w:val="en-US" w:eastAsia="zh-CN" w:bidi="ar-SA"/>
        </w:rPr>
        <w:t xml:space="preserve"> 评标</w:t>
      </w:r>
      <w:bookmarkEnd w:id="359"/>
      <w:bookmarkEnd w:id="360"/>
      <w:bookmarkEnd w:id="36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w:t>
      </w:r>
      <w:bookmarkEnd w:id="362"/>
      <w:bookmarkEnd w:id="363"/>
      <w:bookmarkEnd w:id="364"/>
      <w:bookmarkEnd w:id="365"/>
      <w:bookmarkEnd w:id="366"/>
      <w:bookmarkEnd w:id="367"/>
      <w:bookmarkEnd w:id="368"/>
      <w:r>
        <w:rPr>
          <w:rFonts w:hint="eastAsia" w:ascii="宋体" w:hAnsi="宋体" w:eastAsia="宋体" w:cs="宋体"/>
          <w:highlight w:val="none"/>
        </w:rPr>
        <w:t>3.1评标委员会按照第四章“评标方法、步骤及标准”规定的方法、评审因素、标准和程序对投标文件进行评审。“评标方法、步骤及标准”没有规定的方法、评审因素和标准，不作为评标依据。</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6.3.2评标委员会按投标人须知前附表规定的数量在评标报告中向采购人推荐中标候选人。</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369" w:name="_Toc4425"/>
      <w:bookmarkStart w:id="370" w:name="_Toc432367358"/>
      <w:bookmarkStart w:id="371" w:name="_Toc18459"/>
      <w:r>
        <w:rPr>
          <w:rFonts w:hint="eastAsia" w:ascii="宋体" w:hAnsi="宋体" w:eastAsia="宋体" w:cs="宋体"/>
          <w:b/>
          <w:bCs/>
          <w:kern w:val="2"/>
          <w:sz w:val="28"/>
          <w:szCs w:val="28"/>
          <w:highlight w:val="none"/>
          <w:lang w:val="en-US" w:eastAsia="zh-CN" w:bidi="ar-SA"/>
        </w:rPr>
        <w:t>定</w:t>
      </w:r>
      <w:bookmarkStart w:id="372" w:name="_Toc430813274"/>
      <w:bookmarkStart w:id="373" w:name="_Toc300834990"/>
      <w:bookmarkStart w:id="374" w:name="_Toc247513990"/>
      <w:bookmarkStart w:id="375" w:name="_Toc300834988"/>
      <w:bookmarkStart w:id="376" w:name="_Toc247527591"/>
      <w:bookmarkStart w:id="377" w:name="_Toc152042342"/>
      <w:bookmarkStart w:id="378" w:name="_Toc144974534"/>
      <w:bookmarkStart w:id="379" w:name="_Toc152045566"/>
      <w:r>
        <w:rPr>
          <w:rFonts w:hint="eastAsia" w:ascii="宋体" w:hAnsi="宋体" w:eastAsia="宋体" w:cs="宋体"/>
          <w:b/>
          <w:bCs/>
          <w:kern w:val="2"/>
          <w:sz w:val="28"/>
          <w:szCs w:val="28"/>
          <w:highlight w:val="none"/>
          <w:lang w:val="en-US" w:eastAsia="zh-CN" w:bidi="ar-SA"/>
        </w:rPr>
        <w:t>标</w:t>
      </w:r>
      <w:bookmarkEnd w:id="369"/>
      <w:bookmarkEnd w:id="370"/>
      <w:bookmarkEnd w:id="371"/>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80" w:name="_Toc10376"/>
      <w:bookmarkStart w:id="381" w:name="_Toc24114"/>
      <w:bookmarkStart w:id="382" w:name="_Toc432367359"/>
      <w:r>
        <w:rPr>
          <w:rFonts w:hint="eastAsia" w:ascii="宋体" w:hAnsi="宋体" w:eastAsia="宋体" w:cs="宋体"/>
          <w:b/>
          <w:kern w:val="2"/>
          <w:sz w:val="24"/>
          <w:szCs w:val="24"/>
          <w:highlight w:val="none"/>
          <w:lang w:val="en-US" w:eastAsia="zh-CN" w:bidi="ar-SA"/>
        </w:rPr>
        <w:t>7.</w:t>
      </w:r>
      <w:bookmarkStart w:id="383" w:name="_Toc152042343"/>
      <w:bookmarkStart w:id="384" w:name="_Toc247527592"/>
      <w:bookmarkStart w:id="385" w:name="_Toc144974535"/>
      <w:bookmarkStart w:id="386" w:name="_Toc247513991"/>
      <w:bookmarkStart w:id="387" w:name="_Toc152045567"/>
      <w:bookmarkStart w:id="388" w:name="_Toc300834989"/>
      <w:bookmarkStart w:id="389" w:name="_Toc430813276"/>
      <w:r>
        <w:rPr>
          <w:rFonts w:hint="eastAsia" w:ascii="宋体" w:hAnsi="宋体" w:eastAsia="宋体" w:cs="宋体"/>
          <w:b/>
          <w:kern w:val="2"/>
          <w:sz w:val="24"/>
          <w:szCs w:val="24"/>
          <w:highlight w:val="none"/>
          <w:lang w:val="en-US" w:eastAsia="zh-CN" w:bidi="ar-SA"/>
        </w:rPr>
        <w:t>1 确定</w:t>
      </w:r>
      <w:bookmarkEnd w:id="383"/>
      <w:bookmarkEnd w:id="384"/>
      <w:bookmarkEnd w:id="385"/>
      <w:bookmarkEnd w:id="386"/>
      <w:bookmarkEnd w:id="387"/>
      <w:bookmarkEnd w:id="388"/>
      <w:r>
        <w:rPr>
          <w:rFonts w:hint="eastAsia" w:ascii="宋体" w:hAnsi="宋体" w:eastAsia="宋体" w:cs="宋体"/>
          <w:b/>
          <w:kern w:val="2"/>
          <w:sz w:val="24"/>
          <w:szCs w:val="24"/>
          <w:highlight w:val="none"/>
          <w:lang w:val="en-US" w:eastAsia="zh-CN" w:bidi="ar-SA"/>
        </w:rPr>
        <w:t>中标人</w:t>
      </w:r>
      <w:bookmarkEnd w:id="380"/>
      <w:bookmarkEnd w:id="381"/>
      <w:bookmarkEnd w:id="38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389"/>
      <w:r>
        <w:rPr>
          <w:rFonts w:hint="eastAsia" w:ascii="宋体" w:hAnsi="宋体" w:eastAsia="宋体" w:cs="宋体"/>
          <w:highlight w:val="none"/>
        </w:rPr>
        <w:t>1.1采购人应当自收到评审报告之日起5个工作日内按照《投标人须知前附表》中规定的中标原则确定中标人。</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90" w:name="_Toc432367360"/>
      <w:bookmarkStart w:id="391" w:name="_Toc29566"/>
      <w:bookmarkStart w:id="392" w:name="_Toc16722"/>
      <w:r>
        <w:rPr>
          <w:rFonts w:hint="eastAsia" w:ascii="宋体" w:hAnsi="宋体" w:eastAsia="宋体" w:cs="宋体"/>
          <w:b/>
          <w:kern w:val="2"/>
          <w:sz w:val="24"/>
          <w:szCs w:val="24"/>
          <w:highlight w:val="none"/>
          <w:lang w:val="en-US" w:eastAsia="zh-CN" w:bidi="ar-SA"/>
        </w:rPr>
        <w:t>7.</w:t>
      </w:r>
      <w:bookmarkEnd w:id="372"/>
      <w:bookmarkStart w:id="393" w:name="_Toc430813275"/>
      <w:r>
        <w:rPr>
          <w:rFonts w:hint="eastAsia" w:ascii="宋体" w:hAnsi="宋体" w:eastAsia="宋体" w:cs="宋体"/>
          <w:b/>
          <w:kern w:val="2"/>
          <w:sz w:val="24"/>
          <w:szCs w:val="24"/>
          <w:highlight w:val="none"/>
          <w:lang w:val="en-US" w:eastAsia="zh-CN" w:bidi="ar-SA"/>
        </w:rPr>
        <w:t>2 中标结果公告</w:t>
      </w:r>
      <w:bookmarkEnd w:id="390"/>
      <w:bookmarkEnd w:id="391"/>
      <w:bookmarkEnd w:id="392"/>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373"/>
      <w:bookmarkEnd w:id="393"/>
      <w:r>
        <w:rPr>
          <w:rFonts w:hint="eastAsia" w:ascii="宋体" w:hAnsi="宋体" w:eastAsia="宋体" w:cs="宋体"/>
          <w:highlight w:val="none"/>
        </w:rPr>
        <w:t>2.1采购代理机构应当自中标人确定之日起2个工作日内，发出中标通知书，并在《投标人须知前附表》中规定的媒体上公告中标结果，招标文件随中标结果同时公告，中标结果公告期限为1个工作日。</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394" w:name="_Toc432367361"/>
      <w:bookmarkStart w:id="395" w:name="_Toc21749"/>
      <w:bookmarkStart w:id="396" w:name="_Toc31025"/>
      <w:r>
        <w:rPr>
          <w:rFonts w:hint="eastAsia" w:ascii="宋体" w:hAnsi="宋体" w:eastAsia="宋体" w:cs="宋体"/>
          <w:b/>
          <w:kern w:val="2"/>
          <w:sz w:val="24"/>
          <w:szCs w:val="24"/>
          <w:highlight w:val="none"/>
          <w:lang w:val="en-US" w:eastAsia="zh-CN" w:bidi="ar-SA"/>
        </w:rPr>
        <w:t>7.3</w:t>
      </w:r>
      <w:bookmarkStart w:id="397" w:name="_Toc300834991"/>
      <w:bookmarkStart w:id="398" w:name="_Toc430813277"/>
      <w:bookmarkStart w:id="399" w:name="_Toc247513992"/>
      <w:bookmarkStart w:id="400" w:name="_Toc247527593"/>
      <w:r>
        <w:rPr>
          <w:rFonts w:hint="eastAsia" w:ascii="宋体" w:hAnsi="宋体" w:eastAsia="宋体" w:cs="宋体"/>
          <w:b/>
          <w:kern w:val="2"/>
          <w:sz w:val="24"/>
          <w:szCs w:val="24"/>
          <w:highlight w:val="none"/>
          <w:lang w:val="en-US" w:eastAsia="zh-CN" w:bidi="ar-SA"/>
        </w:rPr>
        <w:t xml:space="preserve"> 中标通知</w:t>
      </w:r>
      <w:bookmarkEnd w:id="394"/>
      <w:bookmarkEnd w:id="395"/>
      <w:bookmarkEnd w:id="39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w:t>
      </w:r>
      <w:bookmarkEnd w:id="397"/>
      <w:bookmarkEnd w:id="398"/>
      <w:bookmarkEnd w:id="399"/>
      <w:bookmarkEnd w:id="400"/>
      <w:r>
        <w:rPr>
          <w:rFonts w:hint="eastAsia" w:ascii="宋体" w:hAnsi="宋体" w:eastAsia="宋体" w:cs="宋体"/>
          <w:highlight w:val="none"/>
        </w:rPr>
        <w:t>3.1采购人和采购代理机构以书面形式向中标人发出中标通知书，同时将招标结果通知未中标的投标人。</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7.3.2 中标结果公告发布后，中标人即可前往采购代理机构处领取中标通知书，并于30日内按照招标文件要求和投标文件承诺与采购人签订政府采购合同。</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01" w:name="_Toc19500"/>
      <w:bookmarkStart w:id="402" w:name="_Toc31120"/>
      <w:r>
        <w:rPr>
          <w:rFonts w:hint="eastAsia" w:ascii="宋体" w:hAnsi="宋体" w:eastAsia="宋体" w:cs="宋体"/>
          <w:b/>
          <w:bCs/>
          <w:kern w:val="2"/>
          <w:sz w:val="28"/>
          <w:szCs w:val="28"/>
          <w:highlight w:val="none"/>
          <w:lang w:val="en-US" w:eastAsia="zh-CN" w:bidi="ar-SA"/>
        </w:rPr>
        <w:t>质疑和</w:t>
      </w:r>
      <w:bookmarkEnd w:id="401"/>
      <w:r>
        <w:rPr>
          <w:rFonts w:hint="eastAsia" w:ascii="宋体" w:hAnsi="宋体" w:cs="宋体"/>
          <w:b/>
          <w:bCs/>
          <w:kern w:val="2"/>
          <w:sz w:val="28"/>
          <w:szCs w:val="28"/>
          <w:highlight w:val="none"/>
          <w:lang w:val="en-US" w:eastAsia="zh-CN" w:bidi="ar-SA"/>
        </w:rPr>
        <w:t>回复</w:t>
      </w:r>
      <w:bookmarkEnd w:id="402"/>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03" w:name="_Toc21669"/>
      <w:bookmarkStart w:id="404" w:name="_Toc13422"/>
      <w:r>
        <w:rPr>
          <w:rFonts w:hint="eastAsia" w:ascii="宋体" w:hAnsi="宋体" w:eastAsia="宋体" w:cs="宋体"/>
          <w:b/>
          <w:kern w:val="2"/>
          <w:sz w:val="24"/>
          <w:szCs w:val="24"/>
          <w:highlight w:val="none"/>
          <w:lang w:val="en-US" w:eastAsia="zh-CN" w:bidi="ar-SA"/>
        </w:rPr>
        <w:t>8.1质疑</w:t>
      </w:r>
      <w:bookmarkEnd w:id="403"/>
      <w:bookmarkEnd w:id="404"/>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8.1.1</w:t>
      </w:r>
      <w:r>
        <w:rPr>
          <w:rFonts w:hint="eastAsia" w:ascii="宋体" w:hAnsi="宋体" w:eastAsia="宋体" w:cs="宋体"/>
          <w:szCs w:val="21"/>
          <w:highlight w:val="none"/>
        </w:rPr>
        <w:t>投标人认为招标文件、招标过程和中标结果使自己的权益受到损害的，可以在知道或者应知其权益受到损害之日起7个工作日内，以书面形式向采购人或采购代理机构</w:t>
      </w:r>
      <w:r>
        <w:rPr>
          <w:rFonts w:hint="eastAsia" w:ascii="宋体" w:hAnsi="宋体" w:eastAsia="宋体" w:cs="宋体"/>
          <w:color w:val="333333"/>
          <w:szCs w:val="21"/>
          <w:highlight w:val="none"/>
        </w:rPr>
        <w:t>一次性提出针对同一采购程序环节</w:t>
      </w:r>
      <w:r>
        <w:rPr>
          <w:rFonts w:hint="eastAsia" w:ascii="宋体" w:hAnsi="宋体" w:eastAsia="宋体" w:cs="宋体"/>
          <w:szCs w:val="21"/>
          <w:highlight w:val="none"/>
        </w:rPr>
        <w:t>的质疑。</w:t>
      </w:r>
      <w:r>
        <w:rPr>
          <w:rFonts w:hint="eastAsia" w:ascii="宋体" w:hAnsi="宋体" w:eastAsia="宋体" w:cs="宋体"/>
          <w:color w:val="333333"/>
          <w:szCs w:val="21"/>
          <w:highlight w:val="none"/>
        </w:rPr>
        <w:t>提出质疑的投标人应当是参与本项目采购活动的供应商</w:t>
      </w:r>
      <w:r>
        <w:rPr>
          <w:rFonts w:hint="eastAsia" w:ascii="宋体" w:hAnsi="宋体" w:eastAsia="宋体" w:cs="宋体"/>
          <w:highlight w:val="none"/>
        </w:rPr>
        <w:t>。</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我公司受理项目质疑部门为运营管理部，联系人：刘刚，联系电话：027-87816246。</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highlight w:val="none"/>
        </w:rPr>
        <w:t>8.1.2</w:t>
      </w:r>
      <w:r>
        <w:rPr>
          <w:rFonts w:hint="eastAsia" w:ascii="宋体" w:hAnsi="宋体" w:eastAsia="宋体" w:cs="宋体"/>
          <w:snapToGrid w:val="0"/>
          <w:kern w:val="0"/>
          <w:szCs w:val="21"/>
          <w:highlight w:val="none"/>
          <w:lang w:val="zh-CN"/>
        </w:rPr>
        <w:t>投标人提出质疑应当提交质疑函和必要的证明材料。质疑函应当包括下列内容：</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（1）投标人的姓名或者名称、地址、邮编、联系人及联系电话；</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（2）质疑项目的名称、编号；</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（3）具体、明确的质疑事项和与质疑事项相关的请求；</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（4）事实依据；</w:t>
      </w:r>
    </w:p>
    <w:p>
      <w:pPr>
        <w:tabs>
          <w:tab w:val="left" w:pos="426"/>
        </w:tabs>
        <w:autoSpaceDE w:val="0"/>
        <w:autoSpaceDN w:val="0"/>
        <w:adjustRightInd w:val="0"/>
        <w:snapToGrid w:val="0"/>
        <w:spacing w:line="360" w:lineRule="auto"/>
        <w:ind w:firstLine="420" w:firstLineChars="200"/>
        <w:jc w:val="left"/>
        <w:rPr>
          <w:rFonts w:ascii="宋体" w:hAnsi="宋体" w:eastAsia="宋体" w:cs="宋体"/>
          <w:snapToGrid w:val="0"/>
          <w:kern w:val="0"/>
          <w:szCs w:val="21"/>
          <w:highlight w:val="none"/>
          <w:lang w:val="zh-CN"/>
        </w:rPr>
      </w:pPr>
      <w:r>
        <w:rPr>
          <w:rFonts w:hint="eastAsia" w:ascii="宋体" w:hAnsi="宋体" w:eastAsia="宋体" w:cs="宋体"/>
          <w:snapToGrid w:val="0"/>
          <w:kern w:val="0"/>
          <w:szCs w:val="21"/>
          <w:highlight w:val="none"/>
          <w:lang w:val="zh-CN"/>
        </w:rPr>
        <w:t>（5）必要的法律依据；</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snapToGrid w:val="0"/>
          <w:kern w:val="0"/>
          <w:szCs w:val="21"/>
          <w:highlight w:val="none"/>
          <w:lang w:val="zh-CN"/>
        </w:rPr>
        <w:t>（6）提出质疑的日期。</w:t>
      </w:r>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snapToGrid w:val="0"/>
          <w:kern w:val="0"/>
          <w:szCs w:val="21"/>
          <w:highlight w:val="none"/>
          <w:lang w:val="zh-CN"/>
        </w:rPr>
        <w:t>投标人</w:t>
      </w:r>
      <w:r>
        <w:rPr>
          <w:rFonts w:hint="eastAsia" w:ascii="宋体" w:hAnsi="宋体" w:eastAsia="宋体" w:cs="宋体"/>
          <w:szCs w:val="21"/>
          <w:highlight w:val="none"/>
        </w:rPr>
        <w:t>为自然人的，应当由本人签字；供应商为法人或者其他组织的，应当由法定代表人、主要负责人，或者其授权代表签字或者盖章，并加盖公章。</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质疑书不符合上述要求的，采购人或代理机构应书面告知具体事项，质疑人应当按要求进行修改或补充，并在质疑有效期限内提交。</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05" w:name="_Toc28178"/>
      <w:bookmarkStart w:id="406" w:name="_Toc29716"/>
      <w:r>
        <w:rPr>
          <w:rFonts w:hint="eastAsia" w:ascii="宋体" w:hAnsi="宋体" w:eastAsia="宋体" w:cs="宋体"/>
          <w:b/>
          <w:kern w:val="2"/>
          <w:sz w:val="24"/>
          <w:szCs w:val="24"/>
          <w:highlight w:val="none"/>
          <w:lang w:val="en-US" w:eastAsia="zh-CN" w:bidi="ar-SA"/>
        </w:rPr>
        <w:t>8.2质疑回复</w:t>
      </w:r>
      <w:bookmarkEnd w:id="405"/>
      <w:bookmarkEnd w:id="406"/>
    </w:p>
    <w:p>
      <w:pPr>
        <w:snapToGrid w:val="0"/>
        <w:spacing w:line="360" w:lineRule="auto"/>
        <w:ind w:firstLine="420" w:firstLineChars="200"/>
        <w:rPr>
          <w:rFonts w:ascii="宋体" w:hAnsi="宋体" w:eastAsia="宋体" w:cs="宋体"/>
          <w:szCs w:val="21"/>
          <w:highlight w:val="none"/>
        </w:rPr>
      </w:pPr>
      <w:r>
        <w:rPr>
          <w:rFonts w:hint="eastAsia" w:ascii="宋体" w:hAnsi="宋体" w:eastAsia="宋体" w:cs="宋体"/>
          <w:highlight w:val="none"/>
        </w:rPr>
        <w:t>8.2.1</w:t>
      </w:r>
      <w:r>
        <w:rPr>
          <w:rFonts w:hint="eastAsia" w:ascii="宋体" w:hAnsi="宋体" w:eastAsia="宋体" w:cs="宋体"/>
          <w:szCs w:val="21"/>
          <w:highlight w:val="none"/>
        </w:rPr>
        <w:t>采购人或采购代理机构应当在收到投标人的书面质疑后7个工作日内作出答复，并以书面形式通知质疑投标人和其他有关投标人，但答复的内容不得涉及商业秘密。</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8.2.2质疑答复应当包括下列内容：</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（1）质疑供应商的姓名或者名称；</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（2）收到质疑函的日期、质疑项目名称及编号；</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（3）质疑事项、质疑答复的具体内容、事实依据和法律依据；</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（4）告知质疑供应商依法投诉的权利；</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（5）质疑答复人名称；</w:t>
      </w:r>
    </w:p>
    <w:p>
      <w:pPr>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（6）答复质疑的日期。</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07" w:name="_Toc432367362"/>
      <w:bookmarkStart w:id="408" w:name="_Toc14295"/>
      <w:bookmarkStart w:id="409" w:name="_Toc32191"/>
      <w:bookmarkStart w:id="410" w:name="_Toc430813278"/>
      <w:r>
        <w:rPr>
          <w:rFonts w:hint="eastAsia" w:ascii="宋体" w:hAnsi="宋体" w:eastAsia="宋体" w:cs="宋体"/>
          <w:b/>
          <w:bCs/>
          <w:kern w:val="2"/>
          <w:sz w:val="28"/>
          <w:szCs w:val="28"/>
          <w:highlight w:val="none"/>
          <w:lang w:val="en-US" w:eastAsia="zh-CN" w:bidi="ar-SA"/>
        </w:rPr>
        <w:t>合同授予</w:t>
      </w:r>
      <w:bookmarkEnd w:id="407"/>
      <w:bookmarkEnd w:id="408"/>
      <w:bookmarkEnd w:id="409"/>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11" w:name="_Toc182"/>
      <w:bookmarkStart w:id="412" w:name="_Toc10779"/>
      <w:bookmarkStart w:id="413" w:name="_Toc432367363"/>
      <w:r>
        <w:rPr>
          <w:rFonts w:hint="eastAsia" w:ascii="宋体" w:hAnsi="宋体" w:eastAsia="宋体" w:cs="宋体"/>
          <w:b/>
          <w:kern w:val="2"/>
          <w:sz w:val="24"/>
          <w:szCs w:val="24"/>
          <w:highlight w:val="none"/>
          <w:lang w:val="en-US" w:eastAsia="zh-CN" w:bidi="ar-SA"/>
        </w:rPr>
        <w:t>9.</w:t>
      </w:r>
      <w:bookmarkEnd w:id="374"/>
      <w:bookmarkEnd w:id="375"/>
      <w:bookmarkEnd w:id="376"/>
      <w:bookmarkEnd w:id="377"/>
      <w:bookmarkEnd w:id="378"/>
      <w:bookmarkEnd w:id="379"/>
      <w:bookmarkEnd w:id="410"/>
      <w:r>
        <w:rPr>
          <w:rFonts w:hint="eastAsia" w:ascii="宋体" w:hAnsi="宋体" w:eastAsia="宋体" w:cs="宋体"/>
          <w:b/>
          <w:kern w:val="2"/>
          <w:sz w:val="24"/>
          <w:szCs w:val="24"/>
          <w:highlight w:val="none"/>
          <w:lang w:val="en-US" w:eastAsia="zh-CN" w:bidi="ar-SA"/>
        </w:rPr>
        <w:t>1</w:t>
      </w:r>
      <w:bookmarkStart w:id="414" w:name="_Toc430813279"/>
      <w:bookmarkStart w:id="415" w:name="_Toc247513994"/>
      <w:bookmarkStart w:id="416" w:name="_Toc247527595"/>
      <w:bookmarkStart w:id="417" w:name="_Toc152042346"/>
      <w:bookmarkStart w:id="418" w:name="_Toc152045570"/>
      <w:bookmarkStart w:id="419" w:name="_Toc300834993"/>
      <w:bookmarkStart w:id="420" w:name="_Toc144974538"/>
      <w:r>
        <w:rPr>
          <w:rFonts w:hint="eastAsia" w:ascii="宋体" w:hAnsi="宋体" w:eastAsia="宋体" w:cs="宋体"/>
          <w:b/>
          <w:kern w:val="2"/>
          <w:sz w:val="24"/>
          <w:szCs w:val="24"/>
          <w:highlight w:val="none"/>
          <w:lang w:val="en-US" w:eastAsia="zh-CN" w:bidi="ar-SA"/>
        </w:rPr>
        <w:t>履约保证金</w:t>
      </w:r>
      <w:bookmarkEnd w:id="411"/>
      <w:bookmarkEnd w:id="412"/>
      <w:bookmarkEnd w:id="41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w:t>
      </w:r>
      <w:bookmarkEnd w:id="414"/>
      <w:r>
        <w:rPr>
          <w:rFonts w:hint="eastAsia" w:ascii="宋体" w:hAnsi="宋体" w:eastAsia="宋体" w:cs="宋体"/>
          <w:highlight w:val="none"/>
        </w:rPr>
        <w:t>1.1在签订合同前，中标人应按投标人须知前附表规定的金额、担保形式和采购人认可的履约保证金格式向采购人提交履约保证金。</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9.1.2中标人不能按本章第9.1.1项要求提交履约保证金的，视为放弃中标，给采购人造成的损失的，中标人还应当予以赔偿。</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21" w:name="_Toc32438"/>
      <w:bookmarkStart w:id="422" w:name="_Toc432367364"/>
      <w:bookmarkStart w:id="423" w:name="_Toc2451"/>
      <w:r>
        <w:rPr>
          <w:rFonts w:hint="eastAsia" w:ascii="宋体" w:hAnsi="宋体" w:eastAsia="宋体" w:cs="宋体"/>
          <w:b/>
          <w:kern w:val="2"/>
          <w:sz w:val="24"/>
          <w:szCs w:val="24"/>
          <w:highlight w:val="none"/>
          <w:lang w:val="en-US" w:eastAsia="zh-CN" w:bidi="ar-SA"/>
        </w:rPr>
        <w:t>9.2</w:t>
      </w:r>
      <w:bookmarkStart w:id="424" w:name="_Toc430813280"/>
      <w:r>
        <w:rPr>
          <w:rFonts w:hint="eastAsia" w:ascii="宋体" w:hAnsi="宋体" w:eastAsia="宋体" w:cs="宋体"/>
          <w:b/>
          <w:kern w:val="2"/>
          <w:sz w:val="24"/>
          <w:szCs w:val="24"/>
          <w:highlight w:val="none"/>
          <w:lang w:val="en-US" w:eastAsia="zh-CN" w:bidi="ar-SA"/>
        </w:rPr>
        <w:t xml:space="preserve"> 签订合同</w:t>
      </w:r>
      <w:bookmarkEnd w:id="421"/>
      <w:bookmarkEnd w:id="422"/>
      <w:bookmarkEnd w:id="423"/>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w:t>
      </w:r>
      <w:bookmarkEnd w:id="415"/>
      <w:bookmarkEnd w:id="416"/>
      <w:bookmarkEnd w:id="417"/>
      <w:bookmarkEnd w:id="418"/>
      <w:bookmarkEnd w:id="419"/>
      <w:bookmarkEnd w:id="420"/>
      <w:bookmarkEnd w:id="424"/>
      <w:r>
        <w:rPr>
          <w:rFonts w:hint="eastAsia" w:ascii="宋体" w:hAnsi="宋体" w:eastAsia="宋体" w:cs="宋体"/>
          <w:highlight w:val="none"/>
        </w:rPr>
        <w:t>2.1 采购人和中标人应当自中标通知书发出之日起30天内，根据招标文件和中标人的投标文件订立书面合同。所签订的合同不得对招标文件和中标人投标文件作实质性修改。中标人无正当理由拒签合同的，采购人将取消其中标资格；给采购人造成的损失的，中标人还应当予以赔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9.2.2采购人和中标人不得向对方提出任何不合理的要求，作为签订合同的条件，双方不得私下订立背离合同实质性内容的协议。</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9.3.3 政府采购合同履行中，采购人需追加与合同标的相同的服务的，在不改变合同其他条款的前提下，可以与投标人协商签订补充合同，但所有补充合同的采购金额不得超过原合同采购金额的百分之十。</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25" w:name="_Toc432367365"/>
      <w:bookmarkStart w:id="426" w:name="_Toc15250"/>
      <w:bookmarkStart w:id="427" w:name="_Toc23419"/>
      <w:r>
        <w:rPr>
          <w:rFonts w:hint="eastAsia" w:ascii="宋体" w:hAnsi="宋体" w:eastAsia="宋体" w:cs="宋体"/>
          <w:b/>
          <w:bCs/>
          <w:kern w:val="2"/>
          <w:sz w:val="28"/>
          <w:szCs w:val="28"/>
          <w:highlight w:val="none"/>
          <w:lang w:val="en-US" w:eastAsia="zh-CN" w:bidi="ar-SA"/>
        </w:rPr>
        <w:t>招</w:t>
      </w:r>
      <w:bookmarkStart w:id="428" w:name="_Toc430813281"/>
      <w:bookmarkStart w:id="429" w:name="_Toc152045571"/>
      <w:bookmarkStart w:id="430" w:name="_Toc247527596"/>
      <w:bookmarkStart w:id="431" w:name="_Toc152042347"/>
      <w:bookmarkStart w:id="432" w:name="_Toc144974539"/>
      <w:bookmarkStart w:id="433" w:name="_Toc247513995"/>
      <w:bookmarkStart w:id="434" w:name="_Toc300834994"/>
      <w:r>
        <w:rPr>
          <w:rFonts w:hint="eastAsia" w:ascii="宋体" w:hAnsi="宋体" w:eastAsia="宋体" w:cs="宋体"/>
          <w:b/>
          <w:bCs/>
          <w:kern w:val="2"/>
          <w:sz w:val="28"/>
          <w:szCs w:val="28"/>
          <w:highlight w:val="none"/>
          <w:lang w:val="en-US" w:eastAsia="zh-CN" w:bidi="ar-SA"/>
        </w:rPr>
        <w:t>标代理服务费</w:t>
      </w:r>
      <w:bookmarkEnd w:id="425"/>
      <w:bookmarkEnd w:id="426"/>
      <w:bookmarkEnd w:id="427"/>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35" w:name="_Toc432367366"/>
      <w:bookmarkStart w:id="436" w:name="_Toc6864"/>
      <w:bookmarkStart w:id="437" w:name="_Toc16017"/>
      <w:r>
        <w:rPr>
          <w:rFonts w:hint="eastAsia" w:ascii="宋体" w:hAnsi="宋体" w:eastAsia="宋体" w:cs="宋体"/>
          <w:b/>
          <w:kern w:val="2"/>
          <w:sz w:val="24"/>
          <w:szCs w:val="24"/>
          <w:highlight w:val="none"/>
          <w:lang w:val="en-US" w:eastAsia="zh-CN" w:bidi="ar-SA"/>
        </w:rPr>
        <w:t>10.</w:t>
      </w:r>
      <w:bookmarkEnd w:id="428"/>
      <w:r>
        <w:rPr>
          <w:rFonts w:hint="eastAsia" w:ascii="宋体" w:hAnsi="宋体" w:eastAsia="宋体" w:cs="宋体"/>
          <w:b/>
          <w:kern w:val="2"/>
          <w:sz w:val="24"/>
          <w:szCs w:val="24"/>
          <w:highlight w:val="none"/>
          <w:lang w:val="en-US" w:eastAsia="zh-CN" w:bidi="ar-SA"/>
        </w:rPr>
        <w:t>1</w:t>
      </w:r>
      <w:bookmarkStart w:id="438" w:name="_Toc430813282"/>
      <w:r>
        <w:rPr>
          <w:rFonts w:hint="eastAsia" w:ascii="宋体" w:hAnsi="宋体" w:eastAsia="宋体" w:cs="宋体"/>
          <w:b/>
          <w:kern w:val="2"/>
          <w:sz w:val="24"/>
          <w:szCs w:val="24"/>
          <w:highlight w:val="none"/>
          <w:lang w:val="en-US" w:eastAsia="zh-CN" w:bidi="ar-SA"/>
        </w:rPr>
        <w:t>收取方式和标准</w:t>
      </w:r>
      <w:bookmarkEnd w:id="435"/>
      <w:bookmarkEnd w:id="436"/>
      <w:bookmarkEnd w:id="437"/>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w:t>
      </w:r>
      <w:bookmarkEnd w:id="438"/>
      <w:r>
        <w:rPr>
          <w:rFonts w:hint="eastAsia" w:ascii="宋体" w:hAnsi="宋体" w:eastAsia="宋体" w:cs="宋体"/>
          <w:highlight w:val="none"/>
        </w:rPr>
        <w:t>1.1采购代理机构按投标人须知前附表规定的方式和标准收取招标代理服务费。</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 xml:space="preserve">10.1.2 </w:t>
      </w:r>
      <w:r>
        <w:rPr>
          <w:rFonts w:hint="eastAsia" w:ascii="宋体" w:hAnsi="宋体" w:eastAsia="宋体" w:cs="宋体"/>
          <w:szCs w:val="21"/>
          <w:highlight w:val="none"/>
        </w:rPr>
        <w:t>原国家计委计价格[2002]1980号规定标准收费：</w:t>
      </w:r>
    </w:p>
    <w:tbl>
      <w:tblPr>
        <w:tblStyle w:val="88"/>
        <w:tblW w:w="0" w:type="auto"/>
        <w:jc w:val="center"/>
        <w:tblLayout w:type="fixed"/>
        <w:tblCellMar>
          <w:top w:w="0" w:type="dxa"/>
          <w:left w:w="0" w:type="dxa"/>
          <w:bottom w:w="0" w:type="dxa"/>
          <w:right w:w="0" w:type="dxa"/>
        </w:tblCellMar>
      </w:tblPr>
      <w:tblGrid>
        <w:gridCol w:w="2116"/>
        <w:gridCol w:w="2024"/>
        <w:gridCol w:w="1800"/>
        <w:gridCol w:w="2160"/>
      </w:tblGrid>
      <w:tr>
        <w:tblPrEx>
          <w:tblCellMar>
            <w:top w:w="0" w:type="dxa"/>
            <w:left w:w="0" w:type="dxa"/>
            <w:bottom w:w="0" w:type="dxa"/>
            <w:right w:w="0" w:type="dxa"/>
          </w:tblCellMar>
        </w:tblPrEx>
        <w:trPr>
          <w:trHeight w:val="340" w:hRule="atLeast"/>
          <w:tblHeader/>
          <w:jc w:val="center"/>
        </w:trPr>
        <w:tc>
          <w:tcPr>
            <w:tcW w:w="2116" w:type="dxa"/>
            <w:tcBorders>
              <w:top w:val="single" w:color="auto" w:sz="4"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szCs w:val="21"/>
                <w:highlight w:val="none"/>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货物招标</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服务招标</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b/>
                <w:color w:val="000000"/>
                <w:szCs w:val="21"/>
                <w:highlight w:val="none"/>
              </w:rPr>
            </w:pPr>
            <w:r>
              <w:rPr>
                <w:rFonts w:hint="eastAsia" w:ascii="宋体" w:hAnsi="宋体" w:eastAsia="宋体" w:cs="宋体"/>
                <w:b/>
                <w:color w:val="000000"/>
                <w:kern w:val="0"/>
                <w:szCs w:val="21"/>
                <w:highlight w:val="none"/>
              </w:rPr>
              <w:t>工程招标</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100以下</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lOO-500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0.8%</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0.7%</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500-1000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0.8%</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0.45%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0.55%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l000—5000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0.35%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5000-lOOOO</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0.2%</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0.05%</w:t>
            </w:r>
          </w:p>
        </w:tc>
      </w:tr>
      <w:tr>
        <w:tblPrEx>
          <w:tblCellMar>
            <w:top w:w="0" w:type="dxa"/>
            <w:left w:w="0" w:type="dxa"/>
            <w:bottom w:w="0" w:type="dxa"/>
            <w:right w:w="0" w:type="dxa"/>
          </w:tblCellMar>
        </w:tblPrEx>
        <w:trPr>
          <w:trHeight w:val="340" w:hRule="atLeast"/>
          <w:jc w:val="center"/>
        </w:trPr>
        <w:tc>
          <w:tcPr>
            <w:tcW w:w="2116"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c>
          <w:tcPr>
            <w:tcW w:w="180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c>
          <w:tcPr>
            <w:tcW w:w="2160" w:type="dxa"/>
            <w:tcBorders>
              <w:top w:val="single" w:color="auto" w:sz="8" w:space="0"/>
              <w:left w:val="single" w:color="auto" w:sz="8" w:space="0"/>
              <w:bottom w:val="single" w:color="auto" w:sz="8" w:space="0"/>
              <w:right w:val="single" w:color="auto" w:sz="8" w:space="0"/>
            </w:tcBorders>
            <w:vAlign w:val="center"/>
          </w:tcPr>
          <w:p>
            <w:pPr>
              <w:jc w:val="center"/>
              <w:rPr>
                <w:rFonts w:ascii="宋体" w:hAnsi="宋体" w:eastAsia="宋体" w:cs="宋体"/>
                <w:color w:val="000000"/>
                <w:szCs w:val="21"/>
                <w:highlight w:val="none"/>
              </w:rPr>
            </w:pPr>
            <w:r>
              <w:rPr>
                <w:rFonts w:hint="eastAsia" w:ascii="宋体" w:hAnsi="宋体" w:eastAsia="宋体" w:cs="宋体"/>
                <w:color w:val="000000"/>
                <w:kern w:val="0"/>
                <w:szCs w:val="21"/>
                <w:highlight w:val="none"/>
              </w:rPr>
              <w:t>0.01%</w:t>
            </w:r>
          </w:p>
        </w:tc>
      </w:tr>
    </w:tbl>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注：招标代理服务收费按差额定率累进法计算。例如：某工程招标代理业务中标金额为6000万元，计算招标代理服务收费额如下：</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100万元×1.0%=1万元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(500-100)万元×0.7%=2.8万元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(1000-500)万元×0.55%=2.75万元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(5000-l000)万元×0.35%=14万元</w:t>
      </w:r>
    </w:p>
    <w:p>
      <w:pPr>
        <w:snapToGrid w:val="0"/>
        <w:spacing w:line="360" w:lineRule="auto"/>
        <w:rPr>
          <w:rFonts w:ascii="宋体" w:hAnsi="宋体" w:eastAsia="宋体" w:cs="宋体"/>
          <w:highlight w:val="none"/>
        </w:rPr>
      </w:pPr>
      <w:r>
        <w:rPr>
          <w:rFonts w:hint="eastAsia" w:ascii="宋体" w:hAnsi="宋体" w:eastAsia="宋体" w:cs="宋体"/>
          <w:highlight w:val="none"/>
        </w:rPr>
        <w:t xml:space="preserve">    (6000-5000)万元×0.2%=2万元</w:t>
      </w:r>
    </w:p>
    <w:p>
      <w:pPr>
        <w:snapToGrid w:val="0"/>
        <w:spacing w:line="360" w:lineRule="auto"/>
        <w:rPr>
          <w:rFonts w:ascii="宋体" w:hAnsi="宋体" w:eastAsia="宋体" w:cs="宋体"/>
          <w:highlight w:val="none"/>
        </w:rPr>
      </w:pPr>
      <w:r>
        <w:rPr>
          <w:rFonts w:hint="eastAsia" w:ascii="宋体" w:hAnsi="宋体" w:eastAsia="宋体" w:cs="宋体"/>
          <w:highlight w:val="none"/>
        </w:rPr>
        <w:t>合计收费=l+2.8+2.75+14+2=22.55(万元)</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39" w:name="_Toc10773"/>
      <w:bookmarkStart w:id="440" w:name="_Toc432367367"/>
      <w:bookmarkStart w:id="441" w:name="_Toc28686"/>
      <w:r>
        <w:rPr>
          <w:rFonts w:hint="eastAsia" w:ascii="宋体" w:hAnsi="宋体" w:eastAsia="宋体" w:cs="宋体"/>
          <w:b/>
          <w:kern w:val="2"/>
          <w:sz w:val="24"/>
          <w:szCs w:val="24"/>
          <w:highlight w:val="none"/>
          <w:lang w:val="en-US" w:eastAsia="zh-CN" w:bidi="ar-SA"/>
        </w:rPr>
        <w:t>10.2</w:t>
      </w:r>
      <w:bookmarkStart w:id="442" w:name="_Toc430813283"/>
      <w:r>
        <w:rPr>
          <w:rFonts w:hint="eastAsia" w:ascii="宋体" w:hAnsi="宋体" w:eastAsia="宋体" w:cs="宋体"/>
          <w:b/>
          <w:kern w:val="2"/>
          <w:sz w:val="24"/>
          <w:szCs w:val="24"/>
          <w:highlight w:val="none"/>
          <w:lang w:val="en-US" w:eastAsia="zh-CN" w:bidi="ar-SA"/>
        </w:rPr>
        <w:t>收取时间</w:t>
      </w:r>
      <w:bookmarkEnd w:id="439"/>
      <w:bookmarkEnd w:id="440"/>
      <w:bookmarkEnd w:id="441"/>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10.</w:t>
      </w:r>
      <w:bookmarkEnd w:id="442"/>
      <w:r>
        <w:rPr>
          <w:rFonts w:hint="eastAsia" w:ascii="宋体" w:hAnsi="宋体" w:eastAsia="宋体" w:cs="宋体"/>
          <w:highlight w:val="none"/>
        </w:rPr>
        <w:t>2.1采购代理机构按投标人须知前附表规定的时限收讫招标代理服务费。</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43" w:name="_Toc13957"/>
      <w:bookmarkStart w:id="444" w:name="_Toc432367368"/>
      <w:bookmarkStart w:id="445" w:name="_Toc3899"/>
      <w:bookmarkStart w:id="446" w:name="_Toc430813284"/>
      <w:r>
        <w:rPr>
          <w:rFonts w:hint="eastAsia" w:ascii="宋体" w:hAnsi="宋体" w:eastAsia="宋体" w:cs="宋体"/>
          <w:b/>
          <w:bCs/>
          <w:kern w:val="2"/>
          <w:sz w:val="28"/>
          <w:szCs w:val="28"/>
          <w:highlight w:val="none"/>
          <w:lang w:val="en-US" w:eastAsia="zh-CN" w:bidi="ar-SA"/>
        </w:rPr>
        <w:t>无效投标和废标</w:t>
      </w:r>
      <w:bookmarkEnd w:id="443"/>
      <w:bookmarkEnd w:id="444"/>
      <w:bookmarkEnd w:id="445"/>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47" w:name="_Toc432367369"/>
      <w:bookmarkStart w:id="448" w:name="_Toc20682"/>
      <w:bookmarkStart w:id="449" w:name="_Toc6422"/>
      <w:r>
        <w:rPr>
          <w:rFonts w:hint="eastAsia" w:ascii="宋体" w:hAnsi="宋体" w:eastAsia="宋体" w:cs="宋体"/>
          <w:b/>
          <w:kern w:val="2"/>
          <w:sz w:val="24"/>
          <w:szCs w:val="24"/>
          <w:highlight w:val="none"/>
          <w:lang w:val="en-US" w:eastAsia="zh-CN" w:bidi="ar-SA"/>
        </w:rPr>
        <w:t>1</w:t>
      </w:r>
      <w:bookmarkEnd w:id="446"/>
      <w:r>
        <w:rPr>
          <w:rFonts w:hint="eastAsia" w:ascii="宋体" w:hAnsi="宋体" w:eastAsia="宋体" w:cs="宋体"/>
          <w:b/>
          <w:kern w:val="2"/>
          <w:sz w:val="24"/>
          <w:szCs w:val="24"/>
          <w:highlight w:val="none"/>
          <w:lang w:val="en-US" w:eastAsia="zh-CN" w:bidi="ar-SA"/>
        </w:rPr>
        <w:t>1.</w:t>
      </w:r>
      <w:bookmarkStart w:id="450" w:name="_Toc430813285"/>
      <w:r>
        <w:rPr>
          <w:rFonts w:hint="eastAsia" w:ascii="宋体" w:hAnsi="宋体" w:eastAsia="宋体" w:cs="宋体"/>
          <w:b/>
          <w:kern w:val="2"/>
          <w:sz w:val="24"/>
          <w:szCs w:val="24"/>
          <w:highlight w:val="none"/>
          <w:lang w:val="en-US" w:eastAsia="zh-CN" w:bidi="ar-SA"/>
        </w:rPr>
        <w:t>1 无效</w:t>
      </w:r>
      <w:bookmarkEnd w:id="447"/>
      <w:r>
        <w:rPr>
          <w:rFonts w:hint="eastAsia" w:ascii="宋体" w:hAnsi="宋体" w:eastAsia="宋体" w:cs="宋体"/>
          <w:b/>
          <w:kern w:val="2"/>
          <w:sz w:val="24"/>
          <w:szCs w:val="24"/>
          <w:highlight w:val="none"/>
          <w:lang w:val="en-US" w:eastAsia="zh-CN" w:bidi="ar-SA"/>
        </w:rPr>
        <w:t>投标</w:t>
      </w:r>
      <w:bookmarkEnd w:id="448"/>
      <w:bookmarkEnd w:id="449"/>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50"/>
      <w:r>
        <w:rPr>
          <w:rFonts w:hint="eastAsia" w:ascii="宋体" w:hAnsi="宋体" w:eastAsia="宋体" w:cs="宋体"/>
          <w:highlight w:val="none"/>
        </w:rPr>
        <w:t>1.1.1投标文件属下列情况之一的，应当在资格性、符合性检查时按照无效投标处理：详见第四章“评标方法、步骤及标准”。</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51" w:name="_Toc14608"/>
      <w:bookmarkStart w:id="452" w:name="_Toc432367370"/>
      <w:bookmarkStart w:id="453" w:name="_Toc32174"/>
      <w:r>
        <w:rPr>
          <w:rFonts w:hint="eastAsia" w:ascii="宋体" w:hAnsi="宋体" w:eastAsia="宋体" w:cs="宋体"/>
          <w:b/>
          <w:kern w:val="2"/>
          <w:sz w:val="24"/>
          <w:szCs w:val="24"/>
          <w:highlight w:val="none"/>
          <w:lang w:val="en-US" w:eastAsia="zh-CN" w:bidi="ar-SA"/>
        </w:rPr>
        <w:t>11.</w:t>
      </w:r>
      <w:bookmarkStart w:id="454" w:name="_Toc430813286"/>
      <w:r>
        <w:rPr>
          <w:rFonts w:hint="eastAsia" w:ascii="宋体" w:hAnsi="宋体" w:eastAsia="宋体" w:cs="宋体"/>
          <w:b/>
          <w:kern w:val="2"/>
          <w:sz w:val="24"/>
          <w:szCs w:val="24"/>
          <w:highlight w:val="none"/>
          <w:lang w:val="en-US" w:eastAsia="zh-CN" w:bidi="ar-SA"/>
        </w:rPr>
        <w:t>2 废标</w:t>
      </w:r>
      <w:bookmarkEnd w:id="451"/>
      <w:bookmarkEnd w:id="452"/>
      <w:bookmarkEnd w:id="453"/>
    </w:p>
    <w:p>
      <w:pPr>
        <w:snapToGrid w:val="0"/>
        <w:spacing w:line="360" w:lineRule="auto"/>
        <w:ind w:firstLine="422" w:firstLineChars="200"/>
        <w:rPr>
          <w:rFonts w:ascii="宋体" w:hAnsi="宋体" w:eastAsia="宋体" w:cs="宋体"/>
          <w:b/>
          <w:highlight w:val="none"/>
        </w:rPr>
      </w:pPr>
      <w:r>
        <w:rPr>
          <w:rFonts w:hint="eastAsia" w:ascii="宋体" w:hAnsi="宋体" w:eastAsia="宋体" w:cs="宋体"/>
          <w:b/>
          <w:highlight w:val="none"/>
        </w:rPr>
        <w:t>1</w:t>
      </w:r>
      <w:bookmarkEnd w:id="454"/>
      <w:r>
        <w:rPr>
          <w:rFonts w:hint="eastAsia" w:ascii="宋体" w:hAnsi="宋体" w:eastAsia="宋体" w:cs="宋体"/>
          <w:b/>
          <w:highlight w:val="none"/>
        </w:rPr>
        <w:t>1.2.1出现下列情形之一的，应予废标：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（1）符合专业条件的投标人或者对招标文件作实质响应的投标人不足三家的；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（2）出现影响采购公正的违法、违规行为的；</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（3）投标人的报价均超过了采购预算，采购人不能支付的；</w:t>
      </w:r>
    </w:p>
    <w:p>
      <w:pPr>
        <w:snapToGrid w:val="0"/>
        <w:spacing w:line="360" w:lineRule="auto"/>
        <w:ind w:firstLine="420" w:firstLineChars="200"/>
        <w:rPr>
          <w:rFonts w:ascii="宋体" w:hAnsi="宋体" w:eastAsia="宋体" w:cs="宋体"/>
          <w:b/>
          <w:highlight w:val="none"/>
          <w:u w:val="single"/>
        </w:rPr>
      </w:pPr>
      <w:r>
        <w:rPr>
          <w:rFonts w:hint="eastAsia" w:ascii="宋体" w:hAnsi="宋体" w:eastAsia="宋体" w:cs="宋体"/>
          <w:highlight w:val="none"/>
        </w:rPr>
        <w:t>（4）因重大变故，采购任务取消的。</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55" w:name="_Toc9259"/>
      <w:bookmarkStart w:id="456" w:name="_Toc30169"/>
      <w:bookmarkStart w:id="457" w:name="_Toc432367371"/>
      <w:bookmarkStart w:id="458" w:name="_Toc430813287"/>
      <w:r>
        <w:rPr>
          <w:rFonts w:hint="eastAsia" w:ascii="宋体" w:hAnsi="宋体" w:eastAsia="宋体" w:cs="宋体"/>
          <w:b/>
          <w:bCs/>
          <w:kern w:val="2"/>
          <w:sz w:val="28"/>
          <w:szCs w:val="28"/>
          <w:highlight w:val="none"/>
          <w:lang w:val="en-US" w:eastAsia="zh-CN" w:bidi="ar-SA"/>
        </w:rPr>
        <w:t>纪律</w:t>
      </w:r>
      <w:bookmarkEnd w:id="429"/>
      <w:bookmarkEnd w:id="430"/>
      <w:bookmarkEnd w:id="431"/>
      <w:bookmarkEnd w:id="432"/>
      <w:bookmarkEnd w:id="433"/>
      <w:bookmarkStart w:id="459" w:name="_Toc247527599"/>
      <w:bookmarkStart w:id="460" w:name="_Toc247513998"/>
      <w:bookmarkStart w:id="461" w:name="_Toc152042350"/>
      <w:bookmarkStart w:id="462" w:name="_Toc144974542"/>
      <w:bookmarkStart w:id="463" w:name="_Toc152045574"/>
      <w:r>
        <w:rPr>
          <w:rFonts w:hint="eastAsia" w:ascii="宋体" w:hAnsi="宋体" w:eastAsia="宋体" w:cs="宋体"/>
          <w:b/>
          <w:bCs/>
          <w:kern w:val="2"/>
          <w:sz w:val="28"/>
          <w:szCs w:val="28"/>
          <w:highlight w:val="none"/>
          <w:lang w:val="en-US" w:eastAsia="zh-CN" w:bidi="ar-SA"/>
        </w:rPr>
        <w:t>和监督</w:t>
      </w:r>
      <w:bookmarkEnd w:id="455"/>
      <w:bookmarkEnd w:id="456"/>
      <w:bookmarkEnd w:id="457"/>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64" w:name="_Toc31497"/>
      <w:bookmarkStart w:id="465" w:name="_Toc432367372"/>
      <w:bookmarkStart w:id="466" w:name="_Toc14001"/>
      <w:r>
        <w:rPr>
          <w:rFonts w:hint="eastAsia" w:ascii="宋体" w:hAnsi="宋体" w:eastAsia="宋体" w:cs="宋体"/>
          <w:b/>
          <w:kern w:val="2"/>
          <w:sz w:val="24"/>
          <w:szCs w:val="24"/>
          <w:highlight w:val="none"/>
          <w:lang w:val="en-US" w:eastAsia="zh-CN" w:bidi="ar-SA"/>
        </w:rPr>
        <w:t>1</w:t>
      </w:r>
      <w:bookmarkEnd w:id="434"/>
      <w:bookmarkEnd w:id="458"/>
      <w:bookmarkEnd w:id="459"/>
      <w:bookmarkEnd w:id="460"/>
      <w:bookmarkEnd w:id="461"/>
      <w:bookmarkEnd w:id="462"/>
      <w:bookmarkEnd w:id="463"/>
      <w:r>
        <w:rPr>
          <w:rFonts w:hint="eastAsia" w:ascii="宋体" w:hAnsi="宋体" w:eastAsia="宋体" w:cs="宋体"/>
          <w:b/>
          <w:kern w:val="2"/>
          <w:sz w:val="24"/>
          <w:szCs w:val="24"/>
          <w:highlight w:val="none"/>
          <w:lang w:val="en-US" w:eastAsia="zh-CN" w:bidi="ar-SA"/>
        </w:rPr>
        <w:t>2.</w:t>
      </w:r>
      <w:bookmarkStart w:id="467" w:name="_Toc152045575"/>
      <w:bookmarkStart w:id="468" w:name="_Toc300834995"/>
      <w:bookmarkStart w:id="469" w:name="_Toc247513999"/>
      <w:bookmarkStart w:id="470" w:name="_Toc152042351"/>
      <w:bookmarkStart w:id="471" w:name="_Toc247527600"/>
      <w:bookmarkStart w:id="472" w:name="_Toc430813288"/>
      <w:bookmarkStart w:id="473" w:name="_Toc144974543"/>
      <w:r>
        <w:rPr>
          <w:rFonts w:hint="eastAsia" w:ascii="宋体" w:hAnsi="宋体" w:eastAsia="宋体" w:cs="宋体"/>
          <w:b/>
          <w:kern w:val="2"/>
          <w:sz w:val="24"/>
          <w:szCs w:val="24"/>
          <w:highlight w:val="none"/>
          <w:lang w:val="en-US" w:eastAsia="zh-CN" w:bidi="ar-SA"/>
        </w:rPr>
        <w:t>1 对采购人和采购代理机构的纪律要求</w:t>
      </w:r>
      <w:bookmarkEnd w:id="464"/>
      <w:bookmarkEnd w:id="465"/>
      <w:bookmarkEnd w:id="46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67"/>
      <w:bookmarkEnd w:id="468"/>
      <w:bookmarkEnd w:id="469"/>
      <w:bookmarkEnd w:id="470"/>
      <w:bookmarkEnd w:id="471"/>
      <w:bookmarkEnd w:id="472"/>
      <w:bookmarkEnd w:id="473"/>
      <w:r>
        <w:rPr>
          <w:rFonts w:hint="eastAsia" w:ascii="宋体" w:hAnsi="宋体" w:eastAsia="宋体" w:cs="宋体"/>
          <w:highlight w:val="none"/>
        </w:rPr>
        <w:t>2.1.1 采购人和采购代理机构不得相互串通损害国家利益、社会公共利益和其他当事人的合法权益；不得以任何手段排斥其他投标人参与竞争。</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12.1.2采购人和采购代理机构不得向投标人索要或者接受其给予的赠品、回扣或者与采购无关的其他商品、服务。</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12.1.3采购人和采购代理机构工作人员不得接受投标人组织的宴请、旅游、娱乐，不得收受礼品、现金、有价证券等，不得向投标人报销应当由个人承担的费用。</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12.1.4 采购人可以根据采购项目的特殊要求，规定投标人的特定条件，但不得以不合理的条件对投标人实行差别待遇或者歧视待遇。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12.1.5 采购人和采购代理机构不得向他人透露已获取招标文件的潜在投标人的名称、数量以及可能影响公平竞争的有关招标投标的其他情况。</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12.1.6 采购人和采购代理机构不得向评标委员会的评审专家作倾向性、误导性的解释或者说明。</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12.1.7 采购人或者采购代理机构不得通过对样品进行检测、对投标人进行考察等方式改变评审结果。</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12.1.8在确定中标人前，采购人或者采购代理机构不得与投标人就投标价格、投标方案等实质性内容进行谈判。</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12.1.9 采购人和采购代理机构不得向中标人提出任何不合理的要求，作为签订合同的条件，不得与中标人私下订立背离合同实质性内容的协议。</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74" w:name="_Toc432367373"/>
      <w:bookmarkStart w:id="475" w:name="_Toc9172"/>
      <w:bookmarkStart w:id="476" w:name="_Toc9421"/>
      <w:r>
        <w:rPr>
          <w:rFonts w:hint="eastAsia" w:ascii="宋体" w:hAnsi="宋体" w:eastAsia="宋体" w:cs="宋体"/>
          <w:b/>
          <w:kern w:val="2"/>
          <w:sz w:val="24"/>
          <w:szCs w:val="24"/>
          <w:highlight w:val="none"/>
          <w:lang w:val="en-US" w:eastAsia="zh-CN" w:bidi="ar-SA"/>
        </w:rPr>
        <w:t>12.</w:t>
      </w:r>
      <w:bookmarkStart w:id="477" w:name="_Toc300834996"/>
      <w:bookmarkStart w:id="478" w:name="_Toc430813289"/>
      <w:bookmarkStart w:id="479" w:name="_Toc152045576"/>
      <w:bookmarkStart w:id="480" w:name="_Toc247514000"/>
      <w:bookmarkStart w:id="481" w:name="_Toc152042352"/>
      <w:bookmarkStart w:id="482" w:name="_Toc247527601"/>
      <w:bookmarkStart w:id="483" w:name="_Toc144974544"/>
      <w:r>
        <w:rPr>
          <w:rFonts w:hint="eastAsia" w:ascii="宋体" w:hAnsi="宋体" w:eastAsia="宋体" w:cs="宋体"/>
          <w:b/>
          <w:kern w:val="2"/>
          <w:sz w:val="24"/>
          <w:szCs w:val="24"/>
          <w:highlight w:val="none"/>
          <w:lang w:val="en-US" w:eastAsia="zh-CN" w:bidi="ar-SA"/>
        </w:rPr>
        <w:t>2 对投标人的纪律要求</w:t>
      </w:r>
      <w:bookmarkEnd w:id="474"/>
      <w:bookmarkEnd w:id="475"/>
      <w:bookmarkEnd w:id="47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77"/>
      <w:bookmarkEnd w:id="478"/>
      <w:bookmarkEnd w:id="479"/>
      <w:bookmarkEnd w:id="480"/>
      <w:bookmarkEnd w:id="481"/>
      <w:bookmarkEnd w:id="482"/>
      <w:bookmarkEnd w:id="483"/>
      <w:r>
        <w:rPr>
          <w:rFonts w:hint="eastAsia" w:ascii="宋体" w:hAnsi="宋体" w:eastAsia="宋体" w:cs="宋体"/>
          <w:highlight w:val="none"/>
        </w:rPr>
        <w:t>2.2.1投标人不得以向采购人、采购代理机构、评标委员会的组成人员行贿或者提供虚假材料以及采取其他不正当手段谋取中标。</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12.2.2 投标人之间不得相互串通投标报价，不得妨碍其他投标人的公平竞争，不得损害政府采购活动各当事人的合法权益。</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12.2.3 投标人不得非法干预、影响评标办法的确定，以及评标过程和结果。</w:t>
      </w:r>
    </w:p>
    <w:p>
      <w:pPr>
        <w:keepNext/>
        <w:keepLines/>
        <w:widowControl w:val="0"/>
        <w:snapToGrid w:val="0"/>
        <w:spacing w:before="0" w:after="0" w:line="360" w:lineRule="auto"/>
        <w:jc w:val="left"/>
        <w:outlineLvl w:val="2"/>
        <w:rPr>
          <w:rFonts w:ascii="宋体" w:hAnsi="宋体" w:eastAsia="宋体" w:cs="宋体"/>
          <w:b/>
          <w:kern w:val="2"/>
          <w:sz w:val="24"/>
          <w:szCs w:val="24"/>
          <w:highlight w:val="none"/>
          <w:lang w:val="en-US" w:eastAsia="zh-CN" w:bidi="ar-SA"/>
        </w:rPr>
      </w:pPr>
      <w:bookmarkStart w:id="484" w:name="_Toc17891"/>
      <w:bookmarkStart w:id="485" w:name="_Toc15378"/>
      <w:bookmarkStart w:id="486" w:name="_Toc432367374"/>
      <w:r>
        <w:rPr>
          <w:rFonts w:hint="eastAsia" w:ascii="宋体" w:hAnsi="宋体" w:eastAsia="宋体" w:cs="宋体"/>
          <w:b/>
          <w:kern w:val="2"/>
          <w:sz w:val="24"/>
          <w:szCs w:val="24"/>
          <w:highlight w:val="none"/>
          <w:lang w:val="en-US" w:eastAsia="zh-CN" w:bidi="ar-SA"/>
        </w:rPr>
        <w:t>12.</w:t>
      </w:r>
      <w:bookmarkStart w:id="487" w:name="_Toc430813290"/>
      <w:bookmarkStart w:id="488" w:name="_Toc247514001"/>
      <w:bookmarkStart w:id="489" w:name="_Toc300834997"/>
      <w:bookmarkStart w:id="490" w:name="_Toc152042353"/>
      <w:bookmarkStart w:id="491" w:name="_Toc144974545"/>
      <w:bookmarkStart w:id="492" w:name="_Toc152045577"/>
      <w:bookmarkStart w:id="493" w:name="_Toc247527602"/>
      <w:r>
        <w:rPr>
          <w:rFonts w:hint="eastAsia" w:ascii="宋体" w:hAnsi="宋体" w:eastAsia="宋体" w:cs="宋体"/>
          <w:b/>
          <w:kern w:val="2"/>
          <w:sz w:val="24"/>
          <w:szCs w:val="24"/>
          <w:highlight w:val="none"/>
          <w:lang w:val="en-US" w:eastAsia="zh-CN" w:bidi="ar-SA"/>
        </w:rPr>
        <w:t>3 对评标委员会成员的纪律要求</w:t>
      </w:r>
      <w:bookmarkEnd w:id="484"/>
      <w:bookmarkEnd w:id="485"/>
      <w:bookmarkEnd w:id="486"/>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w:t>
      </w:r>
      <w:bookmarkEnd w:id="487"/>
      <w:bookmarkEnd w:id="488"/>
      <w:bookmarkEnd w:id="489"/>
      <w:bookmarkEnd w:id="490"/>
      <w:bookmarkEnd w:id="491"/>
      <w:bookmarkEnd w:id="492"/>
      <w:bookmarkEnd w:id="493"/>
      <w:r>
        <w:rPr>
          <w:rFonts w:hint="eastAsia" w:ascii="宋体" w:hAnsi="宋体" w:eastAsia="宋体" w:cs="宋体"/>
          <w:highlight w:val="none"/>
        </w:rPr>
        <w:t>2.3.1 评标委员会成员与投标人有利害关系的，必须回避。</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12.3.2 评标委员会成员应当遵守评审工作纪律，不得泄露评审文件、评审情况和评审中获悉的商业秘密。在评审过程中发现投标人有行贿、提供虚假材料或者串通等违法行为的，应当及时向财政部门报告。政府采购评审专家在评审过程中受到非法干预的，应当及时向财政、监察等部门举报。</w:t>
      </w:r>
    </w:p>
    <w:p>
      <w:pPr>
        <w:snapToGrid w:val="0"/>
        <w:spacing w:line="360" w:lineRule="auto"/>
        <w:ind w:firstLine="420" w:firstLineChars="200"/>
        <w:rPr>
          <w:rFonts w:ascii="宋体" w:hAnsi="宋体" w:eastAsia="宋体" w:cs="宋体"/>
          <w:highlight w:val="none"/>
        </w:rPr>
      </w:pPr>
      <w:r>
        <w:rPr>
          <w:rFonts w:hint="eastAsia" w:ascii="宋体" w:hAnsi="宋体" w:eastAsia="宋体" w:cs="宋体"/>
          <w:highlight w:val="none"/>
        </w:rPr>
        <w:t>12.3.3 评标委员会成员应当按照客观、公正、审慎的原则，根据招标文件规定的评审程序、评审方法和评审标准进行独立评审。招标文件内容违反国家有关强制性规定的，评标委员会应当停止评审并向采购人或者采购代理机构说明情况。招标文件中没有规定的评标标准不得作为评审的依据。评标委员会成员应当在评审报告上签字，对自己的评审意见承担法律责任。对评审报告有异议的，应当在评审报告上签署不同意见，并说明理由，否则视为同意评审报告。</w:t>
      </w:r>
    </w:p>
    <w:p>
      <w:pPr>
        <w:keepNext/>
        <w:keepLines/>
        <w:widowControl w:val="0"/>
        <w:numPr>
          <w:ilvl w:val="0"/>
          <w:numId w:val="4"/>
        </w:numPr>
        <w:snapToGrid w:val="0"/>
        <w:spacing w:before="0" w:after="0" w:line="360" w:lineRule="auto"/>
        <w:ind w:left="930" w:hanging="720"/>
        <w:jc w:val="both"/>
        <w:outlineLvl w:val="1"/>
        <w:rPr>
          <w:rFonts w:ascii="宋体" w:hAnsi="宋体" w:eastAsia="宋体" w:cs="宋体"/>
          <w:b/>
          <w:bCs/>
          <w:kern w:val="2"/>
          <w:sz w:val="28"/>
          <w:szCs w:val="28"/>
          <w:highlight w:val="none"/>
          <w:lang w:val="en-US" w:eastAsia="zh-CN" w:bidi="ar-SA"/>
        </w:rPr>
      </w:pPr>
      <w:bookmarkStart w:id="494" w:name="_Toc18540"/>
      <w:bookmarkStart w:id="495" w:name="_Toc19215"/>
      <w:bookmarkStart w:id="496" w:name="_Toc432367376"/>
      <w:bookmarkStart w:id="497" w:name="_Toc300835000"/>
      <w:bookmarkStart w:id="498" w:name="_Toc247514004"/>
      <w:bookmarkStart w:id="499" w:name="_Toc152045580"/>
      <w:bookmarkStart w:id="500" w:name="_Toc247527605"/>
      <w:bookmarkStart w:id="501" w:name="_Toc430813293"/>
      <w:bookmarkStart w:id="502" w:name="_Toc144974547"/>
      <w:bookmarkStart w:id="503" w:name="_Toc152042357"/>
      <w:r>
        <w:rPr>
          <w:rFonts w:hint="eastAsia" w:ascii="宋体" w:hAnsi="宋体" w:eastAsia="宋体" w:cs="宋体"/>
          <w:b/>
          <w:bCs/>
          <w:kern w:val="2"/>
          <w:sz w:val="28"/>
          <w:szCs w:val="28"/>
          <w:highlight w:val="none"/>
          <w:lang w:val="en-US" w:eastAsia="zh-CN" w:bidi="ar-SA"/>
        </w:rPr>
        <w:t>需要补充的其他内容</w:t>
      </w:r>
      <w:bookmarkEnd w:id="494"/>
      <w:bookmarkEnd w:id="495"/>
      <w:bookmarkEnd w:id="496"/>
    </w:p>
    <w:p>
      <w:pPr>
        <w:snapToGrid w:val="0"/>
        <w:spacing w:line="360" w:lineRule="auto"/>
        <w:ind w:firstLine="420" w:firstLineChars="200"/>
        <w:rPr>
          <w:rFonts w:ascii="宋体" w:hAnsi="宋体" w:eastAsia="宋体" w:cs="宋体"/>
          <w:szCs w:val="21"/>
          <w:highlight w:val="none"/>
          <w:u w:val="single"/>
        </w:rPr>
      </w:pPr>
      <w:r>
        <w:rPr>
          <w:rFonts w:hint="eastAsia" w:ascii="宋体" w:hAnsi="宋体" w:eastAsia="宋体" w:cs="宋体"/>
          <w:highlight w:val="none"/>
        </w:rPr>
        <w:t>13.1 需要</w:t>
      </w:r>
      <w:bookmarkEnd w:id="497"/>
      <w:bookmarkEnd w:id="498"/>
      <w:bookmarkEnd w:id="499"/>
      <w:bookmarkEnd w:id="500"/>
      <w:bookmarkEnd w:id="501"/>
      <w:bookmarkEnd w:id="502"/>
      <w:bookmarkEnd w:id="503"/>
      <w:r>
        <w:rPr>
          <w:rFonts w:hint="eastAsia" w:ascii="宋体" w:hAnsi="宋体" w:eastAsia="宋体" w:cs="宋体"/>
          <w:highlight w:val="none"/>
        </w:rPr>
        <w:t>补充的其他内容：见投标人须知前附表。</w:t>
      </w:r>
    </w:p>
    <w:p>
      <w:pPr>
        <w:rPr>
          <w:rFonts w:ascii="宋体" w:hAnsi="宋体" w:cs="宋体"/>
          <w:highlight w:val="none"/>
        </w:rPr>
      </w:pPr>
      <w:r>
        <w:rPr>
          <w:rFonts w:ascii="宋体" w:hAnsi="宋体" w:cs="宋体"/>
          <w:highlight w:val="none"/>
        </w:rPr>
        <w:br w:type="page"/>
      </w:r>
    </w:p>
    <w:p>
      <w:pPr>
        <w:pStyle w:val="4"/>
        <w:numPr>
          <w:ilvl w:val="0"/>
          <w:numId w:val="3"/>
        </w:numPr>
        <w:spacing w:before="120" w:after="120" w:line="300" w:lineRule="auto"/>
        <w:rPr>
          <w:rFonts w:hAnsi="宋体" w:cs="宋体"/>
          <w:sz w:val="32"/>
          <w:szCs w:val="32"/>
          <w:highlight w:val="none"/>
        </w:rPr>
      </w:pPr>
      <w:bookmarkStart w:id="504" w:name="_Toc16942"/>
      <w:r>
        <w:rPr>
          <w:rFonts w:hint="eastAsia" w:hAnsi="宋体" w:cs="宋体"/>
          <w:sz w:val="32"/>
          <w:szCs w:val="32"/>
          <w:highlight w:val="none"/>
        </w:rPr>
        <w:t>项目采购需求</w:t>
      </w:r>
      <w:bookmarkEnd w:id="504"/>
    </w:p>
    <w:p>
      <w:pPr>
        <w:ind w:left="-210" w:firstLine="210" w:firstLineChars="100"/>
        <w:rPr>
          <w:rFonts w:ascii="宋体" w:hAnsi="宋体" w:cs="宋体"/>
          <w:szCs w:val="21"/>
          <w:highlight w:val="none"/>
        </w:rPr>
      </w:pPr>
      <w:bookmarkStart w:id="505" w:name="_Toc15914640"/>
    </w:p>
    <w:p>
      <w:pPr>
        <w:widowControl/>
        <w:adjustRightInd w:val="0"/>
        <w:snapToGrid w:val="0"/>
        <w:spacing w:line="360" w:lineRule="auto"/>
        <w:ind w:firstLine="422" w:firstLineChars="200"/>
        <w:jc w:val="left"/>
        <w:rPr>
          <w:rFonts w:hint="eastAsia" w:ascii="宋体" w:hAnsi="宋体"/>
          <w:b/>
          <w:kern w:val="0"/>
          <w:szCs w:val="21"/>
          <w:highlight w:val="none"/>
          <w:lang w:val="zh-CN"/>
        </w:rPr>
      </w:pPr>
      <w:r>
        <w:rPr>
          <w:rFonts w:hint="eastAsia" w:ascii="宋体" w:hAnsi="宋体"/>
          <w:b/>
          <w:kern w:val="0"/>
          <w:szCs w:val="21"/>
          <w:highlight w:val="none"/>
          <w:lang w:val="zh-CN"/>
        </w:rPr>
        <w:t>注：</w:t>
      </w:r>
      <w:bookmarkStart w:id="506" w:name="_Toc162164501"/>
      <w:bookmarkStart w:id="507" w:name="_Toc535832547"/>
      <w:bookmarkStart w:id="508" w:name="_Toc26590"/>
      <w:r>
        <w:rPr>
          <w:rFonts w:hint="eastAsia" w:ascii="宋体" w:hAnsi="宋体"/>
          <w:b/>
          <w:kern w:val="0"/>
          <w:szCs w:val="21"/>
          <w:highlight w:val="none"/>
          <w:lang w:val="zh-CN"/>
        </w:rPr>
        <w:t>本章中标★为实质性要求，投标人须在其</w:t>
      </w:r>
      <w:r>
        <w:rPr>
          <w:rFonts w:hint="eastAsia" w:ascii="宋体" w:hAnsi="宋体"/>
          <w:b/>
          <w:kern w:val="0"/>
          <w:szCs w:val="21"/>
          <w:highlight w:val="none"/>
        </w:rPr>
        <w:t>投标</w:t>
      </w:r>
      <w:r>
        <w:rPr>
          <w:rFonts w:hint="eastAsia" w:ascii="宋体" w:hAnsi="宋体"/>
          <w:b/>
          <w:kern w:val="0"/>
          <w:szCs w:val="21"/>
          <w:highlight w:val="none"/>
          <w:lang w:val="zh-CN"/>
        </w:rPr>
        <w:t>文件中提供相应承诺（另有要求的从其要求），对相关要求进行响应。响应不满足的，作无效投标处理。</w:t>
      </w:r>
      <w:bookmarkEnd w:id="506"/>
      <w:bookmarkEnd w:id="507"/>
      <w:bookmarkEnd w:id="508"/>
    </w:p>
    <w:p>
      <w:pPr>
        <w:spacing w:line="360" w:lineRule="auto"/>
        <w:ind w:firstLine="482" w:firstLineChars="200"/>
        <w:outlineLvl w:val="1"/>
        <w:rPr>
          <w:rFonts w:hint="eastAsia" w:ascii="宋体" w:hAnsi="宋体" w:eastAsia="宋体" w:cs="宋体"/>
          <w:color w:val="auto"/>
          <w:kern w:val="0"/>
          <w:sz w:val="24"/>
          <w:szCs w:val="24"/>
          <w:highlight w:val="none"/>
        </w:rPr>
      </w:pPr>
      <w:bookmarkStart w:id="509" w:name="_Toc18714"/>
      <w:bookmarkStart w:id="510" w:name="_Toc4563"/>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bidi="ar"/>
        </w:rPr>
        <w:t>项目概况</w:t>
      </w:r>
      <w:bookmarkEnd w:id="509"/>
      <w:bookmarkEnd w:id="510"/>
      <w:r>
        <w:rPr>
          <w:rFonts w:hint="eastAsia" w:ascii="宋体" w:hAnsi="宋体" w:eastAsia="宋体" w:cs="宋体"/>
          <w:color w:val="auto"/>
          <w:kern w:val="0"/>
          <w:sz w:val="24"/>
          <w:szCs w:val="24"/>
          <w:highlight w:val="none"/>
          <w:lang w:bidi="ar"/>
        </w:rPr>
        <w:t xml:space="preserve"> </w:t>
      </w:r>
    </w:p>
    <w:p>
      <w:pPr>
        <w:adjustRightInd w:val="0"/>
        <w:snapToGrid w:val="0"/>
        <w:spacing w:line="360" w:lineRule="auto"/>
        <w:ind w:firstLine="480" w:firstLineChars="200"/>
        <w:jc w:val="left"/>
        <w:textAlignment w:val="baseline"/>
        <w:rPr>
          <w:rFonts w:hint="eastAsia" w:ascii="宋体" w:hAnsi="宋体" w:eastAsia="宋体" w:cs="宋体"/>
          <w:color w:val="auto"/>
          <w:kern w:val="2"/>
          <w:sz w:val="24"/>
          <w:szCs w:val="24"/>
          <w:highlight w:val="none"/>
        </w:rPr>
      </w:pPr>
      <w:bookmarkStart w:id="511" w:name="_Toc20018"/>
      <w:r>
        <w:rPr>
          <w:rFonts w:hint="eastAsia" w:ascii="宋体" w:hAnsi="宋体" w:eastAsia="宋体" w:cs="宋体"/>
          <w:color w:val="auto"/>
          <w:kern w:val="2"/>
          <w:sz w:val="24"/>
          <w:szCs w:val="24"/>
          <w:highlight w:val="none"/>
        </w:rPr>
        <w:t>为中南民族大学选择合适的企业年金基金受托管理人，受托管理人根据中南民族大学对企业年金管理的相关要求和风险承受能力，选择合适的账户管理人、托管人、投资管理人和投资产品，以保证企业年金基金的安全性和收益性。本项目年金计划采用集合计划管理运作。</w:t>
      </w:r>
    </w:p>
    <w:p>
      <w:pPr>
        <w:adjustRightInd w:val="0"/>
        <w:snapToGrid w:val="0"/>
        <w:spacing w:line="360" w:lineRule="auto"/>
        <w:ind w:firstLine="482" w:firstLineChars="200"/>
        <w:jc w:val="left"/>
        <w:textAlignment w:val="baseline"/>
        <w:outlineLvl w:val="1"/>
        <w:rPr>
          <w:rFonts w:hint="eastAsia" w:ascii="宋体" w:hAnsi="宋体" w:eastAsia="宋体" w:cs="宋体"/>
          <w:color w:val="auto"/>
          <w:kern w:val="2"/>
          <w:sz w:val="24"/>
          <w:szCs w:val="24"/>
          <w:highlight w:val="none"/>
        </w:rPr>
      </w:pPr>
      <w:bookmarkStart w:id="512" w:name="_Toc12010"/>
      <w:r>
        <w:rPr>
          <w:rFonts w:hint="eastAsia" w:ascii="宋体" w:hAnsi="宋体" w:eastAsia="宋体" w:cs="宋体"/>
          <w:b/>
          <w:bCs/>
          <w:color w:val="auto"/>
          <w:kern w:val="2"/>
          <w:sz w:val="24"/>
          <w:szCs w:val="24"/>
          <w:highlight w:val="none"/>
        </w:rPr>
        <w:t>二、主要标的</w:t>
      </w:r>
      <w:bookmarkEnd w:id="512"/>
    </w:p>
    <w:tbl>
      <w:tblPr>
        <w:tblStyle w:val="89"/>
        <w:tblW w:w="41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3057"/>
        <w:gridCol w:w="28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513" w:name="_Toc269"/>
            <w:bookmarkStart w:id="514" w:name="_Toc3949"/>
            <w:r>
              <w:rPr>
                <w:rFonts w:hint="eastAsia" w:ascii="宋体" w:hAnsi="宋体" w:eastAsia="宋体" w:cs="宋体"/>
                <w:b/>
                <w:bCs/>
                <w:color w:val="auto"/>
                <w:kern w:val="2"/>
                <w:sz w:val="24"/>
                <w:szCs w:val="24"/>
                <w:highlight w:val="none"/>
                <w:vertAlign w:val="baseline"/>
                <w:lang w:val="en-US" w:eastAsia="zh-CN"/>
              </w:rPr>
              <w:t>序号</w:t>
            </w:r>
            <w:bookmarkEnd w:id="513"/>
            <w:bookmarkEnd w:id="514"/>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515" w:name="_Toc14497"/>
            <w:bookmarkStart w:id="516" w:name="_Toc29437"/>
            <w:r>
              <w:rPr>
                <w:rFonts w:hint="eastAsia" w:ascii="宋体" w:hAnsi="宋体" w:eastAsia="宋体" w:cs="宋体"/>
                <w:b/>
                <w:bCs/>
                <w:color w:val="auto"/>
                <w:kern w:val="2"/>
                <w:sz w:val="24"/>
                <w:szCs w:val="24"/>
                <w:highlight w:val="none"/>
                <w:vertAlign w:val="baseline"/>
                <w:lang w:val="en-US" w:eastAsia="zh-CN"/>
              </w:rPr>
              <w:t>名称</w:t>
            </w:r>
            <w:bookmarkEnd w:id="515"/>
            <w:bookmarkEnd w:id="516"/>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bCs/>
                <w:color w:val="auto"/>
                <w:kern w:val="2"/>
                <w:sz w:val="24"/>
                <w:szCs w:val="24"/>
                <w:highlight w:val="none"/>
                <w:vertAlign w:val="baseline"/>
                <w:lang w:val="en-US" w:eastAsia="zh-CN"/>
              </w:rPr>
            </w:pPr>
            <w:bookmarkStart w:id="517" w:name="_Toc18265"/>
            <w:bookmarkStart w:id="518" w:name="_Toc18480"/>
            <w:r>
              <w:rPr>
                <w:rFonts w:hint="eastAsia" w:ascii="宋体" w:hAnsi="宋体" w:eastAsia="宋体" w:cs="宋体"/>
                <w:b/>
                <w:bCs/>
                <w:color w:val="auto"/>
                <w:kern w:val="2"/>
                <w:sz w:val="24"/>
                <w:szCs w:val="24"/>
                <w:highlight w:val="none"/>
                <w:vertAlign w:val="baseline"/>
                <w:lang w:val="en-US" w:eastAsia="zh-CN"/>
              </w:rPr>
              <w:t>规模</w:t>
            </w:r>
            <w:bookmarkEnd w:id="517"/>
            <w:bookmarkEnd w:id="5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19" w:name="_Toc3780"/>
            <w:bookmarkStart w:id="520" w:name="_Toc23392"/>
            <w:r>
              <w:rPr>
                <w:rFonts w:hint="eastAsia" w:ascii="宋体" w:hAnsi="宋体" w:eastAsia="宋体" w:cs="宋体"/>
                <w:b w:val="0"/>
                <w:bCs w:val="0"/>
                <w:color w:val="auto"/>
                <w:kern w:val="2"/>
                <w:sz w:val="24"/>
                <w:szCs w:val="24"/>
                <w:highlight w:val="none"/>
                <w:vertAlign w:val="baseline"/>
                <w:lang w:val="en-US" w:eastAsia="zh-CN"/>
              </w:rPr>
              <w:t>1</w:t>
            </w:r>
            <w:bookmarkEnd w:id="519"/>
            <w:bookmarkEnd w:id="520"/>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21" w:name="_Toc25083"/>
            <w:bookmarkStart w:id="522" w:name="_Toc29217"/>
            <w:r>
              <w:rPr>
                <w:rFonts w:hint="eastAsia" w:ascii="宋体" w:hAnsi="宋体" w:eastAsia="宋体" w:cs="宋体"/>
                <w:kern w:val="2"/>
                <w:sz w:val="24"/>
                <w:szCs w:val="24"/>
                <w:highlight w:val="none"/>
              </w:rPr>
              <w:t>企业年金年度缴费规模</w:t>
            </w:r>
            <w:bookmarkEnd w:id="521"/>
            <w:bookmarkEnd w:id="522"/>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23" w:name="_Toc25309"/>
            <w:bookmarkStart w:id="524" w:name="_Toc8035"/>
            <w:r>
              <w:rPr>
                <w:rFonts w:hint="eastAsia" w:ascii="宋体" w:hAnsi="宋体" w:eastAsia="宋体" w:cs="宋体"/>
                <w:kern w:val="2"/>
                <w:sz w:val="24"/>
                <w:szCs w:val="24"/>
                <w:highlight w:val="none"/>
              </w:rPr>
              <w:t>960万元</w:t>
            </w:r>
            <w:bookmarkEnd w:id="523"/>
            <w:bookmarkEnd w:id="5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25" w:name="_Toc26546"/>
            <w:bookmarkStart w:id="526" w:name="_Toc16352"/>
            <w:r>
              <w:rPr>
                <w:rFonts w:hint="eastAsia" w:ascii="宋体" w:hAnsi="宋体" w:eastAsia="宋体" w:cs="宋体"/>
                <w:b w:val="0"/>
                <w:bCs w:val="0"/>
                <w:color w:val="auto"/>
                <w:kern w:val="2"/>
                <w:sz w:val="24"/>
                <w:szCs w:val="24"/>
                <w:highlight w:val="none"/>
                <w:vertAlign w:val="baseline"/>
                <w:lang w:val="en-US" w:eastAsia="zh-CN"/>
              </w:rPr>
              <w:t>2</w:t>
            </w:r>
            <w:bookmarkEnd w:id="525"/>
            <w:bookmarkEnd w:id="526"/>
          </w:p>
        </w:tc>
        <w:tc>
          <w:tcPr>
            <w:tcW w:w="2139"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27" w:name="_Toc23585"/>
            <w:bookmarkStart w:id="528" w:name="_Toc28834"/>
            <w:r>
              <w:rPr>
                <w:rFonts w:hint="eastAsia" w:ascii="宋体" w:hAnsi="宋体" w:eastAsia="宋体" w:cs="宋体"/>
                <w:kern w:val="2"/>
                <w:sz w:val="24"/>
                <w:szCs w:val="24"/>
                <w:highlight w:val="none"/>
              </w:rPr>
              <w:t>企业年金补缴</w:t>
            </w:r>
            <w:bookmarkEnd w:id="527"/>
            <w:bookmarkEnd w:id="528"/>
          </w:p>
        </w:tc>
        <w:tc>
          <w:tcPr>
            <w:tcW w:w="2020" w:type="pct"/>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1"/>
              <w:rPr>
                <w:rFonts w:hint="eastAsia" w:ascii="宋体" w:hAnsi="宋体" w:eastAsia="宋体" w:cs="宋体"/>
                <w:b w:val="0"/>
                <w:bCs w:val="0"/>
                <w:color w:val="auto"/>
                <w:kern w:val="2"/>
                <w:sz w:val="24"/>
                <w:szCs w:val="24"/>
                <w:highlight w:val="none"/>
                <w:vertAlign w:val="baseline"/>
                <w:lang w:val="en-US" w:eastAsia="zh-CN"/>
              </w:rPr>
            </w:pPr>
            <w:bookmarkStart w:id="529" w:name="_Toc18087"/>
            <w:bookmarkStart w:id="530" w:name="_Toc27122"/>
            <w:r>
              <w:rPr>
                <w:rFonts w:hint="eastAsia" w:ascii="宋体" w:hAnsi="宋体" w:eastAsia="宋体" w:cs="宋体"/>
                <w:kern w:val="2"/>
                <w:sz w:val="24"/>
                <w:szCs w:val="24"/>
                <w:highlight w:val="none"/>
              </w:rPr>
              <w:t>7000万元</w:t>
            </w:r>
            <w:bookmarkEnd w:id="529"/>
            <w:bookmarkEnd w:id="530"/>
          </w:p>
        </w:tc>
      </w:tr>
    </w:tbl>
    <w:p>
      <w:pPr>
        <w:spacing w:line="360" w:lineRule="auto"/>
        <w:ind w:firstLine="482" w:firstLineChars="200"/>
        <w:outlineLvl w:val="9"/>
        <w:rPr>
          <w:rFonts w:hint="eastAsia" w:ascii="宋体" w:hAnsi="宋体" w:eastAsia="宋体" w:cs="宋体"/>
          <w:b/>
          <w:bCs/>
          <w:color w:val="auto"/>
          <w:kern w:val="0"/>
          <w:sz w:val="24"/>
          <w:szCs w:val="24"/>
          <w:highlight w:val="none"/>
          <w:lang w:val="en-US" w:eastAsia="zh-CN"/>
        </w:rPr>
      </w:pPr>
    </w:p>
    <w:p>
      <w:pPr>
        <w:spacing w:line="360" w:lineRule="auto"/>
        <w:ind w:firstLine="482" w:firstLineChars="200"/>
        <w:outlineLvl w:val="1"/>
        <w:rPr>
          <w:rFonts w:hint="eastAsia" w:ascii="宋体" w:hAnsi="宋体" w:eastAsia="宋体" w:cs="宋体"/>
          <w:b/>
          <w:bCs/>
          <w:color w:val="auto"/>
          <w:kern w:val="0"/>
          <w:sz w:val="24"/>
          <w:szCs w:val="24"/>
          <w:highlight w:val="none"/>
          <w:lang w:eastAsia="zh-CN"/>
        </w:rPr>
      </w:pPr>
      <w:bookmarkStart w:id="531" w:name="_Toc3239"/>
      <w:r>
        <w:rPr>
          <w:rFonts w:hint="eastAsia" w:ascii="宋体" w:hAnsi="宋体" w:eastAsia="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技术</w:t>
      </w:r>
      <w:r>
        <w:rPr>
          <w:rFonts w:hint="eastAsia" w:ascii="宋体" w:hAnsi="宋体" w:eastAsia="宋体" w:cs="宋体"/>
          <w:b/>
          <w:bCs/>
          <w:color w:val="auto"/>
          <w:kern w:val="0"/>
          <w:sz w:val="24"/>
          <w:szCs w:val="24"/>
          <w:highlight w:val="none"/>
        </w:rPr>
        <w:t>要求</w:t>
      </w:r>
      <w:bookmarkEnd w:id="511"/>
      <w:bookmarkEnd w:id="531"/>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（一）：企业年金缴费支出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1、应遵守的规章制度：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（1）《企业年金办法》（2017年12月18日人力资源社会保障部令第36号公布，自2018 年2月1日起施行）。</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（2）《企业年金基金管理办法》 （2011年2月12日人力资源社会保障部、银监会、证监会、保监会令第11号公布，自 2011年5月1日起施行）。</w:t>
      </w:r>
    </w:p>
    <w:p>
      <w:pPr>
        <w:keepNext w:val="0"/>
        <w:keepLines w:val="0"/>
        <w:pageBreakBefore w:val="0"/>
        <w:widowControl w:val="0"/>
        <w:numPr>
          <w:ilvl w:val="0"/>
          <w:numId w:val="5"/>
        </w:numPr>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湖北省人力资源和社会保障厅等8部门关于进一步推进我省企业年金发展的指导意见(鄂人社发[2024]42号）</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（4）国务院、省、市、地方相关规章制度。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2、职责要求：</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作为企业年金计划的受托人，负责与账户管理人、托管人、投资管理人分别签订委托管理合同，并根据需要将受托管理合同和委托管理合同报有关部门备案。应当履行下列职责：</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（1）选择、监督、更换账户管理人、托管人、投资管理人；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（2）制定企业年金基金战略资产配置策略，应在控制风险、确保安全的前提下，保证企业年金基金得到稳健收益，并确保企业年金基金信息报告披露规范、及时。</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为招标人建立完善的风险控制体系，对企业年金基金管理进行监督，通过建立个人账户，记录单位缴费、个人缴费信息以及企业年金基金投资收益信息，接受委托人查询，定期向委托人提交企业年金基金管理和财务会计报告。发生重大事件时，及时向委托人和有关监管部门报告；定期向有关监管部门提交开展企业年金基金受托管理业务情况的报告，同时提供账户查询服务。</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（4）企保参保过渡人员社会保险和企业年金缴费。</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（5）按照国家规定保存与企业年金基金管理有关的记录自合同终止之日起至少15年；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（6）国家规定和合同约定的其他职责。</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（二）：企业年金补缴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1、应遵守的规章制度：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（1）《企业年金办法》（2017年12月18日人力资源社会保障部令第36号公布，自2018 年2月1日起施行）。</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（2）《企业年金基金管理办法》 （2011年2月12日人力资源社会保障部、银监会、证监会、保监会令第11号公布，自 2011年5月1日起施行）。</w:t>
      </w:r>
    </w:p>
    <w:p>
      <w:pPr>
        <w:keepNext w:val="0"/>
        <w:keepLines w:val="0"/>
        <w:pageBreakBefore w:val="0"/>
        <w:widowControl w:val="0"/>
        <w:numPr>
          <w:ilvl w:val="0"/>
          <w:numId w:val="5"/>
        </w:numPr>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湖北省人力资源和社会保障厅等8部门关于进一步推进我省企业年金发展的指导意见(鄂人社发[2024]42号）</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（4）国务院、省、市、地方相关规章制度。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2、职责要求：</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作为企业年金计划的受托人，负责与账户管理人、托管人、投资管理人分别签订委托管理合同，并根据需要将受托管理合同和委托管理合同报有关部门备案。应当履行下列职责：</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（1）选择、监督、更换账户管理人、托管人、投资管理人；</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（2）制定企业年金基金战略资产配置策略，应在控制风险、确保安全的前提下，保证企业年金基金得到稳健收益，并确保企业年金基金信息报告披露规范、及时。</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为招标人建立完善的风险控制体系，对企业年金基金管理进行监督，通过建立个人账户，记录单位缴费、个人缴费信息以及企业年金基金投资收益信息，接受委托人查询，定期向委托人提交企业年金基金管理和财务会计报告。发生重大事件时，及时向委托人和有关监管部门报告；定期向有关监管部门提交开展企业年金基金受托管理业务情况的报告，同时提供账户查询服务。</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（4）改革过渡期企保参保职工企业年金的补缴。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（5）按照国家规定保存与企业年金基金管理有关的记录自合同终止之日起至少15年；</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（6）国家规定和合同约定的其他职责。</w:t>
      </w:r>
    </w:p>
    <w:p>
      <w:pPr>
        <w:keepNext w:val="0"/>
        <w:keepLines w:val="0"/>
        <w:pageBreakBefore w:val="0"/>
        <w:widowControl w:val="0"/>
        <w:numPr>
          <w:ilvl w:val="0"/>
          <w:numId w:val="0"/>
        </w:numPr>
        <w:kinsoku/>
        <w:wordWrap/>
        <w:overflowPunct/>
        <w:topLinePunct w:val="0"/>
        <w:autoSpaceDE/>
        <w:autoSpaceDN/>
        <w:bidi w:val="0"/>
        <w:snapToGrid/>
        <w:spacing w:line="360" w:lineRule="auto"/>
        <w:ind w:firstLine="482"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rPr>
        <w:t>商务要求</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★1、合同履约期限（服务期）：合同签订后三年；合同期限截止日一个月前，中南民族大学对受托管理人进行考核，考核合格后可续签下一年的合同，最多续签两次。</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★2、报价要求：根据《企业年金基金管理办法》第七章收益分配及费用“第五十五条”、“ 第五十六条”、“ 第五十七条”、“ 第五十八条” 的规定，本项目须提供受托人、账户管理人、托管人、投资管理人四项管理费的报价。根据中南民族大学企业年金年缴费额（包含前期补缴）约为8000万元，年金参加人员约600人进行测算。</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★3、项目最高限价：企业年金受托人和托管人提取的管理费均不得高于企业年金基金净值的1.5‰，投资管理人提取的管理费不得高于企业年金基金净值的6‰，账户管理费每户每月不超过1.5元</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不得0元报价</w:t>
      </w:r>
      <w:r>
        <w:rPr>
          <w:rFonts w:hint="eastAsia" w:ascii="宋体" w:hAnsi="宋体" w:eastAsia="宋体" w:cs="宋体"/>
          <w:b/>
          <w:bCs/>
          <w:sz w:val="24"/>
          <w:szCs w:val="24"/>
          <w:highlight w:val="none"/>
          <w:lang w:eastAsia="zh-CN"/>
        </w:rPr>
        <w:t>）</w:t>
      </w:r>
      <w:r>
        <w:rPr>
          <w:rFonts w:hint="eastAsia" w:ascii="宋体" w:hAnsi="宋体" w:eastAsia="宋体" w:cs="宋体"/>
          <w:b/>
          <w:bCs/>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bookmarkStart w:id="532" w:name="OLE_LINK3"/>
      <w:r>
        <w:rPr>
          <w:rFonts w:hint="eastAsia" w:ascii="宋体" w:hAnsi="宋体" w:eastAsia="宋体" w:cs="宋体"/>
          <w:b/>
          <w:bCs/>
          <w:color w:val="auto"/>
          <w:kern w:val="0"/>
          <w:sz w:val="24"/>
          <w:szCs w:val="24"/>
          <w:highlight w:val="none"/>
          <w:lang w:val="en-US" w:eastAsia="zh-CN"/>
        </w:rPr>
        <w:t>★</w:t>
      </w:r>
      <w:bookmarkEnd w:id="532"/>
      <w:r>
        <w:rPr>
          <w:rFonts w:hint="eastAsia" w:ascii="宋体" w:hAnsi="宋体" w:eastAsia="宋体" w:cs="宋体"/>
          <w:b/>
          <w:bCs/>
          <w:color w:val="auto"/>
          <w:kern w:val="0"/>
          <w:sz w:val="24"/>
          <w:szCs w:val="24"/>
          <w:highlight w:val="none"/>
          <w:lang w:val="en-US" w:eastAsia="zh-CN"/>
        </w:rPr>
        <w:t>4、投标人报价须符合《企业年金基金管理办法》与《企业年金基金管理机构基本服务和收费标准行业自律公约》规定。（提供承诺函，未提供视为无效响应）。</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★5、投资管理人年度管理费应按权益类组合报价。</w:t>
      </w:r>
    </w:p>
    <w:p>
      <w:pPr>
        <w:keepNext w:val="0"/>
        <w:keepLines w:val="0"/>
        <w:pageBreakBefore w:val="0"/>
        <w:widowControl w:val="0"/>
        <w:kinsoku/>
        <w:wordWrap/>
        <w:overflowPunct/>
        <w:topLinePunct w:val="0"/>
        <w:autoSpaceDE/>
        <w:autoSpaceDN/>
        <w:bidi w:val="0"/>
        <w:snapToGrid/>
        <w:spacing w:line="360" w:lineRule="auto"/>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★6、</w:t>
      </w:r>
      <w:bookmarkStart w:id="533" w:name="OLE_LINK24"/>
      <w:r>
        <w:rPr>
          <w:rFonts w:hint="eastAsia" w:ascii="宋体" w:hAnsi="宋体" w:eastAsia="宋体" w:cs="宋体"/>
          <w:b/>
          <w:bCs/>
          <w:color w:val="auto"/>
          <w:kern w:val="0"/>
          <w:sz w:val="24"/>
          <w:szCs w:val="24"/>
          <w:highlight w:val="none"/>
          <w:lang w:val="en-US" w:eastAsia="zh-CN"/>
        </w:rPr>
        <w:t>付款方式：根据《企业年金基金管理办法》第七章收益分配及费用的规定，按照投标人投标报价的中标费率或金额进行管理费支付。（提供承诺函，未提供视为无效响应）。</w:t>
      </w:r>
      <w:bookmarkEnd w:id="533"/>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7、投标人应提供总体服务方案、主要包含日常运营服务、计划信息披露服务、年金信息化系统建设、战略资产配置策略、年金计划转移。</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bookmarkStart w:id="534" w:name="OLE_LINK28"/>
      <w:r>
        <w:rPr>
          <w:rFonts w:hint="eastAsia" w:ascii="宋体" w:hAnsi="宋体" w:eastAsia="宋体" w:cs="宋体"/>
          <w:color w:val="auto"/>
          <w:kern w:val="0"/>
          <w:sz w:val="24"/>
          <w:szCs w:val="24"/>
          <w:highlight w:val="none"/>
          <w:lang w:val="en-US" w:eastAsia="zh-CN"/>
        </w:rPr>
        <w:t>投标人</w:t>
      </w:r>
      <w:bookmarkEnd w:id="534"/>
      <w:r>
        <w:rPr>
          <w:rFonts w:hint="eastAsia" w:ascii="宋体" w:hAnsi="宋体" w:eastAsia="宋体" w:cs="宋体"/>
          <w:color w:val="auto"/>
          <w:kern w:val="0"/>
          <w:sz w:val="24"/>
          <w:szCs w:val="24"/>
          <w:highlight w:val="none"/>
          <w:lang w:val="en-US" w:eastAsia="zh-CN"/>
        </w:rPr>
        <w:t>应具有年金基金损失的追偿机制，风险管理体系；风控体系框架完整，覆盖人员、系统、制度、流程、处置全维度。</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9、针对日常服务投标人应具有运营管理信息系统和平台、可以完整展示年金运营管理系统功能。</w:t>
      </w:r>
    </w:p>
    <w:p>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10、投标人应具有信息披露管理制度、信息披露处置流程、信息保密措施、突发事件处理机制方案、以及对管理人的评选和考核能力。</w:t>
      </w:r>
    </w:p>
    <w:bookmarkEnd w:id="505"/>
    <w:p>
      <w:pPr>
        <w:rPr>
          <w:rFonts w:ascii="宋体" w:hAnsi="宋体" w:cs="宋体"/>
          <w:szCs w:val="21"/>
          <w:highlight w:val="none"/>
        </w:rPr>
      </w:pPr>
      <w:r>
        <w:rPr>
          <w:rFonts w:hint="eastAsia" w:ascii="宋体" w:hAnsi="宋体" w:cs="宋体"/>
          <w:szCs w:val="21"/>
          <w:highlight w:val="none"/>
        </w:rPr>
        <w:br w:type="page"/>
      </w:r>
    </w:p>
    <w:p>
      <w:pPr>
        <w:widowControl/>
        <w:jc w:val="left"/>
        <w:rPr>
          <w:rFonts w:ascii="宋体" w:hAnsi="宋体" w:cs="宋体"/>
          <w:b/>
          <w:bCs/>
          <w:sz w:val="32"/>
          <w:szCs w:val="32"/>
          <w:highlight w:val="none"/>
        </w:rPr>
      </w:pPr>
    </w:p>
    <w:p>
      <w:pPr>
        <w:pStyle w:val="4"/>
        <w:numPr>
          <w:ilvl w:val="0"/>
          <w:numId w:val="3"/>
        </w:numPr>
        <w:spacing w:before="120" w:after="120" w:line="300" w:lineRule="auto"/>
        <w:rPr>
          <w:rFonts w:hAnsi="宋体" w:cs="宋体"/>
          <w:sz w:val="24"/>
          <w:szCs w:val="24"/>
          <w:highlight w:val="none"/>
        </w:rPr>
      </w:pPr>
      <w:bookmarkStart w:id="535" w:name="_Toc131491110"/>
      <w:bookmarkStart w:id="536" w:name="_Toc130283090"/>
      <w:bookmarkStart w:id="537" w:name="_Toc8111"/>
      <w:r>
        <w:rPr>
          <w:rFonts w:hint="eastAsia" w:hAnsi="宋体" w:cs="宋体"/>
          <w:sz w:val="32"/>
          <w:szCs w:val="32"/>
          <w:highlight w:val="none"/>
        </w:rPr>
        <w:t>评标方法、步骤及标准</w:t>
      </w:r>
      <w:bookmarkEnd w:id="535"/>
      <w:bookmarkEnd w:id="536"/>
      <w:bookmarkEnd w:id="537"/>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根据《中华人民共和国政府采购法》、《中华人民共和国政府采购法实施条例》、《政府采购货物和服务招标投标管理办法》（财政部令第87号）等有关法律、法规和规章的规定，确定以下评标方法、步骤及标准。</w:t>
      </w:r>
    </w:p>
    <w:p>
      <w:pPr>
        <w:snapToGrid w:val="0"/>
        <w:spacing w:line="360" w:lineRule="auto"/>
        <w:outlineLvl w:val="1"/>
        <w:rPr>
          <w:rFonts w:hint="eastAsia" w:ascii="宋体" w:hAnsi="宋体"/>
          <w:b/>
          <w:szCs w:val="21"/>
          <w:highlight w:val="none"/>
        </w:rPr>
      </w:pPr>
      <w:bookmarkStart w:id="538" w:name="_Toc16367"/>
      <w:bookmarkStart w:id="539" w:name="_Toc9747"/>
      <w:bookmarkStart w:id="540" w:name="_Toc492403833"/>
      <w:r>
        <w:rPr>
          <w:rFonts w:hint="eastAsia" w:ascii="宋体" w:hAnsi="宋体"/>
          <w:b/>
          <w:szCs w:val="21"/>
          <w:highlight w:val="none"/>
        </w:rPr>
        <w:t>一、评标方法</w:t>
      </w:r>
      <w:bookmarkEnd w:id="538"/>
      <w:bookmarkEnd w:id="539"/>
      <w:bookmarkEnd w:id="540"/>
    </w:p>
    <w:p>
      <w:pPr>
        <w:pStyle w:val="6"/>
        <w:snapToGrid w:val="0"/>
        <w:spacing w:line="360" w:lineRule="auto"/>
        <w:ind w:firstLine="411" w:firstLineChars="196"/>
        <w:rPr>
          <w:rFonts w:hint="eastAsia" w:ascii="宋体" w:hAnsi="宋体"/>
          <w:bCs/>
          <w:szCs w:val="21"/>
          <w:highlight w:val="none"/>
        </w:rPr>
      </w:pPr>
      <w:r>
        <w:rPr>
          <w:rFonts w:ascii="宋体" w:hAnsi="宋体"/>
          <w:bCs/>
          <w:szCs w:val="21"/>
          <w:highlight w:val="none"/>
        </w:rPr>
        <w:t>本次评标采用</w:t>
      </w:r>
      <w:r>
        <w:rPr>
          <w:rFonts w:hint="eastAsia" w:ascii="宋体" w:hAnsi="宋体"/>
          <w:bCs/>
          <w:szCs w:val="21"/>
          <w:highlight w:val="none"/>
        </w:rPr>
        <w:t>综合评分法（百分制），即 在最大限度地满足招标文件实质性要求前提下，按照招标文件规定的各项因素进行综合评审后，以得分高低依次排序</w:t>
      </w:r>
      <w:r>
        <w:rPr>
          <w:rFonts w:ascii="宋体" w:hAnsi="宋体"/>
          <w:bCs/>
          <w:szCs w:val="21"/>
          <w:highlight w:val="none"/>
        </w:rPr>
        <w:t>。</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其中：满足招标文件要求且投标价格最低的投标报价为评标基准价，其价格分为满分。其他投标人的价格分统一按照下列公式计算：</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投标报价得分=(评标基准价／投标报价)×价格权值×100</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其他分值按打分表计算。</w:t>
      </w:r>
    </w:p>
    <w:p>
      <w:pPr>
        <w:snapToGrid w:val="0"/>
        <w:spacing w:line="360" w:lineRule="auto"/>
        <w:outlineLvl w:val="1"/>
        <w:rPr>
          <w:rFonts w:hint="eastAsia" w:ascii="宋体" w:hAnsi="宋体"/>
          <w:b/>
          <w:szCs w:val="21"/>
          <w:highlight w:val="none"/>
        </w:rPr>
      </w:pPr>
      <w:bookmarkStart w:id="541" w:name="_Toc492403834"/>
      <w:bookmarkStart w:id="542" w:name="_Toc26120"/>
      <w:bookmarkStart w:id="543" w:name="_Toc31187"/>
      <w:r>
        <w:rPr>
          <w:rFonts w:hint="eastAsia" w:ascii="宋体" w:hAnsi="宋体"/>
          <w:b/>
          <w:szCs w:val="21"/>
          <w:highlight w:val="none"/>
        </w:rPr>
        <w:t>二、评标步骤</w:t>
      </w:r>
      <w:bookmarkEnd w:id="541"/>
      <w:bookmarkEnd w:id="542"/>
      <w:bookmarkEnd w:id="543"/>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采购人或采购代理机构依据法律法规和招标文件的规定对投标人进行资格审查。评标委员会对投标文件的评审分为符合性检查、商务评议、技术评议和价格评议。</w:t>
      </w:r>
    </w:p>
    <w:p>
      <w:pPr>
        <w:pStyle w:val="6"/>
        <w:snapToGrid w:val="0"/>
        <w:spacing w:line="360" w:lineRule="auto"/>
        <w:ind w:firstLine="413" w:firstLineChars="196"/>
        <w:outlineLvl w:val="2"/>
        <w:rPr>
          <w:rFonts w:hint="eastAsia" w:ascii="宋体" w:hAnsi="宋体"/>
          <w:b/>
          <w:bCs/>
          <w:szCs w:val="21"/>
          <w:highlight w:val="none"/>
        </w:rPr>
      </w:pPr>
      <w:bookmarkStart w:id="544" w:name="_Toc15560"/>
      <w:bookmarkStart w:id="545" w:name="_Toc492403835"/>
      <w:bookmarkStart w:id="546" w:name="_Toc17708"/>
      <w:r>
        <w:rPr>
          <w:rFonts w:hint="eastAsia" w:ascii="宋体" w:hAnsi="宋体"/>
          <w:b/>
          <w:bCs/>
          <w:szCs w:val="21"/>
          <w:highlight w:val="none"/>
        </w:rPr>
        <w:t>（一）投标文件初审</w:t>
      </w:r>
      <w:bookmarkEnd w:id="544"/>
      <w:bookmarkEnd w:id="545"/>
      <w:bookmarkEnd w:id="546"/>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1、资格审查</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采购人或采购代理机构依据法律法规和招标文件的规定，对投标文件中的资格证明材料等进行审查，以确定投标人是否具备投标资格，具体评审因素详见《资格审查表》。</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2、符合性检查</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评标委员会依据招标文件的规定，从投标文件的有效性、完整性和对投标文件的响应程度进行审查，以确定是否对招标文件的实质性要求作出响应，具体评审因素详见《符合性检查表》。</w:t>
      </w:r>
    </w:p>
    <w:p>
      <w:pPr>
        <w:pStyle w:val="6"/>
        <w:snapToGrid w:val="0"/>
        <w:spacing w:line="360" w:lineRule="auto"/>
        <w:ind w:firstLine="413" w:firstLineChars="196"/>
        <w:outlineLvl w:val="2"/>
        <w:rPr>
          <w:rFonts w:ascii="宋体" w:hAnsi="宋体"/>
          <w:b/>
          <w:bCs/>
          <w:szCs w:val="21"/>
          <w:highlight w:val="none"/>
        </w:rPr>
      </w:pPr>
      <w:bookmarkStart w:id="547" w:name="_Toc31838"/>
      <w:bookmarkStart w:id="548" w:name="_Toc16748"/>
      <w:bookmarkStart w:id="549" w:name="_Toc492403836"/>
      <w:r>
        <w:rPr>
          <w:rFonts w:hint="eastAsia" w:ascii="宋体" w:hAnsi="宋体"/>
          <w:b/>
          <w:bCs/>
          <w:szCs w:val="21"/>
          <w:highlight w:val="none"/>
        </w:rPr>
        <w:t>（二）澄清有关问题</w:t>
      </w:r>
      <w:bookmarkEnd w:id="547"/>
      <w:bookmarkEnd w:id="548"/>
      <w:bookmarkEnd w:id="549"/>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评标委员会</w:t>
      </w:r>
      <w:r>
        <w:rPr>
          <w:rFonts w:ascii="宋体" w:hAnsi="宋体"/>
          <w:bCs/>
          <w:szCs w:val="21"/>
          <w:highlight w:val="none"/>
        </w:rPr>
        <w:t>对</w:t>
      </w:r>
      <w:r>
        <w:rPr>
          <w:rFonts w:hint="eastAsia" w:ascii="宋体" w:hAnsi="宋体"/>
          <w:bCs/>
          <w:szCs w:val="21"/>
          <w:highlight w:val="none"/>
        </w:rPr>
        <w:t>投标文件</w:t>
      </w:r>
      <w:r>
        <w:rPr>
          <w:rFonts w:ascii="宋体" w:hAnsi="宋体"/>
          <w:bCs/>
          <w:szCs w:val="21"/>
          <w:highlight w:val="none"/>
        </w:rPr>
        <w:t>中含义不明确、同类问题表述不一致或者有明显文字和计算错误的内容，</w:t>
      </w:r>
      <w:r>
        <w:rPr>
          <w:rFonts w:hint="eastAsia" w:ascii="宋体" w:hAnsi="宋体"/>
          <w:bCs/>
          <w:szCs w:val="21"/>
          <w:highlight w:val="none"/>
        </w:rPr>
        <w:t>以</w:t>
      </w:r>
      <w:r>
        <w:rPr>
          <w:rFonts w:ascii="宋体" w:hAnsi="宋体"/>
          <w:bCs/>
          <w:szCs w:val="21"/>
          <w:highlight w:val="none"/>
        </w:rPr>
        <w:t>书面形式（应当由评标委员会专家签字）要求投标人做出必要的澄清、说明或者纠正。投标人的澄清、说明或者补正应当采用书面形式，由其授权的代表签字，并不得超出</w:t>
      </w:r>
      <w:r>
        <w:rPr>
          <w:rFonts w:hint="eastAsia" w:ascii="宋体" w:hAnsi="宋体"/>
          <w:bCs/>
          <w:szCs w:val="21"/>
          <w:highlight w:val="none"/>
        </w:rPr>
        <w:t>投标文件</w:t>
      </w:r>
      <w:r>
        <w:rPr>
          <w:rFonts w:ascii="宋体" w:hAnsi="宋体"/>
          <w:bCs/>
          <w:szCs w:val="21"/>
          <w:highlight w:val="none"/>
        </w:rPr>
        <w:t>的范围或者改变</w:t>
      </w:r>
      <w:r>
        <w:rPr>
          <w:rFonts w:hint="eastAsia" w:ascii="宋体" w:hAnsi="宋体"/>
          <w:bCs/>
          <w:szCs w:val="21"/>
          <w:highlight w:val="none"/>
        </w:rPr>
        <w:t>投标文件</w:t>
      </w:r>
      <w:r>
        <w:rPr>
          <w:rFonts w:ascii="宋体" w:hAnsi="宋体"/>
          <w:bCs/>
          <w:szCs w:val="21"/>
          <w:highlight w:val="none"/>
        </w:rPr>
        <w:t>的实质性内容。</w:t>
      </w:r>
    </w:p>
    <w:p>
      <w:pPr>
        <w:pStyle w:val="6"/>
        <w:snapToGrid w:val="0"/>
        <w:spacing w:line="360" w:lineRule="auto"/>
        <w:ind w:firstLine="413" w:firstLineChars="196"/>
        <w:rPr>
          <w:rFonts w:hint="eastAsia" w:ascii="宋体" w:hAnsi="宋体"/>
          <w:b/>
          <w:bCs/>
          <w:szCs w:val="21"/>
          <w:highlight w:val="none"/>
        </w:rPr>
      </w:pPr>
      <w:r>
        <w:rPr>
          <w:rFonts w:hint="eastAsia" w:ascii="宋体" w:hAnsi="宋体"/>
          <w:b/>
          <w:bCs/>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6"/>
        <w:snapToGrid w:val="0"/>
        <w:spacing w:line="360" w:lineRule="auto"/>
        <w:ind w:firstLine="413" w:firstLineChars="196"/>
        <w:outlineLvl w:val="2"/>
        <w:rPr>
          <w:rFonts w:hint="eastAsia" w:ascii="宋体" w:hAnsi="宋体"/>
          <w:b/>
          <w:bCs/>
          <w:szCs w:val="21"/>
          <w:highlight w:val="none"/>
        </w:rPr>
      </w:pPr>
      <w:bookmarkStart w:id="550" w:name="_Toc492403837"/>
      <w:bookmarkStart w:id="551" w:name="_Toc6922"/>
      <w:bookmarkStart w:id="552" w:name="_Toc12482"/>
      <w:r>
        <w:rPr>
          <w:rFonts w:hint="eastAsia" w:ascii="宋体" w:hAnsi="宋体"/>
          <w:b/>
          <w:bCs/>
          <w:szCs w:val="21"/>
          <w:highlight w:val="none"/>
        </w:rPr>
        <w:t>（三）投标报价修正（如有）</w:t>
      </w:r>
      <w:bookmarkEnd w:id="550"/>
      <w:bookmarkEnd w:id="551"/>
      <w:bookmarkEnd w:id="552"/>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投标文件报价出现前后不一致的，除招标文件另有规定外，按照下列规定修正：</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1、投标文件中开标一览表（报价表）内容与投标文件中相应内容不一致的，以开标一览表（报价表）为准；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2、大写金额和小写金额不一致的，以大写金额为准；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4、总价金额与按单价汇总金额不一致的，以单价金额计算结果为准。</w:t>
      </w:r>
    </w:p>
    <w:p>
      <w:pPr>
        <w:pStyle w:val="6"/>
        <w:snapToGrid w:val="0"/>
        <w:spacing w:line="360" w:lineRule="auto"/>
        <w:ind w:firstLine="411" w:firstLineChars="196"/>
        <w:rPr>
          <w:rFonts w:hint="eastAsia" w:ascii="宋体" w:hAnsi="宋体"/>
          <w:bCs/>
          <w:szCs w:val="21"/>
          <w:highlight w:val="none"/>
        </w:rPr>
      </w:pPr>
      <w:r>
        <w:rPr>
          <w:rFonts w:hint="eastAsia" w:ascii="宋体" w:hAnsi="宋体"/>
          <w:bCs/>
          <w:szCs w:val="21"/>
          <w:highlight w:val="none"/>
        </w:rPr>
        <w:t>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pPr>
        <w:pStyle w:val="6"/>
        <w:snapToGrid w:val="0"/>
        <w:spacing w:line="360" w:lineRule="auto"/>
        <w:ind w:firstLine="413" w:firstLineChars="196"/>
        <w:outlineLvl w:val="2"/>
        <w:rPr>
          <w:rFonts w:hint="eastAsia" w:ascii="宋体" w:hAnsi="宋体"/>
          <w:b/>
          <w:bCs/>
          <w:szCs w:val="21"/>
          <w:highlight w:val="none"/>
        </w:rPr>
      </w:pPr>
      <w:bookmarkStart w:id="553" w:name="_Toc27624"/>
      <w:bookmarkStart w:id="554" w:name="_Toc15729"/>
      <w:bookmarkStart w:id="555" w:name="_Toc492403838"/>
      <w:r>
        <w:rPr>
          <w:rFonts w:ascii="宋体" w:hAnsi="宋体"/>
          <w:b/>
          <w:bCs/>
          <w:szCs w:val="21"/>
          <w:highlight w:val="none"/>
        </w:rPr>
        <w:t>（</w:t>
      </w:r>
      <w:r>
        <w:rPr>
          <w:rFonts w:hint="eastAsia" w:ascii="宋体" w:hAnsi="宋体"/>
          <w:b/>
          <w:bCs/>
          <w:szCs w:val="21"/>
          <w:highlight w:val="none"/>
        </w:rPr>
        <w:t>四</w:t>
      </w:r>
      <w:r>
        <w:rPr>
          <w:rFonts w:ascii="宋体" w:hAnsi="宋体"/>
          <w:b/>
          <w:bCs/>
          <w:szCs w:val="21"/>
          <w:highlight w:val="none"/>
        </w:rPr>
        <w:t>）比较与评价</w:t>
      </w:r>
      <w:bookmarkEnd w:id="553"/>
      <w:bookmarkEnd w:id="554"/>
      <w:bookmarkEnd w:id="555"/>
    </w:p>
    <w:p>
      <w:pPr>
        <w:pStyle w:val="6"/>
        <w:snapToGrid w:val="0"/>
        <w:spacing w:line="360" w:lineRule="auto"/>
        <w:ind w:firstLine="411" w:firstLineChars="196"/>
        <w:rPr>
          <w:rFonts w:hint="eastAsia" w:ascii="宋体" w:hAnsi="宋体" w:cs="宋体"/>
          <w:kern w:val="0"/>
          <w:szCs w:val="21"/>
          <w:highlight w:val="none"/>
        </w:rPr>
      </w:pPr>
      <w:r>
        <w:rPr>
          <w:rFonts w:hint="eastAsia" w:ascii="宋体" w:hAnsi="宋体" w:cs="宋体"/>
          <w:kern w:val="0"/>
          <w:szCs w:val="21"/>
          <w:highlight w:val="none"/>
        </w:rPr>
        <w:t>评标委员会</w:t>
      </w:r>
      <w:r>
        <w:rPr>
          <w:rFonts w:ascii="宋体" w:hAnsi="宋体" w:cs="宋体"/>
          <w:kern w:val="0"/>
          <w:szCs w:val="21"/>
          <w:highlight w:val="none"/>
        </w:rPr>
        <w:t>按招标文件中规定的评标方法和标准，对资格性检查和符合性检查合格的</w:t>
      </w:r>
      <w:r>
        <w:rPr>
          <w:rFonts w:hint="eastAsia" w:ascii="宋体" w:hAnsi="宋体" w:cs="宋体"/>
          <w:kern w:val="0"/>
          <w:szCs w:val="21"/>
          <w:highlight w:val="none"/>
        </w:rPr>
        <w:t>投标文件</w:t>
      </w:r>
      <w:r>
        <w:rPr>
          <w:rFonts w:ascii="宋体" w:hAnsi="宋体" w:cs="宋体"/>
          <w:kern w:val="0"/>
          <w:szCs w:val="21"/>
          <w:highlight w:val="none"/>
        </w:rPr>
        <w:t>进行商务和技术评估，综合比较与评价。</w:t>
      </w:r>
      <w:r>
        <w:rPr>
          <w:rFonts w:hint="eastAsia" w:ascii="宋体" w:hAnsi="宋体" w:cs="宋体"/>
          <w:kern w:val="0"/>
          <w:szCs w:val="21"/>
          <w:highlight w:val="none"/>
        </w:rPr>
        <w:t>具体评审因素详见《评分标准》,</w:t>
      </w:r>
      <w:r>
        <w:rPr>
          <w:rFonts w:hint="eastAsia" w:ascii="宋体" w:hAnsi="宋体"/>
          <w:bCs/>
          <w:szCs w:val="21"/>
          <w:highlight w:val="none"/>
        </w:rPr>
        <w:t>本项目评分保留小数点后两位。</w:t>
      </w:r>
    </w:p>
    <w:p>
      <w:pPr>
        <w:pStyle w:val="6"/>
        <w:snapToGrid w:val="0"/>
        <w:spacing w:line="360" w:lineRule="auto"/>
        <w:ind w:firstLine="413" w:firstLineChars="196"/>
        <w:outlineLvl w:val="2"/>
        <w:rPr>
          <w:rFonts w:hint="eastAsia" w:ascii="宋体" w:hAnsi="宋体"/>
          <w:b/>
          <w:bCs/>
          <w:szCs w:val="21"/>
          <w:highlight w:val="none"/>
        </w:rPr>
      </w:pPr>
      <w:bookmarkStart w:id="556" w:name="_Toc492403839"/>
      <w:bookmarkStart w:id="557" w:name="_Toc25369"/>
      <w:bookmarkStart w:id="558" w:name="_Toc12929"/>
      <w:r>
        <w:rPr>
          <w:rFonts w:ascii="宋体" w:hAnsi="宋体"/>
          <w:b/>
          <w:bCs/>
          <w:szCs w:val="21"/>
          <w:highlight w:val="none"/>
        </w:rPr>
        <w:t>（</w:t>
      </w:r>
      <w:r>
        <w:rPr>
          <w:rFonts w:hint="eastAsia" w:ascii="宋体" w:hAnsi="宋体"/>
          <w:b/>
          <w:bCs/>
          <w:szCs w:val="21"/>
          <w:highlight w:val="none"/>
        </w:rPr>
        <w:t>五</w:t>
      </w:r>
      <w:r>
        <w:rPr>
          <w:rFonts w:ascii="宋体" w:hAnsi="宋体"/>
          <w:b/>
          <w:bCs/>
          <w:szCs w:val="21"/>
          <w:highlight w:val="none"/>
        </w:rPr>
        <w:t>）推荐中标候选</w:t>
      </w:r>
      <w:r>
        <w:rPr>
          <w:rFonts w:hint="eastAsia" w:ascii="宋体" w:hAnsi="宋体"/>
          <w:b/>
          <w:bCs/>
          <w:szCs w:val="21"/>
          <w:highlight w:val="none"/>
        </w:rPr>
        <w:t>人</w:t>
      </w:r>
      <w:r>
        <w:rPr>
          <w:rFonts w:ascii="宋体" w:hAnsi="宋体"/>
          <w:b/>
          <w:bCs/>
          <w:szCs w:val="21"/>
          <w:highlight w:val="none"/>
        </w:rPr>
        <w:t>名单</w:t>
      </w:r>
      <w:bookmarkEnd w:id="556"/>
      <w:bookmarkEnd w:id="557"/>
      <w:bookmarkEnd w:id="558"/>
    </w:p>
    <w:p>
      <w:pPr>
        <w:pStyle w:val="6"/>
        <w:snapToGrid w:val="0"/>
        <w:spacing w:line="360" w:lineRule="auto"/>
        <w:ind w:firstLine="411" w:firstLineChars="196"/>
        <w:rPr>
          <w:rFonts w:ascii="宋体" w:hAnsi="宋体" w:cs="宋体"/>
          <w:kern w:val="0"/>
          <w:szCs w:val="21"/>
          <w:highlight w:val="none"/>
        </w:rPr>
      </w:pPr>
      <w:r>
        <w:rPr>
          <w:rFonts w:ascii="宋体" w:hAnsi="宋体" w:cs="宋体"/>
          <w:kern w:val="0"/>
          <w:szCs w:val="21"/>
          <w:highlight w:val="none"/>
        </w:rPr>
        <w:t>中标候选</w:t>
      </w:r>
      <w:r>
        <w:rPr>
          <w:rFonts w:hint="eastAsia" w:ascii="宋体" w:hAnsi="宋体" w:cs="宋体"/>
          <w:kern w:val="0"/>
          <w:szCs w:val="21"/>
          <w:highlight w:val="none"/>
        </w:rPr>
        <w:t>人</w:t>
      </w:r>
      <w:r>
        <w:rPr>
          <w:rFonts w:ascii="宋体" w:hAnsi="宋体" w:cs="宋体"/>
          <w:kern w:val="0"/>
          <w:szCs w:val="21"/>
          <w:highlight w:val="none"/>
        </w:rPr>
        <w:t>数量</w:t>
      </w:r>
      <w:r>
        <w:rPr>
          <w:rFonts w:hint="eastAsia" w:ascii="宋体" w:hAnsi="宋体" w:cs="宋体"/>
          <w:kern w:val="0"/>
          <w:szCs w:val="21"/>
          <w:highlight w:val="none"/>
        </w:rPr>
        <w:t>详见《投标人须知前附表》</w:t>
      </w:r>
      <w:r>
        <w:rPr>
          <w:rFonts w:ascii="宋体" w:hAnsi="宋体" w:cs="宋体"/>
          <w:kern w:val="0"/>
          <w:szCs w:val="21"/>
          <w:highlight w:val="none"/>
        </w:rPr>
        <w:t>。</w:t>
      </w:r>
      <w:r>
        <w:rPr>
          <w:rFonts w:hint="eastAsia" w:ascii="宋体" w:hAnsi="宋体" w:cs="宋体"/>
          <w:kern w:val="0"/>
          <w:szCs w:val="21"/>
          <w:highlight w:val="none"/>
        </w:rPr>
        <w:t>评标委员会</w:t>
      </w:r>
      <w:r>
        <w:rPr>
          <w:rFonts w:ascii="宋体" w:hAnsi="宋体" w:cs="宋体"/>
          <w:kern w:val="0"/>
          <w:szCs w:val="21"/>
          <w:highlight w:val="none"/>
        </w:rPr>
        <w:t>按评审后得分由高到低顺序排列</w:t>
      </w:r>
      <w:r>
        <w:rPr>
          <w:rFonts w:hint="eastAsia" w:ascii="宋体" w:hAnsi="宋体" w:cs="宋体"/>
          <w:kern w:val="0"/>
          <w:szCs w:val="21"/>
          <w:highlight w:val="none"/>
        </w:rPr>
        <w:t>。</w:t>
      </w:r>
      <w:r>
        <w:rPr>
          <w:rFonts w:ascii="宋体" w:hAnsi="宋体" w:cs="宋体"/>
          <w:kern w:val="0"/>
          <w:szCs w:val="21"/>
          <w:highlight w:val="none"/>
        </w:rPr>
        <w:t>得分相同的，按投标报价由低到高顺序排列</w:t>
      </w:r>
      <w:r>
        <w:rPr>
          <w:rFonts w:hint="eastAsia" w:ascii="宋体" w:hAnsi="宋体" w:cs="宋体"/>
          <w:kern w:val="0"/>
          <w:szCs w:val="21"/>
          <w:highlight w:val="none"/>
        </w:rPr>
        <w:t>；</w:t>
      </w:r>
      <w:r>
        <w:rPr>
          <w:rFonts w:ascii="宋体" w:hAnsi="宋体" w:cs="宋体"/>
          <w:kern w:val="0"/>
          <w:szCs w:val="21"/>
          <w:highlight w:val="none"/>
        </w:rPr>
        <w:t>得分且投标报价相同的，按技术指标优劣顺序排列。</w:t>
      </w:r>
    </w:p>
    <w:p>
      <w:pPr>
        <w:pStyle w:val="6"/>
        <w:snapToGrid w:val="0"/>
        <w:spacing w:line="360" w:lineRule="auto"/>
        <w:ind w:firstLine="413" w:firstLineChars="196"/>
        <w:rPr>
          <w:rFonts w:hint="eastAsia" w:ascii="宋体" w:hAnsi="宋体"/>
          <w:b/>
          <w:bCs/>
          <w:szCs w:val="21"/>
          <w:highlight w:val="none"/>
        </w:rPr>
      </w:pPr>
      <w:r>
        <w:rPr>
          <w:rFonts w:hint="eastAsia" w:ascii="宋体" w:hAnsi="宋体" w:cs="宋体"/>
          <w:b/>
          <w:bCs/>
          <w:kern w:val="0"/>
          <w:szCs w:val="21"/>
          <w:highlight w:val="none"/>
        </w:rPr>
        <w:t>（六）</w:t>
      </w:r>
      <w:r>
        <w:rPr>
          <w:rFonts w:ascii="宋体" w:hAnsi="宋体"/>
          <w:b/>
          <w:bCs/>
          <w:szCs w:val="21"/>
          <w:highlight w:val="none"/>
        </w:rPr>
        <w:t>编写评标报告</w:t>
      </w:r>
    </w:p>
    <w:p>
      <w:pPr>
        <w:pStyle w:val="6"/>
        <w:snapToGrid w:val="0"/>
        <w:spacing w:line="360" w:lineRule="auto"/>
        <w:ind w:firstLine="411" w:firstLineChars="196"/>
        <w:rPr>
          <w:rFonts w:ascii="宋体" w:hAnsi="宋体" w:cs="宋体"/>
          <w:bCs/>
          <w:szCs w:val="21"/>
          <w:highlight w:val="none"/>
        </w:rPr>
      </w:pPr>
      <w:r>
        <w:rPr>
          <w:rFonts w:ascii="宋体" w:hAnsi="宋体" w:cs="宋体"/>
          <w:kern w:val="0"/>
          <w:szCs w:val="21"/>
          <w:highlight w:val="none"/>
        </w:rPr>
        <w:t>评标报告是评标委员会根据全体评标成员签字的原始评标记录和评标结果编写的报告</w:t>
      </w:r>
      <w:r>
        <w:rPr>
          <w:rFonts w:hint="eastAsia" w:ascii="宋体" w:hAnsi="宋体" w:cs="宋体"/>
          <w:kern w:val="0"/>
          <w:szCs w:val="21"/>
          <w:highlight w:val="none"/>
        </w:rPr>
        <w:t>。</w:t>
      </w:r>
    </w:p>
    <w:p>
      <w:pPr>
        <w:spacing w:line="300" w:lineRule="auto"/>
        <w:ind w:firstLine="413" w:firstLineChars="196"/>
        <w:outlineLvl w:val="3"/>
        <w:rPr>
          <w:rFonts w:ascii="宋体" w:hAnsi="宋体" w:cs="宋体"/>
          <w:b/>
          <w:szCs w:val="21"/>
          <w:highlight w:val="none"/>
        </w:rPr>
      </w:pPr>
      <w:r>
        <w:rPr>
          <w:rFonts w:hint="eastAsia" w:ascii="宋体" w:hAnsi="宋体" w:cs="宋体"/>
          <w:b/>
          <w:szCs w:val="21"/>
          <w:highlight w:val="none"/>
        </w:rPr>
        <w:br w:type="page"/>
      </w:r>
      <w:bookmarkStart w:id="559" w:name="_Toc121334909"/>
      <w:r>
        <w:rPr>
          <w:rFonts w:hint="eastAsia" w:ascii="宋体" w:hAnsi="宋体" w:cs="宋体"/>
          <w:b/>
          <w:bCs/>
          <w:szCs w:val="21"/>
          <w:highlight w:val="none"/>
        </w:rPr>
        <w:t>附表1：资格审查表</w:t>
      </w:r>
      <w:bookmarkEnd w:id="559"/>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43"/>
        <w:gridCol w:w="3514"/>
        <w:gridCol w:w="4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2060" w:type="pct"/>
            <w:vAlign w:val="center"/>
          </w:tcPr>
          <w:p>
            <w:pPr>
              <w:adjustRightInd w:val="0"/>
              <w:snapToGrid w:val="0"/>
              <w:jc w:val="center"/>
              <w:rPr>
                <w:rFonts w:ascii="宋体" w:hAnsi="宋体" w:cs="宋体"/>
                <w:kern w:val="0"/>
                <w:szCs w:val="21"/>
                <w:highlight w:val="none"/>
              </w:rPr>
            </w:pPr>
            <w:r>
              <w:rPr>
                <w:rFonts w:hint="eastAsia" w:ascii="宋体" w:hAnsi="宋体" w:cs="宋体"/>
                <w:kern w:val="0"/>
                <w:szCs w:val="21"/>
                <w:highlight w:val="none"/>
              </w:rPr>
              <w:t>资格要求</w:t>
            </w:r>
          </w:p>
        </w:tc>
        <w:tc>
          <w:tcPr>
            <w:tcW w:w="2563" w:type="pct"/>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须提供的资料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restart"/>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snapToGrid w:val="0"/>
              <w:rPr>
                <w:rFonts w:ascii="宋体" w:hAnsi="宋体" w:cs="宋体"/>
                <w:szCs w:val="21"/>
                <w:highlight w:val="none"/>
                <w:lang w:val="hr-HR"/>
              </w:rPr>
            </w:pPr>
            <w:r>
              <w:rPr>
                <w:rFonts w:hint="eastAsia" w:ascii="宋体" w:hAnsi="宋体" w:cs="宋体"/>
                <w:szCs w:val="21"/>
                <w:highlight w:val="none"/>
                <w:lang w:val="hr-HR"/>
              </w:rPr>
              <w:t xml:space="preserve">具有独立承担民事责任的能力 </w:t>
            </w:r>
          </w:p>
        </w:tc>
        <w:tc>
          <w:tcPr>
            <w:tcW w:w="2563" w:type="pct"/>
            <w:vAlign w:val="center"/>
          </w:tcPr>
          <w:p>
            <w:pPr>
              <w:snapToGrid w:val="0"/>
              <w:rPr>
                <w:rFonts w:ascii="宋体" w:hAnsi="宋体" w:cs="宋体"/>
                <w:bCs/>
                <w:szCs w:val="21"/>
                <w:highlight w:val="none"/>
              </w:rPr>
            </w:pPr>
            <w:r>
              <w:rPr>
                <w:rFonts w:hint="eastAsia" w:ascii="宋体" w:hAnsi="宋体" w:cs="宋体"/>
                <w:bCs/>
                <w:szCs w:val="21"/>
                <w:highlight w:val="none"/>
              </w:rPr>
              <w:t>如投标人是企业（包括合伙企业），应提供在工商部门注册的有效“企业法人营业执照”或“营业执照”；如投标人是事业单位，应提供有效的“事业单位法人证书”；投标人是非企业专业服务机构的，应提供执业许可证等证明文件；如投标人是个体工商户，应提供有效的“个体工商户营业执照”；如投标人是自然人，应提供有效的自然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kern w:val="0"/>
                <w:szCs w:val="21"/>
                <w:highlight w:val="none"/>
              </w:rPr>
            </w:pPr>
            <w:r>
              <w:rPr>
                <w:rFonts w:hint="eastAsia" w:ascii="宋体" w:hAnsi="宋体" w:cs="宋体"/>
                <w:szCs w:val="21"/>
                <w:highlight w:val="none"/>
                <w:lang w:val="hr-HR"/>
              </w:rPr>
              <w:t>具有良好的商业信誉和健全的财务会计制度</w:t>
            </w:r>
          </w:p>
        </w:tc>
        <w:tc>
          <w:tcPr>
            <w:tcW w:w="2563" w:type="pct"/>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rPr>
                <w:rFonts w:ascii="宋体" w:hAnsi="宋体" w:cs="宋体"/>
                <w:bCs/>
                <w:szCs w:val="21"/>
                <w:highlight w:val="none"/>
              </w:rPr>
            </w:pPr>
            <w:r>
              <w:rPr>
                <w:rFonts w:hint="eastAsia" w:ascii="宋体" w:hAnsi="宋体" w:cs="宋体"/>
                <w:bCs/>
                <w:szCs w:val="21"/>
                <w:highlight w:val="none"/>
              </w:rPr>
              <w:t>投标人是法人的，应具有上一年度（202</w:t>
            </w:r>
            <w:r>
              <w:rPr>
                <w:rFonts w:hint="eastAsia" w:ascii="宋体" w:hAnsi="宋体" w:cs="宋体"/>
                <w:bCs/>
                <w:szCs w:val="21"/>
                <w:highlight w:val="none"/>
                <w:lang w:val="en-US" w:eastAsia="zh-CN"/>
              </w:rPr>
              <w:t>4</w:t>
            </w:r>
            <w:r>
              <w:rPr>
                <w:rFonts w:hint="eastAsia" w:ascii="宋体" w:hAnsi="宋体" w:cs="宋体"/>
                <w:bCs/>
                <w:szCs w:val="21"/>
                <w:highlight w:val="none"/>
              </w:rPr>
              <w:t>年度或202</w:t>
            </w:r>
            <w:r>
              <w:rPr>
                <w:rFonts w:hint="eastAsia" w:ascii="宋体" w:hAnsi="宋体" w:cs="宋体"/>
                <w:bCs/>
                <w:szCs w:val="21"/>
                <w:highlight w:val="none"/>
                <w:lang w:val="en-US" w:eastAsia="zh-CN"/>
              </w:rPr>
              <w:t>5</w:t>
            </w:r>
            <w:r>
              <w:rPr>
                <w:rFonts w:hint="eastAsia" w:ascii="宋体" w:hAnsi="宋体" w:cs="宋体"/>
                <w:bCs/>
                <w:szCs w:val="21"/>
                <w:highlight w:val="none"/>
              </w:rPr>
              <w:t>年度）经审计的财务报告，或其基本开户银行出具的资信证明。其他组织和自然人，没有经审计的财务报告，应具有银行出具的资信证明。</w:t>
            </w:r>
          </w:p>
          <w:p>
            <w:pPr>
              <w:adjustRightInd w:val="0"/>
              <w:snapToGrid w:val="0"/>
              <w:rPr>
                <w:rFonts w:ascii="宋体" w:hAnsi="宋体" w:cs="宋体"/>
                <w:bCs/>
                <w:szCs w:val="21"/>
                <w:highlight w:val="none"/>
              </w:rPr>
            </w:pPr>
            <w:r>
              <w:rPr>
                <w:rFonts w:hint="eastAsia" w:ascii="宋体" w:hAnsi="宋体" w:cs="宋体"/>
                <w:bCs/>
                <w:szCs w:val="21"/>
                <w:highlight w:val="none"/>
              </w:rPr>
              <w:t>有专业担保机构对投标人进行资信审查后出具投标担保函的，可以不用具备经审计的财务报告和银行资信证明文件。</w:t>
            </w:r>
          </w:p>
          <w:p>
            <w:pPr>
              <w:adjustRightInd w:val="0"/>
              <w:snapToGrid w:val="0"/>
              <w:rPr>
                <w:rFonts w:ascii="宋体" w:hAnsi="宋体" w:cs="宋体"/>
                <w:b/>
                <w:highlight w:val="none"/>
              </w:rPr>
            </w:pPr>
            <w:r>
              <w:rPr>
                <w:rFonts w:hint="eastAsia" w:ascii="宋体" w:hAnsi="宋体" w:cs="宋体"/>
                <w:b/>
                <w:highlight w:val="none"/>
              </w:rPr>
              <w:t>备注：如果投标人同时提供了1）书面承诺及声明、2）相应证明材料，且二者内容不一致的，</w:t>
            </w:r>
            <w:r>
              <w:rPr>
                <w:rFonts w:hint="eastAsia" w:ascii="宋体" w:hAnsi="宋体" w:cs="宋体"/>
                <w:b/>
                <w:szCs w:val="21"/>
                <w:highlight w:val="none"/>
                <w:lang w:val="hr-HR"/>
              </w:rPr>
              <w:t>采购人或者采购代理机构</w:t>
            </w:r>
            <w:r>
              <w:rPr>
                <w:rFonts w:hint="eastAsia" w:ascii="宋体" w:hAnsi="宋体" w:cs="宋体"/>
                <w:b/>
                <w:highlight w:val="none"/>
              </w:rPr>
              <w:t>有权任选其中一种进行评审，由投标人自行承担一切后果。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具有履行合同所必需的设备和专业技术能力</w:t>
            </w:r>
          </w:p>
        </w:tc>
        <w:tc>
          <w:tcPr>
            <w:tcW w:w="2563" w:type="pct"/>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有依法缴纳税收和社会保障资金的良好记录</w:t>
            </w:r>
          </w:p>
        </w:tc>
        <w:tc>
          <w:tcPr>
            <w:tcW w:w="2563" w:type="pct"/>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投标人依法缴纳税收：本项目公告发布时间前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投标人依法缴纳社会保障资金：本项目公告发布时间前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（至少有1个月）缴纳社会保险的凭据（专用收据或社会保险交纳清单）；</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投标人为其他组织或自然人的，也应满足以上要求；</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递交投标文件截止时间的当月成立但因税务机关原因导致其尚未依法缴纳税收的投标人，提供将依法缴纳税收承诺书原件（格式自拟），该承诺书视同税收缴纳凭据。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递交投标文件截止时间的当月成立但因社会保障资金管理机关原因导致其尚未依法缴纳社会保障资金的投标人，提供将依法缴纳社会保障资金承诺书原件（格式自拟），该承诺书视同社会保险凭据。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依法免税或不需要缴纳社会保障资金的投标人，具有相应文件证明其依法免税或不需要交纳社会保障资金。</w:t>
            </w:r>
          </w:p>
          <w:p>
            <w:pPr>
              <w:adjustRightInd w:val="0"/>
              <w:snapToGrid w:val="0"/>
              <w:rPr>
                <w:rFonts w:ascii="宋体" w:hAnsi="宋体" w:cs="宋体"/>
                <w:b/>
                <w:highlight w:val="none"/>
                <w:lang w:val="hr-HR"/>
              </w:rPr>
            </w:pPr>
            <w:r>
              <w:rPr>
                <w:rFonts w:hint="eastAsia" w:ascii="宋体" w:hAnsi="宋体" w:cs="宋体"/>
                <w:b/>
                <w:szCs w:val="21"/>
                <w:highlight w:val="none"/>
                <w:lang w:val="hr-HR"/>
              </w:rPr>
              <w:t>备注：如果投标人同时提供了1）书面承诺及声明、2）相应证明材料，且二者内容不一致的，采购人或者采购代理机构有权任选其中一种进行评审，由投标人自行承担一切后果。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参加政府采购活动前三年内，在经营活动中没有重大违法记录</w:t>
            </w:r>
          </w:p>
        </w:tc>
        <w:tc>
          <w:tcPr>
            <w:tcW w:w="2563" w:type="pct"/>
            <w:vAlign w:val="center"/>
          </w:tcPr>
          <w:p>
            <w:pPr>
              <w:widowControl/>
              <w:adjustRightInd w:val="0"/>
              <w:snapToGrid w:val="0"/>
              <w:rPr>
                <w:rFonts w:ascii="宋体" w:hAnsi="宋体" w:cs="宋体"/>
                <w:szCs w:val="21"/>
                <w:highlight w:val="none"/>
                <w:lang w:val="hr-HR"/>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法律、行政法规规定的其他条件</w:t>
            </w:r>
          </w:p>
        </w:tc>
        <w:tc>
          <w:tcPr>
            <w:tcW w:w="2563" w:type="pct"/>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rPr>
              <w:t>单位负责人为同一人或者存在直接控股、管理关系的不同投标人，不得参加本项目同一合同项下的政府采购活动</w:t>
            </w:r>
          </w:p>
        </w:tc>
        <w:tc>
          <w:tcPr>
            <w:tcW w:w="2563"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为本采购项目提供整体设计、规范编制或者项目管理、监理、检测等服务的，不得再参加本项目的其他招标采购活动。</w:t>
            </w:r>
          </w:p>
        </w:tc>
        <w:tc>
          <w:tcPr>
            <w:tcW w:w="2563"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6"/>
              </w:numPr>
              <w:adjustRightInd w:val="0"/>
              <w:snapToGrid w:val="0"/>
              <w:rPr>
                <w:rFonts w:ascii="宋体" w:hAnsi="宋体" w:cs="宋体"/>
                <w:kern w:val="0"/>
                <w:szCs w:val="21"/>
                <w:highlight w:val="none"/>
              </w:rPr>
            </w:pPr>
          </w:p>
        </w:tc>
        <w:tc>
          <w:tcPr>
            <w:tcW w:w="2060" w:type="pct"/>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未被列入失信被执行人、重大税收违法失信主体，未被列入政府采购严重违法失信行为记录名单。</w:t>
            </w:r>
          </w:p>
        </w:tc>
        <w:tc>
          <w:tcPr>
            <w:tcW w:w="2563" w:type="pct"/>
            <w:vAlign w:val="center"/>
          </w:tcPr>
          <w:p>
            <w:pPr>
              <w:widowControl/>
              <w:adjustRightInd w:val="0"/>
              <w:snapToGrid w:val="0"/>
              <w:rPr>
                <w:rFonts w:ascii="宋体" w:hAnsi="宋体" w:cs="宋体"/>
                <w:highlight w:val="none"/>
                <w:lang w:val="hr-HR"/>
              </w:rPr>
            </w:pPr>
            <w:r>
              <w:rPr>
                <w:rFonts w:hint="eastAsia" w:ascii="宋体" w:hAnsi="宋体" w:cs="宋体"/>
                <w:szCs w:val="21"/>
                <w:highlight w:val="none"/>
                <w:lang w:val="hr-HR"/>
              </w:rPr>
              <w:t>以采购人和采购代理机构在投标截止日在“信用中国”网站（www.creditchina.gov.cn）及中国政府采购网(www.ccgp.gov.cn)查询的投标人参加政府采购活动前三年内的结果为准（采购人和采购代理机构对信用信息查询记录和证据截图或下载存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6"/>
              </w:numPr>
              <w:adjustRightInd w:val="0"/>
              <w:snapToGrid w:val="0"/>
              <w:rPr>
                <w:rFonts w:ascii="宋体" w:hAnsi="宋体" w:cs="宋体"/>
                <w:color w:val="auto"/>
                <w:kern w:val="0"/>
                <w:szCs w:val="21"/>
                <w:highlight w:val="none"/>
              </w:rPr>
            </w:pPr>
          </w:p>
        </w:tc>
        <w:tc>
          <w:tcPr>
            <w:tcW w:w="2060" w:type="pct"/>
          </w:tcPr>
          <w:p>
            <w:pPr>
              <w:widowControl/>
              <w:adjustRightInd w:val="0"/>
              <w:snapToGrid w:val="0"/>
              <w:rPr>
                <w:rFonts w:ascii="宋体" w:hAnsi="宋体" w:cs="宋体"/>
                <w:color w:val="auto"/>
                <w:highlight w:val="none"/>
              </w:rPr>
            </w:pPr>
            <w:r>
              <w:rPr>
                <w:rFonts w:hint="eastAsia" w:ascii="宋体" w:hAnsi="宋体" w:cs="宋体"/>
                <w:color w:val="auto"/>
                <w:szCs w:val="21"/>
                <w:highlight w:val="none"/>
              </w:rPr>
              <w:t xml:space="preserve">落实政府采购政策需满足的资格要求： </w:t>
            </w:r>
          </w:p>
        </w:tc>
        <w:tc>
          <w:tcPr>
            <w:tcW w:w="2563" w:type="pct"/>
            <w:vAlign w:val="center"/>
          </w:tcPr>
          <w:p>
            <w:pPr>
              <w:jc w:val="left"/>
              <w:rPr>
                <w:rFonts w:ascii="宋体" w:hAnsi="宋体" w:cs="宋体"/>
                <w:szCs w:val="21"/>
                <w:highlight w:val="none"/>
              </w:rPr>
            </w:pPr>
            <w:r>
              <w:rPr>
                <w:rFonts w:hint="eastAsia" w:ascii="宋体" w:hAnsi="宋体" w:cs="宋体"/>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6"/>
              </w:numPr>
              <w:adjustRightInd w:val="0"/>
              <w:snapToGrid w:val="0"/>
              <w:rPr>
                <w:rFonts w:ascii="宋体" w:hAnsi="宋体" w:cs="宋体"/>
                <w:kern w:val="0"/>
                <w:szCs w:val="21"/>
                <w:highlight w:val="none"/>
              </w:rPr>
            </w:pPr>
          </w:p>
        </w:tc>
        <w:tc>
          <w:tcPr>
            <w:tcW w:w="3686" w:type="dxa"/>
            <w:vAlign w:val="center"/>
          </w:tcPr>
          <w:p>
            <w:pPr>
              <w:widowControl/>
              <w:adjustRightInd w:val="0"/>
              <w:snapToGrid w:val="0"/>
              <w:spacing w:line="360" w:lineRule="auto"/>
              <w:rPr>
                <w:rFonts w:hint="eastAsia" w:ascii="宋体" w:hAnsi="宋体"/>
                <w:color w:val="auto"/>
                <w:kern w:val="2"/>
                <w:sz w:val="21"/>
                <w:szCs w:val="21"/>
                <w:highlight w:val="none"/>
                <w:lang w:val="en-US" w:eastAsia="zh-CN"/>
              </w:rPr>
            </w:pPr>
            <w:r>
              <w:rPr>
                <w:rFonts w:hint="eastAsia" w:ascii="宋体" w:hAnsi="宋体"/>
                <w:color w:val="auto"/>
                <w:kern w:val="2"/>
                <w:sz w:val="21"/>
                <w:szCs w:val="21"/>
                <w:highlight w:val="none"/>
                <w:lang w:val="en-US" w:eastAsia="zh-CN"/>
              </w:rPr>
              <w:t>本项目的特定资格要求：本项目的特定资格要求：（1）本项目允许分支机构参与投标，投标人隶属同一集团旗下的分公司或分支机构，只允许一家参与本次招投标活动，不得同时参与本项目投标；如同时参与投标的，对同时参与投标的投标人同时否决。</w:t>
            </w:r>
          </w:p>
          <w:p>
            <w:pPr>
              <w:widowControl/>
              <w:adjustRightInd w:val="0"/>
              <w:snapToGrid w:val="0"/>
              <w:spacing w:line="360" w:lineRule="auto"/>
              <w:rPr>
                <w:rFonts w:ascii="宋体" w:hAnsi="宋体" w:cs="宋体"/>
                <w:szCs w:val="21"/>
                <w:highlight w:val="none"/>
              </w:rPr>
            </w:pPr>
            <w:r>
              <w:rPr>
                <w:rFonts w:hint="eastAsia" w:ascii="宋体" w:hAnsi="宋体"/>
                <w:color w:val="auto"/>
                <w:kern w:val="2"/>
                <w:sz w:val="21"/>
                <w:szCs w:val="21"/>
                <w:highlight w:val="none"/>
                <w:lang w:val="en-US" w:eastAsia="zh-CN"/>
              </w:rPr>
              <w:t>（2）投标人或其总公司具有有效的中华人民共和国人力资源和社会保障部颁发的《企业年金基金管理机构》资格证书。。</w:t>
            </w:r>
          </w:p>
        </w:tc>
        <w:tc>
          <w:tcPr>
            <w:tcW w:w="4586" w:type="dxa"/>
            <w:vAlign w:val="center"/>
          </w:tcPr>
          <w:p>
            <w:pPr>
              <w:adjustRightInd w:val="0"/>
              <w:snapToGrid w:val="0"/>
              <w:spacing w:line="360" w:lineRule="auto"/>
              <w:jc w:val="left"/>
              <w:rPr>
                <w:rFonts w:hint="default" w:ascii="宋体" w:hAnsi="宋体" w:cs="宋体"/>
                <w:szCs w:val="21"/>
                <w:highlight w:val="none"/>
                <w:lang w:val="en-US"/>
              </w:rPr>
            </w:pPr>
            <w:r>
              <w:rPr>
                <w:rFonts w:hint="eastAsia"/>
                <w:color w:val="auto"/>
                <w:kern w:val="2"/>
                <w:sz w:val="21"/>
                <w:szCs w:val="21"/>
                <w:highlight w:val="none"/>
                <w:lang w:val="en-US" w:eastAsia="zh-CN"/>
              </w:rPr>
              <w:t>需提供相应证明材料并加盖公章</w:t>
            </w:r>
          </w:p>
        </w:tc>
      </w:tr>
    </w:tbl>
    <w:p>
      <w:pPr>
        <w:rPr>
          <w:rFonts w:ascii="宋体" w:hAnsi="宋体" w:cs="宋体"/>
          <w:kern w:val="0"/>
          <w:szCs w:val="21"/>
          <w:highlight w:val="none"/>
        </w:rPr>
      </w:pPr>
      <w:r>
        <w:rPr>
          <w:rFonts w:hint="eastAsia" w:ascii="宋体" w:hAnsi="宋体" w:cs="宋体"/>
          <w:kern w:val="0"/>
          <w:szCs w:val="21"/>
          <w:highlight w:val="none"/>
        </w:rPr>
        <w:t>备注：</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1）所有证书、证明文件包括按要求提供的官网截图必须是真实可查证的，须注明资料来源。资格证明文件应为原件的扫描件或复印件，投标文件中须编入清晰的扫描件或复印件。所有证明材料须清晰可辨认，如因证明材料模糊无法辨认，缺页、漏页导致无法进行评审认定的责任由投标人自负。如发现弄虚作假将按照有关规定严肃处理。</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证明材料仅限于投标单位本身，参股或控股单位及独立法人子公司的材料不能作为证明材料，但投标单位兼并的企业的材料可作为证明材料。</w:t>
      </w:r>
    </w:p>
    <w:p>
      <w:pPr>
        <w:snapToGrid w:val="0"/>
        <w:spacing w:line="300" w:lineRule="auto"/>
        <w:ind w:firstLine="420" w:firstLineChars="200"/>
        <w:rPr>
          <w:rFonts w:ascii="宋体" w:hAnsi="宋体" w:cs="宋体"/>
          <w:kern w:val="0"/>
          <w:szCs w:val="21"/>
          <w:highlight w:val="none"/>
        </w:rPr>
      </w:pPr>
      <w:r>
        <w:rPr>
          <w:rFonts w:hint="eastAsia" w:ascii="宋体" w:hAnsi="宋体" w:cs="宋体"/>
          <w:kern w:val="0"/>
          <w:szCs w:val="21"/>
          <w:highlight w:val="none"/>
        </w:rPr>
        <w:t>（2）对于投标文件中有任意一条不满足上表要求的将导致其投标无效，不进入下一项评审。</w:t>
      </w:r>
    </w:p>
    <w:p>
      <w:pPr>
        <w:spacing w:line="300" w:lineRule="auto"/>
        <w:ind w:firstLine="411" w:firstLineChars="196"/>
        <w:outlineLvl w:val="3"/>
        <w:rPr>
          <w:rFonts w:ascii="宋体" w:hAnsi="宋体" w:cs="宋体"/>
          <w:b/>
          <w:szCs w:val="21"/>
          <w:highlight w:val="none"/>
        </w:rPr>
      </w:pPr>
      <w:r>
        <w:rPr>
          <w:rFonts w:hint="eastAsia" w:ascii="宋体" w:hAnsi="宋体" w:cs="宋体"/>
          <w:bCs/>
          <w:szCs w:val="21"/>
          <w:highlight w:val="none"/>
        </w:rPr>
        <w:br w:type="page"/>
      </w:r>
      <w:bookmarkStart w:id="560" w:name="_Toc121334910"/>
      <w:r>
        <w:rPr>
          <w:rFonts w:hint="eastAsia" w:ascii="宋体" w:hAnsi="宋体" w:cs="宋体"/>
          <w:b/>
          <w:bCs/>
          <w:szCs w:val="21"/>
          <w:highlight w:val="none"/>
        </w:rPr>
        <w:t>附表2：符合性检查表</w:t>
      </w:r>
      <w:bookmarkEnd w:id="560"/>
    </w:p>
    <w:tbl>
      <w:tblPr>
        <w:tblStyle w:val="88"/>
        <w:tblW w:w="5000" w:type="pct"/>
        <w:jc w:val="center"/>
        <w:tblLayout w:type="autofit"/>
        <w:tblCellMar>
          <w:top w:w="0" w:type="dxa"/>
          <w:left w:w="108" w:type="dxa"/>
          <w:bottom w:w="0" w:type="dxa"/>
          <w:right w:w="108" w:type="dxa"/>
        </w:tblCellMar>
      </w:tblPr>
      <w:tblGrid>
        <w:gridCol w:w="643"/>
        <w:gridCol w:w="7885"/>
      </w:tblGrid>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序号</w:t>
            </w:r>
          </w:p>
        </w:tc>
        <w:tc>
          <w:tcPr>
            <w:tcW w:w="4623"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kern w:val="0"/>
                <w:szCs w:val="21"/>
                <w:highlight w:val="none"/>
              </w:rPr>
              <w:t>审核内容</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按照招标文件规定要求签署、盖章；</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按招标文件要求进行报价；</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投标有效期满足招标文件规定；</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投标文件中未附有采购人不能接受条件；</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投标文件满足招标文件商务、技术等实质性要求（包括标记</w:t>
            </w:r>
            <w:r>
              <w:rPr>
                <w:rFonts w:hint="eastAsia" w:ascii="宋体" w:hAnsi="宋体" w:cs="宋体"/>
                <w:bCs/>
                <w:highlight w:val="none"/>
              </w:rPr>
              <w:t>★的条款</w:t>
            </w:r>
            <w:r>
              <w:rPr>
                <w:rFonts w:hint="eastAsia" w:ascii="宋体" w:hAnsi="宋体" w:cs="宋体"/>
                <w:kern w:val="0"/>
                <w:szCs w:val="21"/>
                <w:highlight w:val="none"/>
              </w:rPr>
              <w:t>）；</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投标人未出现招标文件中规定无效投标的其它条款；</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7"/>
              </w:numPr>
              <w:adjustRightInd w:val="0"/>
              <w:snapToGrid w:val="0"/>
              <w:jc w:val="center"/>
              <w:rPr>
                <w:rFonts w:ascii="宋体" w:hAnsi="宋体" w:cs="宋体"/>
                <w:kern w:val="0"/>
                <w:szCs w:val="21"/>
                <w:highlight w:val="none"/>
              </w:rPr>
            </w:pPr>
          </w:p>
        </w:tc>
        <w:tc>
          <w:tcPr>
            <w:tcW w:w="4623" w:type="pct"/>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投标人未有下列任一情形：</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（1）不同投标人的投标文件由同一单位或者个人编制；</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（2）不同投标人委托同一单位或者个人办理投标事宜；</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（3）不同投标人的投标文件载明的项目管理成员或者联系人员为同一人；</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（4）不同投标人的投标文件异常一致或者投标报价呈规律性差异；</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（5）不同投标人的投标文件相互混装。</w:t>
            </w:r>
          </w:p>
        </w:tc>
      </w:tr>
      <w:tr>
        <w:tblPrEx>
          <w:tblCellMar>
            <w:top w:w="0" w:type="dxa"/>
            <w:left w:w="108" w:type="dxa"/>
            <w:bottom w:w="0" w:type="dxa"/>
            <w:right w:w="108" w:type="dxa"/>
          </w:tblCellMar>
        </w:tblPrEx>
        <w:trPr>
          <w:trHeight w:val="454"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审核结论</w:t>
            </w:r>
          </w:p>
        </w:tc>
      </w:tr>
      <w:tr>
        <w:tblPrEx>
          <w:tblCellMar>
            <w:top w:w="0" w:type="dxa"/>
            <w:left w:w="108" w:type="dxa"/>
            <w:bottom w:w="0" w:type="dxa"/>
            <w:right w:w="108" w:type="dxa"/>
          </w:tblCellMar>
        </w:tblPrEx>
        <w:trPr>
          <w:trHeight w:val="454" w:hRule="atLeast"/>
          <w:jc w:val="center"/>
        </w:trPr>
        <w:tc>
          <w:tcPr>
            <w:tcW w:w="5000" w:type="pct"/>
            <w:gridSpan w:val="2"/>
            <w:tcBorders>
              <w:top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说明：</w:t>
            </w:r>
          </w:p>
        </w:tc>
      </w:tr>
      <w:tr>
        <w:tblPrEx>
          <w:tblCellMar>
            <w:top w:w="0" w:type="dxa"/>
            <w:left w:w="108" w:type="dxa"/>
            <w:bottom w:w="0" w:type="dxa"/>
            <w:right w:w="108" w:type="dxa"/>
          </w:tblCellMar>
        </w:tblPrEx>
        <w:trPr>
          <w:trHeight w:val="454" w:hRule="atLeast"/>
          <w:jc w:val="center"/>
        </w:trPr>
        <w:tc>
          <w:tcPr>
            <w:tcW w:w="5000" w:type="pct"/>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1）评标委员会分别对每一投标文件依据上表进行检查。</w:t>
            </w:r>
          </w:p>
        </w:tc>
      </w:tr>
      <w:tr>
        <w:tblPrEx>
          <w:tblCellMar>
            <w:top w:w="0" w:type="dxa"/>
            <w:left w:w="108" w:type="dxa"/>
            <w:bottom w:w="0" w:type="dxa"/>
            <w:right w:w="108" w:type="dxa"/>
          </w:tblCellMar>
        </w:tblPrEx>
        <w:trPr>
          <w:trHeight w:val="454" w:hRule="atLeast"/>
          <w:jc w:val="center"/>
        </w:trPr>
        <w:tc>
          <w:tcPr>
            <w:tcW w:w="5000" w:type="pct"/>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2）评标委员会决定投标的响应性只根据投标文件本身的真实无误的内容，而不依据外部的证据，但投标文件有不真实不正确的内容时除外。</w:t>
            </w:r>
          </w:p>
        </w:tc>
      </w:tr>
      <w:tr>
        <w:tblPrEx>
          <w:tblCellMar>
            <w:top w:w="0" w:type="dxa"/>
            <w:left w:w="108" w:type="dxa"/>
            <w:bottom w:w="0" w:type="dxa"/>
            <w:right w:w="108" w:type="dxa"/>
          </w:tblCellMar>
        </w:tblPrEx>
        <w:trPr>
          <w:trHeight w:val="454" w:hRule="atLeast"/>
          <w:jc w:val="center"/>
        </w:trPr>
        <w:tc>
          <w:tcPr>
            <w:tcW w:w="5000" w:type="pct"/>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3）满足要求的条款打“√”，否则为“×”。</w:t>
            </w:r>
          </w:p>
        </w:tc>
      </w:tr>
      <w:tr>
        <w:tblPrEx>
          <w:tblCellMar>
            <w:top w:w="0" w:type="dxa"/>
            <w:left w:w="108" w:type="dxa"/>
            <w:bottom w:w="0" w:type="dxa"/>
            <w:right w:w="108" w:type="dxa"/>
          </w:tblCellMar>
        </w:tblPrEx>
        <w:trPr>
          <w:trHeight w:val="454" w:hRule="atLeast"/>
          <w:jc w:val="center"/>
        </w:trPr>
        <w:tc>
          <w:tcPr>
            <w:tcW w:w="5000" w:type="pct"/>
            <w:gridSpan w:val="2"/>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4）对于投标文件中有任意一条不满足要求将导致其投标无效，不进入下一项评审。</w:t>
            </w:r>
          </w:p>
        </w:tc>
      </w:tr>
    </w:tbl>
    <w:p>
      <w:pPr>
        <w:rPr>
          <w:rFonts w:ascii="宋体" w:hAnsi="宋体" w:cs="宋体"/>
          <w:highlight w:val="none"/>
        </w:rPr>
      </w:pPr>
    </w:p>
    <w:p>
      <w:pPr>
        <w:widowControl/>
        <w:jc w:val="left"/>
        <w:rPr>
          <w:rFonts w:ascii="宋体" w:hAnsi="宋体" w:cs="宋体"/>
          <w:szCs w:val="20"/>
          <w:highlight w:val="none"/>
        </w:rPr>
      </w:pPr>
      <w:r>
        <w:rPr>
          <w:rFonts w:hint="eastAsia" w:ascii="宋体" w:hAnsi="宋体" w:cs="宋体"/>
          <w:highlight w:val="none"/>
        </w:rPr>
        <w:br w:type="page"/>
      </w:r>
    </w:p>
    <w:p>
      <w:pPr>
        <w:spacing w:line="300" w:lineRule="auto"/>
        <w:ind w:firstLine="413" w:firstLineChars="196"/>
        <w:outlineLvl w:val="3"/>
        <w:rPr>
          <w:rFonts w:ascii="宋体" w:hAnsi="宋体" w:cs="宋体"/>
          <w:b/>
          <w:bCs/>
          <w:szCs w:val="21"/>
          <w:highlight w:val="none"/>
        </w:rPr>
      </w:pPr>
      <w:bookmarkStart w:id="561" w:name="_Toc111542945"/>
      <w:bookmarkStart w:id="562" w:name="_Toc121334911"/>
      <w:r>
        <w:rPr>
          <w:rFonts w:hint="eastAsia" w:ascii="宋体" w:hAnsi="宋体" w:cs="宋体"/>
          <w:b/>
          <w:bCs/>
          <w:szCs w:val="21"/>
          <w:highlight w:val="none"/>
        </w:rPr>
        <w:t>附表3：评分标准</w:t>
      </w:r>
      <w:bookmarkEnd w:id="561"/>
      <w:bookmarkEnd w:id="562"/>
    </w:p>
    <w:tbl>
      <w:tblPr>
        <w:tblStyle w:val="8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98"/>
        <w:gridCol w:w="760"/>
        <w:gridCol w:w="6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417" w:type="pct"/>
            <w:vMerge w:val="restart"/>
            <w:shd w:val="clear" w:color="auto" w:fill="BFBFBF"/>
            <w:vAlign w:val="center"/>
          </w:tcPr>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b/>
                <w:color w:val="auto"/>
                <w:spacing w:val="-6"/>
                <w:kern w:val="2"/>
                <w:sz w:val="21"/>
                <w:szCs w:val="21"/>
                <w:highlight w:val="none"/>
              </w:rPr>
              <w:t>评标项目</w:t>
            </w:r>
          </w:p>
        </w:tc>
        <w:tc>
          <w:tcPr>
            <w:tcW w:w="468" w:type="pct"/>
            <w:vMerge w:val="restart"/>
            <w:shd w:val="clear" w:color="auto" w:fill="BFBFBF"/>
            <w:vAlign w:val="center"/>
          </w:tcPr>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t>评标</w:t>
            </w:r>
          </w:p>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t>分项</w:t>
            </w:r>
          </w:p>
        </w:tc>
        <w:tc>
          <w:tcPr>
            <w:tcW w:w="446" w:type="pct"/>
            <w:vMerge w:val="restart"/>
            <w:shd w:val="clear" w:color="auto" w:fill="BFBFBF"/>
            <w:vAlign w:val="center"/>
          </w:tcPr>
          <w:p>
            <w:pPr>
              <w:snapToGrid w:val="0"/>
              <w:jc w:val="center"/>
              <w:rPr>
                <w:rFonts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t>分值</w:t>
            </w:r>
          </w:p>
        </w:tc>
        <w:tc>
          <w:tcPr>
            <w:tcW w:w="3668" w:type="pct"/>
            <w:vMerge w:val="restart"/>
            <w:shd w:val="clear" w:color="auto" w:fill="BFBFBF"/>
            <w:vAlign w:val="center"/>
          </w:tcPr>
          <w:p>
            <w:pPr>
              <w:snapToGrid w:val="0"/>
              <w:jc w:val="center"/>
              <w:rPr>
                <w:rFonts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rPr>
              <w:cr/>
            </w:r>
            <w:r>
              <w:rPr>
                <w:rFonts w:hint="eastAsia" w:ascii="宋体" w:hAnsi="宋体" w:eastAsia="宋体" w:cs="宋体"/>
                <w:b/>
                <w:color w:val="auto"/>
                <w:kern w:val="2"/>
                <w:sz w:val="21"/>
                <w:szCs w:val="21"/>
                <w:highlight w:val="none"/>
              </w:rPr>
              <w:t>子项目及分值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blHeader/>
          <w:jc w:val="center"/>
        </w:trPr>
        <w:tc>
          <w:tcPr>
            <w:tcW w:w="417" w:type="pct"/>
            <w:vMerge w:val="continue"/>
            <w:shd w:val="clear" w:color="auto" w:fill="BFBFBF"/>
            <w:vAlign w:val="center"/>
          </w:tcPr>
          <w:p>
            <w:pPr>
              <w:snapToGrid w:val="0"/>
              <w:jc w:val="center"/>
              <w:rPr>
                <w:rFonts w:ascii="宋体" w:hAnsi="宋体" w:eastAsia="宋体" w:cs="宋体"/>
                <w:color w:val="auto"/>
                <w:kern w:val="2"/>
                <w:sz w:val="21"/>
                <w:szCs w:val="21"/>
                <w:highlight w:val="none"/>
              </w:rPr>
            </w:pPr>
          </w:p>
        </w:tc>
        <w:tc>
          <w:tcPr>
            <w:tcW w:w="468" w:type="pct"/>
            <w:vMerge w:val="continue"/>
            <w:shd w:val="clear" w:color="auto" w:fill="BFBFBF"/>
            <w:vAlign w:val="center"/>
          </w:tcPr>
          <w:p>
            <w:pPr>
              <w:snapToGrid w:val="0"/>
              <w:jc w:val="center"/>
              <w:rPr>
                <w:rFonts w:ascii="宋体" w:hAnsi="宋体" w:eastAsia="宋体" w:cs="宋体"/>
                <w:color w:val="auto"/>
                <w:kern w:val="2"/>
                <w:sz w:val="21"/>
                <w:szCs w:val="21"/>
                <w:highlight w:val="none"/>
              </w:rPr>
            </w:pPr>
          </w:p>
        </w:tc>
        <w:tc>
          <w:tcPr>
            <w:tcW w:w="446" w:type="pct"/>
            <w:vMerge w:val="continue"/>
            <w:shd w:val="clear" w:color="auto" w:fill="BFBFBF"/>
            <w:vAlign w:val="center"/>
          </w:tcPr>
          <w:p>
            <w:pPr>
              <w:snapToGrid w:val="0"/>
              <w:jc w:val="center"/>
              <w:rPr>
                <w:rFonts w:ascii="宋体" w:hAnsi="宋体" w:eastAsia="宋体" w:cs="宋体"/>
                <w:color w:val="auto"/>
                <w:kern w:val="2"/>
                <w:sz w:val="21"/>
                <w:szCs w:val="21"/>
                <w:highlight w:val="none"/>
              </w:rPr>
            </w:pPr>
          </w:p>
        </w:tc>
        <w:tc>
          <w:tcPr>
            <w:tcW w:w="3668" w:type="pct"/>
            <w:vMerge w:val="continue"/>
            <w:shd w:val="clear" w:color="auto" w:fill="BFBFBF"/>
            <w:vAlign w:val="center"/>
          </w:tcPr>
          <w:p>
            <w:pPr>
              <w:snapToGrid w:val="0"/>
              <w:rPr>
                <w:rFonts w:ascii="宋体" w:hAnsi="宋体" w:eastAsia="宋体" w:cs="宋体"/>
                <w:color w:val="auto"/>
                <w:kern w:val="2"/>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6" w:hRule="atLeast"/>
          <w:jc w:val="center"/>
        </w:trPr>
        <w:tc>
          <w:tcPr>
            <w:tcW w:w="417" w:type="pct"/>
            <w:vAlign w:val="center"/>
          </w:tcPr>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spacing w:val="-6"/>
                <w:kern w:val="2"/>
                <w:sz w:val="21"/>
                <w:szCs w:val="21"/>
                <w:highlight w:val="none"/>
              </w:rPr>
              <w:t>价格评审（</w:t>
            </w:r>
            <w:r>
              <w:rPr>
                <w:rFonts w:ascii="宋体" w:hAnsi="宋体" w:eastAsia="宋体" w:cs="宋体"/>
                <w:spacing w:val="-6"/>
                <w:kern w:val="2"/>
                <w:sz w:val="21"/>
                <w:szCs w:val="21"/>
                <w:highlight w:val="none"/>
              </w:rPr>
              <w:t>10</w:t>
            </w:r>
            <w:r>
              <w:rPr>
                <w:rFonts w:hint="eastAsia" w:ascii="宋体" w:hAnsi="宋体" w:eastAsia="宋体" w:cs="宋体"/>
                <w:spacing w:val="-6"/>
                <w:kern w:val="2"/>
                <w:sz w:val="21"/>
                <w:szCs w:val="21"/>
                <w:highlight w:val="none"/>
              </w:rPr>
              <w:t>分）</w:t>
            </w:r>
          </w:p>
        </w:tc>
        <w:tc>
          <w:tcPr>
            <w:tcW w:w="468" w:type="pct"/>
            <w:vAlign w:val="center"/>
          </w:tcPr>
          <w:p>
            <w:pPr>
              <w:jc w:val="center"/>
              <w:rPr>
                <w:rFonts w:ascii="宋体" w:hAnsi="宋体" w:eastAsia="宋体" w:cs="宋体"/>
                <w:color w:val="auto"/>
                <w:kern w:val="2"/>
                <w:sz w:val="21"/>
                <w:szCs w:val="21"/>
                <w:highlight w:val="none"/>
              </w:rPr>
            </w:pPr>
            <w:r>
              <w:rPr>
                <w:rFonts w:hint="eastAsia" w:ascii="宋体" w:hAnsi="宋体" w:eastAsia="宋体" w:cs="宋体"/>
                <w:kern w:val="2"/>
                <w:sz w:val="21"/>
                <w:szCs w:val="21"/>
                <w:highlight w:val="none"/>
              </w:rPr>
              <w:t>投标报价</w:t>
            </w:r>
          </w:p>
        </w:tc>
        <w:tc>
          <w:tcPr>
            <w:tcW w:w="446" w:type="pct"/>
            <w:vAlign w:val="center"/>
          </w:tcPr>
          <w:p>
            <w:pPr>
              <w:widowControl/>
              <w:spacing w:line="260" w:lineRule="exact"/>
              <w:jc w:val="center"/>
              <w:textAlignment w:val="center"/>
              <w:rPr>
                <w:rFonts w:hint="default" w:ascii="宋体" w:hAnsi="宋体" w:eastAsia="宋体" w:cs="宋体"/>
                <w:color w:val="auto"/>
                <w:kern w:val="0"/>
                <w:sz w:val="21"/>
                <w:szCs w:val="21"/>
                <w:highlight w:val="none"/>
                <w:lang w:val="en-US" w:bidi="ar"/>
              </w:rPr>
            </w:pPr>
            <w:r>
              <w:rPr>
                <w:rFonts w:ascii="宋体" w:hAnsi="宋体" w:eastAsia="宋体" w:cs="宋体"/>
                <w:kern w:val="0"/>
                <w:sz w:val="21"/>
                <w:szCs w:val="21"/>
                <w:highlight w:val="none"/>
                <w:lang w:bidi="ar"/>
              </w:rPr>
              <w:t>10</w:t>
            </w:r>
          </w:p>
        </w:tc>
        <w:tc>
          <w:tcPr>
            <w:tcW w:w="3668" w:type="pct"/>
            <w:vAlign w:val="center"/>
          </w:tcPr>
          <w:p>
            <w:pPr>
              <w:widowControl/>
              <w:spacing w:line="260" w:lineRule="exact"/>
              <w:textAlignment w:val="bottom"/>
              <w:rPr>
                <w:rFonts w:ascii="宋体" w:hAnsi="宋体" w:eastAsia="宋体" w:cs="宋体"/>
                <w:kern w:val="0"/>
                <w:sz w:val="21"/>
                <w:szCs w:val="21"/>
                <w:highlight w:val="none"/>
              </w:rPr>
            </w:pPr>
            <w:r>
              <w:rPr>
                <w:rFonts w:hint="eastAsia" w:ascii="宋体" w:hAnsi="宋体" w:eastAsia="宋体" w:cs="宋体"/>
                <w:kern w:val="0"/>
                <w:sz w:val="21"/>
                <w:szCs w:val="21"/>
                <w:highlight w:val="none"/>
              </w:rPr>
              <w:t>账户管理费取所有有效投标人投标不含税报价的最低投标报价为投标基准价，受托人年度管理费率、账户管理费、托管人年度管理费率、投资管理人年度管理费率按所有有效投标人所报费率的</w:t>
            </w:r>
            <w:r>
              <w:rPr>
                <w:rFonts w:hint="eastAsia" w:ascii="宋体" w:hAnsi="宋体" w:eastAsia="宋体" w:cs="宋体"/>
                <w:kern w:val="0"/>
                <w:sz w:val="21"/>
                <w:szCs w:val="21"/>
                <w:highlight w:val="none"/>
                <w:lang w:val="en-US" w:eastAsia="zh-CN"/>
              </w:rPr>
              <w:t>最低</w:t>
            </w:r>
            <w:r>
              <w:rPr>
                <w:rFonts w:hint="eastAsia" w:ascii="宋体" w:hAnsi="宋体" w:eastAsia="宋体" w:cs="宋体"/>
                <w:kern w:val="0"/>
                <w:sz w:val="21"/>
                <w:szCs w:val="21"/>
                <w:highlight w:val="none"/>
              </w:rPr>
              <w:t>报价为投标基准价，各投标响应报价得分统一按照下列公式计算： (四舍五入保留小数点后2位)</w:t>
            </w:r>
          </w:p>
          <w:p>
            <w:pPr>
              <w:widowControl/>
              <w:spacing w:line="260" w:lineRule="exact"/>
              <w:textAlignment w:val="bottom"/>
              <w:rPr>
                <w:rFonts w:ascii="宋体" w:hAnsi="宋体" w:eastAsia="宋体" w:cs="宋体"/>
                <w:kern w:val="0"/>
                <w:sz w:val="21"/>
                <w:szCs w:val="21"/>
                <w:highlight w:val="none"/>
              </w:rPr>
            </w:pPr>
            <w:r>
              <w:rPr>
                <w:rFonts w:hint="eastAsia" w:ascii="宋体" w:hAnsi="宋体" w:eastAsia="宋体" w:cs="宋体"/>
                <w:kern w:val="0"/>
                <w:sz w:val="21"/>
                <w:szCs w:val="21"/>
                <w:highlight w:val="none"/>
              </w:rPr>
              <w:t>受托人年度管理费率响应报价得分= (基准价/投标报价)×2</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5；</w:t>
            </w:r>
          </w:p>
          <w:p>
            <w:pPr>
              <w:widowControl/>
              <w:spacing w:line="260" w:lineRule="exact"/>
              <w:textAlignment w:val="bottom"/>
              <w:rPr>
                <w:rFonts w:ascii="宋体" w:hAnsi="宋体" w:eastAsia="宋体" w:cs="宋体"/>
                <w:kern w:val="0"/>
                <w:sz w:val="21"/>
                <w:szCs w:val="21"/>
                <w:highlight w:val="none"/>
              </w:rPr>
            </w:pPr>
            <w:r>
              <w:rPr>
                <w:rFonts w:hint="eastAsia" w:ascii="宋体" w:hAnsi="宋体" w:eastAsia="宋体" w:cs="宋体"/>
                <w:kern w:val="0"/>
                <w:sz w:val="21"/>
                <w:szCs w:val="21"/>
                <w:highlight w:val="none"/>
              </w:rPr>
              <w:t>账户管理费响应报价得分= (基准价/投标报价)×2</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5；</w:t>
            </w:r>
          </w:p>
          <w:p>
            <w:pPr>
              <w:widowControl/>
              <w:spacing w:line="260" w:lineRule="exact"/>
              <w:textAlignment w:val="bottom"/>
              <w:rPr>
                <w:rFonts w:ascii="宋体" w:hAnsi="宋体" w:eastAsia="宋体" w:cs="宋体"/>
                <w:kern w:val="0"/>
                <w:sz w:val="21"/>
                <w:szCs w:val="21"/>
                <w:highlight w:val="none"/>
              </w:rPr>
            </w:pPr>
            <w:r>
              <w:rPr>
                <w:rFonts w:hint="eastAsia" w:ascii="宋体" w:hAnsi="宋体" w:eastAsia="宋体" w:cs="宋体"/>
                <w:kern w:val="0"/>
                <w:sz w:val="21"/>
                <w:szCs w:val="21"/>
                <w:highlight w:val="none"/>
              </w:rPr>
              <w:t>托管人年度管理费率响应报价得分= (基准价/投标报价)×2</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5；</w:t>
            </w:r>
          </w:p>
          <w:p>
            <w:pPr>
              <w:widowControl/>
              <w:spacing w:line="260" w:lineRule="exact"/>
              <w:textAlignment w:val="bottom"/>
              <w:rPr>
                <w:rFonts w:ascii="宋体" w:hAnsi="宋体" w:eastAsia="宋体" w:cs="宋体"/>
                <w:kern w:val="0"/>
                <w:sz w:val="21"/>
                <w:szCs w:val="21"/>
                <w:highlight w:val="none"/>
              </w:rPr>
            </w:pPr>
            <w:bookmarkStart w:id="563" w:name="OLE_LINK2"/>
            <w:r>
              <w:rPr>
                <w:rFonts w:hint="eastAsia" w:ascii="宋体" w:hAnsi="宋体" w:eastAsia="宋体" w:cs="宋体"/>
                <w:kern w:val="0"/>
                <w:sz w:val="21"/>
                <w:szCs w:val="21"/>
                <w:highlight w:val="none"/>
              </w:rPr>
              <w:t>投资管理人年度管理费率响应报价得分（按权益类组合报价）</w:t>
            </w:r>
            <w:bookmarkEnd w:id="563"/>
            <w:r>
              <w:rPr>
                <w:rFonts w:hint="eastAsia" w:ascii="宋体" w:hAnsi="宋体" w:eastAsia="宋体" w:cs="宋体"/>
                <w:kern w:val="0"/>
                <w:sz w:val="21"/>
                <w:szCs w:val="21"/>
                <w:highlight w:val="none"/>
              </w:rPr>
              <w:t>=(基准价/投标报价)×2</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5；</w:t>
            </w:r>
          </w:p>
          <w:p>
            <w:pPr>
              <w:widowControl/>
              <w:spacing w:line="260" w:lineRule="exact"/>
              <w:textAlignment w:val="bottom"/>
              <w:rPr>
                <w:rFonts w:ascii="宋体" w:hAnsi="宋体" w:eastAsia="宋体" w:cs="宋体"/>
                <w:color w:val="auto"/>
                <w:kern w:val="0"/>
                <w:sz w:val="21"/>
                <w:szCs w:val="21"/>
                <w:highlight w:val="none"/>
                <w:lang w:bidi="ar"/>
              </w:rPr>
            </w:pPr>
            <w:r>
              <w:rPr>
                <w:rFonts w:hint="eastAsia" w:ascii="宋体" w:hAnsi="宋体" w:eastAsia="宋体" w:cs="宋体"/>
                <w:kern w:val="0"/>
                <w:sz w:val="21"/>
                <w:szCs w:val="21"/>
                <w:highlight w:val="none"/>
              </w:rPr>
              <w:t>价格部分由以上4项组成，单独计算后统一汇总。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jc w:val="center"/>
        </w:trPr>
        <w:tc>
          <w:tcPr>
            <w:tcW w:w="417" w:type="pct"/>
            <w:vMerge w:val="restart"/>
            <w:vAlign w:val="center"/>
          </w:tcPr>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color w:val="auto"/>
                <w:spacing w:val="-6"/>
                <w:kern w:val="2"/>
                <w:sz w:val="21"/>
                <w:szCs w:val="21"/>
                <w:highlight w:val="none"/>
              </w:rPr>
              <w:cr/>
            </w:r>
            <w:r>
              <w:rPr>
                <w:rFonts w:hint="eastAsia" w:ascii="宋体" w:hAnsi="宋体" w:eastAsia="宋体" w:cs="宋体"/>
                <w:color w:val="auto"/>
                <w:spacing w:val="-6"/>
                <w:kern w:val="2"/>
                <w:sz w:val="21"/>
                <w:szCs w:val="21"/>
                <w:highlight w:val="none"/>
              </w:rPr>
              <w:t>商务评审</w:t>
            </w:r>
          </w:p>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color w:val="auto"/>
                <w:spacing w:val="-6"/>
                <w:kern w:val="2"/>
                <w:sz w:val="21"/>
                <w:szCs w:val="21"/>
                <w:highlight w:val="none"/>
              </w:rPr>
              <w:cr/>
            </w:r>
            <w:r>
              <w:rPr>
                <w:rFonts w:hint="eastAsia" w:ascii="宋体" w:hAnsi="宋体" w:eastAsia="宋体" w:cs="宋体"/>
                <w:color w:val="auto"/>
                <w:spacing w:val="-6"/>
                <w:kern w:val="2"/>
                <w:sz w:val="21"/>
                <w:szCs w:val="21"/>
                <w:highlight w:val="none"/>
              </w:rPr>
              <w:t>（</w:t>
            </w:r>
            <w:r>
              <w:rPr>
                <w:rFonts w:hint="eastAsia" w:ascii="宋体" w:hAnsi="宋体" w:eastAsia="宋体" w:cs="宋体"/>
                <w:color w:val="auto"/>
                <w:spacing w:val="-6"/>
                <w:kern w:val="2"/>
                <w:sz w:val="21"/>
                <w:szCs w:val="21"/>
                <w:highlight w:val="none"/>
                <w:lang w:val="en-US" w:eastAsia="zh-CN"/>
              </w:rPr>
              <w:t>40</w:t>
            </w:r>
            <w:r>
              <w:rPr>
                <w:rFonts w:hint="eastAsia" w:ascii="宋体" w:hAnsi="宋体" w:eastAsia="宋体" w:cs="宋体"/>
                <w:color w:val="auto"/>
                <w:spacing w:val="-6"/>
                <w:kern w:val="2"/>
                <w:sz w:val="21"/>
                <w:szCs w:val="21"/>
                <w:highlight w:val="none"/>
              </w:rPr>
              <w:t>分）</w:t>
            </w:r>
          </w:p>
        </w:tc>
        <w:tc>
          <w:tcPr>
            <w:tcW w:w="468" w:type="pct"/>
            <w:tcBorders>
              <w:top w:val="single" w:color="auto" w:sz="4" w:space="0"/>
            </w:tcBorders>
            <w:vAlign w:val="center"/>
          </w:tcPr>
          <w:p>
            <w:pPr>
              <w:widowControl/>
              <w:spacing w:line="260" w:lineRule="exact"/>
              <w:jc w:val="center"/>
              <w:textAlignment w:val="center"/>
              <w:rPr>
                <w:rFonts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t>类似业绩</w:t>
            </w:r>
          </w:p>
        </w:tc>
        <w:tc>
          <w:tcPr>
            <w:tcW w:w="446" w:type="pct"/>
            <w:vAlign w:val="center"/>
          </w:tcPr>
          <w:p>
            <w:pPr>
              <w:widowControl/>
              <w:spacing w:line="260" w:lineRule="exact"/>
              <w:jc w:val="center"/>
              <w:textAlignment w:val="center"/>
              <w:rPr>
                <w:rFonts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w:t>
            </w:r>
          </w:p>
        </w:tc>
        <w:tc>
          <w:tcPr>
            <w:tcW w:w="3668" w:type="pct"/>
            <w:vAlign w:val="center"/>
          </w:tcPr>
          <w:p>
            <w:pPr>
              <w:widowControl/>
              <w:spacing w:line="260" w:lineRule="exact"/>
              <w:textAlignment w:val="bottom"/>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rPr>
              <w:t>供应商</w:t>
            </w:r>
            <w:r>
              <w:rPr>
                <w:rFonts w:hint="eastAsia" w:ascii="Times New Roman" w:hAnsi="Times New Roman" w:eastAsia="宋体" w:cs="Times New Roman"/>
                <w:color w:val="auto"/>
                <w:kern w:val="0"/>
                <w:sz w:val="21"/>
                <w:szCs w:val="21"/>
                <w:highlight w:val="none"/>
                <w:lang w:val="zh-CN"/>
              </w:rPr>
              <w:t>自20</w:t>
            </w:r>
            <w:r>
              <w:rPr>
                <w:rFonts w:hint="eastAsia" w:ascii="Times New Roman" w:hAnsi="Times New Roman" w:eastAsia="宋体" w:cs="Times New Roman"/>
                <w:color w:val="auto"/>
                <w:kern w:val="0"/>
                <w:sz w:val="21"/>
                <w:szCs w:val="21"/>
                <w:highlight w:val="none"/>
              </w:rPr>
              <w:t>2</w:t>
            </w:r>
            <w:r>
              <w:rPr>
                <w:rFonts w:hint="eastAsia" w:ascii="Times New Roman" w:hAnsi="Times New Roman" w:eastAsia="宋体" w:cs="Times New Roman"/>
                <w:color w:val="auto"/>
                <w:kern w:val="0"/>
                <w:sz w:val="21"/>
                <w:szCs w:val="21"/>
                <w:highlight w:val="none"/>
                <w:lang w:val="en-US" w:eastAsia="zh-CN"/>
              </w:rPr>
              <w:t>1</w:t>
            </w:r>
            <w:r>
              <w:rPr>
                <w:rFonts w:hint="eastAsia" w:ascii="Times New Roman" w:hAnsi="Times New Roman" w:eastAsia="宋体" w:cs="Times New Roman"/>
                <w:color w:val="auto"/>
                <w:kern w:val="0"/>
                <w:sz w:val="21"/>
                <w:szCs w:val="21"/>
                <w:highlight w:val="none"/>
                <w:lang w:val="zh-CN"/>
              </w:rPr>
              <w:t>年</w:t>
            </w:r>
            <w:r>
              <w:rPr>
                <w:rFonts w:hint="eastAsia" w:cs="Times New Roman"/>
                <w:color w:val="auto"/>
                <w:kern w:val="0"/>
                <w:sz w:val="21"/>
                <w:szCs w:val="21"/>
                <w:highlight w:val="none"/>
                <w:lang w:val="en-US" w:eastAsia="zh-CN"/>
              </w:rPr>
              <w:t>7</w:t>
            </w:r>
            <w:r>
              <w:rPr>
                <w:rFonts w:hint="eastAsia" w:ascii="Times New Roman" w:hAnsi="Times New Roman" w:eastAsia="宋体" w:cs="Times New Roman"/>
                <w:color w:val="auto"/>
                <w:kern w:val="0"/>
                <w:sz w:val="21"/>
                <w:szCs w:val="21"/>
                <w:highlight w:val="none"/>
                <w:lang w:val="zh-CN"/>
              </w:rPr>
              <w:t>月</w:t>
            </w:r>
            <w:r>
              <w:rPr>
                <w:rFonts w:hint="eastAsia" w:cs="Times New Roman"/>
                <w:color w:val="auto"/>
                <w:kern w:val="0"/>
                <w:sz w:val="21"/>
                <w:szCs w:val="21"/>
                <w:highlight w:val="none"/>
                <w:lang w:val="en-US" w:eastAsia="zh-CN"/>
              </w:rPr>
              <w:t>1日</w:t>
            </w:r>
            <w:r>
              <w:rPr>
                <w:rFonts w:hint="eastAsia" w:cs="Times New Roman"/>
                <w:color w:val="auto"/>
                <w:kern w:val="0"/>
                <w:sz w:val="21"/>
                <w:szCs w:val="21"/>
                <w:highlight w:val="none"/>
                <w:lang w:eastAsia="zh-CN"/>
              </w:rPr>
              <w:t>（</w:t>
            </w:r>
            <w:r>
              <w:rPr>
                <w:rFonts w:hint="eastAsia" w:ascii="Times New Roman" w:hAnsi="Times New Roman" w:eastAsia="宋体" w:cs="Times New Roman"/>
                <w:color w:val="auto"/>
                <w:kern w:val="0"/>
                <w:sz w:val="21"/>
                <w:szCs w:val="21"/>
                <w:highlight w:val="none"/>
              </w:rPr>
              <w:t>以合同签订时间为准</w:t>
            </w:r>
            <w:r>
              <w:rPr>
                <w:rFonts w:hint="eastAsia" w:ascii="Times New Roman" w:hAnsi="Times New Roman" w:eastAsia="宋体" w:cs="Times New Roman"/>
                <w:color w:val="auto"/>
                <w:kern w:val="0"/>
                <w:sz w:val="21"/>
                <w:szCs w:val="21"/>
                <w:highlight w:val="none"/>
                <w:lang w:val="zh-CN"/>
              </w:rPr>
              <w:t>）</w:t>
            </w:r>
            <w:r>
              <w:rPr>
                <w:rFonts w:hint="eastAsia" w:cs="Times New Roman"/>
                <w:color w:val="auto"/>
                <w:kern w:val="0"/>
                <w:sz w:val="21"/>
                <w:szCs w:val="21"/>
                <w:highlight w:val="none"/>
                <w:lang w:val="en-US" w:eastAsia="zh-CN"/>
              </w:rPr>
              <w:t>至投标截止日期；</w:t>
            </w:r>
            <w:r>
              <w:rPr>
                <w:rFonts w:hint="eastAsia" w:ascii="Times New Roman" w:hAnsi="Times New Roman" w:eastAsia="宋体" w:cs="Times New Roman"/>
                <w:color w:val="auto"/>
                <w:kern w:val="0"/>
                <w:sz w:val="21"/>
                <w:szCs w:val="21"/>
                <w:highlight w:val="none"/>
                <w:lang w:val="zh-CN"/>
              </w:rPr>
              <w:t>承接过</w:t>
            </w:r>
            <w:r>
              <w:rPr>
                <w:rFonts w:hint="eastAsia" w:ascii="Times New Roman" w:hAnsi="Times New Roman" w:eastAsia="宋体" w:cs="Times New Roman"/>
                <w:color w:val="auto"/>
                <w:kern w:val="0"/>
                <w:sz w:val="21"/>
                <w:szCs w:val="21"/>
                <w:highlight w:val="none"/>
              </w:rPr>
              <w:t>类似企业年金项目业绩</w:t>
            </w:r>
            <w:r>
              <w:rPr>
                <w:rFonts w:hint="eastAsia" w:ascii="Times New Roman" w:hAnsi="Times New Roman" w:eastAsia="宋体" w:cs="Times New Roman"/>
                <w:color w:val="auto"/>
                <w:kern w:val="0"/>
                <w:sz w:val="21"/>
                <w:szCs w:val="21"/>
                <w:highlight w:val="none"/>
                <w:lang w:val="zh-CN"/>
              </w:rPr>
              <w:t>的，每提供一项得</w:t>
            </w:r>
            <w:r>
              <w:rPr>
                <w:rFonts w:hint="eastAsia" w:ascii="Times New Roman" w:hAnsi="Times New Roman" w:eastAsia="宋体" w:cs="Times New Roman"/>
                <w:color w:val="auto"/>
                <w:kern w:val="0"/>
                <w:sz w:val="21"/>
                <w:szCs w:val="21"/>
                <w:highlight w:val="none"/>
                <w:lang w:val="en-US" w:eastAsia="zh-CN"/>
              </w:rPr>
              <w:t>1</w:t>
            </w:r>
            <w:r>
              <w:rPr>
                <w:rFonts w:hint="eastAsia" w:ascii="Times New Roman" w:hAnsi="Times New Roman" w:eastAsia="宋体" w:cs="Times New Roman"/>
                <w:color w:val="auto"/>
                <w:kern w:val="0"/>
                <w:sz w:val="21"/>
                <w:szCs w:val="21"/>
                <w:highlight w:val="none"/>
                <w:lang w:val="zh-CN"/>
              </w:rPr>
              <w:t>分，同一法人单位不重复计分，本项最高得5分。</w:t>
            </w:r>
          </w:p>
          <w:p>
            <w:pPr>
              <w:widowControl/>
              <w:spacing w:line="260" w:lineRule="exact"/>
              <w:textAlignment w:val="bottom"/>
              <w:rPr>
                <w:rFonts w:ascii="宋体" w:hAnsi="宋体" w:eastAsia="宋体" w:cs="宋体"/>
                <w:color w:val="auto"/>
                <w:kern w:val="2"/>
                <w:sz w:val="21"/>
                <w:szCs w:val="21"/>
                <w:highlight w:val="none"/>
              </w:rPr>
            </w:pPr>
            <w:r>
              <w:rPr>
                <w:rFonts w:hint="eastAsia" w:ascii="Times New Roman" w:hAnsi="Times New Roman" w:eastAsia="宋体" w:cs="Times New Roman"/>
                <w:b/>
                <w:bCs/>
                <w:color w:val="auto"/>
                <w:kern w:val="0"/>
                <w:sz w:val="21"/>
                <w:szCs w:val="21"/>
                <w:highlight w:val="none"/>
              </w:rPr>
              <w:t>注：须提供合同复印件并加盖公章，</w:t>
            </w:r>
            <w:r>
              <w:rPr>
                <w:rFonts w:hint="eastAsia" w:ascii="Times New Roman" w:hAnsi="Times New Roman" w:eastAsia="宋体" w:cs="Times New Roman"/>
                <w:b/>
                <w:bCs/>
                <w:color w:val="auto"/>
                <w:kern w:val="0"/>
                <w:sz w:val="21"/>
                <w:szCs w:val="21"/>
                <w:highlight w:val="none"/>
                <w:lang w:val="zh-CN"/>
              </w:rPr>
              <w:t>未提供或所提供的证明材料不齐全或提供的资料内容难以辨认的不得分。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tcBorders>
              <w:top w:val="single" w:color="auto" w:sz="4" w:space="0"/>
            </w:tcBorders>
            <w:vAlign w:val="center"/>
          </w:tcPr>
          <w:p>
            <w:pPr>
              <w:widowControl/>
              <w:spacing w:line="26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受托管理集合</w:t>
            </w:r>
          </w:p>
          <w:p>
            <w:pPr>
              <w:widowControl/>
              <w:spacing w:line="260" w:lineRule="exact"/>
              <w:jc w:val="center"/>
              <w:textAlignment w:val="center"/>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计划收益情况</w:t>
            </w:r>
          </w:p>
        </w:tc>
        <w:tc>
          <w:tcPr>
            <w:tcW w:w="446" w:type="pct"/>
            <w:vAlign w:val="center"/>
          </w:tcPr>
          <w:p>
            <w:pPr>
              <w:widowControl/>
              <w:spacing w:line="260" w:lineRule="exact"/>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20</w:t>
            </w:r>
          </w:p>
        </w:tc>
        <w:tc>
          <w:tcPr>
            <w:tcW w:w="3668" w:type="pct"/>
            <w:vAlign w:val="center"/>
          </w:tcPr>
          <w:p>
            <w:pPr>
              <w:widowControl/>
              <w:spacing w:line="260" w:lineRule="exact"/>
              <w:textAlignment w:val="bottom"/>
              <w:rPr>
                <w:rFonts w:ascii="Times New Roman" w:hAnsi="Times New Roman" w:eastAsia="宋体" w:cs="Times New Roman"/>
                <w:kern w:val="0"/>
                <w:sz w:val="21"/>
                <w:szCs w:val="21"/>
                <w:highlight w:val="none"/>
              </w:rPr>
            </w:pPr>
            <w:bookmarkStart w:id="564" w:name="OLE_LINK11"/>
            <w:r>
              <w:rPr>
                <w:rFonts w:hint="eastAsia" w:ascii="Times New Roman" w:hAnsi="Times New Roman" w:eastAsia="宋体" w:cs="Times New Roman"/>
                <w:kern w:val="0"/>
                <w:sz w:val="21"/>
                <w:szCs w:val="21"/>
                <w:highlight w:val="none"/>
              </w:rPr>
              <w:t>1、依据人社部</w:t>
            </w:r>
            <w:bookmarkStart w:id="565" w:name="OLE_LINK20"/>
            <w:r>
              <w:rPr>
                <w:rFonts w:hint="eastAsia" w:ascii="Times New Roman" w:hAnsi="Times New Roman" w:eastAsia="宋体" w:cs="Times New Roman"/>
                <w:kern w:val="0"/>
                <w:sz w:val="21"/>
                <w:szCs w:val="21"/>
                <w:highlight w:val="none"/>
              </w:rPr>
              <w:t xml:space="preserve"> </w:t>
            </w:r>
            <w:r>
              <w:rPr>
                <w:rFonts w:ascii="Times New Roman" w:hAnsi="Times New Roman" w:eastAsia="宋体" w:cs="Times New Roman"/>
                <w:kern w:val="0"/>
                <w:sz w:val="21"/>
                <w:szCs w:val="21"/>
                <w:highlight w:val="none"/>
              </w:rPr>
              <w:t>20</w:t>
            </w:r>
            <w:r>
              <w:rPr>
                <w:rFonts w:hint="eastAsia" w:cs="Times New Roman"/>
                <w:kern w:val="0"/>
                <w:sz w:val="21"/>
                <w:szCs w:val="21"/>
                <w:highlight w:val="none"/>
                <w:lang w:val="en-US" w:eastAsia="zh-CN"/>
              </w:rPr>
              <w:t>13</w:t>
            </w:r>
            <w:r>
              <w:rPr>
                <w:rFonts w:ascii="Times New Roman" w:hAnsi="Times New Roman" w:eastAsia="宋体" w:cs="Times New Roman"/>
                <w:kern w:val="0"/>
                <w:sz w:val="21"/>
                <w:szCs w:val="21"/>
                <w:highlight w:val="none"/>
              </w:rPr>
              <w:t>-2024</w:t>
            </w:r>
            <w:r>
              <w:rPr>
                <w:rFonts w:hint="eastAsia" w:ascii="Times New Roman" w:hAnsi="Times New Roman" w:eastAsia="宋体" w:cs="Times New Roman"/>
                <w:kern w:val="0"/>
                <w:sz w:val="21"/>
                <w:szCs w:val="21"/>
                <w:highlight w:val="none"/>
              </w:rPr>
              <w:t>年度</w:t>
            </w:r>
            <w:bookmarkStart w:id="566" w:name="OLE_LINK9"/>
            <w:r>
              <w:rPr>
                <w:rFonts w:hint="eastAsia" w:ascii="Times New Roman" w:hAnsi="Times New Roman" w:eastAsia="宋体" w:cs="Times New Roman"/>
                <w:kern w:val="0"/>
                <w:sz w:val="21"/>
                <w:szCs w:val="21"/>
                <w:highlight w:val="none"/>
              </w:rPr>
              <w:t>《全国企业年金基金业务数据摘要》</w:t>
            </w:r>
            <w:bookmarkEnd w:id="565"/>
            <w:bookmarkEnd w:id="566"/>
            <w:r>
              <w:rPr>
                <w:rFonts w:hint="eastAsia" w:ascii="Times New Roman" w:hAnsi="Times New Roman" w:eastAsia="宋体" w:cs="Times New Roman"/>
                <w:kern w:val="0"/>
                <w:sz w:val="21"/>
                <w:szCs w:val="21"/>
                <w:highlight w:val="none"/>
              </w:rPr>
              <w:t>年度完整版；</w:t>
            </w:r>
            <w:bookmarkStart w:id="567" w:name="OLE_LINK34"/>
            <w:r>
              <w:rPr>
                <w:rFonts w:hint="eastAsia" w:ascii="Times New Roman" w:hAnsi="Times New Roman" w:eastAsia="宋体" w:cs="Times New Roman"/>
                <w:kern w:val="0"/>
                <w:sz w:val="21"/>
                <w:szCs w:val="21"/>
                <w:highlight w:val="none"/>
              </w:rPr>
              <w:t>有效年度加权</w:t>
            </w:r>
            <w:r>
              <w:rPr>
                <w:rFonts w:hint="eastAsia" w:cs="Times New Roman"/>
                <w:kern w:val="0"/>
                <w:sz w:val="21"/>
                <w:szCs w:val="21"/>
                <w:highlight w:val="none"/>
                <w:lang w:val="en-US" w:eastAsia="zh-CN"/>
              </w:rPr>
              <w:t>综合收益率</w:t>
            </w:r>
            <w:bookmarkEnd w:id="567"/>
            <w:r>
              <w:rPr>
                <w:rFonts w:hint="eastAsia" w:ascii="Times New Roman" w:hAnsi="Times New Roman" w:eastAsia="宋体" w:cs="Times New Roman"/>
                <w:kern w:val="0"/>
                <w:sz w:val="21"/>
                <w:szCs w:val="21"/>
                <w:highlight w:val="none"/>
              </w:rPr>
              <w:t>=（集合计划 1 规模×集合计划 1</w:t>
            </w:r>
            <w:r>
              <w:rPr>
                <w:rFonts w:hint="eastAsia" w:ascii="Times New Roman" w:eastAsia="宋体"/>
                <w:highlight w:val="none"/>
                <w:lang w:val="en-US" w:eastAsia="zh-CN"/>
              </w:rPr>
              <w:t>综合收益率</w:t>
            </w:r>
            <w:r>
              <w:rPr>
                <w:rFonts w:hint="eastAsia" w:ascii="Times New Roman" w:hAnsi="Times New Roman" w:eastAsia="宋体" w:cs="Times New Roman"/>
                <w:kern w:val="0"/>
                <w:sz w:val="21"/>
                <w:szCs w:val="21"/>
                <w:highlight w:val="none"/>
              </w:rPr>
              <w:t>＋集合计划 2 规模×集合计划2</w:t>
            </w:r>
            <w:r>
              <w:rPr>
                <w:rFonts w:hint="eastAsia" w:ascii="Times New Roman" w:eastAsia="宋体"/>
                <w:highlight w:val="none"/>
                <w:lang w:val="en-US" w:eastAsia="zh-CN"/>
              </w:rPr>
              <w:t>综合收益率</w:t>
            </w:r>
            <w:r>
              <w:rPr>
                <w:rFonts w:hint="eastAsia" w:ascii="Times New Roman" w:hAnsi="Times New Roman" w:eastAsia="宋体" w:cs="Times New Roman"/>
                <w:kern w:val="0"/>
                <w:sz w:val="21"/>
                <w:szCs w:val="21"/>
                <w:highlight w:val="none"/>
              </w:rPr>
              <w:t xml:space="preserve">＋ ...＋集合计划N 规模×集合计划 N </w:t>
            </w:r>
            <w:r>
              <w:rPr>
                <w:rFonts w:hint="eastAsia" w:ascii="Times New Roman" w:eastAsia="宋体"/>
                <w:highlight w:val="none"/>
                <w:lang w:val="en-US" w:eastAsia="zh-CN"/>
              </w:rPr>
              <w:t>综合收益率</w:t>
            </w:r>
            <w:r>
              <w:rPr>
                <w:rFonts w:hint="eastAsia" w:ascii="Times New Roman" w:hAnsi="Times New Roman" w:eastAsia="宋体" w:cs="Times New Roman"/>
                <w:kern w:val="0"/>
                <w:sz w:val="21"/>
                <w:szCs w:val="21"/>
                <w:highlight w:val="none"/>
              </w:rPr>
              <w:t>）/（集合计划 1 规模＋集合计划 2 规模＋ ...＋集合计划N 规模）。</w:t>
            </w:r>
          </w:p>
          <w:p>
            <w:pPr>
              <w:widowControl/>
              <w:spacing w:line="260" w:lineRule="exact"/>
              <w:textAlignment w:val="bottom"/>
              <w:rPr>
                <w:rFonts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rPr>
              <w:t>2、</w:t>
            </w:r>
            <w:r>
              <w:rPr>
                <w:rFonts w:hint="eastAsia" w:cs="Times New Roman"/>
                <w:kern w:val="0"/>
                <w:sz w:val="21"/>
                <w:szCs w:val="21"/>
                <w:highlight w:val="none"/>
                <w:lang w:val="en-US" w:eastAsia="zh-CN"/>
              </w:rPr>
              <w:t>年均综合收益率</w:t>
            </w:r>
            <w:r>
              <w:rPr>
                <w:rFonts w:hint="eastAsia" w:ascii="Times New Roman" w:hAnsi="Times New Roman" w:eastAsia="宋体" w:cs="Times New Roman"/>
                <w:kern w:val="0"/>
                <w:sz w:val="21"/>
                <w:szCs w:val="21"/>
                <w:highlight w:val="none"/>
              </w:rPr>
              <w:t xml:space="preserve"> = 有效年度加权收益率之和÷有效年份，当年无数据则剔除，结果四舍五入保留2位小数；</w:t>
            </w:r>
            <w:r>
              <w:rPr>
                <w:rFonts w:hint="eastAsia" w:cs="Times New Roman"/>
                <w:kern w:val="0"/>
                <w:sz w:val="21"/>
                <w:szCs w:val="21"/>
                <w:highlight w:val="none"/>
                <w:lang w:val="en-US" w:eastAsia="zh-CN"/>
              </w:rPr>
              <w:t>若2013年以后成立的，以摘要披露数据的</w:t>
            </w:r>
            <w:r>
              <w:rPr>
                <w:rFonts w:hint="eastAsia" w:ascii="Times New Roman" w:hAnsi="Times New Roman" w:eastAsia="宋体" w:cs="Times New Roman"/>
                <w:kern w:val="0"/>
                <w:sz w:val="21"/>
                <w:szCs w:val="21"/>
                <w:highlight w:val="none"/>
              </w:rPr>
              <w:t>实际有效年份计算。</w:t>
            </w:r>
          </w:p>
          <w:p>
            <w:pPr>
              <w:widowControl/>
              <w:spacing w:line="260" w:lineRule="exact"/>
              <w:textAlignment w:val="bottom"/>
              <w:rPr>
                <w:rFonts w:ascii="Times New Roman" w:hAnsi="Times New Roman" w:eastAsia="宋体" w:cs="Times New Roman"/>
                <w:kern w:val="0"/>
                <w:sz w:val="21"/>
                <w:szCs w:val="21"/>
                <w:highlight w:val="none"/>
              </w:rPr>
            </w:pPr>
            <w:r>
              <w:rPr>
                <w:rFonts w:hint="eastAsia" w:cs="Times New Roman"/>
                <w:kern w:val="0"/>
                <w:sz w:val="21"/>
                <w:szCs w:val="21"/>
                <w:highlight w:val="none"/>
                <w:lang w:val="en-US" w:eastAsia="zh-CN"/>
              </w:rPr>
              <w:t>3</w:t>
            </w:r>
            <w:r>
              <w:rPr>
                <w:rFonts w:hint="eastAsia" w:ascii="Times New Roman" w:hAnsi="Times New Roman" w:eastAsia="宋体" w:cs="Times New Roman"/>
                <w:kern w:val="0"/>
                <w:sz w:val="21"/>
                <w:szCs w:val="21"/>
                <w:highlight w:val="none"/>
              </w:rPr>
              <w:t>、所有投标人</w:t>
            </w:r>
            <w:r>
              <w:rPr>
                <w:rFonts w:hint="eastAsia" w:cs="Times New Roman"/>
                <w:kern w:val="0"/>
                <w:sz w:val="21"/>
                <w:szCs w:val="21"/>
                <w:highlight w:val="none"/>
                <w:lang w:val="en-US" w:eastAsia="zh-CN"/>
              </w:rPr>
              <w:t>年均综合收益率</w:t>
            </w:r>
            <w:r>
              <w:rPr>
                <w:rFonts w:hint="eastAsia" w:ascii="Times New Roman" w:hAnsi="Times New Roman" w:eastAsia="宋体" w:cs="Times New Roman"/>
                <w:kern w:val="0"/>
                <w:sz w:val="21"/>
                <w:szCs w:val="21"/>
                <w:highlight w:val="none"/>
              </w:rPr>
              <w:t>从高到低排名赋分：第1名</w:t>
            </w:r>
            <w:r>
              <w:rPr>
                <w:rFonts w:hint="eastAsia" w:cs="Times New Roman"/>
                <w:kern w:val="0"/>
                <w:sz w:val="21"/>
                <w:szCs w:val="21"/>
                <w:highlight w:val="none"/>
                <w:lang w:val="en-US" w:eastAsia="zh-CN"/>
              </w:rPr>
              <w:t>20</w:t>
            </w:r>
            <w:r>
              <w:rPr>
                <w:rFonts w:hint="eastAsia" w:ascii="Times New Roman" w:hAnsi="Times New Roman" w:eastAsia="宋体" w:cs="Times New Roman"/>
                <w:kern w:val="0"/>
                <w:sz w:val="21"/>
                <w:szCs w:val="21"/>
                <w:highlight w:val="none"/>
              </w:rPr>
              <w:t>分、第2名1</w:t>
            </w:r>
            <w:r>
              <w:rPr>
                <w:rFonts w:hint="eastAsia" w:cs="Times New Roman"/>
                <w:kern w:val="0"/>
                <w:sz w:val="21"/>
                <w:szCs w:val="21"/>
                <w:highlight w:val="none"/>
                <w:lang w:val="en-US" w:eastAsia="zh-CN"/>
              </w:rPr>
              <w:t>8</w:t>
            </w:r>
            <w:r>
              <w:rPr>
                <w:rFonts w:hint="eastAsia" w:ascii="Times New Roman" w:hAnsi="Times New Roman" w:eastAsia="宋体" w:cs="Times New Roman"/>
                <w:kern w:val="0"/>
                <w:sz w:val="21"/>
                <w:szCs w:val="21"/>
                <w:highlight w:val="none"/>
              </w:rPr>
              <w:t>分、第3名1</w:t>
            </w:r>
            <w:r>
              <w:rPr>
                <w:rFonts w:hint="eastAsia" w:cs="Times New Roman"/>
                <w:kern w:val="0"/>
                <w:sz w:val="21"/>
                <w:szCs w:val="21"/>
                <w:highlight w:val="none"/>
                <w:lang w:val="en-US" w:eastAsia="zh-CN"/>
              </w:rPr>
              <w:t>6</w:t>
            </w:r>
            <w:r>
              <w:rPr>
                <w:rFonts w:hint="eastAsia" w:ascii="Times New Roman" w:hAnsi="Times New Roman" w:eastAsia="宋体" w:cs="Times New Roman"/>
                <w:kern w:val="0"/>
                <w:sz w:val="21"/>
                <w:szCs w:val="21"/>
                <w:highlight w:val="none"/>
              </w:rPr>
              <w:t>分、第 4名</w:t>
            </w:r>
            <w:r>
              <w:rPr>
                <w:rFonts w:hint="eastAsia" w:cs="Times New Roman"/>
                <w:kern w:val="0"/>
                <w:sz w:val="21"/>
                <w:szCs w:val="21"/>
                <w:highlight w:val="none"/>
                <w:lang w:val="en-US" w:eastAsia="zh-CN"/>
              </w:rPr>
              <w:t>14</w:t>
            </w:r>
            <w:r>
              <w:rPr>
                <w:rFonts w:hint="eastAsia" w:ascii="Times New Roman" w:hAnsi="Times New Roman" w:eastAsia="宋体" w:cs="Times New Roman"/>
                <w:kern w:val="0"/>
                <w:sz w:val="21"/>
                <w:szCs w:val="21"/>
                <w:highlight w:val="none"/>
              </w:rPr>
              <w:t>分、第5 名</w:t>
            </w:r>
            <w:r>
              <w:rPr>
                <w:rFonts w:hint="eastAsia" w:cs="Times New Roman"/>
                <w:kern w:val="0"/>
                <w:sz w:val="21"/>
                <w:szCs w:val="21"/>
                <w:highlight w:val="none"/>
                <w:lang w:val="en-US" w:eastAsia="zh-CN"/>
              </w:rPr>
              <w:t>12</w:t>
            </w:r>
            <w:r>
              <w:rPr>
                <w:rFonts w:hint="eastAsia" w:ascii="Times New Roman" w:hAnsi="Times New Roman" w:eastAsia="宋体" w:cs="Times New Roman"/>
                <w:kern w:val="0"/>
                <w:sz w:val="21"/>
                <w:szCs w:val="21"/>
                <w:highlight w:val="none"/>
              </w:rPr>
              <w:t>分，第6名</w:t>
            </w:r>
            <w:r>
              <w:rPr>
                <w:rFonts w:hint="eastAsia" w:cs="Times New Roman"/>
                <w:kern w:val="0"/>
                <w:sz w:val="21"/>
                <w:szCs w:val="21"/>
                <w:highlight w:val="none"/>
                <w:lang w:val="en-US" w:eastAsia="zh-CN"/>
              </w:rPr>
              <w:t>12</w:t>
            </w:r>
            <w:r>
              <w:rPr>
                <w:rFonts w:hint="eastAsia" w:ascii="Times New Roman" w:hAnsi="Times New Roman" w:eastAsia="宋体" w:cs="Times New Roman"/>
                <w:kern w:val="0"/>
                <w:sz w:val="21"/>
                <w:szCs w:val="21"/>
                <w:highlight w:val="none"/>
              </w:rPr>
              <w:t>分，第7名</w:t>
            </w:r>
            <w:r>
              <w:rPr>
                <w:rFonts w:hint="eastAsia" w:cs="Times New Roman"/>
                <w:kern w:val="0"/>
                <w:sz w:val="21"/>
                <w:szCs w:val="21"/>
                <w:highlight w:val="none"/>
                <w:lang w:val="en-US" w:eastAsia="zh-CN"/>
              </w:rPr>
              <w:t>10</w:t>
            </w:r>
            <w:r>
              <w:rPr>
                <w:rFonts w:hint="eastAsia" w:ascii="Times New Roman" w:hAnsi="Times New Roman" w:eastAsia="宋体" w:cs="Times New Roman"/>
                <w:kern w:val="0"/>
                <w:sz w:val="21"/>
                <w:szCs w:val="21"/>
                <w:highlight w:val="none"/>
              </w:rPr>
              <w:t>分，第8名及以后统一得</w:t>
            </w:r>
            <w:r>
              <w:rPr>
                <w:rFonts w:hint="eastAsia" w:cs="Times New Roman"/>
                <w:kern w:val="0"/>
                <w:sz w:val="21"/>
                <w:szCs w:val="21"/>
                <w:highlight w:val="none"/>
                <w:lang w:val="en-US" w:eastAsia="zh-CN"/>
              </w:rPr>
              <w:t>8</w:t>
            </w:r>
            <w:r>
              <w:rPr>
                <w:rFonts w:hint="eastAsia" w:ascii="Times New Roman" w:hAnsi="Times New Roman" w:eastAsia="宋体" w:cs="Times New Roman"/>
                <w:kern w:val="0"/>
                <w:sz w:val="21"/>
                <w:szCs w:val="21"/>
                <w:highlight w:val="none"/>
              </w:rPr>
              <w:t>分。</w:t>
            </w:r>
          </w:p>
          <w:p>
            <w:pPr>
              <w:widowControl/>
              <w:spacing w:line="260" w:lineRule="exact"/>
              <w:textAlignment w:val="bottom"/>
              <w:rPr>
                <w:rFonts w:hint="eastAsia" w:ascii="Times New Roman" w:hAnsi="Times New Roman" w:eastAsia="宋体" w:cs="Times New Roman"/>
                <w:color w:val="auto"/>
                <w:kern w:val="0"/>
                <w:sz w:val="21"/>
                <w:szCs w:val="21"/>
                <w:highlight w:val="none"/>
                <w:lang w:eastAsia="zh-CN"/>
              </w:rPr>
            </w:pPr>
            <w:r>
              <w:rPr>
                <w:rFonts w:hint="eastAsia" w:cs="Times New Roman"/>
                <w:kern w:val="0"/>
                <w:sz w:val="21"/>
                <w:szCs w:val="21"/>
                <w:highlight w:val="none"/>
                <w:lang w:val="en-US" w:eastAsia="zh-CN"/>
              </w:rPr>
              <w:t>4</w:t>
            </w:r>
            <w:r>
              <w:rPr>
                <w:rFonts w:hint="eastAsia" w:cs="Times New Roman"/>
                <w:kern w:val="0"/>
                <w:sz w:val="21"/>
                <w:szCs w:val="21"/>
                <w:highlight w:val="none"/>
                <w:lang w:eastAsia="zh-CN"/>
              </w:rPr>
              <w:t>、</w:t>
            </w:r>
            <w:bookmarkStart w:id="568" w:name="OLE_LINK4"/>
            <w:bookmarkStart w:id="569" w:name="OLE_LINK17"/>
            <w:r>
              <w:rPr>
                <w:rFonts w:hint="eastAsia" w:cs="Times New Roman"/>
                <w:kern w:val="0"/>
                <w:sz w:val="21"/>
                <w:szCs w:val="21"/>
                <w:highlight w:val="none"/>
                <w:lang w:val="en-US" w:eastAsia="zh-CN"/>
              </w:rPr>
              <w:t>提供</w:t>
            </w:r>
            <w:r>
              <w:rPr>
                <w:rFonts w:hint="eastAsia" w:ascii="Times New Roman" w:hAnsi="Times New Roman" w:eastAsia="宋体" w:cs="Times New Roman"/>
                <w:kern w:val="0"/>
                <w:sz w:val="21"/>
                <w:szCs w:val="21"/>
                <w:highlight w:val="none"/>
              </w:rPr>
              <w:t xml:space="preserve">人社部 </w:t>
            </w:r>
            <w:r>
              <w:rPr>
                <w:rFonts w:ascii="Times New Roman" w:hAnsi="Times New Roman" w:eastAsia="宋体" w:cs="Times New Roman"/>
                <w:kern w:val="0"/>
                <w:sz w:val="21"/>
                <w:szCs w:val="21"/>
                <w:highlight w:val="none"/>
              </w:rPr>
              <w:t>20</w:t>
            </w:r>
            <w:r>
              <w:rPr>
                <w:rFonts w:hint="eastAsia" w:cs="Times New Roman"/>
                <w:kern w:val="0"/>
                <w:sz w:val="21"/>
                <w:szCs w:val="21"/>
                <w:highlight w:val="none"/>
                <w:lang w:val="en-US" w:eastAsia="zh-CN"/>
              </w:rPr>
              <w:t>13</w:t>
            </w:r>
            <w:r>
              <w:rPr>
                <w:rFonts w:ascii="Times New Roman" w:hAnsi="Times New Roman" w:eastAsia="宋体" w:cs="Times New Roman"/>
                <w:kern w:val="0"/>
                <w:sz w:val="21"/>
                <w:szCs w:val="21"/>
                <w:highlight w:val="none"/>
              </w:rPr>
              <w:t>-2024</w:t>
            </w:r>
            <w:r>
              <w:rPr>
                <w:rFonts w:hint="eastAsia" w:ascii="Times New Roman" w:hAnsi="Times New Roman" w:eastAsia="宋体" w:cs="Times New Roman"/>
                <w:kern w:val="0"/>
                <w:sz w:val="21"/>
                <w:szCs w:val="21"/>
                <w:highlight w:val="none"/>
              </w:rPr>
              <w:t>年度《全国企业年金基金业务数据摘要》</w:t>
            </w:r>
            <w:r>
              <w:rPr>
                <w:rFonts w:hint="eastAsia" w:cs="Times New Roman"/>
                <w:kern w:val="0"/>
                <w:sz w:val="21"/>
                <w:szCs w:val="21"/>
                <w:highlight w:val="none"/>
                <w:lang w:val="en-US" w:eastAsia="zh-CN"/>
              </w:rPr>
              <w:t>截图</w:t>
            </w:r>
            <w:bookmarkStart w:id="570" w:name="OLE_LINK22"/>
            <w:r>
              <w:rPr>
                <w:rFonts w:hint="eastAsia" w:cs="Times New Roman"/>
                <w:kern w:val="0"/>
                <w:sz w:val="21"/>
                <w:szCs w:val="21"/>
                <w:highlight w:val="none"/>
                <w:lang w:val="en-US" w:eastAsia="zh-CN"/>
              </w:rPr>
              <w:t>作为数据支撑来源</w:t>
            </w:r>
            <w:bookmarkEnd w:id="568"/>
            <w:bookmarkEnd w:id="570"/>
            <w:r>
              <w:rPr>
                <w:rFonts w:hint="eastAsia" w:cs="Times New Roman"/>
                <w:kern w:val="0"/>
                <w:sz w:val="21"/>
                <w:szCs w:val="21"/>
                <w:highlight w:val="none"/>
                <w:lang w:eastAsia="zh-CN"/>
              </w:rPr>
              <w:t>，</w:t>
            </w:r>
            <w:r>
              <w:rPr>
                <w:rFonts w:hint="eastAsia" w:ascii="Times New Roman" w:hAnsi="Times New Roman" w:eastAsia="宋体" w:cs="Times New Roman"/>
                <w:kern w:val="0"/>
                <w:sz w:val="21"/>
                <w:szCs w:val="21"/>
                <w:highlight w:val="none"/>
              </w:rPr>
              <w:t>投标人须附人社摘要截图</w:t>
            </w:r>
            <w:r>
              <w:rPr>
                <w:rFonts w:hint="eastAsia" w:cs="Times New Roman"/>
                <w:kern w:val="0"/>
                <w:sz w:val="21"/>
                <w:szCs w:val="21"/>
                <w:highlight w:val="none"/>
                <w:lang w:val="en-US" w:eastAsia="zh-CN"/>
              </w:rPr>
              <w:t>作为数据支撑来源</w:t>
            </w:r>
            <w:r>
              <w:rPr>
                <w:rFonts w:hint="eastAsia" w:ascii="Times New Roman" w:hAnsi="Times New Roman" w:eastAsia="宋体" w:cs="Times New Roman"/>
                <w:kern w:val="0"/>
                <w:sz w:val="21"/>
                <w:szCs w:val="21"/>
                <w:highlight w:val="none"/>
              </w:rPr>
              <w:t>、</w:t>
            </w:r>
            <w:r>
              <w:rPr>
                <w:rFonts w:hint="eastAsia" w:cs="Times New Roman"/>
                <w:kern w:val="0"/>
                <w:sz w:val="21"/>
                <w:szCs w:val="21"/>
                <w:highlight w:val="none"/>
                <w:lang w:val="en-US" w:eastAsia="zh-CN"/>
              </w:rPr>
              <w:t>并提供</w:t>
            </w:r>
            <w:r>
              <w:rPr>
                <w:rFonts w:hint="eastAsia" w:ascii="Times New Roman" w:hAnsi="Times New Roman" w:eastAsia="宋体" w:cs="Times New Roman"/>
                <w:kern w:val="0"/>
                <w:sz w:val="21"/>
                <w:szCs w:val="21"/>
                <w:highlight w:val="none"/>
              </w:rPr>
              <w:t>加盖公章的</w:t>
            </w:r>
            <w:bookmarkStart w:id="571" w:name="OLE_LINK32"/>
            <w:r>
              <w:rPr>
                <w:rFonts w:hint="eastAsia" w:cs="Times New Roman"/>
                <w:kern w:val="0"/>
                <w:sz w:val="21"/>
                <w:szCs w:val="21"/>
                <w:highlight w:val="none"/>
                <w:lang w:val="en-US" w:eastAsia="zh-CN"/>
              </w:rPr>
              <w:t>年均综合收益率计算</w:t>
            </w:r>
            <w:r>
              <w:rPr>
                <w:rFonts w:hint="eastAsia" w:ascii="Times New Roman" w:hAnsi="Times New Roman" w:eastAsia="宋体" w:cs="Times New Roman"/>
                <w:kern w:val="0"/>
                <w:sz w:val="21"/>
                <w:szCs w:val="21"/>
                <w:highlight w:val="none"/>
              </w:rPr>
              <w:t>表</w:t>
            </w:r>
            <w:bookmarkEnd w:id="571"/>
            <w:r>
              <w:rPr>
                <w:rFonts w:hint="eastAsia" w:cs="Times New Roman"/>
                <w:kern w:val="0"/>
                <w:sz w:val="21"/>
                <w:szCs w:val="21"/>
                <w:highlight w:val="none"/>
                <w:lang w:val="en-US" w:eastAsia="zh-CN"/>
              </w:rPr>
              <w:t>及计算过程</w:t>
            </w:r>
            <w:bookmarkEnd w:id="569"/>
            <w:r>
              <w:rPr>
                <w:rFonts w:hint="eastAsia" w:ascii="Times New Roman" w:hAnsi="Times New Roman" w:eastAsia="宋体" w:cs="Times New Roman"/>
                <w:kern w:val="0"/>
                <w:sz w:val="21"/>
                <w:szCs w:val="21"/>
                <w:highlight w:val="none"/>
                <w:lang w:eastAsia="zh-CN"/>
              </w:rPr>
              <w:t>。</w:t>
            </w:r>
            <w:bookmarkEnd w:id="5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tcBorders>
              <w:top w:val="single" w:color="auto" w:sz="4" w:space="0"/>
            </w:tcBorders>
            <w:vAlign w:val="center"/>
          </w:tcPr>
          <w:p>
            <w:pPr>
              <w:widowControl/>
              <w:spacing w:line="260" w:lineRule="exact"/>
              <w:jc w:val="center"/>
              <w:textAlignment w:val="center"/>
              <w:rPr>
                <w:rFonts w:hint="default" w:ascii="宋体" w:hAnsi="宋体" w:eastAsia="宋体" w:cs="宋体"/>
                <w:color w:val="auto"/>
                <w:kern w:val="0"/>
                <w:sz w:val="21"/>
                <w:szCs w:val="21"/>
                <w:highlight w:val="none"/>
                <w:lang w:val="en-US" w:eastAsia="zh-CN"/>
              </w:rPr>
            </w:pPr>
            <w:bookmarkStart w:id="572" w:name="OLE_LINK10"/>
            <w:r>
              <w:rPr>
                <w:rFonts w:hint="eastAsia" w:cs="Times New Roman"/>
                <w:color w:val="auto"/>
                <w:kern w:val="0"/>
                <w:sz w:val="21"/>
                <w:szCs w:val="21"/>
                <w:highlight w:val="none"/>
                <w:lang w:val="en-US" w:eastAsia="zh-CN"/>
              </w:rPr>
              <w:t>近三年累积收益率（综合）</w:t>
            </w:r>
            <w:bookmarkEnd w:id="572"/>
          </w:p>
        </w:tc>
        <w:tc>
          <w:tcPr>
            <w:tcW w:w="446" w:type="pct"/>
            <w:vAlign w:val="center"/>
          </w:tcPr>
          <w:p>
            <w:pPr>
              <w:widowControl/>
              <w:spacing w:line="260" w:lineRule="exact"/>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15</w:t>
            </w:r>
          </w:p>
        </w:tc>
        <w:tc>
          <w:tcPr>
            <w:tcW w:w="3668" w:type="pct"/>
            <w:vAlign w:val="center"/>
          </w:tcPr>
          <w:p>
            <w:pPr>
              <w:widowControl/>
              <w:spacing w:line="260" w:lineRule="exact"/>
              <w:textAlignment w:val="bottom"/>
              <w:rPr>
                <w:rFonts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rPr>
              <w:t>1、依据</w:t>
            </w:r>
            <w:bookmarkStart w:id="573" w:name="OLE_LINK19"/>
            <w:r>
              <w:rPr>
                <w:rFonts w:hint="eastAsia" w:ascii="Times New Roman" w:hAnsi="Times New Roman" w:eastAsia="宋体" w:cs="Times New Roman"/>
                <w:color w:val="auto"/>
                <w:kern w:val="0"/>
                <w:sz w:val="21"/>
                <w:szCs w:val="21"/>
                <w:highlight w:val="none"/>
              </w:rPr>
              <w:t xml:space="preserve">人社部 </w:t>
            </w:r>
            <w:r>
              <w:rPr>
                <w:rFonts w:hint="eastAsia" w:cs="Times New Roman"/>
                <w:color w:val="auto"/>
                <w:kern w:val="0"/>
                <w:sz w:val="21"/>
                <w:szCs w:val="21"/>
                <w:highlight w:val="none"/>
                <w:lang w:val="en-US" w:eastAsia="zh-CN"/>
              </w:rPr>
              <w:t>2025</w:t>
            </w:r>
            <w:r>
              <w:rPr>
                <w:rFonts w:hint="eastAsia" w:ascii="Times New Roman" w:hAnsi="Times New Roman" w:eastAsia="宋体" w:cs="Times New Roman"/>
                <w:color w:val="auto"/>
                <w:kern w:val="0"/>
                <w:sz w:val="21"/>
                <w:szCs w:val="21"/>
                <w:highlight w:val="none"/>
              </w:rPr>
              <w:t>年度</w:t>
            </w:r>
            <w:bookmarkEnd w:id="573"/>
            <w:r>
              <w:rPr>
                <w:rFonts w:hint="eastAsia" w:ascii="Times New Roman" w:hAnsi="Times New Roman" w:eastAsia="宋体" w:cs="Times New Roman"/>
                <w:color w:val="auto"/>
                <w:kern w:val="0"/>
                <w:sz w:val="21"/>
                <w:szCs w:val="21"/>
                <w:highlight w:val="none"/>
              </w:rPr>
              <w:t>《全国企业年金基金业务数据摘要》年度完整版；</w:t>
            </w:r>
            <w:r>
              <w:rPr>
                <w:rFonts w:hint="eastAsia" w:cs="Times New Roman"/>
                <w:color w:val="auto"/>
                <w:kern w:val="0"/>
                <w:sz w:val="21"/>
                <w:szCs w:val="21"/>
                <w:highlight w:val="none"/>
                <w:lang w:val="en-US" w:eastAsia="zh-CN"/>
              </w:rPr>
              <w:t>近三年累积收益率（综合）</w:t>
            </w:r>
            <w:r>
              <w:rPr>
                <w:rFonts w:hint="eastAsia" w:ascii="Times New Roman" w:hAnsi="Times New Roman" w:eastAsia="宋体" w:cs="Times New Roman"/>
                <w:color w:val="auto"/>
                <w:kern w:val="0"/>
                <w:sz w:val="21"/>
                <w:szCs w:val="21"/>
                <w:highlight w:val="none"/>
              </w:rPr>
              <w:t>= （集合计划 1 规模×集合计划 1</w:t>
            </w:r>
            <w:r>
              <w:rPr>
                <w:rFonts w:hint="eastAsia" w:ascii="Times New Roman" w:eastAsia="宋体"/>
                <w:color w:val="auto"/>
                <w:highlight w:val="none"/>
                <w:lang w:val="en-US" w:eastAsia="zh-CN"/>
              </w:rPr>
              <w:t>综合收益率</w:t>
            </w:r>
            <w:r>
              <w:rPr>
                <w:rFonts w:hint="eastAsia" w:ascii="Times New Roman" w:hAnsi="Times New Roman" w:eastAsia="宋体" w:cs="Times New Roman"/>
                <w:color w:val="auto"/>
                <w:kern w:val="0"/>
                <w:sz w:val="21"/>
                <w:szCs w:val="21"/>
                <w:highlight w:val="none"/>
              </w:rPr>
              <w:t>＋集合计划 2 规模×集合计划2</w:t>
            </w:r>
            <w:r>
              <w:rPr>
                <w:rFonts w:hint="eastAsia" w:ascii="Times New Roman" w:eastAsia="宋体"/>
                <w:color w:val="auto"/>
                <w:highlight w:val="none"/>
                <w:lang w:val="en-US" w:eastAsia="zh-CN"/>
              </w:rPr>
              <w:t>综合收益率</w:t>
            </w:r>
            <w:r>
              <w:rPr>
                <w:rFonts w:hint="eastAsia" w:ascii="Times New Roman" w:hAnsi="Times New Roman" w:eastAsia="宋体" w:cs="Times New Roman"/>
                <w:color w:val="auto"/>
                <w:kern w:val="0"/>
                <w:sz w:val="21"/>
                <w:szCs w:val="21"/>
                <w:highlight w:val="none"/>
              </w:rPr>
              <w:t xml:space="preserve">＋ ...＋集合计划N 规模×集合计划 N </w:t>
            </w:r>
            <w:r>
              <w:rPr>
                <w:rFonts w:hint="eastAsia" w:ascii="Times New Roman" w:eastAsia="宋体"/>
                <w:color w:val="auto"/>
                <w:highlight w:val="none"/>
                <w:lang w:val="en-US" w:eastAsia="zh-CN"/>
              </w:rPr>
              <w:t>综合收益率</w:t>
            </w:r>
            <w:r>
              <w:rPr>
                <w:rFonts w:hint="eastAsia" w:ascii="Times New Roman" w:hAnsi="Times New Roman" w:eastAsia="宋体" w:cs="Times New Roman"/>
                <w:color w:val="auto"/>
                <w:kern w:val="0"/>
                <w:sz w:val="21"/>
                <w:szCs w:val="21"/>
                <w:highlight w:val="none"/>
              </w:rPr>
              <w:t>）/（集合计划 1 规模＋集合计划 2 规模＋ ...＋集合计划N 规模）。</w:t>
            </w:r>
          </w:p>
          <w:p>
            <w:pPr>
              <w:widowControl/>
              <w:spacing w:line="260" w:lineRule="exact"/>
              <w:textAlignment w:val="bottom"/>
              <w:rPr>
                <w:rFonts w:ascii="Times New Roman" w:hAnsi="Times New Roman" w:eastAsia="宋体" w:cs="Times New Roman"/>
                <w:color w:val="auto"/>
                <w:kern w:val="0"/>
                <w:sz w:val="21"/>
                <w:szCs w:val="21"/>
                <w:highlight w:val="none"/>
              </w:rPr>
            </w:pPr>
            <w:r>
              <w:rPr>
                <w:rFonts w:hint="eastAsia" w:cs="Times New Roman"/>
                <w:color w:val="auto"/>
                <w:kern w:val="0"/>
                <w:sz w:val="21"/>
                <w:szCs w:val="21"/>
                <w:highlight w:val="none"/>
                <w:lang w:val="en-US" w:eastAsia="zh-CN"/>
              </w:rPr>
              <w:t>2</w:t>
            </w:r>
            <w:r>
              <w:rPr>
                <w:rFonts w:hint="eastAsia" w:ascii="Times New Roman" w:hAnsi="Times New Roman" w:eastAsia="宋体" w:cs="Times New Roman"/>
                <w:color w:val="auto"/>
                <w:kern w:val="0"/>
                <w:sz w:val="21"/>
                <w:szCs w:val="21"/>
                <w:highlight w:val="none"/>
              </w:rPr>
              <w:t>、所有投标人</w:t>
            </w:r>
            <w:r>
              <w:rPr>
                <w:rFonts w:hint="eastAsia" w:cs="Times New Roman"/>
                <w:color w:val="auto"/>
                <w:kern w:val="0"/>
                <w:sz w:val="21"/>
                <w:szCs w:val="21"/>
                <w:highlight w:val="none"/>
                <w:lang w:val="en-US" w:eastAsia="zh-CN"/>
              </w:rPr>
              <w:t>近三年累积收益率（综合）</w:t>
            </w:r>
            <w:r>
              <w:rPr>
                <w:rFonts w:hint="eastAsia" w:ascii="Times New Roman" w:hAnsi="Times New Roman" w:eastAsia="宋体" w:cs="Times New Roman"/>
                <w:color w:val="auto"/>
                <w:kern w:val="0"/>
                <w:sz w:val="21"/>
                <w:szCs w:val="21"/>
                <w:highlight w:val="none"/>
              </w:rPr>
              <w:t>从高到低排名赋分：第1名</w:t>
            </w:r>
            <w:r>
              <w:rPr>
                <w:rFonts w:hint="eastAsia" w:cs="Times New Roman"/>
                <w:color w:val="auto"/>
                <w:kern w:val="0"/>
                <w:sz w:val="21"/>
                <w:szCs w:val="21"/>
                <w:highlight w:val="none"/>
                <w:lang w:val="en-US" w:eastAsia="zh-CN"/>
              </w:rPr>
              <w:t>15</w:t>
            </w:r>
            <w:r>
              <w:rPr>
                <w:rFonts w:hint="eastAsia" w:ascii="Times New Roman" w:hAnsi="Times New Roman" w:eastAsia="宋体" w:cs="Times New Roman"/>
                <w:color w:val="auto"/>
                <w:kern w:val="0"/>
                <w:sz w:val="21"/>
                <w:szCs w:val="21"/>
                <w:highlight w:val="none"/>
              </w:rPr>
              <w:t>分、第2名1</w:t>
            </w:r>
            <w:r>
              <w:rPr>
                <w:rFonts w:hint="eastAsia" w:cs="Times New Roman"/>
                <w:color w:val="auto"/>
                <w:kern w:val="0"/>
                <w:sz w:val="21"/>
                <w:szCs w:val="21"/>
                <w:highlight w:val="none"/>
                <w:lang w:val="en-US" w:eastAsia="zh-CN"/>
              </w:rPr>
              <w:t>3</w:t>
            </w:r>
            <w:r>
              <w:rPr>
                <w:rFonts w:hint="eastAsia" w:ascii="Times New Roman" w:hAnsi="Times New Roman" w:eastAsia="宋体" w:cs="Times New Roman"/>
                <w:color w:val="auto"/>
                <w:kern w:val="0"/>
                <w:sz w:val="21"/>
                <w:szCs w:val="21"/>
                <w:highlight w:val="none"/>
              </w:rPr>
              <w:t>分、第3名1</w:t>
            </w:r>
            <w:r>
              <w:rPr>
                <w:rFonts w:hint="eastAsia" w:cs="Times New Roman"/>
                <w:color w:val="auto"/>
                <w:kern w:val="0"/>
                <w:sz w:val="21"/>
                <w:szCs w:val="21"/>
                <w:highlight w:val="none"/>
                <w:lang w:val="en-US" w:eastAsia="zh-CN"/>
              </w:rPr>
              <w:t>1</w:t>
            </w:r>
            <w:r>
              <w:rPr>
                <w:rFonts w:hint="eastAsia" w:ascii="Times New Roman" w:hAnsi="Times New Roman" w:eastAsia="宋体" w:cs="Times New Roman"/>
                <w:color w:val="auto"/>
                <w:kern w:val="0"/>
                <w:sz w:val="21"/>
                <w:szCs w:val="21"/>
                <w:highlight w:val="none"/>
              </w:rPr>
              <w:t>分、第 4名</w:t>
            </w:r>
            <w:r>
              <w:rPr>
                <w:rFonts w:hint="eastAsia" w:cs="Times New Roman"/>
                <w:color w:val="auto"/>
                <w:kern w:val="0"/>
                <w:sz w:val="21"/>
                <w:szCs w:val="21"/>
                <w:highlight w:val="none"/>
                <w:lang w:val="en-US" w:eastAsia="zh-CN"/>
              </w:rPr>
              <w:t>9</w:t>
            </w:r>
            <w:r>
              <w:rPr>
                <w:rFonts w:hint="eastAsia" w:ascii="Times New Roman" w:hAnsi="Times New Roman" w:eastAsia="宋体" w:cs="Times New Roman"/>
                <w:color w:val="auto"/>
                <w:kern w:val="0"/>
                <w:sz w:val="21"/>
                <w:szCs w:val="21"/>
                <w:highlight w:val="none"/>
              </w:rPr>
              <w:t>分、第5 名</w:t>
            </w:r>
            <w:r>
              <w:rPr>
                <w:rFonts w:hint="eastAsia" w:cs="Times New Roman"/>
                <w:color w:val="auto"/>
                <w:kern w:val="0"/>
                <w:sz w:val="21"/>
                <w:szCs w:val="21"/>
                <w:highlight w:val="none"/>
                <w:lang w:val="en-US" w:eastAsia="zh-CN"/>
              </w:rPr>
              <w:t>7</w:t>
            </w:r>
            <w:r>
              <w:rPr>
                <w:rFonts w:hint="eastAsia" w:ascii="Times New Roman" w:hAnsi="Times New Roman" w:eastAsia="宋体" w:cs="Times New Roman"/>
                <w:color w:val="auto"/>
                <w:kern w:val="0"/>
                <w:sz w:val="21"/>
                <w:szCs w:val="21"/>
                <w:highlight w:val="none"/>
              </w:rPr>
              <w:t>分，第6名</w:t>
            </w:r>
            <w:r>
              <w:rPr>
                <w:rFonts w:hint="eastAsia" w:cs="Times New Roman"/>
                <w:color w:val="auto"/>
                <w:kern w:val="0"/>
                <w:sz w:val="21"/>
                <w:szCs w:val="21"/>
                <w:highlight w:val="none"/>
                <w:lang w:val="en-US" w:eastAsia="zh-CN"/>
              </w:rPr>
              <w:t>5</w:t>
            </w:r>
            <w:r>
              <w:rPr>
                <w:rFonts w:hint="eastAsia" w:ascii="Times New Roman" w:hAnsi="Times New Roman" w:eastAsia="宋体" w:cs="Times New Roman"/>
                <w:color w:val="auto"/>
                <w:kern w:val="0"/>
                <w:sz w:val="21"/>
                <w:szCs w:val="21"/>
                <w:highlight w:val="none"/>
              </w:rPr>
              <w:t>分，第7名</w:t>
            </w:r>
            <w:r>
              <w:rPr>
                <w:rFonts w:hint="eastAsia" w:cs="Times New Roman"/>
                <w:color w:val="auto"/>
                <w:kern w:val="0"/>
                <w:sz w:val="21"/>
                <w:szCs w:val="21"/>
                <w:highlight w:val="none"/>
                <w:lang w:val="en-US" w:eastAsia="zh-CN"/>
              </w:rPr>
              <w:t>3</w:t>
            </w:r>
            <w:r>
              <w:rPr>
                <w:rFonts w:hint="eastAsia" w:ascii="Times New Roman" w:hAnsi="Times New Roman" w:eastAsia="宋体" w:cs="Times New Roman"/>
                <w:color w:val="auto"/>
                <w:kern w:val="0"/>
                <w:sz w:val="21"/>
                <w:szCs w:val="21"/>
                <w:highlight w:val="none"/>
              </w:rPr>
              <w:t>分，第8名及以后统一得</w:t>
            </w:r>
            <w:r>
              <w:rPr>
                <w:rFonts w:hint="eastAsia" w:cs="Times New Roman"/>
                <w:color w:val="auto"/>
                <w:kern w:val="0"/>
                <w:sz w:val="21"/>
                <w:szCs w:val="21"/>
                <w:highlight w:val="none"/>
                <w:lang w:val="en-US" w:eastAsia="zh-CN"/>
              </w:rPr>
              <w:t>1</w:t>
            </w:r>
            <w:r>
              <w:rPr>
                <w:rFonts w:hint="eastAsia" w:ascii="Times New Roman" w:hAnsi="Times New Roman" w:eastAsia="宋体" w:cs="Times New Roman"/>
                <w:color w:val="auto"/>
                <w:kern w:val="0"/>
                <w:sz w:val="21"/>
                <w:szCs w:val="21"/>
                <w:highlight w:val="none"/>
              </w:rPr>
              <w:t>分</w:t>
            </w:r>
          </w:p>
          <w:p>
            <w:pPr>
              <w:widowControl/>
              <w:spacing w:line="260" w:lineRule="exact"/>
              <w:textAlignment w:val="bottom"/>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kern w:val="0"/>
                <w:sz w:val="21"/>
                <w:szCs w:val="21"/>
                <w:highlight w:val="none"/>
                <w:lang w:val="en-US" w:eastAsia="zh-CN"/>
              </w:rPr>
              <w:t>3</w:t>
            </w:r>
            <w:r>
              <w:rPr>
                <w:rFonts w:hint="eastAsia" w:cs="Times New Roman"/>
                <w:color w:val="auto"/>
                <w:kern w:val="0"/>
                <w:sz w:val="21"/>
                <w:szCs w:val="21"/>
                <w:highlight w:val="none"/>
                <w:lang w:eastAsia="zh-CN"/>
              </w:rPr>
              <w:t>、</w:t>
            </w:r>
            <w:bookmarkStart w:id="574" w:name="OLE_LINK35"/>
            <w:r>
              <w:rPr>
                <w:rFonts w:hint="eastAsia" w:cs="Times New Roman"/>
                <w:color w:val="auto"/>
                <w:kern w:val="0"/>
                <w:sz w:val="21"/>
                <w:szCs w:val="21"/>
                <w:highlight w:val="none"/>
                <w:lang w:val="en-US" w:eastAsia="zh-CN"/>
              </w:rPr>
              <w:t>提供</w:t>
            </w:r>
            <w:r>
              <w:rPr>
                <w:rFonts w:hint="eastAsia" w:ascii="Times New Roman" w:hAnsi="Times New Roman" w:eastAsia="宋体" w:cs="Times New Roman"/>
                <w:color w:val="auto"/>
                <w:kern w:val="0"/>
                <w:sz w:val="21"/>
                <w:szCs w:val="21"/>
                <w:highlight w:val="none"/>
              </w:rPr>
              <w:t xml:space="preserve">人社部 </w:t>
            </w:r>
            <w:r>
              <w:rPr>
                <w:rFonts w:hint="eastAsia" w:cs="Times New Roman"/>
                <w:color w:val="auto"/>
                <w:kern w:val="0"/>
                <w:sz w:val="21"/>
                <w:szCs w:val="21"/>
                <w:highlight w:val="none"/>
                <w:lang w:val="en-US" w:eastAsia="zh-CN"/>
              </w:rPr>
              <w:t>2025</w:t>
            </w:r>
            <w:r>
              <w:rPr>
                <w:rFonts w:hint="eastAsia" w:ascii="Times New Roman" w:hAnsi="Times New Roman" w:eastAsia="宋体" w:cs="Times New Roman"/>
                <w:color w:val="auto"/>
                <w:kern w:val="0"/>
                <w:sz w:val="21"/>
                <w:szCs w:val="21"/>
                <w:highlight w:val="none"/>
              </w:rPr>
              <w:t>年度《全国企业年金基金业务数据摘要》</w:t>
            </w:r>
            <w:bookmarkStart w:id="575" w:name="OLE_LINK21"/>
            <w:r>
              <w:rPr>
                <w:rFonts w:hint="eastAsia" w:cs="Times New Roman"/>
                <w:color w:val="auto"/>
                <w:kern w:val="0"/>
                <w:sz w:val="21"/>
                <w:szCs w:val="21"/>
                <w:highlight w:val="none"/>
                <w:lang w:val="en-US" w:eastAsia="zh-CN"/>
              </w:rPr>
              <w:t>截图作为</w:t>
            </w:r>
            <w:bookmarkEnd w:id="575"/>
            <w:r>
              <w:rPr>
                <w:rFonts w:hint="eastAsia" w:cs="Times New Roman"/>
                <w:color w:val="auto"/>
                <w:kern w:val="0"/>
                <w:sz w:val="21"/>
                <w:szCs w:val="21"/>
                <w:highlight w:val="none"/>
                <w:lang w:val="en-US" w:eastAsia="zh-CN"/>
              </w:rPr>
              <w:t>作为数据支撑来源</w:t>
            </w:r>
            <w:bookmarkEnd w:id="574"/>
            <w:r>
              <w:rPr>
                <w:rFonts w:hint="eastAsia" w:ascii="Times New Roman" w:hAnsi="Times New Roman" w:eastAsia="宋体" w:cs="Times New Roman"/>
                <w:color w:val="auto"/>
                <w:kern w:val="0"/>
                <w:sz w:val="21"/>
                <w:szCs w:val="21"/>
                <w:highlight w:val="none"/>
              </w:rPr>
              <w:t>、</w:t>
            </w:r>
            <w:r>
              <w:rPr>
                <w:rFonts w:hint="eastAsia" w:cs="Times New Roman"/>
                <w:color w:val="auto"/>
                <w:kern w:val="0"/>
                <w:sz w:val="21"/>
                <w:szCs w:val="21"/>
                <w:highlight w:val="none"/>
                <w:lang w:val="en-US" w:eastAsia="zh-CN"/>
              </w:rPr>
              <w:t>并提供</w:t>
            </w:r>
            <w:r>
              <w:rPr>
                <w:rFonts w:hint="eastAsia" w:ascii="Times New Roman" w:hAnsi="Times New Roman" w:eastAsia="宋体" w:cs="Times New Roman"/>
                <w:color w:val="auto"/>
                <w:kern w:val="0"/>
                <w:sz w:val="21"/>
                <w:szCs w:val="21"/>
                <w:highlight w:val="none"/>
              </w:rPr>
              <w:t>加盖公章的</w:t>
            </w:r>
            <w:r>
              <w:rPr>
                <w:rFonts w:hint="eastAsia" w:ascii="Times New Roman" w:eastAsia="宋体"/>
                <w:color w:val="auto"/>
                <w:highlight w:val="none"/>
                <w:lang w:val="en-US" w:eastAsia="zh-CN"/>
              </w:rPr>
              <w:t>近三年累积收益率（综合）</w:t>
            </w:r>
            <w:r>
              <w:rPr>
                <w:rFonts w:hint="eastAsia"/>
                <w:color w:val="auto"/>
                <w:highlight w:val="none"/>
                <w:lang w:val="en-US" w:eastAsia="zh-CN"/>
              </w:rPr>
              <w:t>承诺函</w:t>
            </w:r>
            <w:r>
              <w:rPr>
                <w:rFonts w:hint="eastAsia" w:cs="Times New Roman"/>
                <w:color w:val="auto"/>
                <w:kern w:val="0"/>
                <w:sz w:val="21"/>
                <w:szCs w:val="21"/>
                <w:highlight w:val="none"/>
                <w:lang w:val="en-US" w:eastAsia="zh-CN"/>
              </w:rPr>
              <w:t>及计算过程</w:t>
            </w:r>
            <w:r>
              <w:rPr>
                <w:rFonts w:hint="eastAsia" w:ascii="Times New Roman" w:hAnsi="Times New Roman" w:eastAsia="宋体" w:cs="Times New Roman"/>
                <w:color w:val="auto"/>
                <w:kern w:val="0"/>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417" w:type="pct"/>
            <w:vMerge w:val="restart"/>
            <w:vAlign w:val="center"/>
          </w:tcPr>
          <w:p>
            <w:pPr>
              <w:adjustRightInd w:val="0"/>
              <w:snapToGrid w:val="0"/>
              <w:jc w:val="center"/>
              <w:rPr>
                <w:rFonts w:ascii="宋体" w:hAnsi="宋体" w:eastAsia="宋体" w:cs="宋体"/>
                <w:color w:val="auto"/>
                <w:spacing w:val="-6"/>
                <w:kern w:val="2"/>
                <w:sz w:val="21"/>
                <w:szCs w:val="21"/>
                <w:highlight w:val="none"/>
              </w:rPr>
            </w:pPr>
            <w:r>
              <w:rPr>
                <w:rFonts w:hint="eastAsia" w:ascii="宋体" w:hAnsi="宋体" w:eastAsia="宋体" w:cs="宋体"/>
                <w:color w:val="auto"/>
                <w:spacing w:val="-6"/>
                <w:kern w:val="2"/>
                <w:sz w:val="21"/>
                <w:szCs w:val="21"/>
                <w:highlight w:val="none"/>
              </w:rPr>
              <w:t>技术评审（</w:t>
            </w:r>
            <w:r>
              <w:rPr>
                <w:rFonts w:hint="eastAsia" w:ascii="宋体" w:hAnsi="宋体" w:eastAsia="宋体" w:cs="宋体"/>
                <w:color w:val="auto"/>
                <w:spacing w:val="-6"/>
                <w:kern w:val="2"/>
                <w:sz w:val="21"/>
                <w:szCs w:val="21"/>
                <w:highlight w:val="none"/>
                <w:lang w:val="en-US" w:eastAsia="zh-CN"/>
              </w:rPr>
              <w:t>50</w:t>
            </w:r>
            <w:r>
              <w:rPr>
                <w:rFonts w:hint="eastAsia" w:ascii="宋体" w:hAnsi="宋体" w:eastAsia="宋体" w:cs="宋体"/>
                <w:color w:val="auto"/>
                <w:spacing w:val="-6"/>
                <w:kern w:val="2"/>
                <w:sz w:val="21"/>
                <w:szCs w:val="21"/>
                <w:highlight w:val="none"/>
              </w:rPr>
              <w:t>分）</w:t>
            </w:r>
          </w:p>
        </w:tc>
        <w:tc>
          <w:tcPr>
            <w:tcW w:w="468" w:type="pct"/>
            <w:shd w:val="clear" w:color="auto" w:fill="auto"/>
            <w:vAlign w:val="center"/>
          </w:tcPr>
          <w:p>
            <w:pPr>
              <w:adjustRightInd w:val="0"/>
              <w:snapToGrid w:val="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总体服务方案</w:t>
            </w:r>
          </w:p>
        </w:tc>
        <w:tc>
          <w:tcPr>
            <w:tcW w:w="446" w:type="pct"/>
            <w:tcBorders>
              <w:bottom w:val="single" w:color="auto" w:sz="4" w:space="0"/>
            </w:tcBorders>
            <w:shd w:val="clear" w:color="auto" w:fill="auto"/>
            <w:vAlign w:val="center"/>
          </w:tcPr>
          <w:p>
            <w:pPr>
              <w:widowControl/>
              <w:spacing w:line="260" w:lineRule="exact"/>
              <w:jc w:val="center"/>
              <w:textAlignment w:val="bottom"/>
              <w:rPr>
                <w:rFonts w:hint="default" w:ascii="宋体" w:hAnsi="宋体" w:eastAsia="宋体" w:cs="宋体"/>
                <w:color w:val="auto"/>
                <w:kern w:val="2"/>
                <w:sz w:val="21"/>
                <w:szCs w:val="21"/>
                <w:highlight w:val="none"/>
                <w:lang w:val="en-US"/>
              </w:rPr>
            </w:pPr>
            <w:r>
              <w:rPr>
                <w:rFonts w:hint="eastAsia" w:ascii="宋体" w:hAnsi="宋体" w:eastAsia="宋体" w:cs="宋体"/>
                <w:color w:val="auto"/>
                <w:kern w:val="2"/>
                <w:sz w:val="21"/>
                <w:szCs w:val="21"/>
                <w:highlight w:val="none"/>
                <w:lang w:val="en-US" w:eastAsia="zh-CN"/>
              </w:rPr>
              <w:t>1</w:t>
            </w:r>
            <w:r>
              <w:rPr>
                <w:rFonts w:hint="eastAsia" w:ascii="宋体" w:hAnsi="宋体" w:cs="宋体"/>
                <w:color w:val="auto"/>
                <w:kern w:val="2"/>
                <w:sz w:val="21"/>
                <w:szCs w:val="21"/>
                <w:highlight w:val="none"/>
                <w:lang w:val="en-US" w:eastAsia="zh-CN"/>
              </w:rPr>
              <w:t>5</w:t>
            </w:r>
          </w:p>
        </w:tc>
        <w:tc>
          <w:tcPr>
            <w:tcW w:w="3668" w:type="pct"/>
            <w:tcBorders>
              <w:bottom w:val="single" w:color="auto" w:sz="4" w:space="0"/>
            </w:tcBorders>
            <w:shd w:val="clear" w:color="auto" w:fill="auto"/>
            <w:vAlign w:val="center"/>
          </w:tcPr>
          <w:p>
            <w:pPr>
              <w:adjustRightInd w:val="0"/>
              <w:snapToGrid w:val="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评审内容：</w:t>
            </w:r>
          </w:p>
          <w:p>
            <w:pPr>
              <w:numPr>
                <w:ilvl w:val="0"/>
                <w:numId w:val="0"/>
              </w:numPr>
              <w:adjustRightInd w:val="0"/>
              <w:snapToGrid w:val="0"/>
              <w:rPr>
                <w:rFonts w:hint="eastAsia" w:ascii="宋体" w:hAnsi="宋体" w:eastAsia="宋体" w:cs="宋体"/>
                <w:color w:val="auto"/>
                <w:kern w:val="0"/>
                <w:sz w:val="21"/>
                <w:szCs w:val="21"/>
                <w:highlight w:val="none"/>
                <w:lang w:val="en-US" w:eastAsia="zh-CN"/>
              </w:rPr>
            </w:pPr>
            <w:bookmarkStart w:id="576" w:name="OLE_LINK23"/>
            <w:r>
              <w:rPr>
                <w:rFonts w:hint="eastAsia" w:ascii="宋体" w:hAnsi="宋体" w:eastAsia="宋体"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rPr>
              <w:t>日常运营服务</w:t>
            </w:r>
          </w:p>
          <w:p>
            <w:pPr>
              <w:numPr>
                <w:ilvl w:val="0"/>
                <w:numId w:val="0"/>
              </w:numPr>
              <w:adjustRightInd w:val="0"/>
              <w:snapToGrid w:val="0"/>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（2）</w:t>
            </w:r>
            <w:r>
              <w:rPr>
                <w:rFonts w:hint="default" w:ascii="宋体" w:hAnsi="宋体" w:eastAsia="宋体" w:cs="宋体"/>
                <w:color w:val="auto"/>
                <w:kern w:val="0"/>
                <w:sz w:val="21"/>
                <w:szCs w:val="21"/>
                <w:highlight w:val="none"/>
                <w:lang w:val="en-US" w:eastAsia="zh-CN"/>
              </w:rPr>
              <w:t>计划信息披露服务</w:t>
            </w:r>
          </w:p>
          <w:p>
            <w:pPr>
              <w:numPr>
                <w:ilvl w:val="0"/>
                <w:numId w:val="0"/>
              </w:numPr>
              <w:adjustRightInd w:val="0"/>
              <w:snapToGrid w:val="0"/>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3</w:t>
            </w:r>
            <w:r>
              <w:rPr>
                <w:rFonts w:hint="default" w:ascii="宋体" w:hAnsi="宋体" w:eastAsia="宋体" w:cs="宋体"/>
                <w:color w:val="auto"/>
                <w:kern w:val="0"/>
                <w:sz w:val="21"/>
                <w:szCs w:val="21"/>
                <w:highlight w:val="none"/>
                <w:lang w:val="en-US" w:eastAsia="zh-CN" w:bidi="ar-SA"/>
              </w:rPr>
              <w:t>）</w:t>
            </w:r>
            <w:r>
              <w:rPr>
                <w:rFonts w:hint="default" w:ascii="宋体" w:hAnsi="宋体" w:eastAsia="宋体" w:cs="宋体"/>
                <w:color w:val="auto"/>
                <w:kern w:val="0"/>
                <w:sz w:val="21"/>
                <w:szCs w:val="21"/>
                <w:highlight w:val="none"/>
                <w:lang w:val="en-US" w:eastAsia="zh-CN"/>
              </w:rPr>
              <w:t>年金信息化系统建设</w:t>
            </w:r>
          </w:p>
          <w:p>
            <w:pPr>
              <w:numPr>
                <w:ilvl w:val="0"/>
                <w:numId w:val="0"/>
              </w:numPr>
              <w:adjustRightInd w:val="0"/>
              <w:snapToGrid w:val="0"/>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4</w:t>
            </w:r>
            <w:r>
              <w:rPr>
                <w:rFonts w:hint="default" w:ascii="宋体" w:hAnsi="宋体" w:eastAsia="宋体" w:cs="宋体"/>
                <w:color w:val="auto"/>
                <w:kern w:val="0"/>
                <w:sz w:val="21"/>
                <w:szCs w:val="21"/>
                <w:highlight w:val="none"/>
                <w:lang w:val="en-US" w:eastAsia="zh-CN" w:bidi="ar-SA"/>
              </w:rPr>
              <w:t>）</w:t>
            </w:r>
            <w:r>
              <w:rPr>
                <w:rFonts w:hint="default" w:ascii="宋体" w:hAnsi="宋体" w:eastAsia="宋体" w:cs="宋体"/>
                <w:color w:val="auto"/>
                <w:kern w:val="0"/>
                <w:sz w:val="21"/>
                <w:szCs w:val="21"/>
                <w:highlight w:val="none"/>
                <w:lang w:val="en-US" w:eastAsia="zh-CN"/>
              </w:rPr>
              <w:t>战略资产配置策略</w:t>
            </w:r>
          </w:p>
          <w:p>
            <w:pPr>
              <w:numPr>
                <w:ilvl w:val="0"/>
                <w:numId w:val="0"/>
              </w:numPr>
              <w:adjustRightInd w:val="0"/>
              <w:snapToGrid w:val="0"/>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bidi="ar-SA"/>
              </w:rPr>
              <w:t>（</w:t>
            </w:r>
            <w:r>
              <w:rPr>
                <w:rFonts w:hint="eastAsia" w:ascii="宋体" w:hAnsi="宋体" w:eastAsia="宋体" w:cs="宋体"/>
                <w:color w:val="auto"/>
                <w:kern w:val="0"/>
                <w:sz w:val="21"/>
                <w:szCs w:val="21"/>
                <w:highlight w:val="none"/>
                <w:lang w:val="en-US" w:eastAsia="zh-CN" w:bidi="ar-SA"/>
              </w:rPr>
              <w:t>5</w:t>
            </w:r>
            <w:r>
              <w:rPr>
                <w:rFonts w:hint="default" w:ascii="宋体" w:hAnsi="宋体" w:eastAsia="宋体" w:cs="宋体"/>
                <w:color w:val="auto"/>
                <w:kern w:val="0"/>
                <w:sz w:val="21"/>
                <w:szCs w:val="21"/>
                <w:highlight w:val="none"/>
                <w:lang w:val="en-US" w:eastAsia="zh-CN" w:bidi="ar-SA"/>
              </w:rPr>
              <w:t>）</w:t>
            </w:r>
            <w:r>
              <w:rPr>
                <w:rFonts w:hint="default" w:ascii="宋体" w:hAnsi="宋体" w:eastAsia="宋体" w:cs="宋体"/>
                <w:color w:val="auto"/>
                <w:kern w:val="0"/>
                <w:sz w:val="21"/>
                <w:szCs w:val="21"/>
                <w:highlight w:val="none"/>
                <w:lang w:val="en-US" w:eastAsia="zh-CN"/>
              </w:rPr>
              <w:t>年金计划转移</w:t>
            </w:r>
          </w:p>
          <w:bookmarkEnd w:id="576"/>
          <w:p>
            <w:pPr>
              <w:adjustRightInd w:val="0"/>
              <w:snapToGrid w:val="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评审标准：</w:t>
            </w:r>
          </w:p>
          <w:p>
            <w:pPr>
              <w:adjustRightInd w:val="0"/>
              <w:snapToGrid w:val="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r>
              <w:rPr>
                <w:rFonts w:hint="default" w:ascii="宋体" w:hAnsi="宋体" w:eastAsia="宋体" w:cs="宋体"/>
                <w:color w:val="auto"/>
                <w:kern w:val="0"/>
                <w:sz w:val="21"/>
                <w:szCs w:val="21"/>
                <w:highlight w:val="none"/>
                <w:lang w:val="en-US" w:eastAsia="zh-CN"/>
              </w:rPr>
              <w:t>完整性：服务方案内容完整，贴合本项目年金服务实际开展情况，覆盖本评标项核心服务内容，无关键内容缺失。</w:t>
            </w:r>
          </w:p>
          <w:p>
            <w:pPr>
              <w:adjustRightInd w:val="0"/>
              <w:snapToGrid w:val="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r>
              <w:rPr>
                <w:rFonts w:hint="default" w:ascii="宋体" w:hAnsi="宋体" w:eastAsia="宋体" w:cs="宋体"/>
                <w:color w:val="auto"/>
                <w:kern w:val="0"/>
                <w:sz w:val="21"/>
                <w:szCs w:val="21"/>
                <w:highlight w:val="none"/>
                <w:lang w:val="en-US" w:eastAsia="zh-CN"/>
              </w:rPr>
              <w:t>合理性：方案契合本项目具体服务场景，清晰阐述项目服务背景、核心服务需求，整体分析逻辑通顺、内容合理恰当，符合年金项目服务运营规范。</w:t>
            </w:r>
          </w:p>
          <w:p>
            <w:pPr>
              <w:adjustRightInd w:val="0"/>
              <w:snapToGrid w:val="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r>
              <w:rPr>
                <w:rFonts w:hint="default" w:ascii="宋体" w:hAnsi="宋体" w:eastAsia="宋体" w:cs="宋体"/>
                <w:color w:val="auto"/>
                <w:kern w:val="0"/>
                <w:sz w:val="21"/>
                <w:szCs w:val="21"/>
                <w:highlight w:val="none"/>
                <w:lang w:val="en-US" w:eastAsia="zh-CN"/>
              </w:rPr>
              <w:t>针对性：方案紧密贴合本项目年金服务实际需求，服务举措落地性、可行性高，无与本评标项无关的冗余内容，精准匹配项目服务要求。</w:t>
            </w:r>
          </w:p>
          <w:p>
            <w:pPr>
              <w:adjustRightInd w:val="0"/>
              <w:snapToGrid w:val="0"/>
              <w:rPr>
                <w:rFonts w:hint="default" w:ascii="宋体" w:hAnsi="宋体" w:eastAsia="宋体" w:cs="宋体"/>
                <w:color w:val="auto"/>
                <w:kern w:val="0"/>
                <w:sz w:val="21"/>
                <w:szCs w:val="21"/>
                <w:highlight w:val="none"/>
                <w:lang w:val="en-US" w:eastAsia="zh-CN"/>
              </w:rPr>
            </w:pPr>
            <w:r>
              <w:rPr>
                <w:rFonts w:hint="default" w:ascii="宋体" w:hAnsi="宋体" w:eastAsia="宋体" w:cs="宋体"/>
                <w:color w:val="auto"/>
                <w:kern w:val="0"/>
                <w:sz w:val="21"/>
                <w:szCs w:val="21"/>
                <w:highlight w:val="none"/>
                <w:lang w:val="en-US" w:eastAsia="zh-CN"/>
              </w:rPr>
              <w:t>对上述</w:t>
            </w:r>
            <w:r>
              <w:rPr>
                <w:rFonts w:hint="eastAsia" w:ascii="宋体" w:hAnsi="宋体" w:eastAsia="宋体" w:cs="宋体"/>
                <w:color w:val="auto"/>
                <w:kern w:val="0"/>
                <w:sz w:val="21"/>
                <w:szCs w:val="21"/>
                <w:highlight w:val="none"/>
                <w:lang w:val="en-US" w:eastAsia="zh-CN"/>
              </w:rPr>
              <w:t>5</w:t>
            </w:r>
            <w:r>
              <w:rPr>
                <w:rFonts w:hint="default" w:ascii="宋体" w:hAnsi="宋体" w:eastAsia="宋体" w:cs="宋体"/>
                <w:color w:val="auto"/>
                <w:kern w:val="0"/>
                <w:sz w:val="21"/>
                <w:szCs w:val="21"/>
                <w:highlight w:val="none"/>
                <w:lang w:val="en-US" w:eastAsia="zh-CN"/>
              </w:rPr>
              <w:t>项评审内容进行打分，每项评审内容完全满足3项评审标准的得</w:t>
            </w:r>
            <w:r>
              <w:rPr>
                <w:rFonts w:hint="eastAsia" w:ascii="宋体" w:hAnsi="宋体" w:cs="宋体"/>
                <w:color w:val="auto"/>
                <w:kern w:val="0"/>
                <w:sz w:val="21"/>
                <w:szCs w:val="21"/>
                <w:highlight w:val="none"/>
                <w:lang w:val="en-US" w:eastAsia="zh-CN"/>
              </w:rPr>
              <w:t>3</w:t>
            </w:r>
            <w:r>
              <w:rPr>
                <w:rFonts w:hint="default" w:ascii="宋体" w:hAnsi="宋体" w:eastAsia="宋体" w:cs="宋体"/>
                <w:color w:val="auto"/>
                <w:kern w:val="0"/>
                <w:sz w:val="21"/>
                <w:szCs w:val="21"/>
                <w:highlight w:val="none"/>
                <w:lang w:val="en-US" w:eastAsia="zh-CN"/>
              </w:rPr>
              <w:t>分，满足2项的得</w:t>
            </w:r>
            <w:r>
              <w:rPr>
                <w:rFonts w:hint="eastAsia" w:ascii="宋体" w:hAnsi="宋体" w:cs="宋体"/>
                <w:color w:val="auto"/>
                <w:kern w:val="0"/>
                <w:sz w:val="21"/>
                <w:szCs w:val="21"/>
                <w:highlight w:val="none"/>
                <w:lang w:val="en-US" w:eastAsia="zh-CN"/>
              </w:rPr>
              <w:t>2</w:t>
            </w:r>
            <w:r>
              <w:rPr>
                <w:rFonts w:hint="default" w:ascii="宋体" w:hAnsi="宋体" w:eastAsia="宋体" w:cs="宋体"/>
                <w:color w:val="auto"/>
                <w:kern w:val="0"/>
                <w:sz w:val="21"/>
                <w:szCs w:val="21"/>
                <w:highlight w:val="none"/>
                <w:lang w:val="en-US" w:eastAsia="zh-CN"/>
              </w:rPr>
              <w:t>分，满足1项的得</w:t>
            </w:r>
            <w:r>
              <w:rPr>
                <w:rFonts w:hint="eastAsia" w:ascii="宋体" w:hAnsi="宋体" w:cs="宋体"/>
                <w:color w:val="auto"/>
                <w:kern w:val="0"/>
                <w:sz w:val="21"/>
                <w:szCs w:val="21"/>
                <w:highlight w:val="none"/>
                <w:lang w:val="en-US" w:eastAsia="zh-CN"/>
              </w:rPr>
              <w:t>1</w:t>
            </w:r>
            <w:r>
              <w:rPr>
                <w:rFonts w:hint="default" w:ascii="宋体" w:hAnsi="宋体" w:eastAsia="宋体" w:cs="宋体"/>
                <w:color w:val="auto"/>
                <w:kern w:val="0"/>
                <w:sz w:val="21"/>
                <w:szCs w:val="21"/>
                <w:highlight w:val="none"/>
                <w:lang w:val="en-US" w:eastAsia="zh-CN"/>
              </w:rPr>
              <w:t>分，其他情况不得分。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7" w:type="pct"/>
            <w:vMerge w:val="continue"/>
            <w:vAlign w:val="center"/>
          </w:tcPr>
          <w:p>
            <w:pPr>
              <w:adjustRightInd w:val="0"/>
              <w:snapToGrid w:val="0"/>
              <w:jc w:val="center"/>
              <w:rPr>
                <w:rFonts w:hint="eastAsia" w:ascii="宋体" w:hAnsi="宋体" w:eastAsia="宋体" w:cs="宋体"/>
                <w:color w:val="auto"/>
                <w:spacing w:val="-6"/>
                <w:kern w:val="2"/>
                <w:sz w:val="21"/>
                <w:szCs w:val="21"/>
                <w:highlight w:val="none"/>
              </w:rPr>
            </w:pPr>
          </w:p>
        </w:tc>
        <w:tc>
          <w:tcPr>
            <w:tcW w:w="468" w:type="pct"/>
            <w:shd w:val="clear" w:color="auto" w:fill="auto"/>
            <w:vAlign w:val="center"/>
          </w:tcPr>
          <w:p>
            <w:pPr>
              <w:adjustRightInd w:val="0"/>
              <w:snapToGrid w:val="0"/>
              <w:jc w:val="center"/>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年金基金损失的追偿机制</w:t>
            </w:r>
          </w:p>
        </w:tc>
        <w:tc>
          <w:tcPr>
            <w:tcW w:w="446" w:type="pct"/>
            <w:tcBorders>
              <w:bottom w:val="single" w:color="auto" w:sz="4" w:space="0"/>
            </w:tcBorders>
            <w:shd w:val="clear" w:color="auto" w:fill="auto"/>
            <w:vAlign w:val="center"/>
          </w:tcPr>
          <w:p>
            <w:pPr>
              <w:widowControl/>
              <w:spacing w:line="260" w:lineRule="exact"/>
              <w:jc w:val="center"/>
              <w:textAlignment w:val="bottom"/>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5</w:t>
            </w:r>
          </w:p>
        </w:tc>
        <w:tc>
          <w:tcPr>
            <w:tcW w:w="3668" w:type="pct"/>
            <w:tcBorders>
              <w:bottom w:val="single" w:color="auto" w:sz="4" w:space="0"/>
            </w:tcBorders>
            <w:shd w:val="clear" w:color="auto" w:fill="auto"/>
            <w:vAlign w:val="center"/>
          </w:tcPr>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评审内容：投标人年金基金损失追偿及危机处置全套机制</w:t>
            </w:r>
            <w:r>
              <w:rPr>
                <w:rFonts w:hint="eastAsia" w:ascii="宋体" w:hAnsi="宋体" w:eastAsia="宋体" w:cs="宋体"/>
                <w:color w:val="auto"/>
                <w:kern w:val="2"/>
                <w:sz w:val="21"/>
                <w:szCs w:val="21"/>
                <w:highlight w:val="none"/>
                <w:lang w:eastAsia="zh-CN"/>
              </w:rPr>
              <w:t>。</w:t>
            </w:r>
          </w:p>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评审标准：</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lang w:val="en-US" w:eastAsia="zh-CN" w:bidi="ar-SA"/>
              </w:rPr>
              <w:t>（1）</w:t>
            </w:r>
            <w:r>
              <w:rPr>
                <w:rFonts w:ascii="宋体" w:hAnsi="宋体" w:eastAsia="宋体" w:cs="宋体"/>
                <w:color w:val="auto"/>
                <w:kern w:val="2"/>
                <w:sz w:val="21"/>
                <w:szCs w:val="21"/>
                <w:highlight w:val="none"/>
              </w:rPr>
              <w:t>完整性：方案完整，覆盖各类损失处置全流程，无关键处置环节缺失。</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（2）合理性：方案贴合本项目缴费资金管理场景，需求分析、处置逻辑符合年金监管运营规范。</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（3）针对性：处置措施贴合本项目资金规模、参保人员情况，落地可行性高，无无关冗余内容。</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完全满足3项标准得</w:t>
            </w:r>
            <w:r>
              <w:rPr>
                <w:rFonts w:hint="eastAsia" w:ascii="宋体" w:hAnsi="宋体" w:eastAsia="宋体" w:cs="宋体"/>
                <w:color w:val="auto"/>
                <w:kern w:val="2"/>
                <w:sz w:val="21"/>
                <w:szCs w:val="21"/>
                <w:highlight w:val="none"/>
                <w:lang w:val="en-US" w:eastAsia="zh-CN"/>
              </w:rPr>
              <w:t>5</w:t>
            </w:r>
            <w:r>
              <w:rPr>
                <w:rFonts w:ascii="宋体" w:hAnsi="宋体" w:eastAsia="宋体" w:cs="宋体"/>
                <w:color w:val="auto"/>
                <w:kern w:val="2"/>
                <w:sz w:val="21"/>
                <w:szCs w:val="21"/>
                <w:highlight w:val="none"/>
              </w:rPr>
              <w:t>分；满足其中2项标准得</w:t>
            </w:r>
            <w:r>
              <w:rPr>
                <w:rFonts w:hint="eastAsia" w:ascii="宋体" w:hAnsi="宋体" w:eastAsia="宋体" w:cs="宋体"/>
                <w:color w:val="auto"/>
                <w:kern w:val="2"/>
                <w:sz w:val="21"/>
                <w:szCs w:val="21"/>
                <w:highlight w:val="none"/>
                <w:lang w:val="en-US" w:eastAsia="zh-CN"/>
              </w:rPr>
              <w:t>3</w:t>
            </w:r>
            <w:r>
              <w:rPr>
                <w:rFonts w:ascii="宋体" w:hAnsi="宋体" w:eastAsia="宋体" w:cs="宋体"/>
                <w:color w:val="auto"/>
                <w:kern w:val="2"/>
                <w:sz w:val="21"/>
                <w:szCs w:val="21"/>
                <w:highlight w:val="none"/>
              </w:rPr>
              <w:t>分；仅满足1项标准得1分；未提供对应方案、三项均不满足得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overflowPunct w:val="0"/>
              <w:jc w:val="center"/>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风险管理体系</w:t>
            </w:r>
          </w:p>
        </w:tc>
        <w:tc>
          <w:tcPr>
            <w:tcW w:w="446" w:type="pct"/>
            <w:tcBorders>
              <w:bottom w:val="single" w:color="auto" w:sz="4" w:space="0"/>
            </w:tcBorders>
            <w:vAlign w:val="center"/>
          </w:tcPr>
          <w:p>
            <w:pPr>
              <w:overflowPunct w:val="0"/>
              <w:jc w:val="center"/>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w:t>
            </w:r>
          </w:p>
        </w:tc>
        <w:tc>
          <w:tcPr>
            <w:tcW w:w="3668" w:type="pct"/>
            <w:tcBorders>
              <w:bottom w:val="single" w:color="auto" w:sz="4" w:space="0"/>
            </w:tcBorders>
            <w:vAlign w:val="center"/>
          </w:tcPr>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评审内容：投标人全流程年金风险管控体系。</w:t>
            </w:r>
          </w:p>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评审标准：</w:t>
            </w:r>
          </w:p>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（1）完整性：</w:t>
            </w:r>
            <w:bookmarkStart w:id="577" w:name="OLE_LINK25"/>
            <w:bookmarkStart w:id="578" w:name="OLE_LINK26"/>
            <w:r>
              <w:rPr>
                <w:rFonts w:ascii="宋体" w:hAnsi="宋体" w:eastAsia="宋体" w:cs="宋体"/>
                <w:color w:val="auto"/>
                <w:kern w:val="2"/>
                <w:sz w:val="21"/>
                <w:szCs w:val="21"/>
                <w:highlight w:val="none"/>
              </w:rPr>
              <w:t>风控体系框架完整，覆盖人员、系统、制度、流程、处置全维度</w:t>
            </w:r>
            <w:bookmarkEnd w:id="577"/>
            <w:r>
              <w:rPr>
                <w:rFonts w:ascii="宋体" w:hAnsi="宋体" w:eastAsia="宋体" w:cs="宋体"/>
                <w:color w:val="auto"/>
                <w:kern w:val="2"/>
                <w:sz w:val="21"/>
                <w:szCs w:val="21"/>
                <w:highlight w:val="none"/>
              </w:rPr>
              <w:t>，无核心风控模块缺失</w:t>
            </w:r>
            <w:bookmarkEnd w:id="578"/>
            <w:r>
              <w:rPr>
                <w:rFonts w:ascii="宋体" w:hAnsi="宋体" w:eastAsia="宋体" w:cs="宋体"/>
                <w:color w:val="auto"/>
                <w:kern w:val="2"/>
                <w:sz w:val="21"/>
                <w:szCs w:val="21"/>
                <w:highlight w:val="none"/>
              </w:rPr>
              <w:t>。</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lang w:val="en-US" w:eastAsia="zh-CN" w:bidi="ar-SA"/>
              </w:rPr>
              <w:t>（2）</w:t>
            </w:r>
            <w:r>
              <w:rPr>
                <w:rFonts w:ascii="宋体" w:hAnsi="宋体" w:eastAsia="宋体" w:cs="宋体"/>
                <w:color w:val="auto"/>
                <w:kern w:val="2"/>
                <w:sz w:val="21"/>
                <w:szCs w:val="21"/>
                <w:highlight w:val="none"/>
              </w:rPr>
              <w:t>合理性：方案结合本项目特点展开分析，制度流程符合企业年金监管要求，逻辑通顺。</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（3）针对性：风控措施适配本</w:t>
            </w:r>
            <w:r>
              <w:rPr>
                <w:rFonts w:hint="eastAsia" w:ascii="宋体" w:hAnsi="宋体" w:eastAsia="宋体" w:cs="宋体"/>
                <w:color w:val="auto"/>
                <w:kern w:val="2"/>
                <w:sz w:val="21"/>
                <w:szCs w:val="21"/>
                <w:highlight w:val="none"/>
                <w:lang w:val="en-US" w:eastAsia="zh-CN"/>
              </w:rPr>
              <w:t>项目</w:t>
            </w:r>
            <w:r>
              <w:rPr>
                <w:rFonts w:ascii="宋体" w:hAnsi="宋体" w:eastAsia="宋体" w:cs="宋体"/>
                <w:color w:val="auto"/>
                <w:kern w:val="2"/>
                <w:sz w:val="21"/>
                <w:szCs w:val="21"/>
                <w:highlight w:val="none"/>
              </w:rPr>
              <w:t>年金稳健运营需求，落地可执行，无无关内容。</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完全满足3项标准得</w:t>
            </w:r>
            <w:r>
              <w:rPr>
                <w:rFonts w:hint="eastAsia" w:ascii="宋体" w:hAnsi="宋体" w:eastAsia="宋体" w:cs="宋体"/>
                <w:color w:val="auto"/>
                <w:kern w:val="2"/>
                <w:sz w:val="21"/>
                <w:szCs w:val="21"/>
                <w:highlight w:val="none"/>
                <w:lang w:val="en-US" w:eastAsia="zh-CN"/>
              </w:rPr>
              <w:t>5</w:t>
            </w:r>
            <w:r>
              <w:rPr>
                <w:rFonts w:ascii="宋体" w:hAnsi="宋体" w:eastAsia="宋体" w:cs="宋体"/>
                <w:color w:val="auto"/>
                <w:kern w:val="2"/>
                <w:sz w:val="21"/>
                <w:szCs w:val="21"/>
                <w:highlight w:val="none"/>
              </w:rPr>
              <w:t>分；满足其中2项标准得</w:t>
            </w:r>
            <w:r>
              <w:rPr>
                <w:rFonts w:hint="eastAsia" w:ascii="宋体" w:hAnsi="宋体" w:eastAsia="宋体" w:cs="宋体"/>
                <w:color w:val="auto"/>
                <w:kern w:val="2"/>
                <w:sz w:val="21"/>
                <w:szCs w:val="21"/>
                <w:highlight w:val="none"/>
                <w:lang w:val="en-US" w:eastAsia="zh-CN"/>
              </w:rPr>
              <w:t>3</w:t>
            </w:r>
            <w:r>
              <w:rPr>
                <w:rFonts w:ascii="宋体" w:hAnsi="宋体" w:eastAsia="宋体" w:cs="宋体"/>
                <w:color w:val="auto"/>
                <w:kern w:val="2"/>
                <w:sz w:val="21"/>
                <w:szCs w:val="21"/>
                <w:highlight w:val="none"/>
              </w:rPr>
              <w:t>分；仅满足1项标准得1分；未提供对应方案、三项均不满足得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widowControl w:val="0"/>
              <w:spacing w:before="78" w:line="219" w:lineRule="auto"/>
              <w:jc w:val="both"/>
              <w:rPr>
                <w:rFonts w:ascii="宋体" w:hAnsi="宋体" w:eastAsia="宋体" w:cs="宋体"/>
                <w:color w:val="auto"/>
                <w:kern w:val="2"/>
                <w:sz w:val="21"/>
                <w:szCs w:val="21"/>
                <w:highlight w:val="none"/>
                <w:lang w:val="en-US" w:eastAsia="en-US" w:bidi="ar-SA"/>
              </w:rPr>
            </w:pPr>
            <w:r>
              <w:rPr>
                <w:rFonts w:ascii="宋体" w:hAnsi="宋体" w:eastAsia="宋体" w:cs="宋体"/>
                <w:spacing w:val="-2"/>
                <w:sz w:val="21"/>
                <w:szCs w:val="21"/>
                <w:highlight w:val="none"/>
                <w:lang w:val="en-US" w:eastAsia="en-US" w:bidi="ar-SA"/>
              </w:rPr>
              <w:t>运营管理信</w:t>
            </w:r>
            <w:r>
              <w:rPr>
                <w:rFonts w:ascii="宋体" w:hAnsi="宋体" w:eastAsia="宋体" w:cs="宋体"/>
                <w:spacing w:val="-4"/>
                <w:sz w:val="21"/>
                <w:szCs w:val="21"/>
                <w:highlight w:val="none"/>
                <w:lang w:val="en-US" w:eastAsia="en-US" w:bidi="ar-SA"/>
              </w:rPr>
              <w:t>息系统和平</w:t>
            </w:r>
            <w:r>
              <w:rPr>
                <w:rFonts w:ascii="宋体" w:hAnsi="宋体" w:eastAsia="宋体" w:cs="宋体"/>
                <w:sz w:val="21"/>
                <w:szCs w:val="21"/>
                <w:highlight w:val="none"/>
                <w:lang w:val="en-US" w:eastAsia="en-US" w:bidi="ar-SA"/>
              </w:rPr>
              <w:t>台</w:t>
            </w:r>
          </w:p>
        </w:tc>
        <w:tc>
          <w:tcPr>
            <w:tcW w:w="446" w:type="pct"/>
            <w:tcBorders>
              <w:bottom w:val="single" w:color="auto" w:sz="4" w:space="0"/>
            </w:tcBorders>
            <w:vAlign w:val="center"/>
          </w:tcPr>
          <w:p>
            <w:pPr>
              <w:widowControl w:val="0"/>
              <w:spacing w:before="78"/>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sz w:val="21"/>
                <w:szCs w:val="21"/>
                <w:highlight w:val="none"/>
                <w:lang w:val="en-US" w:eastAsia="zh-CN" w:bidi="ar-SA"/>
              </w:rPr>
              <w:t>5</w:t>
            </w:r>
          </w:p>
        </w:tc>
        <w:tc>
          <w:tcPr>
            <w:tcW w:w="3668" w:type="pct"/>
            <w:tcBorders>
              <w:bottom w:val="single" w:color="auto" w:sz="4" w:space="0"/>
            </w:tcBorders>
            <w:vAlign w:val="top"/>
          </w:tcPr>
          <w:p>
            <w:pPr>
              <w:widowControl w:val="0"/>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评审内容：供招标人使用的专属年金运营管理系统和平台；需提供不少于10张加盖公章的彩色系统操作界面截图。</w:t>
            </w:r>
          </w:p>
          <w:p>
            <w:pPr>
              <w:widowControl w:val="0"/>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评审标准：</w:t>
            </w:r>
          </w:p>
          <w:p>
            <w:pPr>
              <w:widowControl w:val="0"/>
              <w:numPr>
                <w:ilvl w:val="0"/>
                <w:numId w:val="0"/>
              </w:numPr>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（1）完整性：</w:t>
            </w:r>
            <w:bookmarkStart w:id="579" w:name="OLE_LINK27"/>
            <w:r>
              <w:rPr>
                <w:rFonts w:hint="eastAsia" w:ascii="宋体" w:hAnsi="宋体" w:eastAsia="宋体" w:cs="宋体"/>
                <w:spacing w:val="-1"/>
                <w:sz w:val="21"/>
                <w:szCs w:val="21"/>
                <w:highlight w:val="none"/>
                <w:lang w:val="en-US" w:eastAsia="zh-CN" w:bidi="ar-SA"/>
              </w:rPr>
              <w:t>完整展示年金运营管理系统功能</w:t>
            </w:r>
            <w:bookmarkEnd w:id="579"/>
            <w:r>
              <w:rPr>
                <w:rFonts w:hint="eastAsia" w:ascii="宋体" w:hAnsi="宋体" w:eastAsia="宋体" w:cs="宋体"/>
                <w:spacing w:val="-1"/>
                <w:sz w:val="21"/>
                <w:szCs w:val="21"/>
                <w:highlight w:val="none"/>
                <w:lang w:val="en-US" w:eastAsia="zh-CN" w:bidi="ar-SA"/>
              </w:rPr>
              <w:t>，无关键功能缺失。</w:t>
            </w:r>
          </w:p>
          <w:p>
            <w:pPr>
              <w:widowControl w:val="0"/>
              <w:numPr>
                <w:ilvl w:val="0"/>
                <w:numId w:val="0"/>
              </w:numPr>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（2）合理性：符合项目实际情况，逻辑合理。。</w:t>
            </w:r>
          </w:p>
          <w:p>
            <w:pPr>
              <w:widowControl w:val="0"/>
              <w:numPr>
                <w:ilvl w:val="0"/>
                <w:numId w:val="0"/>
              </w:numPr>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（3）针对性：能提供落地使用案例匹配同类单位。</w:t>
            </w:r>
          </w:p>
          <w:p>
            <w:pPr>
              <w:widowControl w:val="0"/>
              <w:numPr>
                <w:ilvl w:val="0"/>
                <w:numId w:val="0"/>
              </w:numPr>
              <w:spacing w:line="242" w:lineRule="auto"/>
              <w:ind w:left="11" w:leftChars="0" w:right="108" w:rightChars="0" w:firstLine="10" w:firstLineChars="0"/>
              <w:jc w:val="both"/>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完全满足3项标准得5分；满足其中2项标准得3分；仅满足1项标准得1分；未提供材料、三项均不满足得0分。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overflowPunct w:val="0"/>
              <w:jc w:val="center"/>
              <w:rPr>
                <w:rFonts w:hint="eastAsia" w:ascii="宋体" w:hAnsi="宋体" w:eastAsia="宋体" w:cs="宋体"/>
                <w:color w:val="auto"/>
                <w:kern w:val="2"/>
                <w:sz w:val="21"/>
                <w:szCs w:val="21"/>
                <w:highlight w:val="none"/>
                <w:lang w:eastAsia="zh-CN"/>
              </w:rPr>
            </w:pPr>
            <w:r>
              <w:rPr>
                <w:rFonts w:ascii="Times New Roman" w:hAnsi="Times New Roman" w:eastAsia="宋体" w:cs="Times New Roman"/>
                <w:spacing w:val="5"/>
                <w:kern w:val="0"/>
                <w:sz w:val="21"/>
                <w:szCs w:val="21"/>
                <w:highlight w:val="none"/>
              </w:rPr>
              <w:t>信息披露</w:t>
            </w:r>
            <w:r>
              <w:rPr>
                <w:rFonts w:hint="eastAsia" w:cs="Times New Roman"/>
                <w:spacing w:val="-5"/>
                <w:kern w:val="0"/>
                <w:sz w:val="21"/>
                <w:szCs w:val="21"/>
                <w:highlight w:val="none"/>
                <w:lang w:val="en-US" w:eastAsia="zh-CN"/>
              </w:rPr>
              <w:t>情况</w:t>
            </w:r>
          </w:p>
        </w:tc>
        <w:tc>
          <w:tcPr>
            <w:tcW w:w="446" w:type="pct"/>
            <w:tcBorders>
              <w:bottom w:val="single" w:color="auto" w:sz="4" w:space="0"/>
            </w:tcBorders>
            <w:vAlign w:val="center"/>
          </w:tcPr>
          <w:p>
            <w:pPr>
              <w:overflowPunct w:val="0"/>
              <w:jc w:val="center"/>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4</w:t>
            </w:r>
          </w:p>
        </w:tc>
        <w:tc>
          <w:tcPr>
            <w:tcW w:w="3668" w:type="pct"/>
            <w:tcBorders>
              <w:bottom w:val="single" w:color="auto" w:sz="4" w:space="0"/>
            </w:tcBorders>
            <w:vAlign w:val="center"/>
          </w:tcPr>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评审内容：</w:t>
            </w:r>
          </w:p>
          <w:p>
            <w:pPr>
              <w:numPr>
                <w:ilvl w:val="0"/>
                <w:numId w:val="0"/>
              </w:numPr>
              <w:adjustRightInd w:val="0"/>
              <w:snapToGrid w:val="0"/>
              <w:rPr>
                <w:rFonts w:hint="eastAsia" w:ascii="宋体" w:hAnsi="宋体" w:eastAsia="宋体" w:cs="宋体"/>
                <w:color w:val="auto"/>
                <w:kern w:val="2"/>
                <w:sz w:val="21"/>
                <w:szCs w:val="21"/>
                <w:highlight w:val="none"/>
                <w:lang w:eastAsia="zh-CN"/>
              </w:rPr>
            </w:pPr>
            <w:bookmarkStart w:id="580" w:name="OLE_LINK29"/>
            <w:r>
              <w:rPr>
                <w:rFonts w:ascii="宋体" w:hAnsi="宋体" w:eastAsia="宋体" w:cs="宋体"/>
                <w:color w:val="auto"/>
                <w:kern w:val="2"/>
                <w:sz w:val="21"/>
                <w:szCs w:val="21"/>
                <w:highlight w:val="none"/>
                <w:lang w:val="en-US" w:eastAsia="zh-CN" w:bidi="ar-SA"/>
              </w:rPr>
              <w:t>（1）</w:t>
            </w:r>
            <w:r>
              <w:rPr>
                <w:rFonts w:ascii="宋体" w:hAnsi="宋体" w:eastAsia="宋体" w:cs="宋体"/>
                <w:color w:val="auto"/>
                <w:kern w:val="2"/>
                <w:sz w:val="21"/>
                <w:szCs w:val="21"/>
                <w:highlight w:val="none"/>
              </w:rPr>
              <w:t>信息披露管理制度</w:t>
            </w:r>
            <w:r>
              <w:rPr>
                <w:rFonts w:hint="eastAsia" w:ascii="宋体" w:hAnsi="宋体" w:cs="宋体"/>
                <w:color w:val="auto"/>
                <w:kern w:val="2"/>
                <w:sz w:val="21"/>
                <w:szCs w:val="21"/>
                <w:highlight w:val="none"/>
                <w:lang w:eastAsia="zh-CN"/>
              </w:rPr>
              <w:t>；</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lang w:val="en-US" w:eastAsia="zh-CN" w:bidi="ar-SA"/>
              </w:rPr>
              <w:t>（2）</w:t>
            </w:r>
            <w:r>
              <w:rPr>
                <w:rFonts w:ascii="宋体" w:hAnsi="宋体" w:eastAsia="宋体" w:cs="宋体"/>
                <w:color w:val="auto"/>
                <w:kern w:val="2"/>
                <w:sz w:val="21"/>
                <w:szCs w:val="21"/>
                <w:highlight w:val="none"/>
              </w:rPr>
              <w:t>信息披露处置流程。</w:t>
            </w:r>
          </w:p>
          <w:bookmarkEnd w:id="580"/>
          <w:p>
            <w:p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评审标准：</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lang w:val="en-US" w:eastAsia="zh-CN" w:bidi="ar-SA"/>
              </w:rPr>
              <w:t>（1）</w:t>
            </w:r>
            <w:r>
              <w:rPr>
                <w:rFonts w:ascii="宋体" w:hAnsi="宋体" w:eastAsia="宋体" w:cs="宋体"/>
                <w:color w:val="auto"/>
                <w:kern w:val="2"/>
                <w:sz w:val="21"/>
                <w:szCs w:val="21"/>
                <w:highlight w:val="none"/>
              </w:rPr>
              <w:t>完整性：完整覆盖各类重大风险场景，配套案例要素齐全、流程闭环。</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（2）合理性：制度及案例贴合本项目</w:t>
            </w:r>
            <w:r>
              <w:rPr>
                <w:rFonts w:hint="eastAsia" w:ascii="宋体" w:hAnsi="宋体" w:eastAsia="宋体" w:cs="宋体"/>
                <w:color w:val="auto"/>
                <w:kern w:val="2"/>
                <w:sz w:val="21"/>
                <w:szCs w:val="21"/>
                <w:highlight w:val="none"/>
                <w:lang w:val="en-US" w:eastAsia="zh-CN"/>
              </w:rPr>
              <w:t>情况</w:t>
            </w:r>
            <w:r>
              <w:rPr>
                <w:rFonts w:ascii="宋体" w:hAnsi="宋体" w:eastAsia="宋体" w:cs="宋体"/>
                <w:color w:val="auto"/>
                <w:kern w:val="2"/>
                <w:sz w:val="21"/>
                <w:szCs w:val="21"/>
                <w:highlight w:val="none"/>
              </w:rPr>
              <w:t>，流程符合年金信息披露监管规范。</w:t>
            </w:r>
          </w:p>
          <w:p>
            <w:pPr>
              <w:numPr>
                <w:ilvl w:val="0"/>
                <w:numId w:val="0"/>
              </w:numPr>
              <w:adjustRightInd w:val="0"/>
              <w:snapToGrid w:val="0"/>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（3）针对性：披露机制适配本校日常缴费、大额补缴资金波动场景，配套真实可核验落地案例，无无关内容。</w:t>
            </w:r>
          </w:p>
          <w:p>
            <w:pPr>
              <w:numPr>
                <w:ilvl w:val="0"/>
                <w:numId w:val="0"/>
              </w:numPr>
              <w:adjustRightInd w:val="0"/>
              <w:snapToGrid w:val="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对上述2项评审内容进行打分，完全满足</w:t>
            </w:r>
            <w:r>
              <w:rPr>
                <w:rFonts w:hint="eastAsia" w:ascii="宋体" w:hAnsi="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val="en-US" w:eastAsia="zh-CN"/>
              </w:rPr>
              <w:t>项标准得</w:t>
            </w:r>
            <w:r>
              <w:rPr>
                <w:rFonts w:hint="eastAsia" w:ascii="宋体" w:hAnsi="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val="en-US" w:eastAsia="zh-CN"/>
              </w:rPr>
              <w:t>分；满足其中2项标准得</w:t>
            </w:r>
            <w:r>
              <w:rPr>
                <w:rFonts w:hint="eastAsia" w:ascii="宋体" w:hAnsi="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val="en-US" w:eastAsia="zh-CN"/>
              </w:rPr>
              <w:t>分；仅满足1项标准得</w:t>
            </w:r>
            <w:r>
              <w:rPr>
                <w:rFonts w:hint="eastAsia" w:ascii="宋体" w:hAnsi="宋体" w:cs="宋体"/>
                <w:color w:val="auto"/>
                <w:kern w:val="2"/>
                <w:sz w:val="21"/>
                <w:szCs w:val="21"/>
                <w:highlight w:val="none"/>
                <w:lang w:val="en-US" w:eastAsia="zh-CN"/>
              </w:rPr>
              <w:t>0.5</w:t>
            </w:r>
            <w:r>
              <w:rPr>
                <w:rFonts w:hint="eastAsia" w:ascii="宋体" w:hAnsi="宋体" w:eastAsia="宋体" w:cs="宋体"/>
                <w:color w:val="auto"/>
                <w:kern w:val="2"/>
                <w:sz w:val="21"/>
                <w:szCs w:val="21"/>
                <w:highlight w:val="none"/>
                <w:lang w:val="en-US" w:eastAsia="zh-CN"/>
              </w:rPr>
              <w:t>分；未提供对应方案、三项均不满足得0分。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overflowPunct w:val="0"/>
              <w:jc w:val="center"/>
              <w:rPr>
                <w:rFonts w:hint="eastAsia" w:ascii="宋体" w:hAnsi="宋体" w:eastAsia="宋体" w:cs="宋体"/>
                <w:color w:val="auto"/>
                <w:kern w:val="2"/>
                <w:sz w:val="21"/>
                <w:szCs w:val="21"/>
                <w:highlight w:val="none"/>
                <w:lang w:eastAsia="zh-CN"/>
              </w:rPr>
            </w:pPr>
            <w:r>
              <w:rPr>
                <w:rFonts w:ascii="宋体" w:hAnsi="宋体" w:eastAsia="宋体" w:cs="宋体"/>
                <w:color w:val="auto"/>
                <w:kern w:val="2"/>
                <w:sz w:val="21"/>
                <w:szCs w:val="21"/>
                <w:highlight w:val="none"/>
              </w:rPr>
              <w:t>信息保密措施</w:t>
            </w:r>
          </w:p>
        </w:tc>
        <w:tc>
          <w:tcPr>
            <w:tcW w:w="446" w:type="pct"/>
            <w:tcBorders>
              <w:bottom w:val="single" w:color="auto" w:sz="4" w:space="0"/>
            </w:tcBorders>
            <w:vAlign w:val="center"/>
          </w:tcPr>
          <w:p>
            <w:pPr>
              <w:overflowPunct w:val="0"/>
              <w:jc w:val="center"/>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w:t>
            </w:r>
          </w:p>
        </w:tc>
        <w:tc>
          <w:tcPr>
            <w:tcW w:w="3668" w:type="pct"/>
            <w:tcBorders>
              <w:bottom w:val="single" w:color="auto" w:sz="4" w:space="0"/>
            </w:tcBorders>
            <w:vAlign w:val="center"/>
          </w:tcPr>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评审内容：提供保密制度与相关措施。</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评审标准：</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eastAsia="宋体" w:cs="宋体"/>
                <w:bCs/>
                <w:color w:val="auto"/>
                <w:kern w:val="0"/>
                <w:sz w:val="21"/>
                <w:szCs w:val="21"/>
                <w:highlight w:val="none"/>
                <w:lang w:val="en-US" w:eastAsia="zh-CN"/>
              </w:rPr>
              <w:t>完整性：流程完整，覆盖全业务数据流转环节，无关键管控节点缺失。</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（2）合理性：结合信息安全管理要求、本项目职工敏感信息管理需求分析，管控逻辑合规通顺。</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（3）针对性：保密及应急措施贴合本项目年金业务数据规模，落地可执行，无无关冗余内容。</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完全满足3项标准得</w:t>
            </w:r>
            <w:r>
              <w:rPr>
                <w:rFonts w:hint="eastAsia" w:ascii="宋体" w:hAnsi="宋体" w:cs="宋体"/>
                <w:bCs/>
                <w:color w:val="auto"/>
                <w:kern w:val="0"/>
                <w:sz w:val="21"/>
                <w:szCs w:val="21"/>
                <w:highlight w:val="none"/>
                <w:lang w:val="en-US" w:eastAsia="zh-CN"/>
              </w:rPr>
              <w:t>5</w:t>
            </w:r>
            <w:r>
              <w:rPr>
                <w:rFonts w:hint="eastAsia" w:ascii="宋体" w:hAnsi="宋体" w:eastAsia="宋体" w:cs="宋体"/>
                <w:bCs/>
                <w:color w:val="auto"/>
                <w:kern w:val="0"/>
                <w:sz w:val="21"/>
                <w:szCs w:val="21"/>
                <w:highlight w:val="none"/>
                <w:lang w:val="en-US" w:eastAsia="zh-CN"/>
              </w:rPr>
              <w:t>分；满足其中2项标准得</w:t>
            </w:r>
            <w:r>
              <w:rPr>
                <w:rFonts w:hint="eastAsia" w:ascii="宋体" w:hAnsi="宋体" w:cs="宋体"/>
                <w:bCs/>
                <w:color w:val="auto"/>
                <w:kern w:val="0"/>
                <w:sz w:val="21"/>
                <w:szCs w:val="21"/>
                <w:highlight w:val="none"/>
                <w:lang w:val="en-US" w:eastAsia="zh-CN"/>
              </w:rPr>
              <w:t>3</w:t>
            </w:r>
            <w:r>
              <w:rPr>
                <w:rFonts w:hint="eastAsia" w:ascii="宋体" w:hAnsi="宋体" w:eastAsia="宋体" w:cs="宋体"/>
                <w:bCs/>
                <w:color w:val="auto"/>
                <w:kern w:val="0"/>
                <w:sz w:val="21"/>
                <w:szCs w:val="21"/>
                <w:highlight w:val="none"/>
                <w:lang w:val="en-US" w:eastAsia="zh-CN"/>
              </w:rPr>
              <w:t>分；仅满足1项标准得1分；未提供对应方案、三项均不满足得0分。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overflowPunct w:val="0"/>
              <w:jc w:val="center"/>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突发事件处理机制方案</w:t>
            </w:r>
          </w:p>
        </w:tc>
        <w:tc>
          <w:tcPr>
            <w:tcW w:w="446" w:type="pct"/>
            <w:tcBorders>
              <w:bottom w:val="single" w:color="auto" w:sz="4" w:space="0"/>
            </w:tcBorders>
            <w:vAlign w:val="center"/>
          </w:tcPr>
          <w:p>
            <w:pPr>
              <w:overflowPunct w:val="0"/>
              <w:jc w:val="center"/>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5</w:t>
            </w:r>
          </w:p>
        </w:tc>
        <w:tc>
          <w:tcPr>
            <w:tcW w:w="3668" w:type="pct"/>
            <w:tcBorders>
              <w:bottom w:val="single" w:color="auto" w:sz="4" w:space="0"/>
            </w:tcBorders>
            <w:vAlign w:val="center"/>
          </w:tcPr>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评审内容：针对资金错缴漏缴、系统宕机等日常运营类突发事件，制定独立应急处置全套方案。。</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评审标准：</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bidi="ar-SA"/>
              </w:rPr>
              <w:t>（1）</w:t>
            </w:r>
            <w:r>
              <w:rPr>
                <w:rFonts w:hint="eastAsia" w:ascii="宋体" w:hAnsi="宋体" w:eastAsia="宋体" w:cs="宋体"/>
                <w:bCs/>
                <w:color w:val="auto"/>
                <w:kern w:val="0"/>
                <w:sz w:val="21"/>
                <w:szCs w:val="21"/>
                <w:highlight w:val="none"/>
                <w:lang w:val="en-US" w:eastAsia="zh-CN"/>
              </w:rPr>
              <w:t>完整性：方案完整，切合本项目业务实际，覆盖各类常见突发事件处置全流程，无关键环节缺失。</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（2）合理性：贴合项目资金、人员规模，项目背景、业务需求分析恰当，处置流程符合年金监管运营要求。</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（3）针对性：方案匹配本项目年金运营实际需求，处置举措可行性高，无与本评标项无关内容。</w:t>
            </w:r>
          </w:p>
          <w:p>
            <w:pPr>
              <w:widowControl/>
              <w:numPr>
                <w:ilvl w:val="0"/>
                <w:numId w:val="0"/>
              </w:numPr>
              <w:spacing w:line="300" w:lineRule="exac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完全满足3项标准得5分；满足其中2项标准得3分；仅满足1项标准得1分；未提供专项方案或三项均不满足得0分。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417" w:type="pct"/>
            <w:vMerge w:val="continue"/>
            <w:vAlign w:val="center"/>
          </w:tcPr>
          <w:p>
            <w:pPr>
              <w:adjustRightInd w:val="0"/>
              <w:snapToGrid w:val="0"/>
              <w:jc w:val="center"/>
              <w:rPr>
                <w:rFonts w:ascii="宋体" w:hAnsi="宋体" w:eastAsia="宋体" w:cs="宋体"/>
                <w:color w:val="auto"/>
                <w:spacing w:val="-6"/>
                <w:kern w:val="2"/>
                <w:sz w:val="21"/>
                <w:szCs w:val="21"/>
                <w:highlight w:val="none"/>
              </w:rPr>
            </w:pPr>
          </w:p>
        </w:tc>
        <w:tc>
          <w:tcPr>
            <w:tcW w:w="468" w:type="pct"/>
            <w:vAlign w:val="center"/>
          </w:tcPr>
          <w:p>
            <w:pPr>
              <w:overflowPunct w:val="0"/>
              <w:jc w:val="center"/>
              <w:rPr>
                <w:rFonts w:ascii="宋体" w:hAnsi="宋体" w:eastAsia="宋体" w:cs="宋体"/>
                <w:color w:val="auto"/>
                <w:kern w:val="2"/>
                <w:sz w:val="21"/>
                <w:szCs w:val="21"/>
                <w:highlight w:val="none"/>
              </w:rPr>
            </w:pPr>
            <w:r>
              <w:rPr>
                <w:rFonts w:ascii="宋体" w:hAnsi="宋体" w:eastAsia="宋体" w:cs="宋体"/>
                <w:color w:val="auto"/>
                <w:kern w:val="2"/>
                <w:sz w:val="21"/>
                <w:szCs w:val="21"/>
                <w:highlight w:val="none"/>
              </w:rPr>
              <w:t>对管理人的评选和考核能力</w:t>
            </w:r>
          </w:p>
        </w:tc>
        <w:tc>
          <w:tcPr>
            <w:tcW w:w="446" w:type="pct"/>
            <w:tcBorders>
              <w:bottom w:val="single" w:color="auto" w:sz="4" w:space="0"/>
            </w:tcBorders>
            <w:vAlign w:val="center"/>
          </w:tcPr>
          <w:p>
            <w:pPr>
              <w:overflowPunct w:val="0"/>
              <w:jc w:val="center"/>
              <w:rPr>
                <w:rFonts w:hint="eastAsia" w:ascii="宋体" w:hAnsi="宋体" w:eastAsia="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6</w:t>
            </w:r>
          </w:p>
        </w:tc>
        <w:tc>
          <w:tcPr>
            <w:tcW w:w="3668" w:type="pct"/>
            <w:tcBorders>
              <w:bottom w:val="single" w:color="auto" w:sz="4" w:space="0"/>
            </w:tcBorders>
            <w:vAlign w:val="center"/>
          </w:tcPr>
          <w:p>
            <w:pPr>
              <w:widowControl/>
              <w:spacing w:line="300" w:lineRule="exact"/>
              <w:rPr>
                <w:rFonts w:ascii="宋体" w:hAnsi="宋体" w:eastAsia="宋体" w:cs="宋体"/>
                <w:bCs/>
                <w:color w:val="auto"/>
                <w:kern w:val="0"/>
                <w:sz w:val="21"/>
                <w:szCs w:val="21"/>
                <w:highlight w:val="none"/>
              </w:rPr>
            </w:pPr>
            <w:r>
              <w:rPr>
                <w:rFonts w:ascii="宋体" w:hAnsi="宋体" w:eastAsia="宋体" w:cs="宋体"/>
                <w:bCs/>
                <w:color w:val="auto"/>
                <w:kern w:val="0"/>
                <w:sz w:val="21"/>
                <w:szCs w:val="21"/>
                <w:highlight w:val="none"/>
              </w:rPr>
              <w:t>评审内容：投标人针对账户管理人、托管人、投资管理人建立的准入筛选、动态监测、年度考核、末位淘汰、更换全流程量化指标体系。评审标准：</w:t>
            </w:r>
          </w:p>
          <w:p>
            <w:pPr>
              <w:widowControl/>
              <w:numPr>
                <w:ilvl w:val="0"/>
                <w:numId w:val="0"/>
              </w:numPr>
              <w:spacing w:line="300" w:lineRule="exact"/>
              <w:rPr>
                <w:rFonts w:ascii="宋体" w:hAnsi="宋体" w:eastAsia="宋体" w:cs="宋体"/>
                <w:bCs/>
                <w:color w:val="auto"/>
                <w:kern w:val="0"/>
                <w:sz w:val="21"/>
                <w:szCs w:val="21"/>
                <w:highlight w:val="none"/>
              </w:rPr>
            </w:pPr>
            <w:r>
              <w:rPr>
                <w:rFonts w:ascii="宋体" w:hAnsi="宋体" w:eastAsia="宋体" w:cs="宋体"/>
                <w:bCs/>
                <w:color w:val="auto"/>
                <w:kern w:val="0"/>
                <w:sz w:val="21"/>
                <w:szCs w:val="21"/>
                <w:highlight w:val="none"/>
                <w:lang w:val="en-US" w:eastAsia="zh-CN" w:bidi="ar-SA"/>
              </w:rPr>
              <w:t>（1）</w:t>
            </w:r>
            <w:r>
              <w:rPr>
                <w:rFonts w:ascii="宋体" w:hAnsi="宋体" w:eastAsia="宋体" w:cs="宋体"/>
                <w:bCs/>
                <w:color w:val="auto"/>
                <w:kern w:val="0"/>
                <w:sz w:val="21"/>
                <w:szCs w:val="21"/>
                <w:highlight w:val="none"/>
              </w:rPr>
              <w:t>完整性：考核体系覆盖准入、日常监测、年度考评、更换处置全流程，收益、风控、服务类考核指标齐全无缺失。</w:t>
            </w:r>
          </w:p>
          <w:p>
            <w:pPr>
              <w:widowControl/>
              <w:numPr>
                <w:ilvl w:val="0"/>
                <w:numId w:val="0"/>
              </w:numPr>
              <w:spacing w:line="300" w:lineRule="exact"/>
              <w:rPr>
                <w:rFonts w:ascii="宋体" w:hAnsi="宋体" w:eastAsia="宋体" w:cs="宋体"/>
                <w:bCs/>
                <w:color w:val="auto"/>
                <w:kern w:val="0"/>
                <w:sz w:val="21"/>
                <w:szCs w:val="21"/>
                <w:highlight w:val="none"/>
              </w:rPr>
            </w:pPr>
            <w:r>
              <w:rPr>
                <w:rFonts w:ascii="宋体" w:hAnsi="宋体" w:eastAsia="宋体" w:cs="宋体"/>
                <w:bCs/>
                <w:color w:val="auto"/>
                <w:kern w:val="0"/>
                <w:sz w:val="21"/>
                <w:szCs w:val="21"/>
                <w:highlight w:val="none"/>
              </w:rPr>
              <w:t>（2）合理性：考核规则贴合本项目稳健型投资需求，指标设置符合年金管理人监管考核标准，逻辑清晰。</w:t>
            </w:r>
          </w:p>
          <w:p>
            <w:pPr>
              <w:widowControl/>
              <w:numPr>
                <w:ilvl w:val="0"/>
                <w:numId w:val="0"/>
              </w:numPr>
              <w:spacing w:line="300" w:lineRule="exact"/>
              <w:rPr>
                <w:rFonts w:ascii="宋体" w:hAnsi="宋体" w:eastAsia="宋体" w:cs="宋体"/>
                <w:bCs/>
                <w:color w:val="auto"/>
                <w:kern w:val="0"/>
                <w:sz w:val="21"/>
                <w:szCs w:val="21"/>
                <w:highlight w:val="none"/>
              </w:rPr>
            </w:pPr>
            <w:r>
              <w:rPr>
                <w:rFonts w:ascii="宋体" w:hAnsi="宋体" w:eastAsia="宋体" w:cs="宋体"/>
                <w:bCs/>
                <w:color w:val="auto"/>
                <w:kern w:val="0"/>
                <w:sz w:val="21"/>
                <w:szCs w:val="21"/>
                <w:highlight w:val="none"/>
              </w:rPr>
              <w:t>（3）针对性：考核指标适配本校集合计划运营模式，可针对大额补缴资金专属筛选稳健型投资管理人，落地性强。</w:t>
            </w:r>
          </w:p>
          <w:p>
            <w:pPr>
              <w:widowControl/>
              <w:numPr>
                <w:ilvl w:val="0"/>
                <w:numId w:val="0"/>
              </w:numPr>
              <w:spacing w:line="300" w:lineRule="exact"/>
              <w:rPr>
                <w:rFonts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lang w:val="en-US" w:eastAsia="zh-CN"/>
              </w:rPr>
              <w:t>完全满足3项标准得</w:t>
            </w:r>
            <w:r>
              <w:rPr>
                <w:rFonts w:hint="eastAsia" w:ascii="宋体" w:hAnsi="宋体" w:cs="宋体"/>
                <w:bCs/>
                <w:color w:val="auto"/>
                <w:kern w:val="0"/>
                <w:sz w:val="21"/>
                <w:szCs w:val="21"/>
                <w:highlight w:val="none"/>
                <w:lang w:val="en-US" w:eastAsia="zh-CN"/>
              </w:rPr>
              <w:t>6</w:t>
            </w:r>
            <w:r>
              <w:rPr>
                <w:rFonts w:hint="eastAsia" w:ascii="宋体" w:hAnsi="宋体" w:eastAsia="宋体" w:cs="宋体"/>
                <w:bCs/>
                <w:color w:val="auto"/>
                <w:kern w:val="0"/>
                <w:sz w:val="21"/>
                <w:szCs w:val="21"/>
                <w:highlight w:val="none"/>
                <w:lang w:val="en-US" w:eastAsia="zh-CN"/>
              </w:rPr>
              <w:t>分；满足其中2项标准得4分；仅满足1项标准得</w:t>
            </w:r>
            <w:r>
              <w:rPr>
                <w:rFonts w:hint="eastAsia" w:ascii="宋体" w:hAnsi="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lang w:val="en-US" w:eastAsia="zh-CN"/>
              </w:rPr>
              <w:t>分；未提供对应方案、三项均不满足得0分。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85" w:type="pct"/>
            <w:gridSpan w:val="2"/>
            <w:vAlign w:val="center"/>
          </w:tcPr>
          <w:p>
            <w:pPr>
              <w:adjustRightInd w:val="0"/>
              <w:snapToGrid w:val="0"/>
              <w:jc w:val="center"/>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cr/>
            </w:r>
            <w:r>
              <w:rPr>
                <w:rFonts w:hint="eastAsia" w:ascii="宋体" w:hAnsi="宋体" w:eastAsia="宋体" w:cs="宋体"/>
                <w:color w:val="auto"/>
                <w:kern w:val="2"/>
                <w:sz w:val="21"/>
                <w:szCs w:val="21"/>
                <w:highlight w:val="none"/>
              </w:rPr>
              <w:t>总分</w:t>
            </w:r>
          </w:p>
        </w:tc>
        <w:tc>
          <w:tcPr>
            <w:tcW w:w="446" w:type="pct"/>
            <w:tcBorders>
              <w:bottom w:val="single" w:color="auto" w:sz="4" w:space="0"/>
            </w:tcBorders>
            <w:vAlign w:val="center"/>
          </w:tcPr>
          <w:p>
            <w:pPr>
              <w:snapToGrid w:val="0"/>
              <w:jc w:val="center"/>
              <w:rPr>
                <w:rFonts w:ascii="宋体" w:hAnsi="宋体" w:eastAsia="宋体" w:cs="宋体"/>
                <w:color w:val="auto"/>
                <w:kern w:val="2"/>
                <w:sz w:val="21"/>
                <w:szCs w:val="21"/>
                <w:highlight w:val="none"/>
              </w:rPr>
            </w:pPr>
            <w:r>
              <w:rPr>
                <w:rFonts w:hint="eastAsia" w:ascii="宋体" w:hAnsi="宋体" w:eastAsia="宋体" w:cs="宋体"/>
                <w:color w:val="auto"/>
                <w:kern w:val="0"/>
                <w:sz w:val="21"/>
                <w:szCs w:val="21"/>
                <w:highlight w:val="none"/>
              </w:rPr>
              <w:cr/>
            </w:r>
            <w:r>
              <w:rPr>
                <w:rFonts w:hint="eastAsia" w:ascii="宋体" w:hAnsi="宋体" w:eastAsia="宋体" w:cs="宋体"/>
                <w:color w:val="auto"/>
                <w:kern w:val="0"/>
                <w:sz w:val="21"/>
                <w:szCs w:val="21"/>
                <w:highlight w:val="none"/>
              </w:rPr>
              <w:t>100</w:t>
            </w:r>
          </w:p>
        </w:tc>
        <w:tc>
          <w:tcPr>
            <w:tcW w:w="3668" w:type="pct"/>
            <w:tcBorders>
              <w:bottom w:val="single" w:color="auto" w:sz="4" w:space="0"/>
            </w:tcBorders>
            <w:vAlign w:val="center"/>
          </w:tcPr>
          <w:p>
            <w:pPr>
              <w:adjustRightInd w:val="0"/>
              <w:snapToGrid w:val="0"/>
              <w:jc w:val="center"/>
              <w:rPr>
                <w:rFonts w:ascii="宋体" w:hAnsi="宋体" w:eastAsia="宋体" w:cs="宋体"/>
                <w:color w:val="auto"/>
                <w:kern w:val="0"/>
                <w:sz w:val="21"/>
                <w:szCs w:val="21"/>
                <w:highlight w:val="none"/>
              </w:rPr>
            </w:pPr>
          </w:p>
        </w:tc>
      </w:tr>
    </w:tbl>
    <w:p>
      <w:pPr>
        <w:adjustRightInd w:val="0"/>
        <w:spacing w:line="360" w:lineRule="atLeast"/>
        <w:rPr>
          <w:rFonts w:ascii="宋体" w:hAnsi="宋体" w:cs="宋体"/>
          <w:sz w:val="34"/>
          <w:highlight w:val="none"/>
        </w:rPr>
      </w:pPr>
    </w:p>
    <w:p>
      <w:pPr>
        <w:rPr>
          <w:rFonts w:ascii="宋体" w:hAnsi="宋体" w:cs="宋体"/>
          <w:highlight w:val="none"/>
        </w:rPr>
      </w:pPr>
      <w:r>
        <w:rPr>
          <w:rFonts w:hint="eastAsia" w:ascii="宋体" w:hAnsi="宋体" w:cs="宋体"/>
          <w:highlight w:val="none"/>
        </w:rPr>
        <w:br w:type="page"/>
      </w:r>
    </w:p>
    <w:p>
      <w:pPr>
        <w:pStyle w:val="4"/>
        <w:numPr>
          <w:ilvl w:val="0"/>
          <w:numId w:val="3"/>
        </w:numPr>
        <w:spacing w:before="120" w:beforeLines="50" w:after="120" w:afterLines="50" w:line="300" w:lineRule="auto"/>
        <w:rPr>
          <w:rFonts w:hAnsi="宋体" w:cs="宋体"/>
          <w:sz w:val="32"/>
          <w:szCs w:val="32"/>
          <w:highlight w:val="none"/>
        </w:rPr>
      </w:pPr>
      <w:bookmarkStart w:id="581" w:name="_Toc280346278"/>
      <w:bookmarkEnd w:id="581"/>
      <w:bookmarkStart w:id="582" w:name="_Toc280347240"/>
      <w:bookmarkEnd w:id="582"/>
      <w:bookmarkStart w:id="583" w:name="_Toc280275077"/>
      <w:bookmarkEnd w:id="583"/>
      <w:bookmarkStart w:id="584" w:name="_Toc280274821"/>
      <w:bookmarkEnd w:id="584"/>
      <w:bookmarkStart w:id="585" w:name="_Toc280347273"/>
      <w:bookmarkEnd w:id="585"/>
      <w:bookmarkStart w:id="586" w:name="_Toc280346383"/>
      <w:bookmarkEnd w:id="586"/>
      <w:bookmarkStart w:id="587" w:name="_Toc280346377"/>
      <w:bookmarkEnd w:id="587"/>
      <w:bookmarkStart w:id="588" w:name="_Toc280274204"/>
      <w:bookmarkEnd w:id="588"/>
      <w:bookmarkStart w:id="589" w:name="_Toc280347228"/>
      <w:bookmarkEnd w:id="589"/>
      <w:bookmarkStart w:id="590" w:name="_Toc280347261"/>
      <w:bookmarkEnd w:id="590"/>
      <w:bookmarkStart w:id="591" w:name="_Toc280274539"/>
      <w:bookmarkEnd w:id="591"/>
      <w:bookmarkStart w:id="592" w:name="_Toc280274641"/>
      <w:bookmarkEnd w:id="592"/>
      <w:bookmarkStart w:id="593" w:name="_Toc280346989"/>
      <w:bookmarkEnd w:id="593"/>
      <w:bookmarkStart w:id="594" w:name="_Toc280274952"/>
      <w:bookmarkEnd w:id="594"/>
      <w:bookmarkStart w:id="595" w:name="_Toc280346851"/>
      <w:bookmarkEnd w:id="595"/>
      <w:bookmarkStart w:id="596" w:name="_Toc280346582"/>
      <w:bookmarkEnd w:id="596"/>
      <w:bookmarkStart w:id="597" w:name="_Toc280346920"/>
      <w:bookmarkEnd w:id="597"/>
      <w:bookmarkStart w:id="598" w:name="_Toc280347309"/>
      <w:bookmarkEnd w:id="598"/>
      <w:bookmarkStart w:id="599" w:name="_Toc280274845"/>
      <w:bookmarkEnd w:id="599"/>
      <w:bookmarkStart w:id="600" w:name="_Toc280347247"/>
      <w:bookmarkEnd w:id="600"/>
      <w:bookmarkStart w:id="601" w:name="_Toc280274809"/>
      <w:bookmarkEnd w:id="601"/>
      <w:bookmarkStart w:id="602" w:name="_Toc280275202"/>
      <w:bookmarkEnd w:id="602"/>
      <w:bookmarkStart w:id="603" w:name="_Toc280346432"/>
      <w:bookmarkEnd w:id="603"/>
      <w:bookmarkStart w:id="604" w:name="_Toc280274964"/>
      <w:bookmarkEnd w:id="604"/>
      <w:bookmarkStart w:id="605" w:name="_Toc280347016"/>
      <w:bookmarkEnd w:id="605"/>
      <w:bookmarkStart w:id="606" w:name="_Toc280347297"/>
      <w:bookmarkEnd w:id="606"/>
      <w:bookmarkStart w:id="607" w:name="_Toc280275143"/>
      <w:bookmarkEnd w:id="607"/>
      <w:bookmarkStart w:id="608" w:name="_Toc280346315"/>
      <w:bookmarkEnd w:id="608"/>
      <w:bookmarkStart w:id="609" w:name="_Toc280275184"/>
      <w:bookmarkEnd w:id="609"/>
      <w:bookmarkStart w:id="610" w:name="_Toc280346254"/>
      <w:bookmarkEnd w:id="610"/>
      <w:bookmarkStart w:id="611" w:name="_Toc280274776"/>
      <w:bookmarkEnd w:id="611"/>
      <w:bookmarkStart w:id="612" w:name="_Toc280275359"/>
      <w:bookmarkEnd w:id="612"/>
      <w:bookmarkStart w:id="613" w:name="_Toc280346649"/>
      <w:bookmarkEnd w:id="613"/>
      <w:bookmarkStart w:id="614" w:name="_Toc280346522"/>
      <w:bookmarkEnd w:id="614"/>
      <w:bookmarkStart w:id="615" w:name="_Toc280274280"/>
      <w:bookmarkEnd w:id="615"/>
      <w:bookmarkStart w:id="616" w:name="_Toc280274725"/>
      <w:bookmarkEnd w:id="616"/>
      <w:bookmarkStart w:id="617" w:name="_Toc280346236"/>
      <w:bookmarkEnd w:id="617"/>
      <w:bookmarkStart w:id="618" w:name="_Toc280274858"/>
      <w:bookmarkEnd w:id="618"/>
      <w:bookmarkStart w:id="619" w:name="_Toc280274403"/>
      <w:bookmarkEnd w:id="619"/>
      <w:bookmarkStart w:id="620" w:name="_Toc280274677"/>
      <w:bookmarkEnd w:id="620"/>
      <w:bookmarkStart w:id="621" w:name="_Toc280346695"/>
      <w:bookmarkEnd w:id="621"/>
      <w:bookmarkStart w:id="622" w:name="_Toc280346606"/>
      <w:bookmarkEnd w:id="622"/>
      <w:bookmarkStart w:id="623" w:name="_Toc280346121"/>
      <w:bookmarkEnd w:id="623"/>
      <w:bookmarkStart w:id="624" w:name="_Toc280347091"/>
      <w:bookmarkEnd w:id="624"/>
      <w:bookmarkStart w:id="625" w:name="_Toc280274896"/>
      <w:bookmarkEnd w:id="625"/>
      <w:bookmarkStart w:id="626" w:name="_Toc280346079"/>
      <w:bookmarkEnd w:id="626"/>
      <w:bookmarkStart w:id="627" w:name="_Toc280346359"/>
      <w:bookmarkEnd w:id="627"/>
      <w:bookmarkStart w:id="628" w:name="_Toc280274428"/>
      <w:bookmarkEnd w:id="628"/>
      <w:bookmarkStart w:id="629" w:name="_Toc280275021"/>
      <w:bookmarkEnd w:id="629"/>
      <w:bookmarkStart w:id="630" w:name="_Toc280274385"/>
      <w:bookmarkEnd w:id="630"/>
      <w:bookmarkStart w:id="631" w:name="_Toc280274503"/>
      <w:bookmarkEnd w:id="631"/>
      <w:bookmarkStart w:id="632" w:name="_Toc280274748"/>
      <w:bookmarkEnd w:id="632"/>
      <w:bookmarkStart w:id="633" w:name="_Toc280347103"/>
      <w:bookmarkEnd w:id="633"/>
      <w:bookmarkStart w:id="634" w:name="_Toc280346461"/>
      <w:bookmarkEnd w:id="634"/>
      <w:bookmarkStart w:id="635" w:name="_Toc280274349"/>
      <w:bookmarkEnd w:id="635"/>
      <w:bookmarkStart w:id="636" w:name="_Toc280347083"/>
      <w:bookmarkEnd w:id="636"/>
      <w:bookmarkStart w:id="637" w:name="_Toc280346161"/>
      <w:bookmarkEnd w:id="637"/>
      <w:bookmarkStart w:id="638" w:name="_Toc280275228"/>
      <w:bookmarkEnd w:id="638"/>
      <w:bookmarkStart w:id="639" w:name="_Toc280274927"/>
      <w:bookmarkEnd w:id="639"/>
      <w:bookmarkStart w:id="640" w:name="_Toc280347121"/>
      <w:bookmarkEnd w:id="640"/>
      <w:bookmarkStart w:id="641" w:name="_Toc280274210"/>
      <w:bookmarkEnd w:id="641"/>
      <w:bookmarkStart w:id="642" w:name="_Toc280347303"/>
      <w:bookmarkEnd w:id="642"/>
      <w:bookmarkStart w:id="643" w:name="_Toc280346714"/>
      <w:bookmarkEnd w:id="643"/>
      <w:bookmarkStart w:id="644" w:name="_Toc280346964"/>
      <w:bookmarkEnd w:id="644"/>
      <w:bookmarkStart w:id="645" w:name="_Toc280346745"/>
      <w:bookmarkEnd w:id="645"/>
      <w:bookmarkStart w:id="646" w:name="_Toc280346498"/>
      <w:bookmarkEnd w:id="646"/>
      <w:bookmarkStart w:id="647" w:name="_Toc280275291"/>
      <w:bookmarkEnd w:id="647"/>
      <w:bookmarkStart w:id="648" w:name="_Toc280274915"/>
      <w:bookmarkEnd w:id="648"/>
      <w:bookmarkStart w:id="649" w:name="_Toc280347030"/>
      <w:bookmarkEnd w:id="649"/>
      <w:bookmarkStart w:id="650" w:name="_Toc280275290"/>
      <w:bookmarkEnd w:id="650"/>
      <w:bookmarkStart w:id="651" w:name="_Toc280275380"/>
      <w:bookmarkEnd w:id="651"/>
      <w:bookmarkStart w:id="652" w:name="_Toc280274689"/>
      <w:bookmarkEnd w:id="652"/>
      <w:bookmarkStart w:id="653" w:name="_Toc280274852"/>
      <w:bookmarkEnd w:id="653"/>
      <w:bookmarkStart w:id="654" w:name="_Toc280346551"/>
      <w:bookmarkEnd w:id="654"/>
      <w:bookmarkStart w:id="655" w:name="_Toc280346769"/>
      <w:bookmarkEnd w:id="655"/>
      <w:bookmarkStart w:id="656" w:name="_Toc280346173"/>
      <w:bookmarkEnd w:id="656"/>
      <w:bookmarkStart w:id="657" w:name="_Toc280346222"/>
      <w:bookmarkEnd w:id="657"/>
      <w:bookmarkStart w:id="658" w:name="_Toc280274734"/>
      <w:bookmarkEnd w:id="658"/>
      <w:bookmarkStart w:id="659" w:name="_Toc280274361"/>
      <w:bookmarkEnd w:id="659"/>
      <w:bookmarkStart w:id="660" w:name="_Toc280275283"/>
      <w:bookmarkEnd w:id="660"/>
      <w:bookmarkStart w:id="661" w:name="_Toc280274286"/>
      <w:bookmarkEnd w:id="661"/>
      <w:bookmarkStart w:id="662" w:name="_Toc280274533"/>
      <w:bookmarkEnd w:id="662"/>
      <w:bookmarkStart w:id="663" w:name="_Toc280275108"/>
      <w:bookmarkEnd w:id="663"/>
      <w:bookmarkStart w:id="664" w:name="_Toc280275065"/>
      <w:bookmarkEnd w:id="664"/>
      <w:bookmarkStart w:id="665" w:name="_Toc280346142"/>
      <w:bookmarkEnd w:id="665"/>
      <w:bookmarkStart w:id="666" w:name="_Toc280347071"/>
      <w:bookmarkEnd w:id="666"/>
      <w:bookmarkStart w:id="667" w:name="_Toc280346694"/>
      <w:bookmarkEnd w:id="667"/>
      <w:bookmarkStart w:id="668" w:name="_Toc280346134"/>
      <w:bookmarkEnd w:id="668"/>
      <w:bookmarkStart w:id="669" w:name="_Toc280274801"/>
      <w:bookmarkEnd w:id="669"/>
      <w:bookmarkStart w:id="670" w:name="_Toc280346808"/>
      <w:bookmarkEnd w:id="670"/>
      <w:bookmarkStart w:id="671" w:name="_Toc280346757"/>
      <w:bookmarkEnd w:id="671"/>
      <w:bookmarkStart w:id="672" w:name="_Toc280347178"/>
      <w:bookmarkEnd w:id="672"/>
      <w:bookmarkStart w:id="673" w:name="_Toc280274379"/>
      <w:bookmarkEnd w:id="673"/>
      <w:bookmarkStart w:id="674" w:name="_Toc280275157"/>
      <w:bookmarkEnd w:id="674"/>
      <w:bookmarkStart w:id="675" w:name="_Toc280346272"/>
      <w:bookmarkEnd w:id="675"/>
      <w:bookmarkStart w:id="676" w:name="_Toc280346485"/>
      <w:bookmarkEnd w:id="676"/>
      <w:bookmarkStart w:id="677" w:name="_Toc280274298"/>
      <w:bookmarkEnd w:id="677"/>
      <w:bookmarkStart w:id="678" w:name="_Toc280346971"/>
      <w:bookmarkEnd w:id="678"/>
      <w:bookmarkStart w:id="679" w:name="_Toc280346179"/>
      <w:bookmarkEnd w:id="679"/>
      <w:bookmarkStart w:id="680" w:name="_Toc280346977"/>
      <w:bookmarkEnd w:id="680"/>
      <w:bookmarkStart w:id="681" w:name="_Toc280346833"/>
      <w:bookmarkEnd w:id="681"/>
      <w:bookmarkStart w:id="682" w:name="_Toc280346467"/>
      <w:bookmarkEnd w:id="682"/>
      <w:bookmarkStart w:id="683" w:name="_Toc280346143"/>
      <w:bookmarkEnd w:id="683"/>
      <w:bookmarkStart w:id="684" w:name="_Toc280274629"/>
      <w:bookmarkEnd w:id="684"/>
      <w:bookmarkStart w:id="685" w:name="_Toc280346635"/>
      <w:bookmarkEnd w:id="685"/>
      <w:bookmarkStart w:id="686" w:name="_Toc280346440"/>
      <w:bookmarkEnd w:id="686"/>
      <w:bookmarkStart w:id="687" w:name="_Toc280346235"/>
      <w:bookmarkEnd w:id="687"/>
      <w:bookmarkStart w:id="688" w:name="_Toc280346390"/>
      <w:bookmarkEnd w:id="688"/>
      <w:bookmarkStart w:id="689" w:name="_Toc280274670"/>
      <w:bookmarkEnd w:id="689"/>
      <w:bookmarkStart w:id="690" w:name="_Toc280275071"/>
      <w:bookmarkEnd w:id="690"/>
      <w:bookmarkStart w:id="691" w:name="_Toc280347234"/>
      <w:bookmarkEnd w:id="691"/>
      <w:bookmarkStart w:id="692" w:name="_Toc280274762"/>
      <w:bookmarkEnd w:id="692"/>
      <w:bookmarkStart w:id="693" w:name="_Toc280274255"/>
      <w:bookmarkEnd w:id="693"/>
      <w:bookmarkStart w:id="694" w:name="_Toc280346676"/>
      <w:bookmarkEnd w:id="694"/>
      <w:bookmarkStart w:id="695" w:name="_Toc280346167"/>
      <w:bookmarkEnd w:id="695"/>
      <w:bookmarkStart w:id="696" w:name="_Toc280347134"/>
      <w:bookmarkEnd w:id="696"/>
      <w:bookmarkStart w:id="697" w:name="_Toc280347198"/>
      <w:bookmarkEnd w:id="697"/>
      <w:bookmarkStart w:id="698" w:name="_Toc280346284"/>
      <w:bookmarkEnd w:id="698"/>
      <w:bookmarkStart w:id="699" w:name="_Toc280346874"/>
      <w:bookmarkEnd w:id="699"/>
      <w:bookmarkStart w:id="700" w:name="_Toc280346426"/>
      <w:bookmarkEnd w:id="700"/>
      <w:bookmarkStart w:id="701" w:name="_Toc280275434"/>
      <w:bookmarkEnd w:id="701"/>
      <w:bookmarkStart w:id="702" w:name="_Toc280347090"/>
      <w:bookmarkEnd w:id="702"/>
      <w:bookmarkStart w:id="703" w:name="_Toc280274574"/>
      <w:bookmarkEnd w:id="703"/>
      <w:bookmarkStart w:id="704" w:name="_Toc280275323"/>
      <w:bookmarkEnd w:id="704"/>
      <w:bookmarkStart w:id="705" w:name="_Toc280346928"/>
      <w:bookmarkEnd w:id="705"/>
      <w:bookmarkStart w:id="706" w:name="_Toc280275311"/>
      <w:bookmarkEnd w:id="706"/>
      <w:bookmarkStart w:id="707" w:name="_Toc280275127"/>
      <w:bookmarkEnd w:id="707"/>
      <w:bookmarkStart w:id="708" w:name="_Toc280346926"/>
      <w:bookmarkEnd w:id="708"/>
      <w:bookmarkStart w:id="709" w:name="_Toc280274274"/>
      <w:bookmarkEnd w:id="709"/>
      <w:bookmarkStart w:id="710" w:name="_Toc280275114"/>
      <w:bookmarkEnd w:id="710"/>
      <w:bookmarkStart w:id="711" w:name="_Toc280346504"/>
      <w:bookmarkEnd w:id="711"/>
      <w:bookmarkStart w:id="712" w:name="_Toc280275204"/>
      <w:bookmarkEnd w:id="712"/>
      <w:bookmarkStart w:id="713" w:name="_Toc280274921"/>
      <w:bookmarkEnd w:id="713"/>
      <w:bookmarkStart w:id="714" w:name="_Toc280274335"/>
      <w:bookmarkEnd w:id="714"/>
      <w:bookmarkStart w:id="715" w:name="_Toc280275329"/>
      <w:bookmarkEnd w:id="715"/>
      <w:bookmarkStart w:id="716" w:name="_Toc280274496"/>
      <w:bookmarkEnd w:id="716"/>
      <w:bookmarkStart w:id="717" w:name="_Toc280275150"/>
      <w:bookmarkEnd w:id="717"/>
      <w:bookmarkStart w:id="718" w:name="_Toc280274647"/>
      <w:bookmarkEnd w:id="718"/>
      <w:bookmarkStart w:id="719" w:name="_Toc280346814"/>
      <w:bookmarkEnd w:id="719"/>
      <w:bookmarkStart w:id="720" w:name="_Toc280274946"/>
      <w:bookmarkEnd w:id="720"/>
      <w:bookmarkStart w:id="721" w:name="_Toc280275039"/>
      <w:bookmarkEnd w:id="721"/>
      <w:bookmarkStart w:id="722" w:name="_Toc280274719"/>
      <w:bookmarkEnd w:id="722"/>
      <w:bookmarkStart w:id="723" w:name="_Toc280275392"/>
      <w:bookmarkEnd w:id="723"/>
      <w:bookmarkStart w:id="724" w:name="_Toc280274216"/>
      <w:bookmarkEnd w:id="724"/>
      <w:bookmarkStart w:id="725" w:name="_Toc280275305"/>
      <w:bookmarkEnd w:id="725"/>
      <w:bookmarkStart w:id="726" w:name="_Toc280346128"/>
      <w:bookmarkEnd w:id="726"/>
      <w:bookmarkStart w:id="727" w:name="_Toc280275416"/>
      <w:bookmarkEnd w:id="727"/>
      <w:bookmarkStart w:id="728" w:name="_Toc280275271"/>
      <w:bookmarkEnd w:id="728"/>
      <w:bookmarkStart w:id="729" w:name="_Toc280274683"/>
      <w:bookmarkEnd w:id="729"/>
      <w:bookmarkStart w:id="730" w:name="_Toc280346688"/>
      <w:bookmarkEnd w:id="730"/>
      <w:bookmarkStart w:id="731" w:name="_Toc280347014"/>
      <w:bookmarkEnd w:id="731"/>
      <w:bookmarkStart w:id="732" w:name="_Toc280346732"/>
      <w:bookmarkEnd w:id="732"/>
      <w:bookmarkStart w:id="733" w:name="_Toc280275001"/>
      <w:bookmarkEnd w:id="733"/>
      <w:bookmarkStart w:id="734" w:name="_Toc280274253"/>
      <w:bookmarkEnd w:id="734"/>
      <w:bookmarkStart w:id="735" w:name="_Toc280274416"/>
      <w:bookmarkEnd w:id="735"/>
      <w:bookmarkStart w:id="736" w:name="_Toc280346536"/>
      <w:bookmarkEnd w:id="736"/>
      <w:bookmarkStart w:id="737" w:name="_Toc280274958"/>
      <w:bookmarkEnd w:id="737"/>
      <w:bookmarkStart w:id="738" w:name="_Toc280274446"/>
      <w:bookmarkEnd w:id="738"/>
      <w:bookmarkStart w:id="739" w:name="_Toc280346537"/>
      <w:bookmarkEnd w:id="739"/>
      <w:bookmarkStart w:id="740" w:name="_Toc280346535"/>
      <w:bookmarkEnd w:id="740"/>
      <w:bookmarkStart w:id="741" w:name="_Toc280347279"/>
      <w:bookmarkEnd w:id="741"/>
      <w:bookmarkStart w:id="742" w:name="_Toc280347327"/>
      <w:bookmarkEnd w:id="742"/>
      <w:bookmarkStart w:id="743" w:name="_Toc280347140"/>
      <w:bookmarkEnd w:id="743"/>
      <w:bookmarkStart w:id="744" w:name="_Toc280347248"/>
      <w:bookmarkEnd w:id="744"/>
      <w:bookmarkStart w:id="745" w:name="_Toc280274222"/>
      <w:bookmarkEnd w:id="745"/>
      <w:bookmarkStart w:id="746" w:name="_Toc280346895"/>
      <w:bookmarkEnd w:id="746"/>
      <w:bookmarkStart w:id="747" w:name="_Toc280275398"/>
      <w:bookmarkEnd w:id="747"/>
      <w:bookmarkStart w:id="748" w:name="_Toc280346908"/>
      <w:bookmarkEnd w:id="748"/>
      <w:bookmarkStart w:id="749" w:name="_Toc280275090"/>
      <w:bookmarkEnd w:id="749"/>
      <w:bookmarkStart w:id="750" w:name="_Toc280274311"/>
      <w:bookmarkEnd w:id="750"/>
      <w:bookmarkStart w:id="751" w:name="_Toc280274440"/>
      <w:bookmarkEnd w:id="751"/>
      <w:bookmarkStart w:id="752" w:name="_Toc280274580"/>
      <w:bookmarkEnd w:id="752"/>
      <w:bookmarkStart w:id="753" w:name="_Toc280347192"/>
      <w:bookmarkEnd w:id="753"/>
      <w:bookmarkStart w:id="754" w:name="_Toc280346266"/>
      <w:bookmarkEnd w:id="754"/>
      <w:bookmarkStart w:id="755" w:name="_Toc280274434"/>
      <w:bookmarkEnd w:id="755"/>
      <w:bookmarkStart w:id="756" w:name="_Toc280275102"/>
      <w:bookmarkEnd w:id="756"/>
      <w:bookmarkStart w:id="757" w:name="_Toc280346952"/>
      <w:bookmarkEnd w:id="757"/>
      <w:bookmarkStart w:id="758" w:name="_Toc280346708"/>
      <w:bookmarkEnd w:id="758"/>
      <w:bookmarkStart w:id="759" w:name="_Toc280274192"/>
      <w:bookmarkEnd w:id="759"/>
      <w:bookmarkStart w:id="760" w:name="_Toc280274965"/>
      <w:bookmarkEnd w:id="760"/>
      <w:bookmarkStart w:id="761" w:name="_Toc280275347"/>
      <w:bookmarkEnd w:id="761"/>
      <w:bookmarkStart w:id="762" w:name="_Toc280347077"/>
      <w:bookmarkEnd w:id="762"/>
      <w:bookmarkStart w:id="763" w:name="_Toc280275410"/>
      <w:bookmarkEnd w:id="763"/>
      <w:bookmarkStart w:id="764" w:name="_Toc280347158"/>
      <w:bookmarkEnd w:id="764"/>
      <w:bookmarkStart w:id="765" w:name="_Toc280274617"/>
      <w:bookmarkEnd w:id="765"/>
      <w:bookmarkStart w:id="766" w:name="_Toc280347058"/>
      <w:bookmarkEnd w:id="766"/>
      <w:bookmarkStart w:id="767" w:name="_Toc280274664"/>
      <w:bookmarkEnd w:id="767"/>
      <w:bookmarkStart w:id="768" w:name="_Toc280275341"/>
      <w:bookmarkEnd w:id="768"/>
      <w:bookmarkStart w:id="769" w:name="_Toc280275129"/>
      <w:bookmarkEnd w:id="769"/>
      <w:bookmarkStart w:id="770" w:name="_Toc280275422"/>
      <w:bookmarkEnd w:id="770"/>
      <w:bookmarkStart w:id="771" w:name="_Toc280346109"/>
      <w:bookmarkEnd w:id="771"/>
      <w:bookmarkStart w:id="772" w:name="_Toc280346441"/>
      <w:bookmarkEnd w:id="772"/>
      <w:bookmarkStart w:id="773" w:name="_Toc280346198"/>
      <w:bookmarkEnd w:id="773"/>
      <w:bookmarkStart w:id="774" w:name="_Toc280274241"/>
      <w:bookmarkEnd w:id="774"/>
      <w:bookmarkStart w:id="775" w:name="_Toc280346656"/>
      <w:bookmarkEnd w:id="775"/>
      <w:bookmarkStart w:id="776" w:name="_Toc280274833"/>
      <w:bookmarkEnd w:id="776"/>
      <w:bookmarkStart w:id="777" w:name="_Toc280274909"/>
      <w:bookmarkEnd w:id="777"/>
      <w:bookmarkStart w:id="778" w:name="_Toc280346097"/>
      <w:bookmarkEnd w:id="778"/>
      <w:bookmarkStart w:id="779" w:name="_Toc280346528"/>
      <w:bookmarkEnd w:id="779"/>
      <w:bookmarkStart w:id="780" w:name="_Toc280346321"/>
      <w:bookmarkEnd w:id="780"/>
      <w:bookmarkStart w:id="781" w:name="_Toc280274515"/>
      <w:bookmarkEnd w:id="781"/>
      <w:bookmarkStart w:id="782" w:name="_Toc280274769"/>
      <w:bookmarkEnd w:id="782"/>
      <w:bookmarkStart w:id="783" w:name="_Toc280347170"/>
      <w:bookmarkEnd w:id="783"/>
      <w:bookmarkStart w:id="784" w:name="_Toc280347152"/>
      <w:bookmarkEnd w:id="784"/>
      <w:bookmarkStart w:id="785" w:name="_Toc280274713"/>
      <w:bookmarkEnd w:id="785"/>
      <w:bookmarkStart w:id="786" w:name="_Toc280346333"/>
      <w:bookmarkEnd w:id="786"/>
      <w:bookmarkStart w:id="787" w:name="_Toc280274317"/>
      <w:bookmarkEnd w:id="787"/>
      <w:bookmarkStart w:id="788" w:name="_Toc280346248"/>
      <w:bookmarkEnd w:id="788"/>
      <w:bookmarkStart w:id="789" w:name="_Toc280274410"/>
      <w:bookmarkEnd w:id="789"/>
      <w:bookmarkStart w:id="790" w:name="_Toc280274466"/>
      <w:bookmarkEnd w:id="790"/>
      <w:bookmarkStart w:id="791" w:name="_Toc280346853"/>
      <w:bookmarkEnd w:id="791"/>
      <w:bookmarkStart w:id="792" w:name="_Toc280274789"/>
      <w:bookmarkEnd w:id="792"/>
      <w:bookmarkStart w:id="793" w:name="_Toc280274367"/>
      <w:bookmarkEnd w:id="793"/>
      <w:bookmarkStart w:id="794" w:name="_Toc280346642"/>
      <w:bookmarkEnd w:id="794"/>
      <w:bookmarkStart w:id="795" w:name="_Toc280346479"/>
      <w:bookmarkEnd w:id="795"/>
      <w:bookmarkStart w:id="796" w:name="_Toc280346927"/>
      <w:bookmarkEnd w:id="796"/>
      <w:bookmarkStart w:id="797" w:name="_Toc280274994"/>
      <w:bookmarkEnd w:id="797"/>
      <w:bookmarkStart w:id="798" w:name="_Toc280274934"/>
      <w:bookmarkEnd w:id="798"/>
      <w:bookmarkStart w:id="799" w:name="_Toc280274649"/>
      <w:bookmarkEnd w:id="799"/>
      <w:bookmarkStart w:id="800" w:name="_Toc280275216"/>
      <w:bookmarkEnd w:id="800"/>
      <w:bookmarkStart w:id="801" w:name="_Toc280347044"/>
      <w:bookmarkEnd w:id="801"/>
      <w:bookmarkStart w:id="802" w:name="_Toc280346303"/>
      <w:bookmarkEnd w:id="802"/>
      <w:bookmarkStart w:id="803" w:name="_Toc280274839"/>
      <w:bookmarkEnd w:id="803"/>
      <w:bookmarkStart w:id="804" w:name="_Toc280275128"/>
      <w:bookmarkEnd w:id="804"/>
      <w:bookmarkStart w:id="805" w:name="_Toc280346557"/>
      <w:bookmarkEnd w:id="805"/>
      <w:bookmarkStart w:id="806" w:name="_Toc280346492"/>
      <w:bookmarkEnd w:id="806"/>
      <w:bookmarkStart w:id="807" w:name="_Toc280274611"/>
      <w:bookmarkEnd w:id="807"/>
      <w:bookmarkStart w:id="808" w:name="_Toc280347001"/>
      <w:bookmarkEnd w:id="808"/>
      <w:bookmarkStart w:id="809" w:name="_Toc280347210"/>
      <w:bookmarkEnd w:id="809"/>
      <w:bookmarkStart w:id="810" w:name="_Toc280346914"/>
      <w:bookmarkEnd w:id="810"/>
      <w:bookmarkStart w:id="811" w:name="_Toc280275240"/>
      <w:bookmarkEnd w:id="811"/>
      <w:bookmarkStart w:id="812" w:name="_Toc280346845"/>
      <w:bookmarkEnd w:id="812"/>
      <w:bookmarkStart w:id="813" w:name="_Toc280346663"/>
      <w:bookmarkEnd w:id="813"/>
      <w:bookmarkStart w:id="814" w:name="_Toc280347285"/>
      <w:bookmarkEnd w:id="814"/>
      <w:bookmarkStart w:id="815" w:name="_Toc280275374"/>
      <w:bookmarkEnd w:id="815"/>
      <w:bookmarkStart w:id="816" w:name="_Toc280347015"/>
      <w:bookmarkEnd w:id="816"/>
      <w:bookmarkStart w:id="817" w:name="_Toc280346473"/>
      <w:bookmarkEnd w:id="817"/>
      <w:bookmarkStart w:id="818" w:name="_Toc280346739"/>
      <w:bookmarkEnd w:id="818"/>
      <w:bookmarkStart w:id="819" w:name="_Toc280347089"/>
      <w:bookmarkEnd w:id="819"/>
      <w:bookmarkStart w:id="820" w:name="_Toc280347164"/>
      <w:bookmarkEnd w:id="820"/>
      <w:bookmarkStart w:id="821" w:name="_Toc280347051"/>
      <w:bookmarkEnd w:id="821"/>
      <w:bookmarkStart w:id="822" w:name="_Toc280275292"/>
      <w:bookmarkEnd w:id="822"/>
      <w:bookmarkStart w:id="823" w:name="_Toc280346396"/>
      <w:bookmarkEnd w:id="823"/>
      <w:bookmarkStart w:id="824" w:name="_Toc280346455"/>
      <w:bookmarkEnd w:id="824"/>
      <w:bookmarkStart w:id="825" w:name="_Toc280274568"/>
      <w:bookmarkEnd w:id="825"/>
      <w:bookmarkStart w:id="826" w:name="_Toc280346091"/>
      <w:bookmarkEnd w:id="826"/>
      <w:bookmarkStart w:id="827" w:name="_Toc280274987"/>
      <w:bookmarkEnd w:id="827"/>
      <w:bookmarkStart w:id="828" w:name="_Toc280275084"/>
      <w:bookmarkEnd w:id="828"/>
      <w:bookmarkStart w:id="829" w:name="_Toc280346155"/>
      <w:bookmarkEnd w:id="829"/>
      <w:bookmarkStart w:id="830" w:name="_Toc280274870"/>
      <w:bookmarkEnd w:id="830"/>
      <w:bookmarkStart w:id="831" w:name="_Toc280275190"/>
      <w:bookmarkEnd w:id="831"/>
      <w:bookmarkStart w:id="832" w:name="_Toc280274247"/>
      <w:bookmarkEnd w:id="832"/>
      <w:bookmarkStart w:id="833" w:name="_Toc280275196"/>
      <w:bookmarkEnd w:id="833"/>
      <w:bookmarkStart w:id="834" w:name="_Toc280274605"/>
      <w:bookmarkEnd w:id="834"/>
      <w:bookmarkStart w:id="835" w:name="_Toc280274304"/>
      <w:bookmarkEnd w:id="835"/>
      <w:bookmarkStart w:id="836" w:name="_Toc280274876"/>
      <w:bookmarkEnd w:id="836"/>
      <w:bookmarkStart w:id="837" w:name="_Toc280274341"/>
      <w:bookmarkEnd w:id="837"/>
      <w:bookmarkStart w:id="838" w:name="_Toc280274460"/>
      <w:bookmarkEnd w:id="838"/>
      <w:bookmarkStart w:id="839" w:name="_Toc280274707"/>
      <w:bookmarkEnd w:id="839"/>
      <w:bookmarkStart w:id="840" w:name="_Toc280346612"/>
      <w:bookmarkEnd w:id="840"/>
      <w:bookmarkStart w:id="841" w:name="_Toc280347127"/>
      <w:bookmarkEnd w:id="841"/>
      <w:bookmarkStart w:id="842" w:name="_Toc280274807"/>
      <w:bookmarkEnd w:id="842"/>
      <w:bookmarkStart w:id="843" w:name="_Toc280346682"/>
      <w:bookmarkEnd w:id="843"/>
      <w:bookmarkStart w:id="844" w:name="_Toc280274347"/>
      <w:bookmarkEnd w:id="844"/>
      <w:bookmarkStart w:id="845" w:name="_Toc280346414"/>
      <w:bookmarkEnd w:id="845"/>
      <w:bookmarkStart w:id="846" w:name="_Toc280346228"/>
      <w:bookmarkEnd w:id="846"/>
      <w:bookmarkStart w:id="847" w:name="_Toc280346796"/>
      <w:bookmarkEnd w:id="847"/>
      <w:bookmarkStart w:id="848" w:name="_Toc280346821"/>
      <w:bookmarkEnd w:id="848"/>
      <w:bookmarkStart w:id="849" w:name="_Toc280274808"/>
      <w:bookmarkEnd w:id="849"/>
      <w:bookmarkStart w:id="850" w:name="_Toc280275361"/>
      <w:bookmarkEnd w:id="850"/>
      <w:bookmarkStart w:id="851" w:name="_Toc280274447"/>
      <w:bookmarkEnd w:id="851"/>
      <w:bookmarkStart w:id="852" w:name="_Toc280346888"/>
      <w:bookmarkEnd w:id="852"/>
      <w:bookmarkStart w:id="853" w:name="_Toc280346995"/>
      <w:bookmarkEnd w:id="853"/>
      <w:bookmarkStart w:id="854" w:name="_Toc280275164"/>
      <w:bookmarkEnd w:id="854"/>
      <w:bookmarkStart w:id="855" w:name="_Toc280346958"/>
      <w:bookmarkEnd w:id="855"/>
      <w:bookmarkStart w:id="856" w:name="_Toc280346185"/>
      <w:bookmarkEnd w:id="856"/>
      <w:bookmarkStart w:id="857" w:name="_Toc280346600"/>
      <w:bookmarkEnd w:id="857"/>
      <w:bookmarkStart w:id="858" w:name="_Toc280346802"/>
      <w:bookmarkEnd w:id="858"/>
      <w:bookmarkStart w:id="859" w:name="_Toc280274256"/>
      <w:bookmarkEnd w:id="859"/>
      <w:bookmarkStart w:id="860" w:name="_Toc280274592"/>
      <w:bookmarkEnd w:id="860"/>
      <w:bookmarkStart w:id="861" w:name="_Toc280274509"/>
      <w:bookmarkEnd w:id="861"/>
      <w:bookmarkStart w:id="862" w:name="_Toc280346516"/>
      <w:bookmarkEnd w:id="862"/>
      <w:bookmarkStart w:id="863" w:name="_Toc280346763"/>
      <w:bookmarkEnd w:id="863"/>
      <w:bookmarkStart w:id="864" w:name="_Toc280275247"/>
      <w:bookmarkEnd w:id="864"/>
      <w:bookmarkStart w:id="865" w:name="_Toc280274755"/>
      <w:bookmarkEnd w:id="865"/>
      <w:bookmarkStart w:id="866" w:name="_Toc280346620"/>
      <w:bookmarkEnd w:id="866"/>
      <w:bookmarkStart w:id="867" w:name="_Toc280346594"/>
      <w:bookmarkEnd w:id="867"/>
      <w:bookmarkStart w:id="868" w:name="_Toc280274732"/>
      <w:bookmarkEnd w:id="868"/>
      <w:bookmarkStart w:id="869" w:name="_Toc280274234"/>
      <w:bookmarkEnd w:id="869"/>
      <w:bookmarkStart w:id="870" w:name="_Toc280274895"/>
      <w:bookmarkEnd w:id="870"/>
      <w:bookmarkStart w:id="871" w:name="_Toc280274882"/>
      <w:bookmarkEnd w:id="871"/>
      <w:bookmarkStart w:id="872" w:name="_Toc280346867"/>
      <w:bookmarkEnd w:id="872"/>
      <w:bookmarkStart w:id="873" w:name="_Toc280346402"/>
      <w:bookmarkEnd w:id="873"/>
      <w:bookmarkStart w:id="874" w:name="_Toc280346564"/>
      <w:bookmarkEnd w:id="874"/>
      <w:bookmarkStart w:id="875" w:name="_Toc280275317"/>
      <w:bookmarkEnd w:id="875"/>
      <w:bookmarkStart w:id="876" w:name="_Toc280346946"/>
      <w:bookmarkEnd w:id="876"/>
      <w:bookmarkStart w:id="877" w:name="_Toc280275059"/>
      <w:bookmarkEnd w:id="877"/>
      <w:bookmarkStart w:id="878" w:name="_Toc280346420"/>
      <w:bookmarkEnd w:id="878"/>
      <w:bookmarkStart w:id="879" w:name="_Toc280275171"/>
      <w:bookmarkEnd w:id="879"/>
      <w:bookmarkStart w:id="880" w:name="_Toc280346852"/>
      <w:bookmarkEnd w:id="880"/>
      <w:bookmarkStart w:id="881" w:name="_Toc280347037"/>
      <w:bookmarkEnd w:id="881"/>
      <w:bookmarkStart w:id="882" w:name="_Toc280346839"/>
      <w:bookmarkEnd w:id="882"/>
      <w:bookmarkStart w:id="883" w:name="_Toc280346621"/>
      <w:bookmarkEnd w:id="883"/>
      <w:bookmarkStart w:id="884" w:name="_Toc280346260"/>
      <w:bookmarkEnd w:id="884"/>
      <w:bookmarkStart w:id="885" w:name="_Toc280274484"/>
      <w:bookmarkEnd w:id="885"/>
      <w:bookmarkStart w:id="886" w:name="_Toc280347321"/>
      <w:bookmarkEnd w:id="886"/>
      <w:bookmarkStart w:id="887" w:name="_Toc280346696"/>
      <w:bookmarkEnd w:id="887"/>
      <w:bookmarkStart w:id="888" w:name="_Toc280346191"/>
      <w:bookmarkEnd w:id="888"/>
      <w:bookmarkStart w:id="889" w:name="_Toc280274348"/>
      <w:bookmarkEnd w:id="889"/>
      <w:bookmarkStart w:id="890" w:name="_Toc280347179"/>
      <w:bookmarkEnd w:id="890"/>
      <w:bookmarkStart w:id="891" w:name="_Toc280274329"/>
      <w:bookmarkEnd w:id="891"/>
      <w:bookmarkStart w:id="892" w:name="_Toc280347115"/>
      <w:bookmarkEnd w:id="892"/>
      <w:bookmarkStart w:id="893" w:name="_Toc280274397"/>
      <w:bookmarkEnd w:id="893"/>
      <w:bookmarkStart w:id="894" w:name="_Toc280347216"/>
      <w:bookmarkEnd w:id="894"/>
      <w:bookmarkStart w:id="895" w:name="_Toc280275040"/>
      <w:bookmarkEnd w:id="895"/>
      <w:bookmarkStart w:id="896" w:name="_Toc280275360"/>
      <w:bookmarkEnd w:id="896"/>
      <w:bookmarkStart w:id="897" w:name="_Toc280346619"/>
      <w:bookmarkEnd w:id="897"/>
      <w:bookmarkStart w:id="898" w:name="_Toc280275053"/>
      <w:bookmarkEnd w:id="898"/>
      <w:bookmarkStart w:id="899" w:name="_Toc280274650"/>
      <w:bookmarkEnd w:id="899"/>
      <w:bookmarkStart w:id="900" w:name="_Toc280274545"/>
      <w:bookmarkEnd w:id="900"/>
      <w:bookmarkStart w:id="901" w:name="_Toc280274391"/>
      <w:bookmarkEnd w:id="901"/>
      <w:bookmarkStart w:id="902" w:name="_Toc280275265"/>
      <w:bookmarkEnd w:id="902"/>
      <w:bookmarkStart w:id="903" w:name="_Toc280275008"/>
      <w:bookmarkEnd w:id="903"/>
      <w:bookmarkStart w:id="904" w:name="_Toc280346720"/>
      <w:bookmarkEnd w:id="904"/>
      <w:bookmarkStart w:id="905" w:name="_Toc280274651"/>
      <w:bookmarkEnd w:id="905"/>
      <w:bookmarkStart w:id="906" w:name="_Toc280275027"/>
      <w:bookmarkEnd w:id="906"/>
      <w:bookmarkStart w:id="907" w:name="_Toc280347315"/>
      <w:bookmarkEnd w:id="907"/>
      <w:bookmarkStart w:id="908" w:name="_Toc280347328"/>
      <w:bookmarkEnd w:id="908"/>
      <w:bookmarkStart w:id="909" w:name="_Toc280346538"/>
      <w:bookmarkEnd w:id="909"/>
      <w:bookmarkStart w:id="910" w:name="_Toc280346726"/>
      <w:bookmarkEnd w:id="910"/>
      <w:bookmarkStart w:id="911" w:name="_Toc280275203"/>
      <w:bookmarkEnd w:id="911"/>
      <w:bookmarkStart w:id="912" w:name="_Toc280275253"/>
      <w:bookmarkEnd w:id="912"/>
      <w:bookmarkStart w:id="913" w:name="_Toc280346216"/>
      <w:bookmarkEnd w:id="913"/>
      <w:bookmarkStart w:id="914" w:name="_Toc280346297"/>
      <w:bookmarkEnd w:id="914"/>
      <w:bookmarkStart w:id="915" w:name="_Toc280346940"/>
      <w:bookmarkEnd w:id="915"/>
      <w:bookmarkStart w:id="916" w:name="_Toc280346327"/>
      <w:bookmarkEnd w:id="916"/>
      <w:bookmarkStart w:id="917" w:name="_Toc280274827"/>
      <w:bookmarkEnd w:id="917"/>
      <w:bookmarkStart w:id="918" w:name="_Toc280346576"/>
      <w:bookmarkEnd w:id="918"/>
      <w:bookmarkStart w:id="919" w:name="_Toc280346371"/>
      <w:bookmarkEnd w:id="919"/>
      <w:bookmarkStart w:id="920" w:name="_Toc280274527"/>
      <w:bookmarkEnd w:id="920"/>
      <w:bookmarkStart w:id="921" w:name="_Toc280274635"/>
      <w:bookmarkEnd w:id="921"/>
      <w:bookmarkStart w:id="922" w:name="_Toc280274472"/>
      <w:bookmarkEnd w:id="922"/>
      <w:bookmarkStart w:id="923" w:name="_Toc280347109"/>
      <w:bookmarkEnd w:id="923"/>
      <w:bookmarkStart w:id="924" w:name="_Toc280274254"/>
      <w:bookmarkEnd w:id="924"/>
      <w:bookmarkStart w:id="925" w:name="_Toc280274733"/>
      <w:bookmarkEnd w:id="925"/>
      <w:bookmarkStart w:id="926" w:name="_Toc280346103"/>
      <w:bookmarkEnd w:id="926"/>
      <w:bookmarkStart w:id="927" w:name="_Toc280274553"/>
      <w:bookmarkEnd w:id="927"/>
      <w:bookmarkStart w:id="928" w:name="_Toc280274888"/>
      <w:bookmarkEnd w:id="928"/>
      <w:bookmarkStart w:id="929" w:name="_Toc280346234"/>
      <w:bookmarkEnd w:id="929"/>
      <w:bookmarkStart w:id="930" w:name="_Toc280274292"/>
      <w:bookmarkEnd w:id="930"/>
      <w:bookmarkStart w:id="931" w:name="_Toc280346534"/>
      <w:bookmarkEnd w:id="931"/>
      <w:bookmarkStart w:id="932" w:name="_Toc280275234"/>
      <w:bookmarkEnd w:id="932"/>
      <w:bookmarkStart w:id="933" w:name="_Toc280274966"/>
      <w:bookmarkEnd w:id="933"/>
      <w:bookmarkStart w:id="934" w:name="_Toc280346353"/>
      <w:bookmarkEnd w:id="934"/>
      <w:bookmarkStart w:id="935" w:name="_Toc280274648"/>
      <w:bookmarkEnd w:id="935"/>
      <w:bookmarkStart w:id="936" w:name="_Toc280346783"/>
      <w:bookmarkEnd w:id="936"/>
      <w:bookmarkStart w:id="937" w:name="_Toc280274490"/>
      <w:bookmarkEnd w:id="937"/>
      <w:bookmarkStart w:id="938" w:name="_Toc280274552"/>
      <w:bookmarkEnd w:id="938"/>
      <w:bookmarkStart w:id="939" w:name="_Toc280274268"/>
      <w:bookmarkEnd w:id="939"/>
      <w:bookmarkStart w:id="940" w:name="_Toc280274980"/>
      <w:bookmarkEnd w:id="940"/>
      <w:bookmarkStart w:id="941" w:name="_Toc280347204"/>
      <w:bookmarkEnd w:id="941"/>
      <w:bookmarkStart w:id="942" w:name="_Toc280346290"/>
      <w:bookmarkEnd w:id="942"/>
      <w:bookmarkStart w:id="943" w:name="_Toc280346782"/>
      <w:bookmarkEnd w:id="943"/>
      <w:bookmarkStart w:id="944" w:name="_Toc280347267"/>
      <w:bookmarkEnd w:id="944"/>
      <w:bookmarkStart w:id="945" w:name="_Toc280274795"/>
      <w:bookmarkEnd w:id="945"/>
      <w:bookmarkStart w:id="946" w:name="_Toc280346347"/>
      <w:bookmarkEnd w:id="946"/>
      <w:bookmarkStart w:id="947" w:name="_Toc280274586"/>
      <w:bookmarkEnd w:id="947"/>
      <w:bookmarkStart w:id="948" w:name="_Toc280274478"/>
      <w:bookmarkEnd w:id="948"/>
      <w:bookmarkStart w:id="949" w:name="_Toc280275041"/>
      <w:bookmarkEnd w:id="949"/>
      <w:bookmarkStart w:id="950" w:name="_Toc280275386"/>
      <w:bookmarkEnd w:id="950"/>
      <w:bookmarkStart w:id="951" w:name="_Toc280275441"/>
      <w:bookmarkEnd w:id="951"/>
      <w:bookmarkStart w:id="952" w:name="_Toc280347246"/>
      <w:bookmarkEnd w:id="952"/>
      <w:bookmarkStart w:id="953" w:name="_Toc280274598"/>
      <w:bookmarkEnd w:id="953"/>
      <w:bookmarkStart w:id="954" w:name="_Toc280275033"/>
      <w:bookmarkEnd w:id="954"/>
      <w:bookmarkStart w:id="955" w:name="_Toc280346140"/>
      <w:bookmarkEnd w:id="955"/>
      <w:bookmarkStart w:id="956" w:name="_Toc280347177"/>
      <w:bookmarkEnd w:id="956"/>
      <w:bookmarkStart w:id="957" w:name="_Toc280275440"/>
      <w:bookmarkEnd w:id="957"/>
      <w:bookmarkStart w:id="958" w:name="_Toc280274695"/>
      <w:bookmarkEnd w:id="958"/>
      <w:bookmarkStart w:id="959" w:name="_Toc280346204"/>
      <w:bookmarkEnd w:id="959"/>
      <w:bookmarkStart w:id="960" w:name="_Toc280274373"/>
      <w:bookmarkEnd w:id="960"/>
      <w:bookmarkStart w:id="961" w:name="_Toc280346334"/>
      <w:bookmarkEnd w:id="961"/>
      <w:bookmarkStart w:id="962" w:name="_Toc280274554"/>
      <w:bookmarkEnd w:id="962"/>
      <w:bookmarkStart w:id="963" w:name="_Toc280346775"/>
      <w:bookmarkEnd w:id="963"/>
      <w:bookmarkStart w:id="964" w:name="_Toc280275428"/>
      <w:bookmarkEnd w:id="964"/>
      <w:bookmarkStart w:id="965" w:name="_Toc280275120"/>
      <w:bookmarkEnd w:id="965"/>
      <w:bookmarkStart w:id="966" w:name="_Toc280346570"/>
      <w:bookmarkEnd w:id="966"/>
      <w:bookmarkStart w:id="967" w:name="_Toc280346439"/>
      <w:bookmarkEnd w:id="967"/>
      <w:bookmarkStart w:id="968" w:name="_Toc280346881"/>
      <w:bookmarkEnd w:id="968"/>
      <w:bookmarkStart w:id="969" w:name="_Toc280347007"/>
      <w:bookmarkEnd w:id="969"/>
      <w:bookmarkStart w:id="970" w:name="_Toc280275353"/>
      <w:bookmarkEnd w:id="970"/>
      <w:bookmarkStart w:id="971" w:name="_Toc280346141"/>
      <w:bookmarkEnd w:id="971"/>
      <w:bookmarkStart w:id="972" w:name="_Toc280275222"/>
      <w:bookmarkEnd w:id="972"/>
      <w:bookmarkStart w:id="973" w:name="_Toc280346365"/>
      <w:bookmarkEnd w:id="973"/>
      <w:bookmarkStart w:id="974" w:name="_Toc280275277"/>
      <w:bookmarkEnd w:id="974"/>
      <w:bookmarkStart w:id="975" w:name="_Toc16491"/>
      <w:r>
        <w:rPr>
          <w:rFonts w:hint="eastAsia" w:hAnsi="宋体" w:cs="宋体"/>
          <w:sz w:val="32"/>
          <w:szCs w:val="32"/>
          <w:highlight w:val="none"/>
        </w:rPr>
        <w:t>合同主要条款</w:t>
      </w:r>
      <w:bookmarkEnd w:id="975"/>
    </w:p>
    <w:p>
      <w:pPr>
        <w:rPr>
          <w:rFonts w:hint="eastAsia" w:ascii="宋体" w:hAnsi="宋体" w:eastAsia="宋体" w:cs="宋体"/>
          <w:b/>
          <w:snapToGrid w:val="0"/>
          <w:kern w:val="0"/>
          <w:sz w:val="24"/>
          <w:szCs w:val="24"/>
          <w:highlight w:val="none"/>
          <w:lang w:val="en-US"/>
        </w:rPr>
      </w:pPr>
      <w:r>
        <w:rPr>
          <w:rFonts w:hint="eastAsia" w:ascii="宋体" w:hAnsi="宋体" w:eastAsia="宋体" w:cs="宋体"/>
          <w:b/>
          <w:snapToGrid w:val="0"/>
          <w:kern w:val="0"/>
          <w:sz w:val="24"/>
          <w:szCs w:val="24"/>
          <w:highlight w:val="none"/>
          <w:lang w:val="en-US" w:eastAsia="zh-CN"/>
        </w:rPr>
        <w:t>根据《人力资源和社会保障部关于印发企业年金计划管理合同指引的通知》人社部函〔２０１２〕９２号的规定签订后期合同，本章节为该文件的制式文本，具体条款以实际签订时为准</w:t>
      </w:r>
    </w:p>
    <w:p>
      <w:pPr>
        <w:rPr>
          <w:rFonts w:hint="eastAsia" w:ascii="黑体" w:hAnsi="宋体" w:eastAsia="黑体" w:cs="Times New Roman"/>
          <w:sz w:val="32"/>
          <w:szCs w:val="32"/>
          <w:highlight w:val="none"/>
        </w:rPr>
      </w:pPr>
    </w:p>
    <w:p>
      <w:pPr>
        <w:rPr>
          <w:rFonts w:hint="eastAsia" w:ascii="黑体" w:hAnsi="宋体" w:eastAsia="黑体" w:cs="Times New Roman"/>
          <w:sz w:val="32"/>
          <w:szCs w:val="32"/>
          <w:highlight w:val="none"/>
        </w:rPr>
      </w:pPr>
      <w:r>
        <w:rPr>
          <w:rFonts w:hint="eastAsia" w:ascii="黑体" w:hAnsi="宋体" w:eastAsia="黑体" w:cs="Times New Roman"/>
          <w:sz w:val="32"/>
          <w:szCs w:val="32"/>
          <w:highlight w:val="none"/>
        </w:rPr>
        <w:t>第一部分</w:t>
      </w:r>
    </w:p>
    <w:p>
      <w:pPr>
        <w:rPr>
          <w:rFonts w:hint="eastAsia" w:ascii="黑体" w:hAnsi="宋体" w:eastAsia="黑体" w:cs="Times New Roman"/>
          <w:b/>
          <w:sz w:val="28"/>
          <w:szCs w:val="28"/>
          <w:highlight w:val="none"/>
        </w:rPr>
      </w:pPr>
    </w:p>
    <w:p>
      <w:pPr>
        <w:rPr>
          <w:rFonts w:hint="eastAsia" w:ascii="黑体" w:hAnsi="宋体" w:eastAsia="黑体" w:cs="Times New Roman"/>
          <w:b/>
          <w:sz w:val="28"/>
          <w:szCs w:val="28"/>
          <w:highlight w:val="none"/>
        </w:rPr>
      </w:pPr>
    </w:p>
    <w:p>
      <w:pPr>
        <w:rPr>
          <w:rFonts w:hint="eastAsia" w:ascii="黑体" w:hAnsi="宋体" w:eastAsia="黑体" w:cs="Times New Roman"/>
          <w:b/>
          <w:sz w:val="28"/>
          <w:szCs w:val="28"/>
          <w:highlight w:val="none"/>
        </w:rPr>
      </w:pPr>
    </w:p>
    <w:p>
      <w:pPr>
        <w:spacing w:line="360" w:lineRule="auto"/>
        <w:jc w:val="center"/>
        <w:rPr>
          <w:rFonts w:hint="eastAsia" w:ascii="黑体" w:hAnsi="Times New Roman" w:eastAsia="黑体" w:cs="Times New Roman"/>
          <w:sz w:val="32"/>
          <w:szCs w:val="32"/>
          <w:highlight w:val="none"/>
        </w:rPr>
      </w:pPr>
      <w:bookmarkStart w:id="976" w:name="OLE_LINK30"/>
      <w:r>
        <w:rPr>
          <w:rFonts w:hint="eastAsia" w:ascii="黑体" w:hAnsi="Times New Roman" w:eastAsia="黑体" w:cs="Times New Roman"/>
          <w:sz w:val="32"/>
          <w:szCs w:val="32"/>
          <w:highlight w:val="none"/>
          <w:u w:val="single"/>
        </w:rPr>
        <w:t xml:space="preserve">      </w:t>
      </w:r>
      <w:r>
        <w:rPr>
          <w:rFonts w:hint="eastAsia" w:ascii="黑体" w:hAnsi="Times New Roman" w:eastAsia="黑体" w:cs="Times New Roman"/>
          <w:sz w:val="32"/>
          <w:szCs w:val="32"/>
          <w:highlight w:val="none"/>
        </w:rPr>
        <w:t>企业年金计划受托管理合同指引</w:t>
      </w:r>
    </w:p>
    <w:bookmarkEnd w:id="976"/>
    <w:p>
      <w:pPr>
        <w:jc w:val="center"/>
        <w:rPr>
          <w:rFonts w:hint="eastAsia" w:ascii="黑体" w:hAnsi="宋体" w:eastAsia="黑体" w:cs="Times New Roman"/>
          <w:b/>
          <w:sz w:val="28"/>
          <w:szCs w:val="28"/>
          <w:highlight w:val="none"/>
        </w:rPr>
      </w:pPr>
    </w:p>
    <w:p>
      <w:pPr>
        <w:jc w:val="center"/>
        <w:rPr>
          <w:rFonts w:hint="eastAsia" w:ascii="宋体" w:hAnsi="宋体" w:eastAsia="宋体" w:cs="Times New Roman"/>
          <w:sz w:val="28"/>
          <w:szCs w:val="28"/>
          <w:highlight w:val="none"/>
        </w:rPr>
      </w:pPr>
    </w:p>
    <w:p>
      <w:pPr>
        <w:jc w:val="center"/>
        <w:rPr>
          <w:rFonts w:hint="eastAsia" w:ascii="宋体" w:hAnsi="宋体" w:eastAsia="宋体" w:cs="Times New Roman"/>
          <w:sz w:val="28"/>
          <w:szCs w:val="28"/>
          <w:highlight w:val="none"/>
        </w:rPr>
      </w:pPr>
    </w:p>
    <w:p>
      <w:pPr>
        <w:rPr>
          <w:rFonts w:hint="eastAsia" w:ascii="宋体" w:hAnsi="宋体" w:eastAsia="宋体" w:cs="Times New Roman"/>
          <w:sz w:val="28"/>
          <w:szCs w:val="28"/>
          <w:highlight w:val="none"/>
        </w:rPr>
      </w:pPr>
    </w:p>
    <w:p>
      <w:pPr>
        <w:jc w:val="center"/>
        <w:rPr>
          <w:rFonts w:hint="eastAsia" w:ascii="宋体" w:hAnsi="宋体" w:eastAsia="宋体" w:cs="Times New Roman"/>
          <w:sz w:val="28"/>
          <w:szCs w:val="28"/>
          <w:highlight w:val="none"/>
        </w:rPr>
      </w:pPr>
    </w:p>
    <w:p>
      <w:pPr>
        <w:spacing w:line="360" w:lineRule="auto"/>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合同编号：</w:t>
      </w:r>
    </w:p>
    <w:p>
      <w:pPr>
        <w:spacing w:line="360" w:lineRule="auto"/>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委 托 人：</w:t>
      </w:r>
    </w:p>
    <w:p>
      <w:pPr>
        <w:spacing w:line="360" w:lineRule="auto"/>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受 托 人：</w:t>
      </w:r>
    </w:p>
    <w:p>
      <w:pPr>
        <w:spacing w:line="360" w:lineRule="auto"/>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签署时间：</w:t>
      </w:r>
    </w:p>
    <w:p>
      <w:pPr>
        <w:spacing w:line="360" w:lineRule="auto"/>
        <w:rPr>
          <w:rFonts w:hint="eastAsia" w:ascii="仿宋_GB2312" w:hAnsi="宋体" w:eastAsia="仿宋_GB2312" w:cs="Times New Roman"/>
          <w:sz w:val="28"/>
          <w:szCs w:val="28"/>
          <w:highlight w:val="none"/>
        </w:rPr>
      </w:pPr>
    </w:p>
    <w:p>
      <w:pPr>
        <w:spacing w:line="360" w:lineRule="auto"/>
        <w:rPr>
          <w:rFonts w:hint="eastAsia" w:ascii="仿宋_GB2312" w:hAnsi="宋体" w:eastAsia="仿宋_GB2312" w:cs="Times New Roman"/>
          <w:sz w:val="28"/>
          <w:szCs w:val="28"/>
          <w:highlight w:val="none"/>
        </w:rPr>
      </w:pPr>
      <w:r>
        <w:rPr>
          <w:rFonts w:ascii="仿宋_GB2312" w:hAnsi="宋体" w:eastAsia="仿宋_GB2312" w:cs="Times New Roman"/>
          <w:sz w:val="28"/>
          <w:szCs w:val="28"/>
          <w:highlight w:val="none"/>
        </w:rPr>
        <w:br w:type="page"/>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甲　　方：（企业名称）</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联系地址：</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邮政编码：</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电　　话：</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传　　真：</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法定代表人：</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企业年金方案备案文号：</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乙    方：</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联系地址：</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邮政编码：</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电    话：</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传    真：</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法定代表人：</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企业年金基金管理机构资格证书编号：</w:t>
      </w:r>
    </w:p>
    <w:p>
      <w:pPr>
        <w:spacing w:line="360" w:lineRule="auto"/>
        <w:jc w:val="center"/>
        <w:rPr>
          <w:rFonts w:hint="eastAsia" w:ascii="黑体" w:hAnsi="Times New Roman" w:eastAsia="黑体" w:cs="Times New Roman"/>
          <w:b/>
          <w:sz w:val="28"/>
          <w:szCs w:val="28"/>
          <w:highlight w:val="none"/>
        </w:rPr>
      </w:pPr>
      <w:r>
        <w:rPr>
          <w:rFonts w:ascii="Times New Roman" w:hAnsi="Times New Roman" w:eastAsia="宋体" w:cs="Times New Roman"/>
          <w:sz w:val="28"/>
          <w:szCs w:val="28"/>
          <w:highlight w:val="none"/>
        </w:rPr>
        <w:br w:type="page"/>
      </w:r>
      <w:r>
        <w:rPr>
          <w:rFonts w:hint="eastAsia" w:ascii="黑体" w:hAnsi="Times New Roman" w:eastAsia="黑体" w:cs="Times New Roman"/>
          <w:b/>
          <w:sz w:val="28"/>
          <w:szCs w:val="28"/>
          <w:highlight w:val="none"/>
        </w:rPr>
        <w:t>目    录</w:t>
      </w:r>
    </w:p>
    <w:p>
      <w:pPr>
        <w:spacing w:line="360" w:lineRule="auto"/>
        <w:jc w:val="center"/>
        <w:rPr>
          <w:rFonts w:hint="eastAsia" w:ascii="黑体" w:hAnsi="Times New Roman" w:eastAsia="黑体" w:cs="Times New Roman"/>
          <w:b/>
          <w:sz w:val="28"/>
          <w:szCs w:val="28"/>
          <w:highlight w:val="none"/>
        </w:rPr>
      </w:pP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Fonts w:hint="eastAsia" w:ascii="仿宋_GB2312" w:hAnsi="黑体" w:eastAsia="仿宋_GB2312" w:cs="Times New Roman"/>
          <w:kern w:val="2"/>
          <w:sz w:val="24"/>
          <w:szCs w:val="24"/>
          <w:highlight w:val="none"/>
          <w:lang w:val="en-US" w:eastAsia="zh-CN" w:bidi="ar-SA"/>
        </w:rPr>
        <w:fldChar w:fldCharType="begin"/>
      </w:r>
      <w:r>
        <w:rPr>
          <w:rFonts w:hint="eastAsia" w:ascii="仿宋_GB2312" w:hAnsi="黑体" w:eastAsia="仿宋_GB2312" w:cs="Times New Roman"/>
          <w:kern w:val="2"/>
          <w:sz w:val="24"/>
          <w:szCs w:val="24"/>
          <w:highlight w:val="none"/>
          <w:lang w:val="en-US" w:eastAsia="zh-CN" w:bidi="ar-SA"/>
        </w:rPr>
        <w:instrText xml:space="preserve"> TOC \o "1-3" \h \z \u </w:instrText>
      </w:r>
      <w:r>
        <w:rPr>
          <w:rFonts w:hint="eastAsia" w:ascii="仿宋_GB2312" w:hAnsi="黑体" w:eastAsia="仿宋_GB2312" w:cs="Times New Roman"/>
          <w:kern w:val="2"/>
          <w:sz w:val="24"/>
          <w:szCs w:val="24"/>
          <w:highlight w:val="none"/>
          <w:lang w:val="en-US" w:eastAsia="zh-CN" w:bidi="ar-SA"/>
        </w:rPr>
        <w:fldChar w:fldCharType="separate"/>
      </w: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"_Toc319932538"</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前</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言</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_Toc319932538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17</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"_Toc319932539"</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第一章　定义</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_Toc319932539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17</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"_Toc319932540"</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第二章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声明与承诺</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_Toc319932540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21</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"_Toc319932541"</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第三章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受托的设立</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_Toc319932541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22</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"_Toc319932542"</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第四章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受托当事人的权利与义务</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_Toc319932542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23</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"_Toc319932543"</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第五章　企业年金基金的管理</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_Toc319932543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28</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"_Toc319932544"</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第六章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企业年金的缴费、领取、转移与保留</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_Toc319932544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31</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"_Toc319932545"</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第七章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投资政策</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_Toc319932545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33</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"_Toc319932546"</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第八章　投资管理风险准备金</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_Toc319932546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35</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"_Toc319932547"</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第九章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企业年金基金财产的核算</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_Toc319932547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35</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"_Toc319932548"</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企业年金基金的费用</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_Toc319932548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37</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"_Toc319932549"</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第十一章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企业年金基金的审计与清算</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_Toc319932549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41</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"_Toc319932550"</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第十二章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企业年金基金的信息报告与披露</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_Toc319932550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42</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"_Toc319932551"</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第十三章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禁止行为</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_Toc319932551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43</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"_Toc319932552"</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第十四章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违约责任与免责条款</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_Toc319932552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43</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"_Toc319932553"</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第十五章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争议的处理</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_Toc319932553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44</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"_Toc319932554"</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第十六章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本合同的生效、期限、变更与终止</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_Toc319932554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45</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"_Toc319932555"</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第十七章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保密条款</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_Toc319932555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47</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"_Toc319932556"</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第十八章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通知及送达</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_Toc319932556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47</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"_Toc319932557"</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第十九章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风险提示</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_Toc319932557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48</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ascii="Times New Roman" w:hAnsi="Times New Roman" w:eastAsia="宋体" w:cs="Times New Roman"/>
          <w:kern w:val="2"/>
          <w:sz w:val="21"/>
          <w:szCs w:val="24"/>
          <w:highlight w:val="none"/>
          <w:lang w:val="en-US" w:eastAsia="zh-CN" w:bidi="ar-SA"/>
        </w:rPr>
      </w:pPr>
      <w:r>
        <w:rPr>
          <w:rStyle w:val="95"/>
          <w:rFonts w:ascii="Times New Roman" w:hAnsi="Times New Roman" w:eastAsia="宋体" w:cs="Times New Roman"/>
          <w:kern w:val="2"/>
          <w:sz w:val="24"/>
          <w:szCs w:val="24"/>
          <w:highlight w:val="none"/>
          <w:lang w:val="en-US" w:eastAsia="zh-CN" w:bidi="ar-SA"/>
        </w:rPr>
        <w:fldChar w:fldCharType="begin"/>
      </w:r>
      <w:r>
        <w:rPr>
          <w:rStyle w:val="95"/>
          <w:rFonts w:ascii="Times New Roman" w:hAnsi="Times New Roman" w:eastAsia="宋体" w:cs="Times New Roman"/>
          <w:kern w:val="2"/>
          <w:sz w:val="24"/>
          <w:szCs w:val="24"/>
          <w:highlight w:val="none"/>
          <w:lang w:val="en-US" w:eastAsia="zh-CN" w:bidi="ar-SA"/>
        </w:rPr>
        <w:instrText xml:space="preserve"> </w:instrText>
      </w:r>
      <w:r>
        <w:rPr>
          <w:rFonts w:ascii="黑体" w:hAnsi="黑体" w:eastAsia="黑体" w:cs="Times New Roman"/>
          <w:kern w:val="2"/>
          <w:sz w:val="24"/>
          <w:szCs w:val="24"/>
          <w:highlight w:val="none"/>
          <w:lang w:val="en-US" w:eastAsia="zh-CN" w:bidi="ar-SA"/>
        </w:rPr>
        <w:instrText xml:space="preserve">HYPERLINK \l "_Toc319932558"</w:instrText>
      </w:r>
      <w:r>
        <w:rPr>
          <w:rStyle w:val="95"/>
          <w:rFonts w:ascii="Times New Roman" w:hAnsi="Times New Roman" w:eastAsia="宋体" w:cs="Times New Roman"/>
          <w:kern w:val="2"/>
          <w:sz w:val="24"/>
          <w:szCs w:val="24"/>
          <w:highlight w:val="none"/>
          <w:lang w:val="en-US" w:eastAsia="zh-CN" w:bidi="ar-SA"/>
        </w:rPr>
        <w:instrText xml:space="preserve"> </w:instrText>
      </w:r>
      <w:r>
        <w:rPr>
          <w:rStyle w:val="95"/>
          <w:rFonts w:ascii="Times New Roman" w:hAnsi="Times New Roman" w:eastAsia="宋体" w:cs="Times New Roman"/>
          <w:kern w:val="2"/>
          <w:sz w:val="24"/>
          <w:szCs w:val="24"/>
          <w:highlight w:val="none"/>
          <w:lang w:val="en-US" w:eastAsia="zh-CN" w:bidi="ar-SA"/>
        </w:rPr>
        <w:fldChar w:fldCharType="separate"/>
      </w:r>
      <w:r>
        <w:rPr>
          <w:rStyle w:val="95"/>
          <w:rFonts w:hint="eastAsia" w:ascii="Times New Roman" w:hAnsi="Times New Roman" w:eastAsia="宋体" w:cs="Times New Roman"/>
          <w:kern w:val="2"/>
          <w:sz w:val="24"/>
          <w:szCs w:val="24"/>
          <w:highlight w:val="none"/>
          <w:lang w:val="en-US" w:eastAsia="zh-CN" w:bidi="ar-SA"/>
        </w:rPr>
        <w:t>第二十章</w:t>
      </w:r>
      <w:r>
        <w:rPr>
          <w:rStyle w:val="95"/>
          <w:rFonts w:ascii="Times New Roman" w:hAnsi="Times New Roman" w:eastAsia="宋体" w:cs="Times New Roman"/>
          <w:kern w:val="2"/>
          <w:sz w:val="24"/>
          <w:szCs w:val="24"/>
          <w:highlight w:val="none"/>
          <w:lang w:val="en-US" w:eastAsia="zh-CN" w:bidi="ar-SA"/>
        </w:rPr>
        <w:t xml:space="preserve">  </w:t>
      </w:r>
      <w:r>
        <w:rPr>
          <w:rStyle w:val="95"/>
          <w:rFonts w:hint="eastAsia" w:ascii="Times New Roman" w:hAnsi="Times New Roman" w:eastAsia="宋体" w:cs="Times New Roman"/>
          <w:kern w:val="2"/>
          <w:sz w:val="24"/>
          <w:szCs w:val="24"/>
          <w:highlight w:val="none"/>
          <w:lang w:val="en-US" w:eastAsia="zh-CN" w:bidi="ar-SA"/>
        </w:rPr>
        <w:t>其他事项</w:t>
      </w:r>
      <w:r>
        <w:rPr>
          <w:rFonts w:ascii="黑体" w:hAnsi="黑体" w:eastAsia="黑体" w:cs="Times New Roman"/>
          <w:kern w:val="2"/>
          <w:sz w:val="24"/>
          <w:szCs w:val="24"/>
          <w:highlight w:val="none"/>
          <w:lang w:val="en-US" w:eastAsia="zh-CN" w:bidi="ar-SA"/>
        </w:rPr>
        <w:tab/>
      </w:r>
      <w:r>
        <w:rPr>
          <w:rFonts w:ascii="黑体" w:hAnsi="黑体" w:eastAsia="黑体" w:cs="Times New Roman"/>
          <w:kern w:val="2"/>
          <w:sz w:val="24"/>
          <w:szCs w:val="24"/>
          <w:highlight w:val="none"/>
          <w:lang w:val="en-US" w:eastAsia="zh-CN" w:bidi="ar-SA"/>
        </w:rPr>
        <w:fldChar w:fldCharType="begin"/>
      </w:r>
      <w:r>
        <w:rPr>
          <w:rFonts w:ascii="黑体" w:hAnsi="黑体" w:eastAsia="黑体" w:cs="Times New Roman"/>
          <w:kern w:val="2"/>
          <w:sz w:val="24"/>
          <w:szCs w:val="24"/>
          <w:highlight w:val="none"/>
          <w:lang w:val="en-US" w:eastAsia="zh-CN" w:bidi="ar-SA"/>
        </w:rPr>
        <w:instrText xml:space="preserve"> PAGEREF _Toc319932558 \h </w:instrText>
      </w:r>
      <w:r>
        <w:rPr>
          <w:rFonts w:ascii="黑体" w:hAnsi="黑体" w:eastAsia="黑体" w:cs="Times New Roman"/>
          <w:kern w:val="2"/>
          <w:sz w:val="24"/>
          <w:szCs w:val="24"/>
          <w:highlight w:val="none"/>
          <w:lang w:val="en-US" w:eastAsia="zh-CN" w:bidi="ar-SA"/>
        </w:rPr>
        <w:fldChar w:fldCharType="separate"/>
      </w:r>
      <w:r>
        <w:rPr>
          <w:rFonts w:ascii="黑体" w:hAnsi="黑体" w:eastAsia="黑体" w:cs="Times New Roman"/>
          <w:kern w:val="2"/>
          <w:sz w:val="24"/>
          <w:szCs w:val="24"/>
          <w:highlight w:val="none"/>
          <w:lang w:val="en-US" w:eastAsia="zh-CN" w:bidi="ar-SA"/>
        </w:rPr>
        <w:t>48</w:t>
      </w:r>
      <w:r>
        <w:rPr>
          <w:rFonts w:ascii="黑体" w:hAnsi="黑体" w:eastAsia="黑体" w:cs="Times New Roman"/>
          <w:kern w:val="2"/>
          <w:sz w:val="24"/>
          <w:szCs w:val="24"/>
          <w:highlight w:val="none"/>
          <w:lang w:val="en-US" w:eastAsia="zh-CN" w:bidi="ar-SA"/>
        </w:rPr>
        <w:fldChar w:fldCharType="end"/>
      </w:r>
      <w:r>
        <w:rPr>
          <w:rStyle w:val="95"/>
          <w:rFonts w:ascii="Times New Roman" w:hAnsi="Times New Roman" w:eastAsia="宋体" w:cs="Times New Roman"/>
          <w:kern w:val="2"/>
          <w:sz w:val="24"/>
          <w:szCs w:val="24"/>
          <w:highlight w:val="none"/>
          <w:lang w:val="en-US" w:eastAsia="zh-CN" w:bidi="ar-SA"/>
        </w:rPr>
        <w:fldChar w:fldCharType="end"/>
      </w:r>
    </w:p>
    <w:p>
      <w:pPr>
        <w:widowControl w:val="0"/>
        <w:spacing w:line="360" w:lineRule="auto"/>
        <w:jc w:val="both"/>
        <w:rPr>
          <w:rFonts w:hint="eastAsia" w:ascii="仿宋_GB2312" w:hAnsi="黑体" w:eastAsia="仿宋_GB2312" w:cs="Times New Roman"/>
          <w:b/>
          <w:kern w:val="2"/>
          <w:sz w:val="24"/>
          <w:szCs w:val="24"/>
          <w:highlight w:val="none"/>
          <w:lang w:val="en-US" w:eastAsia="zh-CN" w:bidi="ar-SA"/>
        </w:rPr>
      </w:pPr>
      <w:r>
        <w:rPr>
          <w:rFonts w:hint="eastAsia" w:ascii="仿宋_GB2312" w:hAnsi="黑体" w:eastAsia="仿宋_GB2312" w:cs="Times New Roman"/>
          <w:kern w:val="2"/>
          <w:sz w:val="24"/>
          <w:szCs w:val="24"/>
          <w:highlight w:val="none"/>
          <w:lang w:val="en-US" w:eastAsia="zh-CN" w:bidi="ar-SA"/>
        </w:rPr>
        <w:fldChar w:fldCharType="end"/>
      </w:r>
      <w:bookmarkStart w:id="977" w:name="_Toc196484062"/>
      <w:bookmarkStart w:id="978" w:name="_Toc196398438"/>
      <w:bookmarkStart w:id="979" w:name="_Toc178058115"/>
    </w:p>
    <w:p>
      <w:pPr>
        <w:spacing w:line="360" w:lineRule="auto"/>
        <w:ind w:firstLine="480" w:firstLineChars="200"/>
        <w:rPr>
          <w:rFonts w:ascii="仿宋_GB2312" w:eastAsia="仿宋_GB2312"/>
          <w:sz w:val="24"/>
          <w:highlight w:val="none"/>
        </w:rPr>
        <w:sectPr>
          <w:footerReference r:id="rId11" w:type="first"/>
          <w:footerReference r:id="rId9" w:type="default"/>
          <w:footerReference r:id="rId10" w:type="even"/>
          <w:type w:val="nextColumn"/>
          <w:pgSz w:w="11906" w:h="16838"/>
          <w:pgMar w:top="1440" w:right="1797" w:bottom="1440" w:left="1797" w:header="851" w:footer="992" w:gutter="0"/>
          <w:pgNumType w:fmt="decimal" w:start="1"/>
          <w:cols w:space="425" w:num="1"/>
          <w:titlePg/>
          <w:docGrid w:type="lines" w:linePitch="312" w:charSpace="0"/>
        </w:sectPr>
      </w:pP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980" w:name="_Toc319932538"/>
      <w:bookmarkStart w:id="981" w:name="_Toc311040980"/>
      <w:bookmarkStart w:id="982" w:name="_Toc21520"/>
      <w:r>
        <w:rPr>
          <w:rFonts w:hint="eastAsia" w:ascii="黑体" w:hAnsi="Times New Roman" w:eastAsia="黑体" w:cs="Times New Roman"/>
          <w:b w:val="0"/>
          <w:bCs/>
          <w:kern w:val="44"/>
          <w:sz w:val="28"/>
          <w:szCs w:val="28"/>
          <w:highlight w:val="none"/>
          <w:lang w:val="en-US" w:eastAsia="zh-CN" w:bidi="ar-SA"/>
        </w:rPr>
        <w:t>前  言</w:t>
      </w:r>
      <w:bookmarkEnd w:id="980"/>
      <w:bookmarkEnd w:id="981"/>
      <w:bookmarkEnd w:id="982"/>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为规范企业年金基金的运作，维护甲乙双方及受益人的合法权益，明确甲乙双方的权利义务，依据《中华人民共和国信托法》、《中华人民共和国合同法》、《企业年金试行办法》（劳动和社会保障部令第20号）、《企业年金基金管理办法》（人力资源和社会保障部令第11号）等法律法规规定及甲方企业年金方案，在平等自愿和诚实信用的基础上，甲乙双方签订《</w:t>
      </w:r>
      <w:r>
        <w:rPr>
          <w:rFonts w:hint="eastAsia" w:ascii="仿宋_GB2312" w:hAnsi="宋体" w:eastAsia="仿宋_GB2312" w:cs="Times New Roman"/>
          <w:sz w:val="28"/>
          <w:szCs w:val="28"/>
          <w:highlight w:val="none"/>
          <w:u w:val="single"/>
        </w:rPr>
        <w:t xml:space="preserve">     </w:t>
      </w:r>
      <w:r>
        <w:rPr>
          <w:rFonts w:hint="eastAsia" w:ascii="仿宋_GB2312" w:hAnsi="宋体" w:eastAsia="仿宋_GB2312" w:cs="Times New Roman"/>
          <w:sz w:val="28"/>
          <w:szCs w:val="28"/>
          <w:highlight w:val="none"/>
        </w:rPr>
        <w:t>企业年金计划受托管理合同</w:t>
      </w:r>
      <w:r>
        <w:rPr>
          <w:rFonts w:hint="eastAsia" w:ascii="仿宋_GB2312" w:hAnsi="Times New Roman" w:eastAsia="仿宋_GB2312" w:cs="Times New Roman"/>
          <w:sz w:val="28"/>
          <w:szCs w:val="28"/>
          <w:highlight w:val="none"/>
        </w:rPr>
        <w:t>》（以下简称“本合同”）。</w:t>
      </w: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983" w:name="_Toc4837"/>
      <w:bookmarkStart w:id="984" w:name="_Toc319932539"/>
      <w:bookmarkStart w:id="985" w:name="_Toc311040981"/>
      <w:r>
        <w:rPr>
          <w:rFonts w:hint="eastAsia" w:ascii="黑体" w:hAnsi="Times New Roman" w:eastAsia="黑体" w:cs="Times New Roman"/>
          <w:b w:val="0"/>
          <w:bCs/>
          <w:kern w:val="44"/>
          <w:sz w:val="28"/>
          <w:szCs w:val="28"/>
          <w:highlight w:val="none"/>
          <w:lang w:val="en-US" w:eastAsia="zh-CN" w:bidi="ar-SA"/>
        </w:rPr>
        <w:t>第一章　定义</w:t>
      </w:r>
      <w:bookmarkEnd w:id="983"/>
      <w:bookmarkEnd w:id="984"/>
      <w:bookmarkEnd w:id="985"/>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在本合同中，除上下文另有解释外，下列词语应当具有如下含义：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  企业年金：指甲方及其职工在依法参加基本养老保险的基础上，自愿建立的补充养老保险制度。</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  企业年金方案：指由甲方发起、甲方职工参与、经过甲方和甲方职工的集体协商，并经人力资源社会保障行政部门审核备案的具有法律效力的文件，内容包括甲方参加人员范围，资金筹集方式，个人账户管理方式，基金管理方式，企业年金待遇计发办法、支付方式、支付条件，组织管理和监督方式，中止缴费的条件及双方约定的其他事项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  企业年金计划：由企业年金方案和企业年金基金管理合同等法律文件组成。</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  企业年金单一计划：指受托人将单个委托人交付的企业年金基金，单独进行受托管理的企业年金计划。</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1.5  企业年金集合计划：指同一受托人将多个委托人交付的企业年金基金，集中进行受托管理的企业年金计划。</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  企业年金基金财产：指甲方及其职工根据企业年金方案归集的资金及其投资运营收益形成的企业补充养老保险基金。</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1.7  委托投资资产：指企业年金基金财产中已委托给投资管理人的资产。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  委托人：指建立企业年金计划的甲方及其职工。本合同中甲方代表委托人行使委托人的权利义务。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1.9  受益人：指按照企业年金方案规定，参加企业年金计划的甲方职工及其他享有企业年金计划受益权的自然人。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1.10  受托人：指受托管理企业年金基金的符合国家规定的养老金管理公司等法人受托机构，本合同中特指乙方。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  账户管理人：指接受受托人委托管理企业年金基金账户的符合国家规定的专业机构。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1.12  托管人：指接受受托人委托保管企业年金基金财产的符合国家规定的商业银行。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1.13  投资管理人：指接受受托人委托投资管理企业年金基金财产的符合国家规定的专业机构。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1.14  账户管理合同：指乙方与账户管理人签订的《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企业年金计划账户管理合同》及其附件，以及乙方和账户管理人对该合同及附件做出的任何有效变更及补充。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1.15  托管合同：指乙方与托管人签订的《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企业年金计划托管合同》及其附件，以及乙方和托管人对该合同及附件做出的任何有效变更及补充。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1.16  投资管理合同：指乙方与投资管理人签订的《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企业年金计划投资管理合同》及其附件，以及乙方和投资管理人对该合同及附件做出的任何有效变更及补充。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1.17  受托财产托管账户：指托管人开立的、专门用于归集企业年金缴费、向投资资产托管账户划拨资金、向受益人支付企业年金待遇、依据法律法规规定支付企业年金管理费用或转移企业年金基金财产的专用存款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1.18  投资资产托管账户：指托管人开立的、专门用于所托管的企业年金基金因投资运作而发生的资金清算交收的专用存款账户。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1.19  企业账户：指用于记录企业基本信息及企业年金计划权益信息的账户。企业基本信息至少应当包括企业编码、企业名称、组织机构代码、通讯地址、联系人姓名及电话；企业年金计划权益信息至少应当包括缴费、支付、投资收益、权益余额、未归属权益等信息。</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1.20  个人账户：指用于记录职工个人基本信息、企业缴费信息、个人缴费信息、投资收益、已归属权益等信息的账户。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1.21  保留账户：指职工因变动工作、升学、参军、失业等法律法规规定的原因离职或者企业年金计划终止且没有加入其他受托人管理的企业年金计划时，用于记录职工个人基本信息、投资收益、权益余额等信息的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1.22  退休账户：指职工退休选择分期领取企业年金待遇时，用于记录职工个人基本信息、企业年金待遇支付、投资收益、权益余额等信息的账户。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1.23  已归属权益：指甲方职工符合企业年金方案规定的归属条件时，确定该职工企业年金个人账户中企业缴费及其投资运营收益中应当取得的权益。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1.24  未归属权益：</w:t>
      </w:r>
      <w:r>
        <w:rPr>
          <w:rFonts w:ascii="仿宋_GB2312" w:hAnsi="Times New Roman" w:eastAsia="仿宋_GB2312" w:cs="Times New Roman"/>
          <w:sz w:val="28"/>
          <w:szCs w:val="28"/>
          <w:highlight w:val="none"/>
        </w:rPr>
        <w:t>指甲方职工离开甲方时，按照企业年金方案规定的归属条件，职工个人账户中未能归属于职工的企业缴费及其投资运营收益。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1.25  个人账户权益：指企业年金个人账户中个人缴费及其投资运营收益以及受益人享有的已归属权益。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1.26  企业年金待遇：指按照相关法律法规和企业年金方案应当支付给受益人的个人账户权益。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1.27  投资组合：指为分散风险而将企业年金基金分成的若干投资单元。</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1.28  投资管理风险准备金：指投资管理人从当期收取的投资管理费中提取的专项用于弥补合同终止时所管理投资组合的企业年金基金当期投资亏损的资金。</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1.29  投资管理风险准备金账户：指投资管理人开立的、专门用于存放从投资管理人投资管理费中提取的投资管理风险准备金的专用存款账户。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1.30  交易日：指上海证券交易所、深圳证券交易所等交易所正常的营业日。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1.31  审计费用：指对企业年金计划进行审计所发生的费用。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1.32  交易费用：指因证券买卖所产生的印花税、手续费、过户费、证管费、交易单元佣金及账户维护费等费用。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1.33  资金划拨费用：指因受托财产托管账户与投资资产托管账户之间的资金划拨、投资资产托管账户与证券市场、银行间债券市场、开放式基金等登记清算机构的资金账户之间的资金划拨、企业年金待遇领取的资金划拨以及支付有关费用等产生的汇划费用以及由此产生的银行票据购买等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1.34  开户费用：指托管人为企业年金计划及投资组合开设资金类和投资交易类等账户时所发生的费用。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1.35  清算费用：指企业年金计划终止时对企业年金基金财产进行清算时发生的费用。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1.36  超缴：指委托人实际缴费金额大于缴费收账通知的应收缴费金额。</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1.37  短缴：指委托人实际缴费金额小于缴费收账通知的应收缴费金额。</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1.38  管理职责终止日：指企业年金计划的受托人、账户管理人、托管人或投资管理人职责终止，新旧管理人业务移交手续办理完毕之日，具体日期由受托人与新旧管理人协商确定。</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1.39  法律法规: 本合同所称法律法规指国家现行有效并公布实施的法律、行政法规、司法解释、部门规章及规范性文件等。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1.40  不可抗力：指甲乙双方不能预见、不能避免且不能克服的客观情况，包括但不限于自然灾害、社会政治动乱和战争、以及证券交易所、中国证券登记结算有限责任公司、中央国债登记结算有限责任公司、银行间市场清算所股份有限公司等证券交易和结算机构的交易系统故障。</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1.41  损失：本合同、附件以及后续签订的补充协议中所指的损失均指直接损失。</w:t>
      </w: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986" w:name="_Toc319932540"/>
      <w:bookmarkStart w:id="987" w:name="_Toc311040982"/>
      <w:bookmarkStart w:id="988" w:name="_Toc4935"/>
      <w:r>
        <w:rPr>
          <w:rFonts w:hint="eastAsia" w:ascii="黑体" w:hAnsi="Times New Roman" w:eastAsia="黑体" w:cs="Times New Roman"/>
          <w:b w:val="0"/>
          <w:bCs/>
          <w:kern w:val="44"/>
          <w:sz w:val="28"/>
          <w:szCs w:val="28"/>
          <w:highlight w:val="none"/>
          <w:lang w:val="en-US" w:eastAsia="zh-CN" w:bidi="ar-SA"/>
        </w:rPr>
        <w:t>第二章  声明与承诺</w:t>
      </w:r>
      <w:bookmarkEnd w:id="986"/>
      <w:bookmarkEnd w:id="987"/>
      <w:bookmarkEnd w:id="988"/>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  甲方声明与承诺。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2.1.1  甲方声明已通过职工大会(或者职工代表大会)讨论确定，</w:t>
      </w:r>
      <w:r>
        <w:rPr>
          <w:rFonts w:ascii="仿宋_GB2312" w:hAnsi="Times New Roman" w:eastAsia="仿宋_GB2312" w:cs="Times New Roman"/>
          <w:sz w:val="28"/>
          <w:szCs w:val="28"/>
          <w:highlight w:val="none"/>
        </w:rPr>
        <w:t>取得</w:t>
      </w:r>
      <w:r>
        <w:rPr>
          <w:rFonts w:hint="eastAsia" w:ascii="仿宋_GB2312" w:hAnsi="Times New Roman" w:eastAsia="仿宋_GB2312" w:cs="Times New Roman"/>
          <w:sz w:val="28"/>
          <w:szCs w:val="28"/>
          <w:highlight w:val="none"/>
        </w:rPr>
        <w:t>职工</w:t>
      </w:r>
      <w:r>
        <w:rPr>
          <w:rFonts w:ascii="仿宋_GB2312" w:hAnsi="Times New Roman" w:eastAsia="仿宋_GB2312" w:cs="Times New Roman"/>
          <w:sz w:val="28"/>
          <w:szCs w:val="28"/>
          <w:highlight w:val="none"/>
        </w:rPr>
        <w:t>的合法授权，代表</w:t>
      </w:r>
      <w:r>
        <w:rPr>
          <w:rFonts w:hint="eastAsia" w:ascii="仿宋_GB2312" w:hAnsi="Times New Roman" w:eastAsia="仿宋_GB2312" w:cs="Times New Roman"/>
          <w:sz w:val="28"/>
          <w:szCs w:val="28"/>
          <w:highlight w:val="none"/>
        </w:rPr>
        <w:t>委托人</w:t>
      </w:r>
      <w:r>
        <w:rPr>
          <w:rFonts w:ascii="仿宋_GB2312" w:hAnsi="Times New Roman" w:eastAsia="仿宋_GB2312" w:cs="Times New Roman"/>
          <w:sz w:val="28"/>
          <w:szCs w:val="28"/>
          <w:highlight w:val="none"/>
        </w:rPr>
        <w:t>签署</w:t>
      </w:r>
      <w:r>
        <w:rPr>
          <w:rFonts w:hint="eastAsia" w:ascii="仿宋_GB2312" w:hAnsi="Times New Roman" w:eastAsia="仿宋_GB2312" w:cs="Times New Roman"/>
          <w:sz w:val="28"/>
          <w:szCs w:val="28"/>
          <w:highlight w:val="none"/>
        </w:rPr>
        <w:t>本合同</w:t>
      </w:r>
      <w:r>
        <w:rPr>
          <w:rFonts w:ascii="仿宋_GB2312" w:hAnsi="Times New Roman" w:eastAsia="仿宋_GB2312" w:cs="Times New Roman"/>
          <w:sz w:val="28"/>
          <w:szCs w:val="28"/>
          <w:highlight w:val="none"/>
        </w:rPr>
        <w:t>，并可代为处理与受益人相关的事项</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但法律法规</w:t>
      </w:r>
      <w:r>
        <w:rPr>
          <w:rFonts w:hint="eastAsia" w:ascii="仿宋_GB2312" w:hAnsi="Times New Roman" w:eastAsia="仿宋_GB2312" w:cs="Times New Roman"/>
          <w:sz w:val="28"/>
          <w:szCs w:val="28"/>
          <w:highlight w:val="none"/>
        </w:rPr>
        <w:t>规定</w:t>
      </w:r>
      <w:r>
        <w:rPr>
          <w:rFonts w:ascii="仿宋_GB2312" w:hAnsi="Times New Roman" w:eastAsia="仿宋_GB2312" w:cs="Times New Roman"/>
          <w:sz w:val="28"/>
          <w:szCs w:val="28"/>
          <w:highlight w:val="none"/>
        </w:rPr>
        <w:t>、本合同约定及根据行为性质只能由受益人自己处理的事项除外</w:t>
      </w:r>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2.1.2  甲方声明已了解国家关于企业年金的法律法规规定及本合同约定，充分认识到企业年金基金财产运作过程中可能存在的风险，自愿按照法律法规规定及本合同约定将其合法拥有的按照其企业年金方案所归集的企业年金基金财产委托给乙方管理运用、处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2.1.3  甲方声明甲方依据企业年金计划设立的相关文件和资料，签署本合同并履行本合同约定的义务，行使本合同项下的权利，不违反甲方章程和适用于甲方的任何生效判决、裁定、授权及协议，不会为其他任何第三方所质疑，并为合同有效执行负有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2.1.4  甲方承诺企业年金基金财产来源及用途符合法律法规规定，并保证企业年金基金财产没有用于任何担保和抵押，亦无其他任何限制性条件妨碍乙方对企业年金基金财产进行受托管理。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2.1.5  甲方承诺提供给乙方的所有信息资料均合法、真实、准确、完整，没有任何虚假陈述、重大遗漏和误导。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  乙方声明与承诺。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2.2.1  乙方声明本公司为根据法律法规合法设立并有效存续、依法取得企业年金基金受托管理业务资格、受托管理企业年金基金财产的法人受托机构。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2.2.2  乙方声明签署本合同、履行其在本合同项下的义务、行使其在本合同项下的权利，不违反乙方章程和适用于乙方的任何生效判决、裁定、授权及协议。</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2.2.3  乙方声明市场存在风险，不保证企业年金基金财产管理过程中本金不受损失，亦不保证一定盈利。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2.2.4  乙方承诺严格遵守法律法规规定、企业年金管理机构行业自律公约和本合同约定，恪尽职守，按照诚实、信用、谨慎、勤勉的原则，履行受托管理职责，为受益人最大利益管理和处分企业年金基金财产。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2.2.5  乙方承诺提供给甲方的所有信息资料均合法、真实、准确、完整，没有任何虚假陈述、重大遗漏和误导。</w:t>
      </w:r>
    </w:p>
    <w:bookmarkEnd w:id="977"/>
    <w:bookmarkEnd w:id="978"/>
    <w:bookmarkEnd w:id="979"/>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989" w:name="_Toc196484064"/>
      <w:bookmarkStart w:id="990" w:name="_Toc319932541"/>
      <w:bookmarkStart w:id="991" w:name="_Toc311040983"/>
      <w:bookmarkStart w:id="992" w:name="_Toc7404"/>
      <w:r>
        <w:rPr>
          <w:rFonts w:hint="eastAsia" w:ascii="黑体" w:hAnsi="Times New Roman" w:eastAsia="黑体" w:cs="Times New Roman"/>
          <w:b w:val="0"/>
          <w:bCs/>
          <w:kern w:val="44"/>
          <w:sz w:val="28"/>
          <w:szCs w:val="28"/>
          <w:highlight w:val="none"/>
          <w:lang w:val="en-US" w:eastAsia="zh-CN" w:bidi="ar-SA"/>
        </w:rPr>
        <w:t>第三章  受托的设立</w:t>
      </w:r>
      <w:bookmarkEnd w:id="989"/>
      <w:bookmarkEnd w:id="990"/>
      <w:bookmarkEnd w:id="991"/>
      <w:bookmarkEnd w:id="992"/>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3.1  设立的条件。</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甲方企业年金方案已经过人力资源社会保障行政部门备案，方案备案文号为</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3.2  设立的目的。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保障企业年金基金财产的独立性，争取实现企业年金基金保值增值，提高受益人退休后的收入水平。</w:t>
      </w:r>
    </w:p>
    <w:p>
      <w:pPr>
        <w:tabs>
          <w:tab w:val="left" w:pos="2700"/>
        </w:tabs>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3.3  受托财产。</w:t>
      </w:r>
    </w:p>
    <w:p>
      <w:pPr>
        <w:tabs>
          <w:tab w:val="left" w:pos="2700"/>
        </w:tabs>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甲方委托乙方按本合同约定进行受托管理的企业年金基金财产。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3.4  受托的成立。</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甲方与乙方签订的受托管理合同以及乙方与其他管理人分别签订的委托管理合同，经人力资源社会保障行政部门备案后，受托成立。</w:t>
      </w: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993" w:name="_Toc319932542"/>
      <w:bookmarkStart w:id="994" w:name="_Toc311040984"/>
      <w:bookmarkStart w:id="995" w:name="_Toc23371"/>
      <w:r>
        <w:rPr>
          <w:rFonts w:hint="eastAsia" w:ascii="黑体" w:hAnsi="Times New Roman" w:eastAsia="黑体" w:cs="Times New Roman"/>
          <w:b w:val="0"/>
          <w:bCs/>
          <w:kern w:val="44"/>
          <w:sz w:val="28"/>
          <w:szCs w:val="28"/>
          <w:highlight w:val="none"/>
          <w:lang w:val="en-US" w:eastAsia="zh-CN" w:bidi="ar-SA"/>
        </w:rPr>
        <w:t>第四章  受托当事人的权利与义务</w:t>
      </w:r>
      <w:bookmarkEnd w:id="993"/>
      <w:bookmarkEnd w:id="994"/>
      <w:bookmarkEnd w:id="995"/>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4.1  受托当事人。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受托当事人为甲方、乙方和受益人。</w:t>
      </w:r>
    </w:p>
    <w:p>
      <w:pPr>
        <w:spacing w:line="360" w:lineRule="auto"/>
        <w:ind w:firstLine="560" w:firstLineChars="200"/>
        <w:rPr>
          <w:rFonts w:hint="eastAsia" w:ascii="仿宋_GB2312" w:hAnsi="Times New Roman" w:eastAsia="仿宋_GB2312" w:cs="Times New Roman"/>
          <w:sz w:val="28"/>
          <w:szCs w:val="28"/>
          <w:highlight w:val="none"/>
        </w:rPr>
      </w:pPr>
      <w:bookmarkStart w:id="996" w:name="_Toc200433424"/>
      <w:bookmarkStart w:id="997" w:name="_Toc196484069"/>
      <w:bookmarkStart w:id="998" w:name="_Toc200853037"/>
      <w:bookmarkStart w:id="999" w:name="_Toc200433616"/>
      <w:r>
        <w:rPr>
          <w:rFonts w:hint="eastAsia" w:ascii="仿宋_GB2312" w:hAnsi="Times New Roman" w:eastAsia="仿宋_GB2312" w:cs="Times New Roman"/>
          <w:sz w:val="28"/>
          <w:szCs w:val="28"/>
          <w:highlight w:val="none"/>
        </w:rPr>
        <w:t>4.2  甲方的权利与义务</w:t>
      </w:r>
      <w:bookmarkEnd w:id="996"/>
      <w:bookmarkEnd w:id="997"/>
      <w:bookmarkEnd w:id="998"/>
      <w:bookmarkEnd w:id="999"/>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  甲方的权利。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4.2.1.1  监督乙方的受托管理行为。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4.2.1.2  向乙方了解企业年金基金财产管理、处分及收支情况，并有权要求乙方做出说明。</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4.2.1.3  依据法律法规规定，查阅、抄录或者复制与企业年金基金财产有关的财务资料以及与企业年金基金管理有关的其他资料。</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4.2.1.4  按本合同约定终止本合同。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4.2.1.5  向乙方查阅企业年金计划的委托管理合同。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4.2.1.6  行使法律法规规定及本合同约定的其他权利。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  甲方的义务。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4.2.2.1  遵守法律法规规定及本合同约定，不损害国家、社会公众和受益人的合法权益，如法律法规调整，应当及时与乙方协商，相应调整本合同相关内容。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4.2.2.2  按企业年金方案规定缴费，并于企业年金基金缴费归集到受托财产托管账户后配合乙方在</w:t>
      </w:r>
      <w:r>
        <w:rPr>
          <w:rFonts w:ascii="仿宋_GB2312" w:hAnsi="Times New Roman" w:eastAsia="仿宋_GB2312" w:cs="Times New Roman"/>
          <w:sz w:val="28"/>
          <w:szCs w:val="28"/>
          <w:highlight w:val="none"/>
        </w:rPr>
        <w:t>45</w:t>
      </w:r>
      <w:r>
        <w:rPr>
          <w:rFonts w:hint="eastAsia" w:ascii="仿宋_GB2312" w:hAnsi="Times New Roman" w:eastAsia="仿宋_GB2312" w:cs="Times New Roman"/>
          <w:sz w:val="28"/>
          <w:szCs w:val="28"/>
          <w:highlight w:val="none"/>
        </w:rPr>
        <w:t>日内将缴费划入投资资产托管账户。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4.2.2.3  及时足额支付账户管理费；同意乙方按本合同约定从企业年金基金财产中列支受托管理费、托管费、投资管理费和其他有关费用。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4.2.2.4  及时向乙方提供企业年金方案建立和运作所必需的相关资料和信息，包括企业基本信息、职工个人基本信息、缴费信息、支付年金待遇的相关证明等，并承担本合同和企业年金方案约定的管理流程中确认数据等各项职责。其中，</w:t>
      </w:r>
      <w:r>
        <w:rPr>
          <w:rFonts w:ascii="仿宋_GB2312" w:hAnsi="Times New Roman" w:eastAsia="仿宋_GB2312" w:cs="Times New Roman"/>
          <w:sz w:val="28"/>
          <w:szCs w:val="28"/>
          <w:highlight w:val="none"/>
        </w:rPr>
        <w:t>企业基本信息应当包括企业编码、企业名称、组织机构代码、通讯地址、联系人姓名及电话等</w:t>
      </w:r>
      <w:r>
        <w:rPr>
          <w:rFonts w:hint="eastAsia" w:ascii="仿宋_GB2312" w:hAnsi="Times New Roman" w:eastAsia="仿宋_GB2312" w:cs="Times New Roman"/>
          <w:sz w:val="28"/>
          <w:szCs w:val="28"/>
          <w:highlight w:val="none"/>
        </w:rPr>
        <w:t>信息，</w:t>
      </w:r>
      <w:r>
        <w:rPr>
          <w:rFonts w:ascii="仿宋_GB2312" w:hAnsi="Times New Roman" w:eastAsia="仿宋_GB2312" w:cs="Times New Roman"/>
          <w:sz w:val="28"/>
          <w:szCs w:val="28"/>
          <w:highlight w:val="none"/>
        </w:rPr>
        <w:t>个人基本信息应当包括企业年金计划编码、姓名、性别、出生日期、公民身份证号码或其他有效身份证件号码、通信地址、联系电话、参加工作日期、参加计划日期等信息。</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4.2.2.5  向受益人披露企业年金基金管理相关信息，包括但不限于：本合同内容、受益人个人账户状态变更情况、企业年金计划的定期报告、临时报告、审计报告及清算报告等。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4.2.2.6  如变更企业年金方案，变更内容涉及受托管理职责的，应当提前与乙方协商。甲方应当及时向人力资源社会保障行政部门报备变更后的企业年金方案，并及时书面告知乙方。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4.2.2.7  如甲方终止企业年金计划，应当向乙方提出申请将受益人的个人账户权益转至保留账户管理。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4.2.2.8  甲方无正当理由不得干预乙方行使法律法规赋予的受托人职责、不得干预乙方选择其他企业年金基金管理机构。如因甲方无故干预，导致企业年金基金财产受到损失的，该损失由甲方承担。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4.2.2.9  完整保存与本合同有关的凭证、合同及协议等资料，自合同终止之日起至少15年。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4.2.2.10  履行法律法规规定及本合同约定的其他义务。</w:t>
      </w:r>
    </w:p>
    <w:p>
      <w:pPr>
        <w:spacing w:line="360" w:lineRule="auto"/>
        <w:ind w:firstLine="560" w:firstLineChars="200"/>
        <w:rPr>
          <w:rFonts w:hint="eastAsia" w:ascii="仿宋_GB2312" w:hAnsi="Times New Roman" w:eastAsia="仿宋_GB2312" w:cs="Times New Roman"/>
          <w:sz w:val="28"/>
          <w:szCs w:val="28"/>
          <w:highlight w:val="none"/>
        </w:rPr>
      </w:pPr>
      <w:bookmarkStart w:id="1000" w:name="_Toc200433617"/>
      <w:bookmarkStart w:id="1001" w:name="_Toc196484070"/>
      <w:bookmarkStart w:id="1002" w:name="_Toc200853038"/>
      <w:bookmarkStart w:id="1003" w:name="_Toc200433425"/>
      <w:r>
        <w:rPr>
          <w:rFonts w:hint="eastAsia" w:ascii="仿宋_GB2312" w:hAnsi="Times New Roman" w:eastAsia="仿宋_GB2312" w:cs="Times New Roman"/>
          <w:sz w:val="28"/>
          <w:szCs w:val="28"/>
          <w:highlight w:val="none"/>
        </w:rPr>
        <w:t>4.3  乙方的权利与义务</w:t>
      </w:r>
      <w:bookmarkEnd w:id="1000"/>
      <w:bookmarkEnd w:id="1001"/>
      <w:bookmarkEnd w:id="1002"/>
      <w:bookmarkEnd w:id="1003"/>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  乙方的权利。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4.3.1.1  自本合同生效之日起，有权依据法律法规规定及本合同约定，管理运用、处分企业年金基金财产。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4.3.1.2  依据本合同约定及时从甲方获得与企业年金计划管理有关的业务资料及信息。</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4.3.1.3  选择、监督、更换账户管理人、托管人和投资管理人。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4.3.1.4  依据本合同约定从受托财产中收取受托管理费；要求甲方按照账户管理合同约定及时、足额支付账户管理费；依据托管合同、投资管理合同约定从企业年金基金财产中列支托管费和投资管理费。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4.3.1.5  甲方依法解散、被依法撤销、被依法宣告破产或者被依法接管无法继续履行本合同时，甲方未及时办理受益人的个人账户权益转至保留账户相关手续的，乙方有权将受益人的个人账户权益转至乙方发起设立的企业年金集合计划下的保留账户管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4.3.1.6  当甲方的指令同有关法律法规相抵触时，乙方有权拒绝执行。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4.3.1.7  行使法律法规规定及本合同约定的其他权利。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  乙方的义务。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4.3.2.1  遵守法律法规规定及本合同约定，不损害国家、社会公众和受益人的合法权益，如法律法规调整，应当及时与甲方协商，相应调整本合同相关内容。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4.3.2.2  遵守本合同约定，本着受益人长期利益最大化原则履行受托职责。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4.3.2.3  建立健全内部风险控制、监察与稽核、财务管理及人事管理等制度，设置相应部门，并配备足够专业人员，严格控制企业年金基金运作风险。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4.3.2.4  除依照法律法规规定及本合同约定取得报酬外，不得利用企业年金基金财产谋取不正当利益。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4.3.2.5  将企业年金基金财产与乙方的固有财产及乙方管理的其他财产分别管理、分别记账。</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4.3.2.6  管理、处分企业年金基金财产所产生的债权债务，不得与乙方的固有财产及乙方管理的其他财产所产生的债权债务相抵销。</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4.3.2.7  监督账户管理人、托管人以及投资管理人的行为，如发现账户管理人、托管人以及投资管理人违反本合同及法律法规，应当采取必要措施保护甲方及受益人的利益，并及时向甲方及人力资源社会保障行政部门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4.3.2.8  按照法律法规规定，接受和配合人力资源社会保障行政部门的监管，积极履行相关备案和报告的义务。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4.3.2.9  按照法律法规规定，聘请会计师事务所对企业年金计划进行审计。 企业年金计划终止时，组织清算组对企业年金基金财产进行清算。</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4.3.2.10  乙方职责终止的，甲方选任新的受托人后，乙方应当与新的受托人及时妥善进行交接工作，乙方完成与新的受托人交接工作之前，应当继续履行受托人职责和义务，并按本合同约定收取相关费用。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4.3.2.11  完整保存与本合同有关的企业年金基金管理记录，包括各类纸质和电子文件，保存期限为在本合同终止后至少15年，并要求其他管理人完整保存相关资料。</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4.3.2.12  履行法律法规规定及本合同约定的其他义务。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  受益人权利和义务。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4.4.1  受益人权利。</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4.4.1.1  按照</w:t>
      </w:r>
      <w:r>
        <w:rPr>
          <w:rFonts w:ascii="仿宋_GB2312" w:hAnsi="Times New Roman" w:eastAsia="仿宋_GB2312" w:cs="Times New Roman"/>
          <w:sz w:val="28"/>
          <w:szCs w:val="28"/>
          <w:highlight w:val="none"/>
        </w:rPr>
        <w:t>企业年金方案</w:t>
      </w:r>
      <w:r>
        <w:rPr>
          <w:rFonts w:hint="eastAsia" w:ascii="仿宋_GB2312" w:hAnsi="Times New Roman" w:eastAsia="仿宋_GB2312" w:cs="Times New Roman"/>
          <w:sz w:val="28"/>
          <w:szCs w:val="28"/>
          <w:highlight w:val="none"/>
        </w:rPr>
        <w:t>约定的</w:t>
      </w:r>
      <w:r>
        <w:rPr>
          <w:rFonts w:ascii="仿宋_GB2312" w:hAnsi="Times New Roman" w:eastAsia="仿宋_GB2312" w:cs="Times New Roman"/>
          <w:sz w:val="28"/>
          <w:szCs w:val="28"/>
          <w:highlight w:val="none"/>
        </w:rPr>
        <w:t>个人账户权益归属规则</w:t>
      </w:r>
      <w:r>
        <w:rPr>
          <w:rFonts w:hint="eastAsia" w:ascii="仿宋_GB2312" w:hAnsi="Times New Roman" w:eastAsia="仿宋_GB2312" w:cs="Times New Roman"/>
          <w:sz w:val="28"/>
          <w:szCs w:val="28"/>
          <w:highlight w:val="none"/>
        </w:rPr>
        <w:t>享有归属权益。</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4.4.1.2  </w:t>
      </w:r>
      <w:r>
        <w:rPr>
          <w:rFonts w:ascii="仿宋_GB2312" w:hAnsi="Times New Roman" w:eastAsia="仿宋_GB2312" w:cs="Times New Roman"/>
          <w:sz w:val="28"/>
          <w:szCs w:val="28"/>
          <w:highlight w:val="none"/>
        </w:rPr>
        <w:t>根据</w:t>
      </w:r>
      <w:r>
        <w:rPr>
          <w:rFonts w:hint="eastAsia" w:ascii="仿宋_GB2312" w:hAnsi="Times New Roman" w:eastAsia="仿宋_GB2312" w:cs="Times New Roman"/>
          <w:sz w:val="28"/>
          <w:szCs w:val="28"/>
          <w:highlight w:val="none"/>
        </w:rPr>
        <w:t>法律法规规定及本合同约定，</w:t>
      </w:r>
      <w:r>
        <w:rPr>
          <w:rFonts w:ascii="仿宋_GB2312" w:hAnsi="Times New Roman" w:eastAsia="仿宋_GB2312" w:cs="Times New Roman"/>
          <w:sz w:val="28"/>
          <w:szCs w:val="28"/>
          <w:highlight w:val="none"/>
        </w:rPr>
        <w:t>了解、查询企业年金基金个人账户基本情况</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4.4.1.3  </w:t>
      </w:r>
      <w:r>
        <w:rPr>
          <w:rFonts w:ascii="仿宋_GB2312" w:hAnsi="Times New Roman" w:eastAsia="仿宋_GB2312" w:cs="Times New Roman"/>
          <w:sz w:val="28"/>
          <w:szCs w:val="28"/>
          <w:highlight w:val="none"/>
        </w:rPr>
        <w:t>根据</w:t>
      </w:r>
      <w:r>
        <w:rPr>
          <w:rFonts w:hint="eastAsia" w:ascii="仿宋_GB2312" w:hAnsi="Times New Roman" w:eastAsia="仿宋_GB2312" w:cs="Times New Roman"/>
          <w:sz w:val="28"/>
          <w:szCs w:val="28"/>
          <w:highlight w:val="none"/>
        </w:rPr>
        <w:t>法律法规规定及本合同约定，</w:t>
      </w:r>
      <w:r>
        <w:rPr>
          <w:rFonts w:ascii="仿宋_GB2312" w:hAnsi="Times New Roman" w:eastAsia="仿宋_GB2312" w:cs="Times New Roman"/>
          <w:sz w:val="28"/>
          <w:szCs w:val="28"/>
          <w:highlight w:val="none"/>
        </w:rPr>
        <w:t>申请领取企业年金待遇</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4.4.1.4  </w:t>
      </w:r>
      <w:r>
        <w:rPr>
          <w:rFonts w:ascii="仿宋_GB2312" w:hAnsi="Times New Roman" w:eastAsia="仿宋_GB2312" w:cs="Times New Roman"/>
          <w:sz w:val="28"/>
          <w:szCs w:val="28"/>
          <w:highlight w:val="none"/>
        </w:rPr>
        <w:t>受益人离职的，如新工作单位已经建立企业年金计划的，</w:t>
      </w:r>
      <w:r>
        <w:rPr>
          <w:rFonts w:hint="eastAsia" w:ascii="仿宋_GB2312" w:hAnsi="Times New Roman" w:eastAsia="仿宋_GB2312" w:cs="Times New Roman"/>
          <w:sz w:val="28"/>
          <w:szCs w:val="28"/>
          <w:highlight w:val="none"/>
        </w:rPr>
        <w:t>个人账户</w:t>
      </w:r>
      <w:r>
        <w:rPr>
          <w:rFonts w:ascii="仿宋_GB2312" w:hAnsi="Times New Roman" w:eastAsia="仿宋_GB2312" w:cs="Times New Roman"/>
          <w:sz w:val="28"/>
          <w:szCs w:val="28"/>
          <w:highlight w:val="none"/>
        </w:rPr>
        <w:t>权益转至新的企业年金计划；如新工作单位尚未建立企业年金计划的，</w:t>
      </w:r>
      <w:r>
        <w:rPr>
          <w:rFonts w:hint="eastAsia" w:ascii="仿宋_GB2312" w:hAnsi="Times New Roman" w:eastAsia="仿宋_GB2312" w:cs="Times New Roman"/>
          <w:sz w:val="28"/>
          <w:szCs w:val="28"/>
          <w:highlight w:val="none"/>
        </w:rPr>
        <w:t>个人账户</w:t>
      </w:r>
      <w:r>
        <w:rPr>
          <w:rFonts w:ascii="仿宋_GB2312" w:hAnsi="Times New Roman" w:eastAsia="仿宋_GB2312" w:cs="Times New Roman"/>
          <w:sz w:val="28"/>
          <w:szCs w:val="28"/>
          <w:highlight w:val="none"/>
        </w:rPr>
        <w:t>权益</w:t>
      </w:r>
      <w:r>
        <w:rPr>
          <w:rFonts w:hint="eastAsia" w:ascii="仿宋_GB2312" w:hAnsi="Times New Roman" w:eastAsia="仿宋_GB2312" w:cs="Times New Roman"/>
          <w:sz w:val="28"/>
          <w:szCs w:val="28"/>
          <w:highlight w:val="none"/>
        </w:rPr>
        <w:t>可在企业年金计划下建立保留账户管理，或</w:t>
      </w:r>
      <w:r>
        <w:rPr>
          <w:rFonts w:ascii="仿宋_GB2312" w:hAnsi="Times New Roman" w:eastAsia="仿宋_GB2312" w:cs="Times New Roman"/>
          <w:sz w:val="28"/>
          <w:szCs w:val="28"/>
          <w:highlight w:val="none"/>
        </w:rPr>
        <w:t>转至</w:t>
      </w:r>
      <w:r>
        <w:rPr>
          <w:rFonts w:hint="eastAsia" w:ascii="仿宋_GB2312" w:hAnsi="Times New Roman" w:eastAsia="仿宋_GB2312" w:cs="Times New Roman"/>
          <w:sz w:val="28"/>
          <w:szCs w:val="28"/>
          <w:highlight w:val="none"/>
        </w:rPr>
        <w:t>乙方发起设立的企业年金集合计划</w:t>
      </w:r>
      <w:r>
        <w:rPr>
          <w:rFonts w:ascii="仿宋_GB2312" w:hAnsi="Times New Roman" w:eastAsia="仿宋_GB2312" w:cs="Times New Roman"/>
          <w:sz w:val="28"/>
          <w:szCs w:val="28"/>
          <w:highlight w:val="none"/>
        </w:rPr>
        <w:t>下的保留账户进行管理</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4.4.1.5  </w:t>
      </w:r>
      <w:r>
        <w:rPr>
          <w:rFonts w:ascii="仿宋_GB2312" w:hAnsi="Times New Roman" w:eastAsia="仿宋_GB2312" w:cs="Times New Roman"/>
          <w:sz w:val="28"/>
          <w:szCs w:val="28"/>
          <w:highlight w:val="none"/>
        </w:rPr>
        <w:t>如受益人身故，由其指定的</w:t>
      </w:r>
      <w:r>
        <w:rPr>
          <w:rFonts w:hint="eastAsia" w:ascii="仿宋_GB2312" w:hAnsi="Times New Roman" w:eastAsia="仿宋_GB2312" w:cs="Times New Roman"/>
          <w:sz w:val="28"/>
          <w:szCs w:val="28"/>
          <w:highlight w:val="none"/>
        </w:rPr>
        <w:t>身故</w:t>
      </w:r>
      <w:r>
        <w:rPr>
          <w:rFonts w:ascii="仿宋_GB2312" w:hAnsi="Times New Roman" w:eastAsia="仿宋_GB2312" w:cs="Times New Roman"/>
          <w:sz w:val="28"/>
          <w:szCs w:val="28"/>
          <w:highlight w:val="none"/>
        </w:rPr>
        <w:t>受益人</w:t>
      </w:r>
      <w:r>
        <w:rPr>
          <w:rFonts w:hint="eastAsia" w:ascii="仿宋_GB2312" w:hAnsi="Times New Roman" w:eastAsia="仿宋_GB2312" w:cs="Times New Roman"/>
          <w:sz w:val="28"/>
          <w:szCs w:val="28"/>
          <w:highlight w:val="none"/>
        </w:rPr>
        <w:t>或其</w:t>
      </w:r>
      <w:r>
        <w:rPr>
          <w:rFonts w:ascii="仿宋_GB2312" w:hAnsi="Times New Roman" w:eastAsia="仿宋_GB2312" w:cs="Times New Roman"/>
          <w:sz w:val="28"/>
          <w:szCs w:val="28"/>
          <w:highlight w:val="none"/>
        </w:rPr>
        <w:t>法定继承人一次性领取</w:t>
      </w:r>
      <w:r>
        <w:rPr>
          <w:rFonts w:hint="eastAsia" w:ascii="仿宋_GB2312" w:hAnsi="Times New Roman" w:eastAsia="仿宋_GB2312" w:cs="Times New Roman"/>
          <w:sz w:val="28"/>
          <w:szCs w:val="28"/>
          <w:highlight w:val="none"/>
        </w:rPr>
        <w:t>个人账户权益</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法定继承人的认定以有权机关出具的司法文书为准。对法定继承人未经认定但要求支付企业年金待遇的，乙方有权拒绝执行。</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4.4.1.6  行使</w:t>
      </w:r>
      <w:r>
        <w:rPr>
          <w:rFonts w:ascii="仿宋_GB2312" w:hAnsi="Times New Roman" w:eastAsia="仿宋_GB2312" w:cs="Times New Roman"/>
          <w:sz w:val="28"/>
          <w:szCs w:val="28"/>
          <w:highlight w:val="none"/>
        </w:rPr>
        <w:t>法律法规规定及本合同约定的其他权利。</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4.4.2  受益人</w:t>
      </w:r>
      <w:r>
        <w:rPr>
          <w:rFonts w:ascii="仿宋_GB2312" w:hAnsi="Times New Roman" w:eastAsia="仿宋_GB2312" w:cs="Times New Roman"/>
          <w:sz w:val="28"/>
          <w:szCs w:val="28"/>
          <w:highlight w:val="none"/>
        </w:rPr>
        <w:t>义务</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4.4.2.1  </w:t>
      </w:r>
      <w:r>
        <w:rPr>
          <w:rFonts w:ascii="仿宋_GB2312" w:hAnsi="Times New Roman" w:eastAsia="仿宋_GB2312" w:cs="Times New Roman"/>
          <w:sz w:val="28"/>
          <w:szCs w:val="28"/>
          <w:highlight w:val="none"/>
        </w:rPr>
        <w:t>按企业年金方案规定和本合同约定进行缴费</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4.4.2.2  </w:t>
      </w:r>
      <w:r>
        <w:rPr>
          <w:rFonts w:ascii="仿宋_GB2312" w:hAnsi="Times New Roman" w:eastAsia="仿宋_GB2312" w:cs="Times New Roman"/>
          <w:sz w:val="28"/>
          <w:szCs w:val="28"/>
          <w:highlight w:val="none"/>
        </w:rPr>
        <w:t>不得转让企业年金基金受益权，不得将企业年金基金受益权用于偿还债务或担保</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4.4.2.3  </w:t>
      </w:r>
      <w:r>
        <w:rPr>
          <w:rFonts w:ascii="仿宋_GB2312" w:hAnsi="Times New Roman" w:eastAsia="仿宋_GB2312" w:cs="Times New Roman"/>
          <w:sz w:val="28"/>
          <w:szCs w:val="28"/>
          <w:highlight w:val="none"/>
        </w:rPr>
        <w:t>提供企业年金基金管理运作所需的相关资料和信息</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4.4.2.4  按照本合同约定承担保留账户和退休账户的账户管理费。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4.4.2.5  </w:t>
      </w:r>
      <w:r>
        <w:rPr>
          <w:rFonts w:ascii="仿宋_GB2312" w:hAnsi="Times New Roman" w:eastAsia="仿宋_GB2312" w:cs="Times New Roman"/>
          <w:sz w:val="28"/>
          <w:szCs w:val="28"/>
          <w:highlight w:val="none"/>
        </w:rPr>
        <w:t>当受益人离职且新工作单位没有建立企业年金计划</w:t>
      </w:r>
      <w:r>
        <w:rPr>
          <w:rFonts w:hint="eastAsia" w:ascii="仿宋_GB2312" w:hAnsi="Times New Roman" w:eastAsia="仿宋_GB2312" w:cs="Times New Roman"/>
          <w:sz w:val="28"/>
          <w:szCs w:val="28"/>
          <w:highlight w:val="none"/>
        </w:rPr>
        <w:t>，甲方要求受益人的个人账户权益转移</w:t>
      </w:r>
      <w:r>
        <w:rPr>
          <w:rFonts w:ascii="仿宋_GB2312" w:hAnsi="Times New Roman" w:eastAsia="仿宋_GB2312" w:cs="Times New Roman"/>
          <w:sz w:val="28"/>
          <w:szCs w:val="28"/>
          <w:highlight w:val="none"/>
        </w:rPr>
        <w:t>至</w:t>
      </w:r>
      <w:r>
        <w:rPr>
          <w:rFonts w:hint="eastAsia" w:ascii="仿宋_GB2312" w:hAnsi="Times New Roman" w:eastAsia="仿宋_GB2312" w:cs="Times New Roman"/>
          <w:sz w:val="28"/>
          <w:szCs w:val="28"/>
          <w:highlight w:val="none"/>
        </w:rPr>
        <w:t>乙方发起设立的企业年金集合计划</w:t>
      </w:r>
      <w:r>
        <w:rPr>
          <w:rFonts w:ascii="仿宋_GB2312" w:hAnsi="Times New Roman" w:eastAsia="仿宋_GB2312" w:cs="Times New Roman"/>
          <w:sz w:val="28"/>
          <w:szCs w:val="28"/>
          <w:highlight w:val="none"/>
        </w:rPr>
        <w:t>下的保留账户</w:t>
      </w:r>
      <w:r>
        <w:rPr>
          <w:rFonts w:hint="eastAsia" w:ascii="仿宋_GB2312" w:hAnsi="Times New Roman" w:eastAsia="仿宋_GB2312" w:cs="Times New Roman"/>
          <w:sz w:val="28"/>
          <w:szCs w:val="28"/>
          <w:highlight w:val="none"/>
        </w:rPr>
        <w:t>管理的，受益人应当</w:t>
      </w:r>
      <w:r>
        <w:rPr>
          <w:rFonts w:ascii="仿宋_GB2312" w:hAnsi="Times New Roman" w:eastAsia="仿宋_GB2312" w:cs="Times New Roman"/>
          <w:sz w:val="28"/>
          <w:szCs w:val="28"/>
          <w:highlight w:val="none"/>
        </w:rPr>
        <w:t>同意</w:t>
      </w:r>
      <w:r>
        <w:rPr>
          <w:rFonts w:hint="eastAsia" w:ascii="仿宋_GB2312" w:hAnsi="Times New Roman" w:eastAsia="仿宋_GB2312" w:cs="Times New Roman"/>
          <w:sz w:val="28"/>
          <w:szCs w:val="28"/>
          <w:highlight w:val="none"/>
        </w:rPr>
        <w:t>并履行相关手续。</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4.4.2.6  履行</w:t>
      </w:r>
      <w:r>
        <w:rPr>
          <w:rFonts w:ascii="仿宋_GB2312" w:hAnsi="Times New Roman" w:eastAsia="仿宋_GB2312" w:cs="Times New Roman"/>
          <w:sz w:val="28"/>
          <w:szCs w:val="28"/>
          <w:highlight w:val="none"/>
        </w:rPr>
        <w:t>法律法规规定及本合同约定的其他义务。</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04" w:name="_Toc319932543"/>
      <w:bookmarkStart w:id="1005" w:name="_Toc23347"/>
      <w:bookmarkStart w:id="1006" w:name="_Toc311040985"/>
      <w:bookmarkStart w:id="1007" w:name="_Toc196484073"/>
      <w:r>
        <w:rPr>
          <w:rFonts w:hint="eastAsia" w:ascii="黑体" w:hAnsi="黑体" w:eastAsia="黑体" w:cs="Times New Roman"/>
          <w:b w:val="0"/>
          <w:bCs w:val="0"/>
          <w:kern w:val="44"/>
          <w:sz w:val="28"/>
          <w:szCs w:val="28"/>
          <w:highlight w:val="none"/>
          <w:lang w:val="en-US" w:eastAsia="zh-CN" w:bidi="ar-SA"/>
        </w:rPr>
        <w:t>第五章　企业年金基金的管理</w:t>
      </w:r>
      <w:bookmarkEnd w:id="1004"/>
      <w:bookmarkEnd w:id="1005"/>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  受托人的管理职责。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5.1.1  按照法律法规规定及本合同约定监督企业年金基金管理，督促账户管理人、托管人及投资管理人诚实、信用、勤勉、尽责地履行企业年金基金管理职责。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5.1.2  制定企业年金基金资产配置策略，遵循高度安全、稳健收益原则，采取分散风险和专业化管理的方式，实现企业年金保值增值。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5.1.3  与托管人、投资管理人共同协商确定投资监督事项表，督促托管人按照投资监督事项表监督投资管理人的运作。</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5.1.4  依据企业年金方案和本合同的约定审核企业缴费、职工缴费和企业年金待遇支付，及时收取企业和职工缴费，及时、足额向受益人支付企业年金待遇。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5.1.5  要求账户管理人向委托人和受益人提供企业年金基金查询服务。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5.1.6  发生重大事项时，及时向委托人和有关监管部门报告。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5.1.7  受托人选择的账户管理人、托管人及投资管理人未诚实、信用、勤勉、尽责地履行企业年金基金管理职责，由此给企业年金基金财产造成损失的，由账户管理人、托管人及投资管理人负责赔偿相关损失，受托人依法承担相关法律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5.1.8  按照法律法规规定及本合同约定，及时向委托人和有关监管部门提供企业年金基金管理报告，并提供相关查询内容，对报告内容的真实性、完整性、准确性负责。</w:t>
      </w:r>
    </w:p>
    <w:p>
      <w:pPr>
        <w:spacing w:line="360" w:lineRule="auto"/>
        <w:ind w:left="559" w:leftChars="266"/>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5.1.9  承担</w:t>
      </w:r>
      <w:r>
        <w:rPr>
          <w:rFonts w:ascii="仿宋_GB2312" w:hAnsi="Times New Roman" w:eastAsia="仿宋_GB2312" w:cs="Times New Roman"/>
          <w:sz w:val="28"/>
          <w:szCs w:val="28"/>
          <w:highlight w:val="none"/>
        </w:rPr>
        <w:t>法律法规规定及本合同约定的其他</w:t>
      </w:r>
      <w:r>
        <w:rPr>
          <w:rFonts w:hint="eastAsia" w:ascii="仿宋_GB2312" w:hAnsi="Times New Roman" w:eastAsia="仿宋_GB2312" w:cs="Times New Roman"/>
          <w:sz w:val="28"/>
          <w:szCs w:val="28"/>
          <w:highlight w:val="none"/>
        </w:rPr>
        <w:t>职责</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cr/>
      </w:r>
      <w:r>
        <w:rPr>
          <w:rFonts w:hint="eastAsia" w:ascii="仿宋_GB2312" w:hAnsi="Times New Roman" w:eastAsia="仿宋_GB2312" w:cs="Times New Roman"/>
          <w:sz w:val="28"/>
          <w:szCs w:val="28"/>
          <w:highlight w:val="none"/>
        </w:rPr>
        <w:t>5.2  账户管理人的管理职责</w:t>
      </w:r>
      <w:bookmarkEnd w:id="1006"/>
      <w:bookmarkEnd w:id="1007"/>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5.2.1  受托人如委托具备账户管理人资格的企业年金账户管理机构负责企业年金基金账户管理事务，</w:t>
      </w:r>
      <w:r>
        <w:rPr>
          <w:rFonts w:hint="eastAsia" w:ascii="仿宋_GB2312" w:hAnsi="宋体" w:eastAsia="仿宋_GB2312" w:cs="Times New Roman"/>
          <w:bCs/>
          <w:sz w:val="28"/>
          <w:szCs w:val="28"/>
          <w:highlight w:val="none"/>
        </w:rPr>
        <w:t>应当签订账户管理合同。</w:t>
      </w:r>
      <w:r>
        <w:rPr>
          <w:rFonts w:hint="eastAsia" w:ascii="仿宋_GB2312" w:hAnsi="Times New Roman" w:eastAsia="仿宋_GB2312" w:cs="Times New Roman"/>
          <w:sz w:val="28"/>
          <w:szCs w:val="28"/>
          <w:highlight w:val="none"/>
        </w:rPr>
        <w:t>账户管理人违反法律法规规定及本合同约定，并由此给企业年金基金财产造成损失的，账户管理人应当依法承担相关法律责任。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5.2.2  账户管理人承担的账户管理职责包括： </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5.2.2.1  建立企业年金基金的企业账户和个人账户；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5.2.2.2  记录企业、职工缴费基本信息，记录企业年金基金投资收益，记录企业年金基金企业账户与个人账户信息及财产变化状况，计算应领取的企业年金待遇；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5.2.2.3  定期向受托人提交账户管理数据等信息以及企业年金基金账户管理报告，定期向有关监管部门提交开展企业年金基金账户管理业务情况报告；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5.2.2.4  向委托人及受益人提供企业年金基金企业账户和个人账户信息查询服务，并向受益人提供年度权益报告；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5.2.2.5  及时与托管人核对缴费数据以及企业年金基金账户财产变化状况，及时将核对结果提交受托人；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5.2.2.6  按照国家规定保存企业年金基金账户管理档案自账户管理合同终止之日起至少15年；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5.2.2.7  承担法律法规规定及账户管理合同约定的其他职责。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5.2.3  受托人如兼任企业年金计划的账户管理人，其承担的账户管理职责详见《&lt;</w:t>
      </w:r>
      <w:r>
        <w:rPr>
          <w:rFonts w:hint="eastAsia" w:ascii="仿宋_GB2312" w:hAnsi="宋体" w:eastAsia="仿宋_GB2312" w:cs="Times New Roman"/>
          <w:sz w:val="28"/>
          <w:szCs w:val="28"/>
          <w:highlight w:val="none"/>
          <w:u w:val="single"/>
        </w:rPr>
        <w:t xml:space="preserve">    </w:t>
      </w:r>
      <w:r>
        <w:rPr>
          <w:rFonts w:hint="eastAsia" w:ascii="仿宋_GB2312" w:hAnsi="宋体" w:eastAsia="仿宋_GB2312" w:cs="Times New Roman"/>
          <w:sz w:val="28"/>
          <w:szCs w:val="28"/>
          <w:highlight w:val="none"/>
        </w:rPr>
        <w:t>企业年金计划</w:t>
      </w:r>
      <w:r>
        <w:rPr>
          <w:rFonts w:hint="eastAsia" w:ascii="仿宋_GB2312" w:hAnsi="Times New Roman" w:eastAsia="仿宋_GB2312" w:cs="Times New Roman"/>
          <w:sz w:val="28"/>
          <w:szCs w:val="28"/>
          <w:highlight w:val="none"/>
        </w:rPr>
        <w:t>受托管理合同&gt;账户管理补充条款》。</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  托管人的管理职责。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5.3.1  受托人应当委托具备托管人资格的商业银行负责企业年金基金托管事务，并签订托管合同。托管人违反法律法规规定及本合同约定，并由此给企业年金基金财产造成损失的，托管人应当依法承担相关法律责任。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  托管人承担的托管职责包括：</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5.3.2.1  安全保管企业年金基金财产；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5.3.2.2  为企业年金基金财产开立资金账户及证券账户，用于企业年金基金的资金划拨及证券投资；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5.3.2.3  根据受托人的指令，接受委托人的企业年金缴费，向投资管理人划拨企业年金基金财产，向受益人支付企业年金待遇；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5.3.2.4  依据受托人对投资管理人的授权，根据投资管理人投资指令，及时办理清算、交割等事宜；</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5.3.2.5  定期对企业年金基金财产进行会计核算和估值，监督投资管理人的投资运作；</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5.3.2.6  定期与账户管理人、投资管理人核对有关数据；</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5.3.2.7  配合投资管理人完成投资管理风险准备金的提取和使用；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5.3.2.8  按照规定监督投资管理人的投资运作</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并定期向受托人报告投资监督情况；</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5.3.2.9  定期向受托人提交企业年金基金托管和财务报告，定期向有关监管部门提交开展企业年金基金托管业务情况的报告；</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5.3.2.10  按照国家规定保存企业年金基金托管业务活动记录、账册、报表和其他相关资料自托管合同终止之日起至少</w:t>
      </w:r>
      <w:r>
        <w:rPr>
          <w:rFonts w:ascii="仿宋_GB2312" w:hAnsi="Times New Roman" w:eastAsia="仿宋_GB2312" w:cs="Times New Roman"/>
          <w:sz w:val="28"/>
          <w:szCs w:val="28"/>
          <w:highlight w:val="none"/>
        </w:rPr>
        <w:t>15</w:t>
      </w:r>
      <w:r>
        <w:rPr>
          <w:rFonts w:hint="eastAsia" w:ascii="仿宋_GB2312" w:hAnsi="Times New Roman" w:eastAsia="仿宋_GB2312" w:cs="Times New Roman"/>
          <w:sz w:val="28"/>
          <w:szCs w:val="28"/>
          <w:highlight w:val="none"/>
        </w:rPr>
        <w:t>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5.3.2.11  承担法律法规规定及托管合同约定的其他事务。</w:t>
      </w:r>
    </w:p>
    <w:p>
      <w:pPr>
        <w:spacing w:line="360" w:lineRule="auto"/>
        <w:ind w:firstLine="560" w:firstLineChars="200"/>
        <w:rPr>
          <w:rFonts w:hint="eastAsia" w:ascii="仿宋_GB2312" w:hAnsi="Times New Roman" w:eastAsia="仿宋_GB2312" w:cs="Times New Roman"/>
          <w:sz w:val="28"/>
          <w:szCs w:val="28"/>
          <w:highlight w:val="none"/>
        </w:rPr>
      </w:pPr>
      <w:bookmarkStart w:id="1008" w:name="_Toc311040990"/>
      <w:bookmarkStart w:id="1009" w:name="_Toc196484079"/>
      <w:r>
        <w:rPr>
          <w:rFonts w:hint="eastAsia" w:ascii="仿宋_GB2312" w:hAnsi="Times New Roman" w:eastAsia="仿宋_GB2312" w:cs="Times New Roman"/>
          <w:sz w:val="28"/>
          <w:szCs w:val="28"/>
          <w:highlight w:val="none"/>
        </w:rPr>
        <w:t>5.4  投资管理人的管理职责。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w:t>
      </w:r>
      <w:bookmarkEnd w:id="1008"/>
      <w:bookmarkEnd w:id="1009"/>
      <w:r>
        <w:rPr>
          <w:rFonts w:hint="eastAsia" w:ascii="仿宋_GB2312" w:hAnsi="Times New Roman" w:eastAsia="仿宋_GB2312" w:cs="Times New Roman"/>
          <w:sz w:val="28"/>
          <w:szCs w:val="28"/>
          <w:highlight w:val="none"/>
        </w:rPr>
        <w:t>.1  受托人如委托具备投资管理人资格的金融机构负责企业年金基金投资管理事务，应当签订投资管理合同。投资管理人违反法律法规规定及本合同约定，并由此给企业年金基金财产造成损失的，投资管理人应当依法承担相关法律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  投资管理人承担的投资管理职责包括：</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5.4.2.1  企业年金基金投资管理应当遵循谨慎、分散风险的原则</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充分考虑企业年金基金财产的安全性、收益性和流动性</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实行专业化管理；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5.4.2.2  执行受托人制定的战略资产配置策略，接受受托人对投资管理人履职情况的监督以及投资管理业绩的考核和评估；</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5.4.2.3  保证企业年金基金财产独立于其固有财产及其管理的其他财产；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5.4.2.4  及时与托管人核对企业年金基金会计核算和估值结果；</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5.4.2.5  建立企业年金基金投资管理风险准备金；</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5.4.2.6  定期向受托人提交企业年金基金投资管理报告；定期向有关监管部门提交开展企业年金基金投资管理业务情况的报告；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5.4.2.7  按照法律法规规定，代表委托投资资产行使委托投资资产所享有的股东权利、债券持有人权利、基金份额持有人权利等；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5.4.2.8  按照国家规定保存企业年金基金财产会计凭证、会计账簿、年度财务会计报告和投资记录自投资管理合同终止之日起至少15年；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5.4.2.9  承担法律法规规定及投资管理合同约定的其他职责。</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5.4.3  受托人如兼任企业年金计划投资管理人，其承担投资管理职责详见《&lt;</w:t>
      </w:r>
      <w:r>
        <w:rPr>
          <w:rFonts w:hint="eastAsia" w:ascii="仿宋_GB2312" w:hAnsi="宋体" w:eastAsia="仿宋_GB2312" w:cs="Times New Roman"/>
          <w:sz w:val="28"/>
          <w:szCs w:val="28"/>
          <w:highlight w:val="none"/>
          <w:u w:val="single"/>
        </w:rPr>
        <w:t xml:space="preserve">    </w:t>
      </w:r>
      <w:r>
        <w:rPr>
          <w:rFonts w:hint="eastAsia" w:ascii="仿宋_GB2312" w:hAnsi="宋体" w:eastAsia="仿宋_GB2312" w:cs="Times New Roman"/>
          <w:sz w:val="28"/>
          <w:szCs w:val="28"/>
          <w:highlight w:val="none"/>
        </w:rPr>
        <w:t>企业年金计划</w:t>
      </w:r>
      <w:r>
        <w:rPr>
          <w:rFonts w:hint="eastAsia" w:ascii="仿宋_GB2312" w:hAnsi="Times New Roman" w:eastAsia="仿宋_GB2312" w:cs="Times New Roman"/>
          <w:sz w:val="28"/>
          <w:szCs w:val="28"/>
          <w:highlight w:val="none"/>
        </w:rPr>
        <w:t>受托管理合同&gt;投资管理补充条款》。</w:t>
      </w: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1010" w:name="_Toc927"/>
      <w:bookmarkStart w:id="1011" w:name="_Toc319932544"/>
      <w:bookmarkStart w:id="1012" w:name="_Toc311040991"/>
      <w:r>
        <w:rPr>
          <w:rFonts w:hint="eastAsia" w:ascii="黑体" w:hAnsi="Times New Roman" w:eastAsia="黑体" w:cs="Times New Roman"/>
          <w:b w:val="0"/>
          <w:bCs/>
          <w:kern w:val="44"/>
          <w:sz w:val="28"/>
          <w:szCs w:val="28"/>
          <w:highlight w:val="none"/>
          <w:lang w:val="en-US" w:eastAsia="zh-CN" w:bidi="ar-SA"/>
        </w:rPr>
        <w:t>第六章  企业年金的缴费、领取、转移与保留</w:t>
      </w:r>
      <w:bookmarkEnd w:id="1010"/>
      <w:bookmarkEnd w:id="1011"/>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  企业年金的缴费。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6.1.1  委托人应当按法律法规和企业年金方案规定的缴费来源、缴费比例、缴费方式进行缴费。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6.1.2  委托人应当向受托人提供缴费信息，经受托人确认后提交账户管理人。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6.1.3  受托人或账户管理人将账户管理人依据缴费信息生成的缴费账单和缴费明细提交委托人确认。</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6.1.4  缴费账单和缴费明细经委托人确认后，由受托人向托管人下达缴费收账通知。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6.1.5  委托人根据缴费账单，将企业年金缴费汇入受托财产托管账户。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6.1.6  托管人按缴费收账通知核对实收缴费金额，核对一致后，通知受托人和账户管理人，由受托人向委托人书面确认为企业年金基金财产。若出现超缴或短缴，受托人及时通知委托人做相应处理。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  企业年金待遇的领取。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6.2.1  当受益人符合下列条件之一的，可以领取企业年金待遇：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6.2.1.1  受益人办理退休手续，可一次性或分期领取；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6.2.1.2  受益人出境定居，一次性领取；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6.2.1.3  受益人身故，由其指定的身故受益人或法定继承人一次性领取；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6.2.1.4  法律法规规定的其他可以领取的情形，其领取方式按照法律法规规定执行。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  企业年金待遇领取的程序。</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6.2.2.1  受益人向委托人提出领取企业年金待遇的申请。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6.2.2.2  委托人审核同意受益人的领取申请后，向受托人提交领取企业年金待遇申请。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6.2.2.3  受托人审核同意委托人的领取申请后，通知账户管理人。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6.2.2.4  账户管理人计算个人账户权益，生成个人账户权益支付表，发送受托人和委托人确认。</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6.2.2.5  委托人对个人账户权益支付表进行确认后，通知受托人，受托人向托管人下达待遇支付指令，由托管人向受益人支付企业年金待遇。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6.3  个人账户权益的转移。</w:t>
      </w:r>
    </w:p>
    <w:p>
      <w:pPr>
        <w:spacing w:line="360" w:lineRule="auto"/>
        <w:ind w:firstLine="560" w:firstLineChars="200"/>
        <w:rPr>
          <w:rFonts w:hint="eastAsia" w:ascii="仿宋_GB2312" w:hAnsi="Times New Roman" w:eastAsia="仿宋_GB2312" w:cs="Times New Roman"/>
          <w:sz w:val="28"/>
          <w:szCs w:val="28"/>
          <w:highlight w:val="none"/>
        </w:rPr>
      </w:pPr>
      <w:r>
        <w:rPr>
          <w:rFonts w:ascii="仿宋_GB2312" w:hAnsi="Times New Roman" w:eastAsia="仿宋_GB2312" w:cs="Times New Roman"/>
          <w:sz w:val="28"/>
          <w:szCs w:val="28"/>
          <w:highlight w:val="none"/>
        </w:rPr>
        <w:t>受益人离职的，如新工作单位已经建立企业年金计划的，</w:t>
      </w:r>
      <w:r>
        <w:rPr>
          <w:rFonts w:hint="eastAsia" w:ascii="仿宋_GB2312" w:hAnsi="Times New Roman" w:eastAsia="仿宋_GB2312" w:cs="Times New Roman"/>
          <w:sz w:val="28"/>
          <w:szCs w:val="28"/>
          <w:highlight w:val="none"/>
        </w:rPr>
        <w:t>委托人应当向受托人提出申请将受益人个人账户权益转至</w:t>
      </w:r>
      <w:r>
        <w:rPr>
          <w:rFonts w:ascii="仿宋_GB2312" w:hAnsi="Times New Roman" w:eastAsia="仿宋_GB2312" w:cs="Times New Roman"/>
          <w:sz w:val="28"/>
          <w:szCs w:val="28"/>
          <w:highlight w:val="none"/>
        </w:rPr>
        <w:t>新的</w:t>
      </w:r>
      <w:r>
        <w:rPr>
          <w:rFonts w:hint="eastAsia" w:ascii="仿宋_GB2312" w:hAnsi="Times New Roman" w:eastAsia="仿宋_GB2312" w:cs="Times New Roman"/>
          <w:sz w:val="28"/>
          <w:szCs w:val="28"/>
          <w:highlight w:val="none"/>
        </w:rPr>
        <w:t>企业年金计划。</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6.4  个人账户权益的保留。</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4</w:t>
      </w:r>
      <w:r>
        <w:rPr>
          <w:rFonts w:ascii="仿宋_GB2312" w:hAnsi="Times New Roman" w:eastAsia="仿宋_GB2312" w:cs="Times New Roman"/>
          <w:sz w:val="28"/>
          <w:szCs w:val="28"/>
          <w:highlight w:val="none"/>
        </w:rPr>
        <w:t>.1</w:t>
      </w:r>
      <w:r>
        <w:rPr>
          <w:rFonts w:hint="eastAsia" w:ascii="仿宋_GB2312" w:hAnsi="Times New Roman" w:eastAsia="仿宋_GB2312" w:cs="Times New Roman"/>
          <w:sz w:val="28"/>
          <w:szCs w:val="28"/>
          <w:highlight w:val="none"/>
        </w:rPr>
        <w:t xml:space="preserve">  </w:t>
      </w:r>
      <w:r>
        <w:rPr>
          <w:rFonts w:ascii="仿宋_GB2312" w:hAnsi="Times New Roman" w:eastAsia="仿宋_GB2312" w:cs="Times New Roman"/>
          <w:sz w:val="28"/>
          <w:szCs w:val="28"/>
          <w:highlight w:val="none"/>
        </w:rPr>
        <w:t>受益人离职的，如新工作单位尚未建立企业年金计划的</w:t>
      </w:r>
      <w:r>
        <w:rPr>
          <w:rFonts w:hint="eastAsia" w:ascii="仿宋_GB2312" w:hAnsi="Times New Roman" w:eastAsia="仿宋_GB2312" w:cs="Times New Roman"/>
          <w:sz w:val="28"/>
          <w:szCs w:val="28"/>
          <w:highlight w:val="none"/>
        </w:rPr>
        <w:t>，委托人应当按下列</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方式可将受益人个人账户权益转至保留账户管理。</w:t>
      </w:r>
    </w:p>
    <w:p>
      <w:pPr>
        <w:spacing w:line="360" w:lineRule="auto"/>
        <w:ind w:firstLine="618" w:firstLineChars="221"/>
        <w:jc w:val="both"/>
        <w:rPr>
          <w:rFonts w:hint="eastAsia" w:ascii="仿宋_GB2312" w:hAnsi="宋体" w:eastAsia="仿宋_GB2312" w:cs="Times New Roman"/>
          <w:sz w:val="28"/>
          <w:szCs w:val="28"/>
          <w:highlight w:val="none"/>
          <w:lang w:val="en-US" w:eastAsia="zh-CN" w:bidi="ar-SA"/>
        </w:rPr>
      </w:pPr>
      <w:r>
        <w:rPr>
          <w:rFonts w:hint="eastAsia" w:ascii="仿宋_GB2312" w:hAnsi="宋体" w:eastAsia="仿宋_GB2312" w:cs="Times New Roman"/>
          <w:sz w:val="28"/>
          <w:szCs w:val="28"/>
          <w:highlight w:val="none"/>
          <w:lang w:val="en-US" w:eastAsia="zh-CN" w:bidi="ar-SA"/>
        </w:rPr>
        <w:t>6</w:t>
      </w:r>
      <w:r>
        <w:rPr>
          <w:rFonts w:ascii="仿宋_GB2312" w:hAnsi="宋体" w:eastAsia="仿宋_GB2312" w:cs="Times New Roman"/>
          <w:sz w:val="28"/>
          <w:szCs w:val="28"/>
          <w:highlight w:val="none"/>
          <w:lang w:val="en-US" w:eastAsia="zh-CN" w:bidi="ar-SA"/>
        </w:rPr>
        <w:t>.</w:t>
      </w:r>
      <w:r>
        <w:rPr>
          <w:rFonts w:hint="eastAsia" w:ascii="仿宋_GB2312" w:hAnsi="宋体" w:eastAsia="仿宋_GB2312" w:cs="Times New Roman"/>
          <w:sz w:val="28"/>
          <w:szCs w:val="28"/>
          <w:highlight w:val="none"/>
          <w:lang w:val="en-US" w:eastAsia="zh-CN" w:bidi="ar-SA"/>
        </w:rPr>
        <w:t>4</w:t>
      </w:r>
      <w:r>
        <w:rPr>
          <w:rFonts w:ascii="仿宋_GB2312" w:hAnsi="宋体" w:eastAsia="仿宋_GB2312" w:cs="Times New Roman"/>
          <w:sz w:val="28"/>
          <w:szCs w:val="28"/>
          <w:highlight w:val="none"/>
          <w:lang w:val="en-US" w:eastAsia="zh-CN" w:bidi="ar-SA"/>
        </w:rPr>
        <w:t>.1</w:t>
      </w:r>
      <w:r>
        <w:rPr>
          <w:rFonts w:hint="eastAsia" w:ascii="仿宋_GB2312" w:hAnsi="宋体" w:eastAsia="仿宋_GB2312" w:cs="Times New Roman"/>
          <w:sz w:val="28"/>
          <w:szCs w:val="28"/>
          <w:highlight w:val="none"/>
          <w:lang w:val="en-US" w:eastAsia="zh-CN" w:bidi="ar-SA"/>
        </w:rPr>
        <w:t>.1</w:t>
      </w:r>
      <w:r>
        <w:rPr>
          <w:rFonts w:ascii="仿宋_GB2312" w:hAnsi="宋体" w:eastAsia="仿宋_GB2312" w:cs="Times New Roman"/>
          <w:sz w:val="28"/>
          <w:szCs w:val="28"/>
          <w:highlight w:val="none"/>
          <w:lang w:val="en-US" w:eastAsia="zh-CN" w:bidi="ar-SA"/>
        </w:rPr>
        <w:t xml:space="preserve"> </w:t>
      </w:r>
      <w:r>
        <w:rPr>
          <w:rFonts w:hint="eastAsia" w:ascii="仿宋_GB2312" w:hAnsi="宋体" w:eastAsia="仿宋_GB2312" w:cs="Times New Roman"/>
          <w:sz w:val="28"/>
          <w:szCs w:val="28"/>
          <w:highlight w:val="none"/>
          <w:lang w:val="en-US" w:eastAsia="zh-CN" w:bidi="ar-SA"/>
        </w:rPr>
        <w:t xml:space="preserve"> </w:t>
      </w:r>
      <w:r>
        <w:rPr>
          <w:rFonts w:ascii="仿宋_GB2312" w:hAnsi="Times New Roman" w:eastAsia="仿宋_GB2312" w:cs="Times New Roman"/>
          <w:sz w:val="28"/>
          <w:szCs w:val="28"/>
          <w:highlight w:val="none"/>
          <w:lang w:val="en-US" w:eastAsia="zh-CN" w:bidi="ar-SA"/>
        </w:rPr>
        <w:t>委托人向</w:t>
      </w:r>
      <w:r>
        <w:rPr>
          <w:rFonts w:hint="eastAsia" w:ascii="仿宋_GB2312" w:hAnsi="Times New Roman" w:eastAsia="仿宋_GB2312" w:cs="Times New Roman"/>
          <w:sz w:val="28"/>
          <w:szCs w:val="28"/>
          <w:highlight w:val="none"/>
          <w:lang w:val="en-US" w:eastAsia="zh-CN" w:bidi="ar-SA"/>
        </w:rPr>
        <w:t>受托人</w:t>
      </w:r>
      <w:r>
        <w:rPr>
          <w:rFonts w:ascii="仿宋_GB2312" w:hAnsi="Times New Roman" w:eastAsia="仿宋_GB2312" w:cs="Times New Roman"/>
          <w:sz w:val="28"/>
          <w:szCs w:val="28"/>
          <w:highlight w:val="none"/>
          <w:lang w:val="en-US" w:eastAsia="zh-CN" w:bidi="ar-SA"/>
        </w:rPr>
        <w:t>提出申请将受益人个人账户权益在企业年金计划下建立保留账户管理</w:t>
      </w:r>
      <w:r>
        <w:rPr>
          <w:rFonts w:hint="eastAsia" w:ascii="仿宋_GB2312" w:hAnsi="Times New Roman" w:eastAsia="仿宋_GB2312" w:cs="Times New Roman"/>
          <w:sz w:val="28"/>
          <w:szCs w:val="28"/>
          <w:highlight w:val="none"/>
          <w:lang w:val="en-US" w:eastAsia="zh-CN" w:bidi="ar-SA"/>
        </w:rPr>
        <w:t>；</w:t>
      </w:r>
    </w:p>
    <w:p>
      <w:pPr>
        <w:spacing w:line="360" w:lineRule="auto"/>
        <w:ind w:firstLine="618" w:firstLineChars="221"/>
        <w:jc w:val="both"/>
        <w:rPr>
          <w:rFonts w:hint="eastAsia" w:ascii="仿宋_GB2312" w:hAnsi="Times New Roman" w:eastAsia="仿宋_GB2312" w:cs="Times New Roman"/>
          <w:sz w:val="28"/>
          <w:szCs w:val="28"/>
          <w:highlight w:val="none"/>
          <w:lang w:val="en-US" w:eastAsia="zh-CN" w:bidi="ar-SA"/>
        </w:rPr>
      </w:pPr>
      <w:r>
        <w:rPr>
          <w:rFonts w:hint="eastAsia" w:ascii="仿宋_GB2312" w:hAnsi="宋体" w:eastAsia="仿宋_GB2312" w:cs="Times New Roman"/>
          <w:sz w:val="28"/>
          <w:szCs w:val="28"/>
          <w:highlight w:val="none"/>
          <w:lang w:val="en-US" w:eastAsia="zh-CN" w:bidi="ar-SA"/>
        </w:rPr>
        <w:t>6</w:t>
      </w:r>
      <w:r>
        <w:rPr>
          <w:rFonts w:ascii="仿宋_GB2312" w:hAnsi="宋体" w:eastAsia="仿宋_GB2312" w:cs="Times New Roman"/>
          <w:sz w:val="28"/>
          <w:szCs w:val="28"/>
          <w:highlight w:val="none"/>
          <w:lang w:val="en-US" w:eastAsia="zh-CN" w:bidi="ar-SA"/>
        </w:rPr>
        <w:t>.</w:t>
      </w:r>
      <w:r>
        <w:rPr>
          <w:rFonts w:hint="eastAsia" w:ascii="仿宋_GB2312" w:hAnsi="宋体" w:eastAsia="仿宋_GB2312" w:cs="Times New Roman"/>
          <w:sz w:val="28"/>
          <w:szCs w:val="28"/>
          <w:highlight w:val="none"/>
          <w:lang w:val="en-US" w:eastAsia="zh-CN" w:bidi="ar-SA"/>
        </w:rPr>
        <w:t>4</w:t>
      </w:r>
      <w:r>
        <w:rPr>
          <w:rFonts w:ascii="仿宋_GB2312" w:hAnsi="宋体" w:eastAsia="仿宋_GB2312" w:cs="Times New Roman"/>
          <w:sz w:val="28"/>
          <w:szCs w:val="28"/>
          <w:highlight w:val="none"/>
          <w:lang w:val="en-US" w:eastAsia="zh-CN" w:bidi="ar-SA"/>
        </w:rPr>
        <w:t>.1</w:t>
      </w:r>
      <w:r>
        <w:rPr>
          <w:rFonts w:hint="eastAsia" w:ascii="仿宋_GB2312" w:hAnsi="宋体" w:eastAsia="仿宋_GB2312" w:cs="Times New Roman"/>
          <w:sz w:val="28"/>
          <w:szCs w:val="28"/>
          <w:highlight w:val="none"/>
          <w:lang w:val="en-US" w:eastAsia="zh-CN" w:bidi="ar-SA"/>
        </w:rPr>
        <w:t>.</w:t>
      </w:r>
      <w:r>
        <w:rPr>
          <w:rFonts w:ascii="仿宋_GB2312" w:hAnsi="Times New Roman" w:eastAsia="仿宋_GB2312" w:cs="Times New Roman"/>
          <w:sz w:val="28"/>
          <w:szCs w:val="28"/>
          <w:highlight w:val="none"/>
          <w:lang w:val="en-US" w:eastAsia="zh-CN" w:bidi="ar-SA"/>
        </w:rPr>
        <w:t>2</w:t>
      </w:r>
      <w:r>
        <w:rPr>
          <w:rFonts w:hint="eastAsia" w:ascii="仿宋_GB2312" w:hAnsi="Times New Roman" w:eastAsia="仿宋_GB2312" w:cs="Times New Roman"/>
          <w:sz w:val="28"/>
          <w:szCs w:val="28"/>
          <w:highlight w:val="none"/>
          <w:lang w:val="en-US" w:eastAsia="zh-CN" w:bidi="ar-SA"/>
        </w:rPr>
        <w:t xml:space="preserve">  </w:t>
      </w:r>
      <w:r>
        <w:rPr>
          <w:rFonts w:ascii="仿宋_GB2312" w:hAnsi="Times New Roman" w:eastAsia="仿宋_GB2312" w:cs="Times New Roman"/>
          <w:color w:val="000000"/>
          <w:sz w:val="28"/>
          <w:szCs w:val="28"/>
          <w:highlight w:val="none"/>
          <w:lang w:val="en-US" w:eastAsia="zh-CN" w:bidi="ar-SA"/>
        </w:rPr>
        <w:t>委托人向</w:t>
      </w:r>
      <w:r>
        <w:rPr>
          <w:rFonts w:hint="eastAsia" w:ascii="仿宋_GB2312" w:hAnsi="Times New Roman" w:eastAsia="仿宋_GB2312" w:cs="Times New Roman"/>
          <w:color w:val="000000"/>
          <w:sz w:val="28"/>
          <w:szCs w:val="28"/>
          <w:highlight w:val="none"/>
          <w:lang w:val="en-US" w:eastAsia="zh-CN" w:bidi="ar-SA"/>
        </w:rPr>
        <w:t>受托人</w:t>
      </w:r>
      <w:r>
        <w:rPr>
          <w:rFonts w:ascii="仿宋_GB2312" w:hAnsi="Times New Roman" w:eastAsia="仿宋_GB2312" w:cs="Times New Roman"/>
          <w:color w:val="000000"/>
          <w:sz w:val="28"/>
          <w:szCs w:val="28"/>
          <w:highlight w:val="none"/>
          <w:lang w:val="en-US" w:eastAsia="zh-CN" w:bidi="ar-SA"/>
        </w:rPr>
        <w:t>提出</w:t>
      </w:r>
      <w:r>
        <w:rPr>
          <w:rFonts w:ascii="仿宋_GB2312" w:hAnsi="Times New Roman" w:eastAsia="仿宋_GB2312" w:cs="Times New Roman"/>
          <w:sz w:val="28"/>
          <w:szCs w:val="28"/>
          <w:highlight w:val="none"/>
          <w:lang w:val="en-US" w:eastAsia="zh-CN" w:bidi="ar-SA"/>
        </w:rPr>
        <w:t>申请将受益人个人账户权益转</w:t>
      </w:r>
      <w:r>
        <w:rPr>
          <w:rFonts w:hint="eastAsia" w:ascii="仿宋_GB2312" w:hAnsi="Times New Roman" w:eastAsia="仿宋_GB2312" w:cs="Times New Roman"/>
          <w:sz w:val="28"/>
          <w:szCs w:val="28"/>
          <w:highlight w:val="none"/>
          <w:lang w:val="en-US" w:eastAsia="zh-CN" w:bidi="ar-SA"/>
        </w:rPr>
        <w:t>至受托人</w:t>
      </w:r>
      <w:r>
        <w:rPr>
          <w:rFonts w:ascii="仿宋_GB2312" w:hAnsi="Times New Roman" w:eastAsia="仿宋_GB2312" w:cs="Times New Roman"/>
          <w:sz w:val="28"/>
          <w:szCs w:val="28"/>
          <w:highlight w:val="none"/>
          <w:lang w:val="en-US" w:eastAsia="zh-CN" w:bidi="ar-SA"/>
        </w:rPr>
        <w:t>发起的企业年金集合计划下的保留账户统一管理。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6.4.2  企业年金计划终止时，受益人个人账户权益转入受托人发起的企业年金集合计划</w:t>
      </w:r>
      <w:r>
        <w:rPr>
          <w:rFonts w:ascii="仿宋_GB2312" w:hAnsi="Times New Roman" w:eastAsia="仿宋_GB2312" w:cs="Times New Roman"/>
          <w:sz w:val="28"/>
          <w:szCs w:val="28"/>
          <w:highlight w:val="none"/>
        </w:rPr>
        <w:t>下的</w:t>
      </w:r>
      <w:r>
        <w:rPr>
          <w:rFonts w:hint="eastAsia" w:ascii="仿宋_GB2312" w:hAnsi="Times New Roman" w:eastAsia="仿宋_GB2312" w:cs="Times New Roman"/>
          <w:sz w:val="28"/>
          <w:szCs w:val="28"/>
          <w:highlight w:val="none"/>
        </w:rPr>
        <w:t>保留账户统一管理。</w:t>
      </w:r>
    </w:p>
    <w:p>
      <w:pPr>
        <w:keepNext/>
        <w:keepLines/>
        <w:widowControl w:val="0"/>
        <w:spacing w:before="340" w:after="330" w:line="578" w:lineRule="auto"/>
        <w:jc w:val="center"/>
        <w:outlineLvl w:val="0"/>
        <w:rPr>
          <w:rFonts w:hint="eastAsia" w:ascii="黑体" w:hAnsi="Times New Roman" w:eastAsia="黑体" w:cs="Times New Roman"/>
          <w:b w:val="0"/>
          <w:bCs/>
          <w:kern w:val="44"/>
          <w:sz w:val="28"/>
          <w:szCs w:val="28"/>
          <w:highlight w:val="none"/>
          <w:lang w:val="en-US" w:eastAsia="zh-CN" w:bidi="ar-SA"/>
        </w:rPr>
      </w:pPr>
      <w:bookmarkStart w:id="1013" w:name="_Toc319932545"/>
      <w:bookmarkStart w:id="1014" w:name="_Toc18020"/>
      <w:r>
        <w:rPr>
          <w:rFonts w:hint="eastAsia" w:ascii="黑体" w:hAnsi="Times New Roman" w:eastAsia="黑体" w:cs="Times New Roman"/>
          <w:b w:val="0"/>
          <w:bCs/>
          <w:kern w:val="44"/>
          <w:sz w:val="28"/>
          <w:szCs w:val="28"/>
          <w:highlight w:val="none"/>
          <w:lang w:val="en-US" w:eastAsia="zh-CN" w:bidi="ar-SA"/>
        </w:rPr>
        <w:t>第七章  投资政策</w:t>
      </w:r>
      <w:bookmarkEnd w:id="1013"/>
      <w:bookmarkEnd w:id="1014"/>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  受托人根据法律法规规定制定企业年金基金投资政策。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7.1.1  企业年金基金财产限于境内投资</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投资范围包括银行存款、国债、中央银行票据、债券回购、万能保险产品、投资连结保险产品、证券投资基金、股票</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以及信用等级在投资级以上的金融债、企业</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公司</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债、可转换债</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含分离交易可转换债</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、短期融资券和中期票据等金融产品。</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7.1.2  企业年金基金财产以投资组合为单位按照公允价值计算应当符合下列规定：</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7.1.2.1  投资银行活期存款、中央银行票据、债券回购等流动性产品以及货币市场基金的比例</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不得低于投资组合企业年金基金财产净值的</w:t>
      </w:r>
      <w:r>
        <w:rPr>
          <w:rFonts w:ascii="仿宋_GB2312" w:hAnsi="Times New Roman" w:eastAsia="仿宋_GB2312" w:cs="Times New Roman"/>
          <w:sz w:val="28"/>
          <w:szCs w:val="28"/>
          <w:highlight w:val="none"/>
        </w:rPr>
        <w:t>5</w:t>
      </w:r>
      <w:r>
        <w:rPr>
          <w:rFonts w:hint="eastAsia" w:ascii="仿宋_GB2312" w:hAnsi="Times New Roman" w:eastAsia="仿宋_GB2312" w:cs="Times New Roman"/>
          <w:sz w:val="28"/>
          <w:szCs w:val="28"/>
          <w:highlight w:val="none"/>
        </w:rPr>
        <w:t>%；清算备付金、证券清算款以及一级市场证券申购资金视为流动性资产；投资债券正回购的比例不得高于投资组合企业年金基金财产净值的</w:t>
      </w:r>
      <w:r>
        <w:rPr>
          <w:rFonts w:ascii="仿宋_GB2312" w:hAnsi="Times New Roman" w:eastAsia="仿宋_GB2312" w:cs="Times New Roman"/>
          <w:sz w:val="28"/>
          <w:szCs w:val="28"/>
          <w:highlight w:val="none"/>
        </w:rPr>
        <w:t>40%</w:t>
      </w:r>
      <w:r>
        <w:rPr>
          <w:rFonts w:hint="eastAsia" w:ascii="仿宋_GB2312" w:hAnsi="Times New Roman" w:eastAsia="仿宋_GB2312" w:cs="Times New Roman"/>
          <w:sz w:val="28"/>
          <w:szCs w:val="28"/>
          <w:highlight w:val="none"/>
        </w:rPr>
        <w:t>；</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7.1.2.2  投资银行定期存款、协议存款、国债、金融债、企业（公司）债、短期融资券、中期票据、万能保险产品等固定收益类产品以及可转换债（含分离交易可转换债）、债券基全、技资连结保险产品（股票投资比例不高于</w:t>
      </w:r>
      <w:r>
        <w:rPr>
          <w:rFonts w:ascii="仿宋_GB2312" w:hAnsi="Times New Roman" w:eastAsia="仿宋_GB2312" w:cs="Times New Roman"/>
          <w:sz w:val="28"/>
          <w:szCs w:val="28"/>
          <w:highlight w:val="none"/>
        </w:rPr>
        <w:t>30%</w:t>
      </w:r>
      <w:r>
        <w:rPr>
          <w:rFonts w:hint="eastAsia" w:ascii="仿宋_GB2312" w:hAnsi="Times New Roman" w:eastAsia="仿宋_GB2312" w:cs="Times New Roman"/>
          <w:sz w:val="28"/>
          <w:szCs w:val="28"/>
          <w:highlight w:val="none"/>
        </w:rPr>
        <w:t>）的比例</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不得高于投资组合企业年金基金财产净值的</w:t>
      </w:r>
      <w:r>
        <w:rPr>
          <w:rFonts w:ascii="仿宋_GB2312" w:hAnsi="Times New Roman" w:eastAsia="仿宋_GB2312" w:cs="Times New Roman"/>
          <w:sz w:val="28"/>
          <w:szCs w:val="28"/>
          <w:highlight w:val="none"/>
        </w:rPr>
        <w:t>95%</w:t>
      </w:r>
      <w:r>
        <w:rPr>
          <w:rFonts w:hint="eastAsia" w:ascii="仿宋_GB2312"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7.1.2.3  投资股票等权益类产品以及股票基金、混合基金、投资连结保险产品（股票投资比例高于或者等于</w:t>
      </w:r>
      <w:r>
        <w:rPr>
          <w:rFonts w:ascii="仿宋_GB2312" w:hAnsi="Times New Roman" w:eastAsia="仿宋_GB2312" w:cs="Times New Roman"/>
          <w:sz w:val="28"/>
          <w:szCs w:val="28"/>
          <w:highlight w:val="none"/>
        </w:rPr>
        <w:t>30%</w:t>
      </w:r>
      <w:r>
        <w:rPr>
          <w:rFonts w:hint="eastAsia" w:ascii="仿宋_GB2312" w:hAnsi="Times New Roman" w:eastAsia="仿宋_GB2312" w:cs="Times New Roman"/>
          <w:sz w:val="28"/>
          <w:szCs w:val="28"/>
          <w:highlight w:val="none"/>
        </w:rPr>
        <w:t>）的比例</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不得高于投资组合企业年金基金财产净值的</w:t>
      </w:r>
      <w:r>
        <w:rPr>
          <w:rFonts w:ascii="仿宋_GB2312" w:hAnsi="Times New Roman" w:eastAsia="仿宋_GB2312" w:cs="Times New Roman"/>
          <w:sz w:val="28"/>
          <w:szCs w:val="28"/>
          <w:highlight w:val="none"/>
        </w:rPr>
        <w:t>30%</w:t>
      </w:r>
      <w:r>
        <w:rPr>
          <w:rFonts w:hint="eastAsia" w:ascii="仿宋_GB2312" w:hAnsi="Times New Roman" w:eastAsia="仿宋_GB2312" w:cs="Times New Roman"/>
          <w:sz w:val="28"/>
          <w:szCs w:val="28"/>
          <w:highlight w:val="none"/>
        </w:rPr>
        <w:t>。其中</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企业年金基金不得直接投资于权证</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但因投资股票、分离交易可转换债等投资品种而衍生获得的权证</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应当在权证上市交易之日起</w:t>
      </w:r>
      <w:r>
        <w:rPr>
          <w:rFonts w:ascii="仿宋_GB2312" w:hAnsi="Times New Roman" w:eastAsia="仿宋_GB2312" w:cs="Times New Roman"/>
          <w:sz w:val="28"/>
          <w:szCs w:val="28"/>
          <w:highlight w:val="none"/>
        </w:rPr>
        <w:t>10</w:t>
      </w:r>
      <w:r>
        <w:rPr>
          <w:rFonts w:hint="eastAsia" w:ascii="仿宋_GB2312" w:hAnsi="Times New Roman" w:eastAsia="仿宋_GB2312" w:cs="Times New Roman"/>
          <w:sz w:val="28"/>
          <w:szCs w:val="28"/>
          <w:highlight w:val="none"/>
        </w:rPr>
        <w:t>个交易日内卖出。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7.1.3  企业年金基金单个投资组合的企业年金基金财产，投资于一家企业所发行的股票，单期发行的同一品种短期融资券、中期票据、金融债、企业（公司）债、可转换债（含分离交易可转换债）</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单只证券投资基金，单个万能保险产品或者投资连结保险产品，分别不得超过该企业上述证券发行量、该基金份额或者该保险产品资产管理规模的</w:t>
      </w:r>
      <w:r>
        <w:rPr>
          <w:rFonts w:ascii="仿宋_GB2312" w:hAnsi="Times New Roman" w:eastAsia="仿宋_GB2312" w:cs="Times New Roman"/>
          <w:sz w:val="28"/>
          <w:szCs w:val="28"/>
          <w:highlight w:val="none"/>
        </w:rPr>
        <w:t>5%</w:t>
      </w:r>
      <w:r>
        <w:rPr>
          <w:rFonts w:hint="eastAsia" w:ascii="仿宋_GB2312" w:hAnsi="Times New Roman" w:eastAsia="仿宋_GB2312" w:cs="Times New Roman"/>
          <w:sz w:val="28"/>
          <w:szCs w:val="28"/>
          <w:highlight w:val="none"/>
        </w:rPr>
        <w:t>；按照公允价值计算，也不得超过该投资组合企业年金基金财产净值的</w:t>
      </w:r>
      <w:r>
        <w:rPr>
          <w:rFonts w:ascii="仿宋_GB2312" w:hAnsi="Times New Roman" w:eastAsia="仿宋_GB2312" w:cs="Times New Roman"/>
          <w:sz w:val="28"/>
          <w:szCs w:val="28"/>
          <w:highlight w:val="none"/>
        </w:rPr>
        <w:t>10%</w:t>
      </w:r>
      <w:r>
        <w:rPr>
          <w:rFonts w:hint="eastAsia" w:ascii="仿宋_GB2312" w:hAnsi="Times New Roman" w:eastAsia="仿宋_GB2312" w:cs="Times New Roman"/>
          <w:sz w:val="28"/>
          <w:szCs w:val="28"/>
          <w:highlight w:val="none"/>
        </w:rPr>
        <w:t>。单个投资组合的企业年金基金财产，投资于经备案的单只养老金产品，不得超过该投资组合企业年金基金财产净值的</w:t>
      </w:r>
      <w:r>
        <w:rPr>
          <w:rFonts w:ascii="仿宋_GB2312" w:hAnsi="Times New Roman" w:eastAsia="仿宋_GB2312" w:cs="Times New Roman"/>
          <w:sz w:val="28"/>
          <w:szCs w:val="28"/>
          <w:highlight w:val="none"/>
        </w:rPr>
        <w:t>30%，</w:t>
      </w:r>
      <w:r>
        <w:rPr>
          <w:rFonts w:hint="eastAsia" w:ascii="仿宋_GB2312" w:hAnsi="Times New Roman" w:eastAsia="仿宋_GB2312" w:cs="Times New Roman"/>
          <w:sz w:val="28"/>
          <w:szCs w:val="28"/>
          <w:highlight w:val="none"/>
        </w:rPr>
        <w:t>不受上述</w:t>
      </w:r>
      <w:r>
        <w:rPr>
          <w:rFonts w:ascii="仿宋_GB2312" w:hAnsi="Times New Roman" w:eastAsia="仿宋_GB2312" w:cs="Times New Roman"/>
          <w:sz w:val="28"/>
          <w:szCs w:val="28"/>
          <w:highlight w:val="none"/>
        </w:rPr>
        <w:t>10%</w:t>
      </w:r>
      <w:r>
        <w:rPr>
          <w:rFonts w:hint="eastAsia" w:ascii="仿宋_GB2312" w:hAnsi="Times New Roman" w:eastAsia="仿宋_GB2312" w:cs="Times New Roman"/>
          <w:sz w:val="28"/>
          <w:szCs w:val="28"/>
          <w:highlight w:val="none"/>
        </w:rPr>
        <w:t>规定的限制。</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7.2  在法律法规规定范围内，委托人与受托人协商一致，可以修订企业年金基金投资政策，但必须考虑受托人、托管人和投资管理人调整投资政策及投资监督所需必要时间。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7.3  企业年金计划投资组合详见投资管理合同。</w:t>
      </w:r>
    </w:p>
    <w:p>
      <w:pPr>
        <w:keepNext/>
        <w:keepLines/>
        <w:widowControl w:val="0"/>
        <w:spacing w:before="340" w:after="330" w:line="578" w:lineRule="auto"/>
        <w:ind w:firstLine="643"/>
        <w:jc w:val="center"/>
        <w:outlineLvl w:val="0"/>
        <w:rPr>
          <w:rFonts w:hint="eastAsia" w:ascii="仿宋_GB2312" w:hAnsi="Times New Roman" w:eastAsia="仿宋_GB2312" w:cs="Times New Roman"/>
          <w:b w:val="0"/>
          <w:bCs/>
          <w:kern w:val="44"/>
          <w:sz w:val="28"/>
          <w:szCs w:val="28"/>
          <w:highlight w:val="none"/>
          <w:lang w:val="en-US" w:eastAsia="zh-CN" w:bidi="ar-SA"/>
        </w:rPr>
      </w:pPr>
      <w:bookmarkStart w:id="1015" w:name="_Toc27816"/>
      <w:bookmarkStart w:id="1016" w:name="_Toc319932546"/>
      <w:r>
        <w:rPr>
          <w:rFonts w:hint="eastAsia" w:ascii="黑体" w:hAnsi="黑体" w:eastAsia="黑体" w:cs="Times New Roman"/>
          <w:b w:val="0"/>
          <w:bCs w:val="0"/>
          <w:kern w:val="44"/>
          <w:sz w:val="28"/>
          <w:szCs w:val="28"/>
          <w:highlight w:val="none"/>
          <w:lang w:val="en-US" w:eastAsia="zh-CN" w:bidi="ar-SA"/>
        </w:rPr>
        <w:t>第八章　投资管理风险准备金</w:t>
      </w:r>
      <w:bookmarkEnd w:id="1012"/>
      <w:bookmarkEnd w:id="1015"/>
      <w:bookmarkEnd w:id="1016"/>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8.1  投资管理人按照法律法规规定在托管人处开立投资管理风险准备金账户，并为每个投资组合建立子账户。除法律法规规定或投资管理合同约定外，投资管理人在投资管理合同终止前不得动用或支取投资管理风险准备金。</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8.2  投资管理人从投资管理当期收取的投资管理费中，提取20%作为投资管理风险准备金存入投资管理风险准备金账户，专项用于弥补投资管理合同终止时所管理投资组合的企业年金基金资产的当期投资亏损。单个投资组合的投资管理风险准备金余额达到投资组合基金财产净值的10%时可不再提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8.3  投资管理合同终止时，如所管理投资组合基金财产净值低于当期委托投资资产的，投资管理人应当用风险准备金弥补该时点的当期委托投资资产亏损，直至该投资组合风险准备金使用完毕；如所管理投资组合的企业年金基金当期委托投资资产没有发生投资亏损或者风险准备金弥补后有剩余的，风险准备金划归投资管理人。受托人在投资管理合同期限结束后的一个季度内，将风险准备金划归投资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8.4  投资管理合同到期顺延或者到期续签的，按照第8.3款的约定将风险准备金划归投资管理人。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8.5  投资管理风险准备金由投资管理人进行管理，可以投资于银行存款、国债等高流动性、低风险金融产品。风险准备金投资产生的收益，应当纳入投资管理风险准备金管理。</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17" w:name="_Toc178058133"/>
      <w:bookmarkStart w:id="1018" w:name="_Toc196398442"/>
      <w:bookmarkStart w:id="1019" w:name="_Toc196484080"/>
      <w:bookmarkStart w:id="1020" w:name="_Toc311040992"/>
      <w:bookmarkStart w:id="1021" w:name="_Toc319932547"/>
      <w:bookmarkStart w:id="1022" w:name="_Toc1549"/>
      <w:r>
        <w:rPr>
          <w:rFonts w:hint="eastAsia" w:ascii="黑体" w:hAnsi="黑体" w:eastAsia="黑体" w:cs="Times New Roman"/>
          <w:b w:val="0"/>
          <w:bCs w:val="0"/>
          <w:kern w:val="44"/>
          <w:sz w:val="28"/>
          <w:szCs w:val="28"/>
          <w:highlight w:val="none"/>
          <w:lang w:val="en-US" w:eastAsia="zh-CN" w:bidi="ar-SA"/>
        </w:rPr>
        <w:t>第九章  企业年金</w:t>
      </w:r>
      <w:bookmarkEnd w:id="1017"/>
      <w:bookmarkEnd w:id="1018"/>
      <w:bookmarkEnd w:id="1019"/>
      <w:r>
        <w:rPr>
          <w:rFonts w:hint="eastAsia" w:ascii="黑体" w:hAnsi="黑体" w:eastAsia="黑体" w:cs="Times New Roman"/>
          <w:b w:val="0"/>
          <w:bCs w:val="0"/>
          <w:kern w:val="44"/>
          <w:sz w:val="28"/>
          <w:szCs w:val="28"/>
          <w:highlight w:val="none"/>
          <w:lang w:val="en-US" w:eastAsia="zh-CN" w:bidi="ar-SA"/>
        </w:rPr>
        <w:t>基金财产</w:t>
      </w:r>
      <w:bookmarkEnd w:id="1020"/>
      <w:r>
        <w:rPr>
          <w:rFonts w:hint="eastAsia" w:ascii="黑体" w:hAnsi="黑体" w:eastAsia="黑体" w:cs="Times New Roman"/>
          <w:b w:val="0"/>
          <w:bCs w:val="0"/>
          <w:kern w:val="44"/>
          <w:sz w:val="28"/>
          <w:szCs w:val="28"/>
          <w:highlight w:val="none"/>
          <w:lang w:val="en-US" w:eastAsia="zh-CN" w:bidi="ar-SA"/>
        </w:rPr>
        <w:t>的核算</w:t>
      </w:r>
      <w:bookmarkEnd w:id="1021"/>
      <w:bookmarkEnd w:id="1022"/>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9.1  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9.1.1  企业年金基金资产。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指企业年金缴费及运营形成的各项资产，包括：货币资金及其应计利息、应收证券清算款、应收股利、买入返售证券交易资产、其他应收款、债券投资及其应计利息、基金投资、股票投资、其他投资、其他资产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9.1.2  企业年金基金负债。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指</w:t>
      </w:r>
      <w:r>
        <w:rPr>
          <w:rFonts w:ascii="仿宋_GB2312" w:hAnsi="Times New Roman" w:eastAsia="仿宋_GB2312" w:cs="Times New Roman"/>
          <w:sz w:val="28"/>
          <w:szCs w:val="28"/>
          <w:highlight w:val="none"/>
        </w:rPr>
        <w:t>企业年金基金运营形成的各项负债</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包括</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应付证券清算款、应付受益人待遇、应付受托人管理费、应付托管人管理费、应付投资管理人管理费、应交税金、卖出回购证券款、应付利息、应付佣金和其他应付款等。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9.1.3  企业年金基金财产净值。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指企业年金基金资产减去负债后的余额。</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9.1.4  企业年金基金财产的收益分配。</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企业年金基金投资净收益，全部归属于企业年金基金。账户管理人采用份额计量方式进行账户管理，依据企业年金基金财产净值计算基金份额净值，按日或按周足额记入企业账户和个人账户。</w:t>
      </w:r>
    </w:p>
    <w:p>
      <w:pPr>
        <w:spacing w:line="360" w:lineRule="auto"/>
        <w:ind w:firstLine="560" w:firstLineChars="200"/>
        <w:rPr>
          <w:rFonts w:hint="eastAsia" w:ascii="仿宋_GB2312" w:hAnsi="Times New Roman" w:eastAsia="仿宋_GB2312" w:cs="Times New Roman"/>
          <w:sz w:val="28"/>
          <w:szCs w:val="28"/>
          <w:highlight w:val="none"/>
        </w:rPr>
      </w:pPr>
      <w:bookmarkStart w:id="1023" w:name="_Toc196484082"/>
      <w:r>
        <w:rPr>
          <w:rFonts w:hint="eastAsia" w:ascii="仿宋_GB2312" w:hAnsi="Times New Roman" w:eastAsia="仿宋_GB2312" w:cs="Times New Roman"/>
          <w:sz w:val="28"/>
          <w:szCs w:val="28"/>
          <w:highlight w:val="none"/>
        </w:rPr>
        <w:t>9.2  企业年金基金会计。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9.2.1  会计年度为公历每年1月1日至12月31日。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9.2.2  企业年金基金核算以人民币为记账本位币，以人民币元为记账单位。</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9.2.3  会计制度按照《</w:t>
      </w:r>
      <w:r>
        <w:rPr>
          <w:rFonts w:ascii="仿宋_GB2312" w:hAnsi="Times New Roman" w:eastAsia="仿宋_GB2312" w:cs="Times New Roman"/>
          <w:sz w:val="28"/>
          <w:szCs w:val="28"/>
          <w:highlight w:val="none"/>
        </w:rPr>
        <w:t>企业会计准则第10号</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企业年金基金》</w:t>
      </w:r>
      <w:r>
        <w:rPr>
          <w:rFonts w:hint="eastAsia" w:ascii="仿宋_GB2312" w:hAnsi="Times New Roman" w:eastAsia="仿宋_GB2312" w:cs="Times New Roman"/>
          <w:sz w:val="28"/>
          <w:szCs w:val="28"/>
          <w:highlight w:val="none"/>
        </w:rPr>
        <w:t>和《企业会计准则第22号-金融工具确认和计量》及修订后的相关会计准则，并参照《证券投资基金会计核算业务指引》等规定执行。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9.2.4  企业年金基金独立建账、独立核算。</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9.2.5  受托人委托托管人、投资管理人分别进行企业年金基金会计核算，并由托管人按照有关规定编制企业年金基金会计报表。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9.3  企业年金基金财产估值。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9.3.1  估值目的。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客观、准确地反映企业年金基金财产的价值。 </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9.3.2  估值日。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估值日为交易日。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9.3.3  估值对象。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企业年金基金在法律法规规定的投资范围内运营取得的银行存款、国债和其他具有良好流动性的金融产品，包括中央银行票据、债券回购、万能保险产品、投资连结保险产品、证券投资基金、股票，以及信用等级在投资级以上的金融债、企业（公司）债、可转换债（含分离交易可转换债）、短期融资券和中期票据等金融产品。</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9.3.4  估值方法。 </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企业年金基金财产的估值适用《</w:t>
      </w:r>
      <w:r>
        <w:rPr>
          <w:rFonts w:ascii="仿宋_GB2312" w:hAnsi="Times New Roman" w:eastAsia="仿宋_GB2312" w:cs="Times New Roman"/>
          <w:sz w:val="28"/>
          <w:szCs w:val="28"/>
          <w:highlight w:val="none"/>
        </w:rPr>
        <w:t>企业会计准则第10号</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企业年金基金》</w:t>
      </w:r>
      <w:r>
        <w:rPr>
          <w:rFonts w:hint="eastAsia" w:ascii="仿宋_GB2312" w:hAnsi="Times New Roman" w:eastAsia="仿宋_GB2312" w:cs="Times New Roman"/>
          <w:sz w:val="28"/>
          <w:szCs w:val="28"/>
          <w:highlight w:val="none"/>
        </w:rPr>
        <w:t>、《企业会计准则第22号-金融工具确认和计量》及修订后的相关会计准则，并参照《证券投资基金会计核算业务指引》等规定执行。</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24" w:name="_Toc319932548"/>
      <w:bookmarkStart w:id="1025" w:name="_Toc19838"/>
      <w:bookmarkStart w:id="1026" w:name="_Toc311040995"/>
      <w:r>
        <w:rPr>
          <w:rFonts w:hint="eastAsia" w:ascii="黑体" w:hAnsi="黑体" w:eastAsia="黑体" w:cs="Times New Roman"/>
          <w:b w:val="0"/>
          <w:bCs w:val="0"/>
          <w:kern w:val="44"/>
          <w:sz w:val="28"/>
          <w:szCs w:val="28"/>
          <w:highlight w:val="none"/>
          <w:lang w:val="en-US" w:eastAsia="zh-CN" w:bidi="ar-SA"/>
        </w:rPr>
        <w:t>第十章  企业年金基金的费用</w:t>
      </w:r>
      <w:bookmarkEnd w:id="1023"/>
      <w:bookmarkEnd w:id="1024"/>
      <w:bookmarkEnd w:id="1025"/>
      <w:bookmarkEnd w:id="1026"/>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10.1  企业年金基金费用包括受托管理费、托管费、账户管理费、投资管理费、交易费用、资金划拨费用、开户费用、审计费、清算费用以及法律法规规定的其他费用。</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  企业年金基金费用的计提方法、计提标准和支付方式</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10.2.1  受托管理费。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10.2.1.1  受托管理费按受托管理的企业年金基金财产净值的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%年费率计提。</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10.2.1.2  受托管理费计算方法：</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T= E</w:t>
      </w:r>
      <w:r>
        <w:rPr>
          <w:rFonts w:hint="eastAsia" w:ascii="Times New Roman" w:hAnsi="Times New Roman" w:eastAsia="仿宋_GB2312" w:cs="Times New Roman"/>
          <w:sz w:val="28"/>
          <w:szCs w:val="28"/>
          <w:highlight w:val="none"/>
          <w:vertAlign w:val="subscript"/>
        </w:rPr>
        <w:t>1</w:t>
      </w:r>
      <w:r>
        <w:rPr>
          <w:rFonts w:hint="eastAsia" w:ascii="仿宋_GB2312" w:hAnsi="Times New Roman" w:eastAsia="仿宋_GB2312" w:cs="Times New Roman"/>
          <w:sz w:val="28"/>
          <w:szCs w:val="28"/>
          <w:highlight w:val="none"/>
        </w:rPr>
        <w:t>×</w:t>
      </w:r>
      <w:r>
        <w:rPr>
          <w:rFonts w:ascii="Times New Roman" w:hAnsi="Times New Roman" w:eastAsia="仿宋_GB2312" w:cs="Times New Roman"/>
          <w:sz w:val="28"/>
          <w:szCs w:val="28"/>
          <w:highlight w:val="none"/>
        </w:rPr>
        <w:t>R/</w:t>
      </w:r>
      <w:r>
        <w:rPr>
          <w:rFonts w:hint="eastAsia" w:ascii="Times New Roman" w:hAnsi="Times New Roman" w:eastAsia="仿宋_GB2312" w:cs="Times New Roman"/>
          <w:sz w:val="28"/>
          <w:szCs w:val="28"/>
          <w:highlight w:val="none"/>
        </w:rPr>
        <w:t>当年实际天数</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T：每日应计提的受托管理费；</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E</w:t>
      </w:r>
      <w:r>
        <w:rPr>
          <w:rFonts w:hint="eastAsia" w:ascii="Times New Roman" w:hAnsi="Times New Roman" w:eastAsia="仿宋_GB2312" w:cs="Times New Roman"/>
          <w:sz w:val="28"/>
          <w:szCs w:val="28"/>
          <w:highlight w:val="none"/>
          <w:vertAlign w:val="subscript"/>
        </w:rPr>
        <w:t>1</w:t>
      </w:r>
      <w:r>
        <w:rPr>
          <w:rFonts w:ascii="Times New Roman" w:hAnsi="Times New Roman" w:eastAsia="仿宋_GB2312" w:cs="Times New Roman"/>
          <w:sz w:val="28"/>
          <w:szCs w:val="28"/>
          <w:highlight w:val="none"/>
        </w:rPr>
        <w:t>：前一日</w:t>
      </w:r>
      <w:r>
        <w:rPr>
          <w:rFonts w:hint="eastAsia" w:ascii="Times New Roman" w:hAnsi="Times New Roman" w:eastAsia="仿宋_GB2312" w:cs="Times New Roman"/>
          <w:sz w:val="28"/>
          <w:szCs w:val="28"/>
          <w:highlight w:val="none"/>
        </w:rPr>
        <w:t>受托管理的</w:t>
      </w:r>
      <w:r>
        <w:rPr>
          <w:rFonts w:ascii="Times New Roman" w:hAnsi="Times New Roman" w:eastAsia="仿宋_GB2312" w:cs="Times New Roman"/>
          <w:sz w:val="28"/>
          <w:szCs w:val="28"/>
          <w:highlight w:val="none"/>
        </w:rPr>
        <w:t>企业年金基金财产净值</w:t>
      </w:r>
      <w:r>
        <w:rPr>
          <w:rFonts w:hint="eastAsia" w:ascii="Times New Roman" w:hAnsi="Times New Roman" w:eastAsia="仿宋_GB2312" w:cs="Times New Roman"/>
          <w:sz w:val="28"/>
          <w:szCs w:val="28"/>
          <w:highlight w:val="none"/>
        </w:rPr>
        <w:t>（首日按照当日资产计提或首日不计提）</w:t>
      </w:r>
      <w:r>
        <w:rPr>
          <w:rFonts w:ascii="Times New Roman" w:hAnsi="Times New Roman" w:eastAsia="仿宋_GB2312" w:cs="Times New Roman"/>
          <w:sz w:val="28"/>
          <w:szCs w:val="28"/>
          <w:highlight w:val="none"/>
        </w:rPr>
        <w:t>；</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R：本合同</w:t>
      </w:r>
      <w:r>
        <w:rPr>
          <w:rFonts w:hint="eastAsia" w:ascii="Times New Roman" w:hAnsi="Times New Roman" w:eastAsia="仿宋_GB2312" w:cs="Times New Roman"/>
          <w:sz w:val="28"/>
          <w:szCs w:val="28"/>
          <w:highlight w:val="none"/>
        </w:rPr>
        <w:t>约</w:t>
      </w:r>
      <w:r>
        <w:rPr>
          <w:rFonts w:ascii="Times New Roman" w:hAnsi="Times New Roman" w:eastAsia="仿宋_GB2312" w:cs="Times New Roman"/>
          <w:sz w:val="28"/>
          <w:szCs w:val="28"/>
          <w:highlight w:val="none"/>
        </w:rPr>
        <w:t>定的受托管理费年费率</w:t>
      </w:r>
      <w:r>
        <w:rPr>
          <w:rFonts w:hint="eastAsia" w:ascii="Times New Roman" w:hAnsi="Times New Roman" w:eastAsia="仿宋_GB2312" w:cs="Times New Roman"/>
          <w:sz w:val="28"/>
          <w:szCs w:val="28"/>
          <w:highlight w:val="none"/>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10.2.1.3  受托管理费每日计提，逐日累计，按季支付。</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  账户管理费。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10.2.2.1  委托人在职职工的个人账户的账户管理费按照每人的个人账户每月</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元，由委托人支付给账户管理人。每期企业年金基金账户管理费＝∑月个人账户数×账户管理费收费标准，其中“月个人账户数</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以月末个人账户户数为准，自人力资源社会保障行政部门出具企业年金计划确认函的当月开始计算并收取账户管理费。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10.2.2.2  委托人退休职工的退休账户的账户管理费按照每人的个人账户每月</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元，应当按下列</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方式支付：</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10.2.2.2.1  由委托人支付给账户管理人。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10.2.2.2.2  由职工本人承担，从其个人账户中扣除。</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10.2.2.3  委托人离职职工的保留账户的账户管理费按照每人的个人账户每月</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元，应当按下列</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方式支付：</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10.2.2.3.1  由委托人支付给账户管理人。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10.2.2.3.2  由职工本人承担，从其个人账户中扣除。</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10.2.2.4  委托人按季支付账户管理费。账户管理人将账户管理费通知单发送给</w:t>
      </w:r>
      <w:r>
        <w:rPr>
          <w:rFonts w:hint="eastAsia" w:ascii="仿宋_GB2312" w:hAnsi="Times New Roman" w:eastAsia="仿宋_GB2312" w:cs="Times New Roman"/>
          <w:sz w:val="28"/>
          <w:szCs w:val="28"/>
          <w:highlight w:val="none"/>
        </w:rPr>
        <w:t>委托人</w:t>
      </w:r>
      <w:r>
        <w:rPr>
          <w:rFonts w:hint="eastAsia" w:ascii="仿宋_GB2312" w:hAnsi="宋体" w:eastAsia="仿宋_GB2312" w:cs="Times New Roman"/>
          <w:sz w:val="28"/>
          <w:szCs w:val="28"/>
          <w:highlight w:val="none"/>
        </w:rPr>
        <w:t>，</w:t>
      </w:r>
      <w:r>
        <w:rPr>
          <w:rFonts w:hint="eastAsia" w:ascii="仿宋_GB2312" w:hAnsi="Times New Roman" w:eastAsia="仿宋_GB2312" w:cs="Times New Roman"/>
          <w:sz w:val="28"/>
          <w:szCs w:val="28"/>
          <w:highlight w:val="none"/>
        </w:rPr>
        <w:t>委托人</w:t>
      </w:r>
      <w:r>
        <w:rPr>
          <w:rFonts w:hint="eastAsia" w:ascii="仿宋_GB2312" w:hAnsi="宋体" w:eastAsia="仿宋_GB2312" w:cs="Times New Roman"/>
          <w:sz w:val="28"/>
          <w:szCs w:val="28"/>
          <w:highlight w:val="none"/>
        </w:rPr>
        <w:t>应当在收到账户管理费通知单后及时将账户管理费足额付至账户管理人指定的银行账户。</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10.2.2.5  职工本人承担的账户管理费，从其个人账户中扣除，扣除的具体方式可在操作备忘录等补充协议中约定。</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10.2.2.6  委托人违反本合同约定，逾期30日仍未足额支付账户管理费，账户管理人有权停止向委托人及受益人提供企业年金计划信息披露及信息查询服务。</w:t>
      </w:r>
      <w:r>
        <w:rPr>
          <w:rFonts w:ascii="仿宋_GB2312" w:hAnsi="宋体" w:eastAsia="仿宋_GB2312" w:cs="Times New Roman"/>
          <w:sz w:val="28"/>
          <w:szCs w:val="28"/>
          <w:highlight w:val="none"/>
        </w:rPr>
        <w:t>逾期时间</w:t>
      </w:r>
      <w:r>
        <w:rPr>
          <w:rFonts w:hint="eastAsia" w:ascii="仿宋_GB2312" w:hAnsi="宋体" w:eastAsia="仿宋_GB2312" w:cs="Times New Roman"/>
          <w:sz w:val="28"/>
          <w:szCs w:val="28"/>
          <w:highlight w:val="none"/>
        </w:rPr>
        <w:t>自账户管理费</w:t>
      </w:r>
      <w:r>
        <w:rPr>
          <w:rFonts w:ascii="仿宋_GB2312" w:hAnsi="宋体" w:eastAsia="仿宋_GB2312" w:cs="Times New Roman"/>
          <w:sz w:val="28"/>
          <w:szCs w:val="28"/>
          <w:highlight w:val="none"/>
        </w:rPr>
        <w:t>最后</w:t>
      </w:r>
      <w:r>
        <w:rPr>
          <w:rFonts w:hint="eastAsia" w:ascii="仿宋_GB2312" w:hAnsi="宋体" w:eastAsia="仿宋_GB2312" w:cs="Times New Roman"/>
          <w:sz w:val="28"/>
          <w:szCs w:val="28"/>
          <w:highlight w:val="none"/>
        </w:rPr>
        <w:t>支付</w:t>
      </w:r>
      <w:r>
        <w:rPr>
          <w:rFonts w:ascii="仿宋_GB2312" w:hAnsi="宋体" w:eastAsia="仿宋_GB2312" w:cs="Times New Roman"/>
          <w:sz w:val="28"/>
          <w:szCs w:val="28"/>
          <w:highlight w:val="none"/>
        </w:rPr>
        <w:t>时限届满次日起算。</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Times New Roman" w:eastAsia="仿宋_GB2312" w:cs="Times New Roman"/>
          <w:sz w:val="28"/>
          <w:szCs w:val="28"/>
          <w:highlight w:val="none"/>
        </w:rPr>
        <w:t>1</w:t>
      </w:r>
      <w:r>
        <w:rPr>
          <w:rFonts w:hint="eastAsia" w:ascii="仿宋_GB2312" w:hAnsi="宋体" w:eastAsia="仿宋_GB2312" w:cs="Times New Roman"/>
          <w:sz w:val="28"/>
          <w:szCs w:val="28"/>
          <w:highlight w:val="none"/>
        </w:rPr>
        <w:t>0.2.3  托管费。</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10.2.3.1  托管费按托管的企业年金基金财产净值的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w:t>
      </w:r>
      <w:r>
        <w:rPr>
          <w:rFonts w:hint="eastAsia" w:ascii="仿宋_GB2312" w:hAnsi="宋体" w:eastAsia="仿宋_GB2312" w:cs="Times New Roman"/>
          <w:sz w:val="28"/>
          <w:szCs w:val="28"/>
          <w:highlight w:val="none"/>
        </w:rPr>
        <w:t>年费率计提。</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10.2.3.2  托管费计算方式：</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C=E</w:t>
      </w:r>
      <w:r>
        <w:rPr>
          <w:rFonts w:hint="eastAsia" w:ascii="Times New Roman" w:hAnsi="Times New Roman" w:eastAsia="仿宋_GB2312" w:cs="Times New Roman"/>
          <w:sz w:val="28"/>
          <w:szCs w:val="28"/>
          <w:highlight w:val="none"/>
          <w:vertAlign w:val="subscript"/>
        </w:rPr>
        <w:t>2</w:t>
      </w:r>
      <w:r>
        <w:rPr>
          <w:rFonts w:ascii="Times New Roman" w:hAnsi="Times New Roman" w:eastAsia="仿宋_GB2312" w:cs="Times New Roman"/>
          <w:sz w:val="28"/>
          <w:szCs w:val="28"/>
          <w:highlight w:val="none"/>
        </w:rPr>
        <w:t>×S/</w:t>
      </w:r>
      <w:r>
        <w:rPr>
          <w:rFonts w:hint="eastAsia" w:ascii="Times New Roman" w:hAnsi="Times New Roman" w:eastAsia="仿宋_GB2312" w:cs="Times New Roman"/>
          <w:sz w:val="28"/>
          <w:szCs w:val="28"/>
          <w:highlight w:val="none"/>
        </w:rPr>
        <w:t>当年实际天数</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C：每日应计提的托管费；</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E</w:t>
      </w:r>
      <w:r>
        <w:rPr>
          <w:rFonts w:hint="eastAsia" w:ascii="Times New Roman" w:hAnsi="Times New Roman" w:eastAsia="仿宋_GB2312" w:cs="Times New Roman"/>
          <w:sz w:val="28"/>
          <w:szCs w:val="28"/>
          <w:highlight w:val="none"/>
          <w:vertAlign w:val="subscript"/>
        </w:rPr>
        <w:t>2</w:t>
      </w:r>
      <w:r>
        <w:rPr>
          <w:rFonts w:ascii="Times New Roman" w:hAnsi="Times New Roman" w:eastAsia="仿宋_GB2312" w:cs="Times New Roman"/>
          <w:sz w:val="28"/>
          <w:szCs w:val="28"/>
          <w:highlight w:val="none"/>
        </w:rPr>
        <w:t>：前一日</w:t>
      </w:r>
      <w:r>
        <w:rPr>
          <w:rFonts w:hint="eastAsia" w:ascii="Times New Roman" w:hAnsi="Times New Roman" w:eastAsia="仿宋_GB2312" w:cs="Times New Roman"/>
          <w:sz w:val="28"/>
          <w:szCs w:val="28"/>
          <w:highlight w:val="none"/>
        </w:rPr>
        <w:t>托管的企业</w:t>
      </w:r>
      <w:r>
        <w:rPr>
          <w:rFonts w:ascii="Times New Roman" w:hAnsi="Times New Roman" w:eastAsia="仿宋_GB2312" w:cs="Times New Roman"/>
          <w:sz w:val="28"/>
          <w:szCs w:val="28"/>
          <w:highlight w:val="none"/>
        </w:rPr>
        <w:t>年金基金财产净值</w:t>
      </w:r>
      <w:r>
        <w:rPr>
          <w:rFonts w:hint="eastAsia" w:ascii="Times New Roman" w:hAnsi="Times New Roman" w:eastAsia="仿宋_GB2312" w:cs="Times New Roman"/>
          <w:sz w:val="28"/>
          <w:szCs w:val="28"/>
          <w:highlight w:val="none"/>
        </w:rPr>
        <w:t>（首日按照当日资产计提或首日不计提）</w:t>
      </w:r>
      <w:r>
        <w:rPr>
          <w:rFonts w:ascii="Times New Roman" w:hAnsi="Times New Roman" w:eastAsia="仿宋_GB2312" w:cs="Times New Roman"/>
          <w:sz w:val="28"/>
          <w:szCs w:val="28"/>
          <w:highlight w:val="none"/>
        </w:rPr>
        <w:t>；</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S：本合同</w:t>
      </w:r>
      <w:r>
        <w:rPr>
          <w:rFonts w:hint="eastAsia" w:ascii="Times New Roman" w:hAnsi="Times New Roman" w:eastAsia="仿宋_GB2312" w:cs="Times New Roman"/>
          <w:sz w:val="28"/>
          <w:szCs w:val="28"/>
          <w:highlight w:val="none"/>
        </w:rPr>
        <w:t>约</w:t>
      </w:r>
      <w:r>
        <w:rPr>
          <w:rFonts w:ascii="Times New Roman" w:hAnsi="Times New Roman" w:eastAsia="仿宋_GB2312" w:cs="Times New Roman"/>
          <w:sz w:val="28"/>
          <w:szCs w:val="28"/>
          <w:highlight w:val="none"/>
        </w:rPr>
        <w:t>定的托管费年费率。</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10.2.3.3  托管费每日计提，逐日累计，按季支付。</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10.2.4  投资管理费。</w:t>
      </w:r>
    </w:p>
    <w:p>
      <w:pPr>
        <w:spacing w:line="360" w:lineRule="auto"/>
        <w:ind w:left="1123" w:leftChars="268" w:hanging="560" w:hangingChars="200"/>
        <w:rPr>
          <w:rFonts w:hint="eastAsia" w:ascii="仿宋_GB2312" w:hAnsi="宋体" w:eastAsia="仿宋_GB2312" w:cs="Times New Roman"/>
          <w:sz w:val="28"/>
          <w:szCs w:val="28"/>
          <w:highlight w:val="none"/>
        </w:rPr>
      </w:pPr>
      <w:r>
        <w:rPr>
          <w:rFonts w:hint="eastAsia" w:ascii="仿宋_GB2312" w:hAnsi="Times New Roman" w:eastAsia="仿宋_GB2312" w:cs="Times New Roman"/>
          <w:sz w:val="28"/>
          <w:szCs w:val="28"/>
          <w:highlight w:val="none"/>
        </w:rPr>
        <w:t xml:space="preserve">10.2.4.1  </w:t>
      </w:r>
      <w:r>
        <w:rPr>
          <w:rFonts w:hint="eastAsia" w:ascii="仿宋_GB2312" w:hAnsi="宋体" w:eastAsia="仿宋_GB2312" w:cs="Times New Roman"/>
          <w:sz w:val="28"/>
          <w:szCs w:val="28"/>
          <w:highlight w:val="none"/>
        </w:rPr>
        <w:t>固定管理费。</w:t>
      </w:r>
    </w:p>
    <w:p>
      <w:pPr>
        <w:spacing w:line="360" w:lineRule="auto"/>
        <w:ind w:left="420" w:leftChars="200" w:right="206" w:rightChars="98" w:firstLine="140" w:firstLineChars="5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10.2.4.1.1  投资管理费按投资管理的企业年金基金财产净</w:t>
      </w:r>
    </w:p>
    <w:p>
      <w:pPr>
        <w:spacing w:line="360" w:lineRule="auto"/>
        <w:ind w:right="206" w:rightChars="98"/>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值的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 xml:space="preserve"> %年费率计提。</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10.2.4.1.2  投资管理费计算方式：</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I=E</w:t>
      </w:r>
      <w:r>
        <w:rPr>
          <w:rFonts w:hint="eastAsia" w:ascii="Times New Roman" w:hAnsi="Times New Roman" w:eastAsia="仿宋_GB2312" w:cs="Times New Roman"/>
          <w:sz w:val="28"/>
          <w:szCs w:val="28"/>
          <w:highlight w:val="none"/>
          <w:vertAlign w:val="subscript"/>
        </w:rPr>
        <w:t>3</w:t>
      </w:r>
      <w:r>
        <w:rPr>
          <w:rFonts w:ascii="Times New Roman" w:hAnsi="Times New Roman" w:eastAsia="仿宋_GB2312" w:cs="Times New Roman"/>
          <w:sz w:val="28"/>
          <w:szCs w:val="28"/>
          <w:highlight w:val="none"/>
        </w:rPr>
        <w:t>×U/</w:t>
      </w:r>
      <w:r>
        <w:rPr>
          <w:rFonts w:hint="eastAsia" w:ascii="Times New Roman" w:hAnsi="Times New Roman" w:eastAsia="仿宋_GB2312" w:cs="Times New Roman"/>
          <w:sz w:val="28"/>
          <w:szCs w:val="28"/>
          <w:highlight w:val="none"/>
        </w:rPr>
        <w:t>当年实际天数</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I：每日应计提的投资管理费；</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E</w:t>
      </w:r>
      <w:r>
        <w:rPr>
          <w:rFonts w:hint="eastAsia" w:ascii="Times New Roman" w:hAnsi="Times New Roman" w:eastAsia="仿宋_GB2312" w:cs="Times New Roman"/>
          <w:sz w:val="28"/>
          <w:szCs w:val="28"/>
          <w:highlight w:val="none"/>
          <w:vertAlign w:val="subscript"/>
        </w:rPr>
        <w:t>3</w:t>
      </w:r>
      <w:r>
        <w:rPr>
          <w:rFonts w:ascii="Times New Roman" w:hAnsi="Times New Roman" w:eastAsia="仿宋_GB2312" w:cs="Times New Roman"/>
          <w:sz w:val="28"/>
          <w:szCs w:val="28"/>
          <w:highlight w:val="none"/>
        </w:rPr>
        <w:t>：前一日</w:t>
      </w:r>
      <w:r>
        <w:rPr>
          <w:rFonts w:hint="eastAsia" w:ascii="Times New Roman" w:hAnsi="Times New Roman" w:eastAsia="仿宋_GB2312" w:cs="Times New Roman"/>
          <w:sz w:val="28"/>
          <w:szCs w:val="28"/>
          <w:highlight w:val="none"/>
        </w:rPr>
        <w:t>投资管理的</w:t>
      </w:r>
      <w:r>
        <w:rPr>
          <w:rFonts w:ascii="Times New Roman" w:hAnsi="Times New Roman" w:eastAsia="仿宋_GB2312" w:cs="Times New Roman"/>
          <w:sz w:val="28"/>
          <w:szCs w:val="28"/>
          <w:highlight w:val="none"/>
        </w:rPr>
        <w:t>企业年金基金财产净值</w:t>
      </w:r>
      <w:r>
        <w:rPr>
          <w:rFonts w:hint="eastAsia" w:ascii="Times New Roman" w:hAnsi="Times New Roman" w:eastAsia="仿宋_GB2312" w:cs="Times New Roman"/>
          <w:sz w:val="28"/>
          <w:szCs w:val="28"/>
          <w:highlight w:val="none"/>
        </w:rPr>
        <w:t>（首日按照当日资产计提或首日不计提）</w:t>
      </w:r>
      <w:r>
        <w:rPr>
          <w:rFonts w:ascii="Times New Roman" w:hAnsi="Times New Roman" w:eastAsia="仿宋_GB2312" w:cs="Times New Roman"/>
          <w:sz w:val="28"/>
          <w:szCs w:val="28"/>
          <w:highlight w:val="none"/>
        </w:rPr>
        <w:t>；</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U：本合同</w:t>
      </w:r>
      <w:r>
        <w:rPr>
          <w:rFonts w:hint="eastAsia" w:ascii="Times New Roman" w:hAnsi="Times New Roman" w:eastAsia="仿宋_GB2312" w:cs="Times New Roman"/>
          <w:sz w:val="28"/>
          <w:szCs w:val="28"/>
          <w:highlight w:val="none"/>
        </w:rPr>
        <w:t>约</w:t>
      </w:r>
      <w:r>
        <w:rPr>
          <w:rFonts w:ascii="Times New Roman" w:hAnsi="Times New Roman" w:eastAsia="仿宋_GB2312" w:cs="Times New Roman"/>
          <w:sz w:val="28"/>
          <w:szCs w:val="28"/>
          <w:highlight w:val="none"/>
        </w:rPr>
        <w:t>定的投资管理费年费率。</w:t>
      </w:r>
    </w:p>
    <w:p>
      <w:pPr>
        <w:spacing w:line="360" w:lineRule="auto"/>
        <w:ind w:firstLine="560" w:firstLineChars="200"/>
        <w:rPr>
          <w:rFonts w:hint="eastAsia" w:ascii="仿宋_GB2312" w:hAnsi="宋体" w:eastAsia="仿宋_GB2312" w:cs="Times New Roman"/>
          <w:sz w:val="28"/>
          <w:szCs w:val="28"/>
          <w:highlight w:val="none"/>
        </w:rPr>
      </w:pPr>
      <w:r>
        <w:rPr>
          <w:rFonts w:hint="eastAsia" w:ascii="仿宋_GB2312" w:hAnsi="Times New Roman" w:eastAsia="仿宋_GB2312" w:cs="Times New Roman"/>
          <w:sz w:val="28"/>
          <w:szCs w:val="28"/>
          <w:highlight w:val="none"/>
        </w:rPr>
        <w:t>10.2.4.1.3  投资管理费每日计提，逐日累计，按季支付。</w:t>
      </w:r>
    </w:p>
    <w:p>
      <w:pPr>
        <w:spacing w:line="360" w:lineRule="auto"/>
        <w:ind w:left="1255" w:leftChars="267" w:hanging="694" w:hangingChars="248"/>
        <w:rPr>
          <w:rFonts w:hint="eastAsia" w:ascii="仿宋_GB2312" w:hAnsi="宋体" w:eastAsia="仿宋_GB2312" w:cs="Times New Roman"/>
          <w:sz w:val="28"/>
          <w:szCs w:val="28"/>
          <w:highlight w:val="none"/>
        </w:rPr>
      </w:pPr>
      <w:r>
        <w:rPr>
          <w:rFonts w:hint="eastAsia" w:ascii="仿宋_GB2312" w:hAnsi="Times New Roman" w:eastAsia="仿宋_GB2312" w:cs="Times New Roman"/>
          <w:sz w:val="28"/>
          <w:szCs w:val="28"/>
          <w:highlight w:val="none"/>
        </w:rPr>
        <w:t xml:space="preserve">10.2.4.2  </w:t>
      </w:r>
      <w:r>
        <w:rPr>
          <w:rFonts w:hint="eastAsia" w:ascii="仿宋_GB2312" w:hAnsi="宋体" w:eastAsia="仿宋_GB2312" w:cs="Times New Roman"/>
          <w:sz w:val="28"/>
          <w:szCs w:val="28"/>
          <w:highlight w:val="none"/>
        </w:rPr>
        <w:t>浮动管理费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10.2.4.2.1  投资管理费为基本管理费加业绩报酬两部分。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10.2.4.2.2  基本管理费按投资管理的企业年金基金财产净值的</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%年费率每日计提，逐日累计，按季支付。基本管理费计算方式如下：</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I=E</w:t>
      </w:r>
      <w:r>
        <w:rPr>
          <w:rFonts w:hint="eastAsia" w:ascii="Times New Roman" w:hAnsi="Times New Roman" w:eastAsia="仿宋_GB2312" w:cs="Times New Roman"/>
          <w:sz w:val="28"/>
          <w:szCs w:val="28"/>
          <w:highlight w:val="none"/>
          <w:vertAlign w:val="subscript"/>
        </w:rPr>
        <w:t>3</w:t>
      </w:r>
      <w:r>
        <w:rPr>
          <w:rFonts w:ascii="Times New Roman" w:hAnsi="Times New Roman" w:eastAsia="仿宋_GB2312" w:cs="Times New Roman"/>
          <w:sz w:val="28"/>
          <w:szCs w:val="28"/>
          <w:highlight w:val="none"/>
        </w:rPr>
        <w:t>×U/</w:t>
      </w:r>
      <w:r>
        <w:rPr>
          <w:rFonts w:hint="eastAsia" w:ascii="Times New Roman" w:hAnsi="Times New Roman" w:eastAsia="仿宋_GB2312" w:cs="Times New Roman"/>
          <w:sz w:val="28"/>
          <w:szCs w:val="28"/>
          <w:highlight w:val="none"/>
        </w:rPr>
        <w:t>当年实际天数</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I：每日应计提的</w:t>
      </w:r>
      <w:r>
        <w:rPr>
          <w:rFonts w:hint="eastAsia" w:ascii="Times New Roman" w:hAnsi="Times New Roman" w:eastAsia="仿宋_GB2312" w:cs="Times New Roman"/>
          <w:sz w:val="28"/>
          <w:szCs w:val="28"/>
          <w:highlight w:val="none"/>
        </w:rPr>
        <w:t>基本</w:t>
      </w:r>
      <w:r>
        <w:rPr>
          <w:rFonts w:ascii="Times New Roman" w:hAnsi="Times New Roman" w:eastAsia="仿宋_GB2312" w:cs="Times New Roman"/>
          <w:sz w:val="28"/>
          <w:szCs w:val="28"/>
          <w:highlight w:val="none"/>
        </w:rPr>
        <w:t>管理费；</w:t>
      </w:r>
    </w:p>
    <w:p>
      <w:pPr>
        <w:spacing w:line="360" w:lineRule="auto"/>
        <w:ind w:firstLine="1960" w:firstLineChars="700"/>
        <w:rPr>
          <w:rFonts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E</w:t>
      </w:r>
      <w:r>
        <w:rPr>
          <w:rFonts w:hint="eastAsia" w:ascii="Times New Roman" w:hAnsi="Times New Roman" w:eastAsia="仿宋_GB2312" w:cs="Times New Roman"/>
          <w:sz w:val="28"/>
          <w:szCs w:val="28"/>
          <w:highlight w:val="none"/>
          <w:vertAlign w:val="subscript"/>
        </w:rPr>
        <w:t>3</w:t>
      </w:r>
      <w:r>
        <w:rPr>
          <w:rFonts w:ascii="Times New Roman" w:hAnsi="Times New Roman" w:eastAsia="仿宋_GB2312" w:cs="Times New Roman"/>
          <w:sz w:val="28"/>
          <w:szCs w:val="28"/>
          <w:highlight w:val="none"/>
        </w:rPr>
        <w:t>：前一日</w:t>
      </w:r>
      <w:r>
        <w:rPr>
          <w:rFonts w:hint="eastAsia" w:ascii="Times New Roman" w:hAnsi="Times New Roman" w:eastAsia="仿宋_GB2312" w:cs="Times New Roman"/>
          <w:sz w:val="28"/>
          <w:szCs w:val="28"/>
          <w:highlight w:val="none"/>
        </w:rPr>
        <w:t>投资管理的</w:t>
      </w:r>
      <w:r>
        <w:rPr>
          <w:rFonts w:ascii="Times New Roman" w:hAnsi="Times New Roman" w:eastAsia="仿宋_GB2312" w:cs="Times New Roman"/>
          <w:sz w:val="28"/>
          <w:szCs w:val="28"/>
          <w:highlight w:val="none"/>
        </w:rPr>
        <w:t>企业年金基金财产净值</w:t>
      </w:r>
      <w:r>
        <w:rPr>
          <w:rFonts w:hint="eastAsia" w:ascii="Times New Roman" w:hAnsi="Times New Roman" w:eastAsia="仿宋_GB2312" w:cs="Times New Roman"/>
          <w:sz w:val="28"/>
          <w:szCs w:val="28"/>
          <w:highlight w:val="none"/>
        </w:rPr>
        <w:t>（首日按照当日资产计提或首日不计提）</w:t>
      </w:r>
      <w:r>
        <w:rPr>
          <w:rFonts w:ascii="Times New Roman" w:hAnsi="Times New Roman" w:eastAsia="仿宋_GB2312" w:cs="Times New Roman"/>
          <w:sz w:val="28"/>
          <w:szCs w:val="28"/>
          <w:highlight w:val="none"/>
        </w:rPr>
        <w:t>；</w:t>
      </w:r>
    </w:p>
    <w:p>
      <w:pPr>
        <w:spacing w:line="360" w:lineRule="auto"/>
        <w:ind w:firstLine="1960" w:firstLineChars="700"/>
        <w:rPr>
          <w:rFonts w:hint="eastAsia" w:ascii="Times New Roman" w:hAnsi="Times New Roman" w:eastAsia="仿宋_GB2312" w:cs="Times New Roman"/>
          <w:sz w:val="28"/>
          <w:szCs w:val="28"/>
          <w:highlight w:val="none"/>
        </w:rPr>
      </w:pPr>
      <w:r>
        <w:rPr>
          <w:rFonts w:ascii="Times New Roman" w:hAnsi="Times New Roman" w:eastAsia="仿宋_GB2312" w:cs="Times New Roman"/>
          <w:sz w:val="28"/>
          <w:szCs w:val="28"/>
          <w:highlight w:val="none"/>
        </w:rPr>
        <w:t>U：本合同</w:t>
      </w:r>
      <w:r>
        <w:rPr>
          <w:rFonts w:hint="eastAsia" w:ascii="Times New Roman" w:hAnsi="Times New Roman" w:eastAsia="仿宋_GB2312" w:cs="Times New Roman"/>
          <w:sz w:val="28"/>
          <w:szCs w:val="28"/>
          <w:highlight w:val="none"/>
        </w:rPr>
        <w:t>约</w:t>
      </w:r>
      <w:r>
        <w:rPr>
          <w:rFonts w:ascii="Times New Roman" w:hAnsi="Times New Roman" w:eastAsia="仿宋_GB2312" w:cs="Times New Roman"/>
          <w:sz w:val="28"/>
          <w:szCs w:val="28"/>
          <w:highlight w:val="none"/>
        </w:rPr>
        <w:t>定的</w:t>
      </w:r>
      <w:r>
        <w:rPr>
          <w:rFonts w:hint="eastAsia" w:ascii="Times New Roman" w:hAnsi="Times New Roman" w:eastAsia="仿宋_GB2312" w:cs="Times New Roman"/>
          <w:sz w:val="28"/>
          <w:szCs w:val="28"/>
          <w:highlight w:val="none"/>
        </w:rPr>
        <w:t>基本</w:t>
      </w:r>
      <w:r>
        <w:rPr>
          <w:rFonts w:ascii="Times New Roman" w:hAnsi="Times New Roman" w:eastAsia="仿宋_GB2312" w:cs="Times New Roman"/>
          <w:sz w:val="28"/>
          <w:szCs w:val="28"/>
          <w:highlight w:val="none"/>
        </w:rPr>
        <w:t>管理费年费率。</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10.2.4.2.3  业绩报酬按年计提，按年支付。每一会计年度如单个投资组合的委托投资资产期末资产净值超过按投资基准计算出的资产净值，对超过的部分提取业绩报酬，业绩报酬提取比例为</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%，本协议约定的投资基准为</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。业绩报酬的计算方法如下：</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 xml:space="preserve">业绩报酬 =  </w:t>
      </w:r>
      <w:r>
        <w:rPr>
          <w:rFonts w:hint="eastAsia" w:ascii="Times New Roman" w:hAnsi="Times New Roman" w:eastAsia="仿宋_GB2312" w:cs="Times New Roman"/>
          <w:sz w:val="28"/>
          <w:szCs w:val="28"/>
          <w:highlight w:val="none"/>
        </w:rPr>
        <w:object>
          <v:shape id="_x0000_i1025" o:spt="75" type="#_x0000_t75" style="height:39pt;width:129pt;" o:ole="t" filled="f" o:preferrelative="t" stroked="f" coordsize="21600,21600">
            <v:path/>
            <v:fill on="f" alignshape="1" focussize="0,0"/>
            <v:stroke on="f"/>
            <v:imagedata r:id="rId17" grayscale="f" bilevel="f" o:title=""/>
            <o:lock v:ext="edit" aspectratio="t"/>
            <w10:wrap type="none"/>
            <w10:anchorlock/>
          </v:shape>
          <o:OLEObject Type="Embed" ProgID="Equation.3" ShapeID="_x0000_i1025" DrawAspect="Content" ObjectID="_1468075725" r:id="rId16">
            <o:LockedField>false</o:LockedField>
          </o:OLEObject>
        </w:objec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A</w:t>
      </w:r>
      <w:r>
        <w:rPr>
          <w:rFonts w:hint="eastAsia" w:ascii="Times New Roman" w:hAnsi="Times New Roman" w:eastAsia="仿宋_GB2312" w:cs="Times New Roman"/>
          <w:sz w:val="28"/>
          <w:szCs w:val="28"/>
          <w:highlight w:val="none"/>
          <w:vertAlign w:val="subscript"/>
        </w:rPr>
        <w:t>n</w:t>
      </w:r>
      <w:r>
        <w:rPr>
          <w:rFonts w:hint="eastAsia" w:ascii="Times New Roman" w:hAnsi="Times New Roman" w:eastAsia="仿宋_GB2312" w:cs="Times New Roman"/>
          <w:sz w:val="28"/>
          <w:szCs w:val="28"/>
          <w:highlight w:val="none"/>
        </w:rPr>
        <w:t>为当年委托投资资产运作管理结束日委托投资资产净值；</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B</w:t>
      </w:r>
      <w:r>
        <w:rPr>
          <w:rFonts w:hint="eastAsia" w:ascii="Times New Roman" w:hAnsi="Times New Roman" w:eastAsia="仿宋_GB2312" w:cs="Times New Roman"/>
          <w:sz w:val="28"/>
          <w:szCs w:val="28"/>
          <w:highlight w:val="none"/>
          <w:vertAlign w:val="subscript"/>
        </w:rPr>
        <w:t>n</w:t>
      </w:r>
      <w:r>
        <w:rPr>
          <w:rFonts w:hint="eastAsia" w:ascii="Times New Roman" w:hAnsi="Times New Roman" w:eastAsia="仿宋_GB2312" w:cs="Times New Roman"/>
          <w:sz w:val="28"/>
          <w:szCs w:val="28"/>
          <w:highlight w:val="none"/>
        </w:rPr>
        <w:t>为当年末按投资基准计算的委托投资资产净值，其计算方法为：</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object>
          <v:shape id="_x0000_i1026" o:spt="75" type="#_x0000_t75" style="height:31.8pt;width:148.85pt;" o:ole="t" filled="f" o:preferrelative="t" stroked="f" coordsize="21600,21600">
            <v:path/>
            <v:fill on="f" alignshape="1" focussize="0,0"/>
            <v:stroke on="f"/>
            <v:imagedata r:id="rId19" grayscale="f" bilevel="f" o:title=""/>
            <o:lock v:ext="edit" aspectratio="t"/>
            <w10:wrap type="none"/>
            <w10:anchorlock/>
          </v:shape>
          <o:OLEObject Type="Embed" ProgID="Equation.3" ShapeID="_x0000_i1026" DrawAspect="Content" ObjectID="_1468075726" r:id="rId18">
            <o:LockedField>false</o:LockedField>
          </o:OLEObject>
        </w:objec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Y为业绩报酬的提取比例；</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C</w:t>
      </w:r>
      <w:r>
        <w:rPr>
          <w:rFonts w:hint="eastAsia" w:ascii="Times New Roman" w:hAnsi="Times New Roman" w:eastAsia="仿宋_GB2312" w:cs="Times New Roman"/>
          <w:sz w:val="28"/>
          <w:szCs w:val="28"/>
          <w:highlight w:val="none"/>
          <w:vertAlign w:val="subscript"/>
        </w:rPr>
        <w:t>0</w:t>
      </w:r>
      <w:r>
        <w:rPr>
          <w:rFonts w:hint="eastAsia" w:ascii="Times New Roman" w:hAnsi="Times New Roman" w:eastAsia="仿宋_GB2312" w:cs="Times New Roman"/>
          <w:sz w:val="28"/>
          <w:szCs w:val="28"/>
          <w:highlight w:val="none"/>
        </w:rPr>
        <w:t>——当年年初委托投资资产净值，即当年划入投资组合托管账户的首笔资金净值或者上一年年末委托投资资产净值；</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C</w:t>
      </w:r>
      <w:r>
        <w:rPr>
          <w:rFonts w:hint="eastAsia" w:ascii="Times New Roman" w:hAnsi="Times New Roman" w:eastAsia="仿宋_GB2312" w:cs="Times New Roman"/>
          <w:sz w:val="28"/>
          <w:szCs w:val="28"/>
          <w:highlight w:val="none"/>
          <w:vertAlign w:val="subscript"/>
        </w:rPr>
        <w:t>t</w:t>
      </w:r>
      <w:r>
        <w:rPr>
          <w:rFonts w:hint="eastAsia" w:ascii="Times New Roman" w:hAnsi="Times New Roman" w:eastAsia="仿宋_GB2312" w:cs="Times New Roman"/>
          <w:sz w:val="28"/>
          <w:szCs w:val="28"/>
          <w:highlight w:val="none"/>
        </w:rPr>
        <w:t>——第t笔现金流量净额（仅包括追加或减少委托投资资产额度所产生的现金流量，不包括基金运营的资金流动，追加委托投资资产时C</w:t>
      </w:r>
      <w:r>
        <w:rPr>
          <w:rFonts w:hint="eastAsia" w:ascii="Times New Roman" w:hAnsi="Times New Roman" w:eastAsia="仿宋_GB2312" w:cs="Times New Roman"/>
          <w:sz w:val="28"/>
          <w:szCs w:val="28"/>
          <w:highlight w:val="none"/>
          <w:vertAlign w:val="subscript"/>
        </w:rPr>
        <w:t>t</w:t>
      </w:r>
      <w:r>
        <w:rPr>
          <w:rFonts w:hint="eastAsia" w:ascii="Times New Roman" w:hAnsi="Times New Roman" w:eastAsia="仿宋_GB2312" w:cs="Times New Roman"/>
          <w:sz w:val="28"/>
          <w:szCs w:val="28"/>
          <w:highlight w:val="none"/>
        </w:rPr>
        <w:t>为正值，减少委托投资资产时C</w:t>
      </w:r>
      <w:r>
        <w:rPr>
          <w:rFonts w:hint="eastAsia" w:ascii="Times New Roman" w:hAnsi="Times New Roman" w:eastAsia="仿宋_GB2312" w:cs="Times New Roman"/>
          <w:sz w:val="28"/>
          <w:szCs w:val="28"/>
          <w:highlight w:val="none"/>
          <w:vertAlign w:val="subscript"/>
        </w:rPr>
        <w:t>t</w:t>
      </w:r>
      <w:r>
        <w:rPr>
          <w:rFonts w:hint="eastAsia" w:ascii="Times New Roman" w:hAnsi="Times New Roman" w:eastAsia="仿宋_GB2312" w:cs="Times New Roman"/>
          <w:sz w:val="28"/>
          <w:szCs w:val="28"/>
          <w:highlight w:val="none"/>
        </w:rPr>
        <w:t>为负值）；</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t>D</w:t>
      </w:r>
      <w:r>
        <w:rPr>
          <w:rFonts w:hint="eastAsia" w:ascii="Times New Roman" w:hAnsi="Times New Roman" w:eastAsia="仿宋_GB2312" w:cs="Times New Roman"/>
          <w:sz w:val="28"/>
          <w:szCs w:val="28"/>
          <w:highlight w:val="none"/>
          <w:vertAlign w:val="subscript"/>
        </w:rPr>
        <w:t>t</w:t>
      </w:r>
      <w:r>
        <w:rPr>
          <w:rFonts w:hint="eastAsia" w:ascii="Times New Roman" w:hAnsi="Times New Roman" w:eastAsia="仿宋_GB2312" w:cs="Times New Roman"/>
          <w:sz w:val="28"/>
          <w:szCs w:val="28"/>
          <w:highlight w:val="none"/>
        </w:rPr>
        <w:t>——第t笔现金流发生日距离当年年末的自然天数（包括当年年末，但不包括第t笔现金流发生当日）；</w:t>
      </w:r>
    </w:p>
    <w:p>
      <w:pPr>
        <w:spacing w:line="360" w:lineRule="auto"/>
        <w:ind w:firstLine="1960" w:firstLineChars="700"/>
        <w:rPr>
          <w:rFonts w:hint="eastAsia" w:ascii="Times New Roman" w:hAnsi="Times New Roman" w:eastAsia="仿宋_GB2312" w:cs="Times New Roman"/>
          <w:sz w:val="28"/>
          <w:szCs w:val="28"/>
          <w:highlight w:val="none"/>
        </w:rPr>
      </w:pPr>
      <w:r>
        <w:rPr>
          <w:rFonts w:hint="eastAsia" w:ascii="Times New Roman" w:hAnsi="Times New Roman" w:eastAsia="仿宋_GB2312" w:cs="Times New Roman"/>
          <w:sz w:val="28"/>
          <w:szCs w:val="28"/>
          <w:highlight w:val="none"/>
        </w:rPr>
        <w:object>
          <v:shape id="_x0000_i1027" o:spt="75" type="#_x0000_t75" style="height:18pt;width:16pt;" o:ole="t" filled="f" o:preferrelative="t" stroked="f" coordsize="21600,21600">
            <v:path/>
            <v:fill on="f" alignshape="1" focussize="0,0"/>
            <v:stroke on="f"/>
            <v:imagedata r:id="rId21" grayscale="f" bilevel="f" o:title=""/>
            <o:lock v:ext="edit" aspectratio="t"/>
            <w10:wrap type="none"/>
            <w10:anchorlock/>
          </v:shape>
          <o:OLEObject Type="Embed" ProgID="Equation.3" ShapeID="_x0000_i1027" DrawAspect="Content" ObjectID="_1468075727" r:id="rId20">
            <o:LockedField>false</o:LockedField>
          </o:OLEObject>
        </w:object>
      </w:r>
      <w:r>
        <w:rPr>
          <w:rFonts w:hint="eastAsia" w:ascii="Times New Roman" w:hAnsi="Times New Roman" w:eastAsia="仿宋_GB2312" w:cs="Times New Roman"/>
          <w:sz w:val="28"/>
          <w:szCs w:val="28"/>
          <w:highlight w:val="none"/>
        </w:rPr>
        <w:t>——第t笔现金流发生日后的第d日投资基准。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10.2.5  企业年金基金投资运作的会计季度（成立当季或最后一季）为非完整会计季度，以当季的实际运作天数计提并支付受托管理费、托管费或投资管理费。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10.2.6  除委托人支付的账户管理费外，第10.1款所列各项企业年金基金费用均在企业年金基金财产中列支。</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10.2.7  本合同约定的各项管理费用不得超过《企业年金基金管理办法》规定的上限，不得低于《企业年金管理机构行业自律公约》约定的下限。</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27" w:name="_Toc311040996"/>
      <w:bookmarkStart w:id="1028" w:name="_Toc21438"/>
      <w:bookmarkStart w:id="1029" w:name="_Toc319932549"/>
      <w:r>
        <w:rPr>
          <w:rFonts w:hint="eastAsia" w:ascii="黑体" w:hAnsi="黑体" w:eastAsia="黑体" w:cs="Times New Roman"/>
          <w:b w:val="0"/>
          <w:bCs w:val="0"/>
          <w:kern w:val="44"/>
          <w:sz w:val="28"/>
          <w:szCs w:val="28"/>
          <w:highlight w:val="none"/>
          <w:lang w:val="en-US" w:eastAsia="zh-CN" w:bidi="ar-SA"/>
        </w:rPr>
        <w:t>第十一章  企业年金基金的审计</w:t>
      </w:r>
      <w:bookmarkEnd w:id="1027"/>
      <w:r>
        <w:rPr>
          <w:rFonts w:hint="eastAsia" w:ascii="黑体" w:hAnsi="黑体" w:eastAsia="黑体" w:cs="Times New Roman"/>
          <w:b w:val="0"/>
          <w:bCs w:val="0"/>
          <w:kern w:val="44"/>
          <w:sz w:val="28"/>
          <w:szCs w:val="28"/>
          <w:highlight w:val="none"/>
          <w:lang w:val="en-US" w:eastAsia="zh-CN" w:bidi="ar-SA"/>
        </w:rPr>
        <w:t>与清算</w:t>
      </w:r>
      <w:bookmarkEnd w:id="1028"/>
      <w:bookmarkEnd w:id="1029"/>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  企业年金基金审计。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11.1.1  发生以下情形之一的，受托人应当聘请会计师事务所对企业年金计划进行审计：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11.1.1.1  企业年金计划连续运作满三个会计年度；</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11.1.1.2  受托人、账户管理人、托管人或投资管理人职责终止；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11.1.1.3  法律法规规定的其他情形。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11.1.2  受托人聘请与委托人、受托人、账户管理人、托管人或投资管理人非关联方的会计师事务所和注册会计师对企业年金基金进行审计，账户管理人、托管人、投资管理人应当配合会计师事务所对企业年金计划进行审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11.1.3  受托人自第11.1.1款情况发生之日起50日内向委托人以及人力资源社会保障行政部门提交审计报告。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11.2  企业年金基金清算。</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11.2.1企业年金计划终止的，受托人应当按照有关规定组织清算组对企业年金基金财产进行清算，自清算工作完成后3个月内，向人力资源社会保障行政部门及委托人提交经会计师事务所审计以及律师事务所出具法律意见书的清算报告，并向受益人公告。</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30" w:name="_Toc196484085"/>
      <w:bookmarkStart w:id="1031" w:name="_Toc311040997"/>
      <w:bookmarkStart w:id="1032" w:name="_Toc9461"/>
      <w:bookmarkStart w:id="1033" w:name="_Toc319932550"/>
      <w:r>
        <w:rPr>
          <w:rFonts w:hint="eastAsia" w:ascii="黑体" w:hAnsi="黑体" w:eastAsia="黑体" w:cs="Times New Roman"/>
          <w:b w:val="0"/>
          <w:bCs w:val="0"/>
          <w:kern w:val="44"/>
          <w:sz w:val="28"/>
          <w:szCs w:val="28"/>
          <w:highlight w:val="none"/>
          <w:lang w:val="en-US" w:eastAsia="zh-CN" w:bidi="ar-SA"/>
        </w:rPr>
        <w:t>第十二章  企业年金基金的信息报告与披露</w:t>
      </w:r>
      <w:bookmarkEnd w:id="1030"/>
      <w:bookmarkEnd w:id="1031"/>
      <w:bookmarkEnd w:id="1032"/>
      <w:bookmarkEnd w:id="1033"/>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12.1  定期报告。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12.1.1  受托管理定期报告：受托人应在每季度结束后30日内向委托人提交企业年金基金管理季度报告；并应当在每年度结束后60日内向委托人提交企业年金基金管理年度报告。报告内容及格式以人力资源社会保障部规定为准。自企业年金计划首笔缴费进入受托财产托管账户之日起不满3个月的，受托人可不提供企业年金基金管理季度报告和企业年金基金管理年度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12.1.2  企业年金计划受益人年度权益报告：受托人要求账户管理人在年度结束后60日内向受益人提交企业年金权益年度报告。报告内容及格式以人力资源社会保障部规定为准。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12.2  临时报告。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受托人在履行本合同过程中，如遇法律法规规定的临时报告事项，应当及时向有关监管部门报告，并自知晓或者应当知晓该事件发生之日起5个工作日内向委托人报告。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12.3  职责终止报告。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受托人、账户管理人、托管人或投资管理人职责终止的，</w:t>
      </w:r>
      <w:r>
        <w:rPr>
          <w:rFonts w:ascii="仿宋_GB2312" w:hAnsi="Times New Roman" w:eastAsia="仿宋_GB2312" w:cs="Times New Roman"/>
          <w:sz w:val="28"/>
          <w:szCs w:val="28"/>
          <w:highlight w:val="none"/>
        </w:rPr>
        <w:t>受托人自</w:t>
      </w:r>
      <w:r>
        <w:rPr>
          <w:rFonts w:hint="eastAsia" w:ascii="仿宋_GB2312" w:hAnsi="Times New Roman" w:eastAsia="仿宋_GB2312" w:cs="Times New Roman"/>
          <w:sz w:val="28"/>
          <w:szCs w:val="28"/>
          <w:highlight w:val="none"/>
        </w:rPr>
        <w:t>管理职责终止后50</w:t>
      </w:r>
      <w:r>
        <w:rPr>
          <w:rFonts w:ascii="仿宋_GB2312" w:hAnsi="Times New Roman" w:eastAsia="仿宋_GB2312" w:cs="Times New Roman"/>
          <w:sz w:val="28"/>
          <w:szCs w:val="28"/>
          <w:highlight w:val="none"/>
        </w:rPr>
        <w:t>日内向委托人</w:t>
      </w:r>
      <w:r>
        <w:rPr>
          <w:rFonts w:hint="eastAsia" w:ascii="仿宋_GB2312" w:hAnsi="Times New Roman" w:eastAsia="仿宋_GB2312" w:cs="Times New Roman"/>
          <w:sz w:val="28"/>
          <w:szCs w:val="28"/>
          <w:highlight w:val="none"/>
        </w:rPr>
        <w:t>提交企业年金管理情况</w:t>
      </w:r>
      <w:r>
        <w:rPr>
          <w:rFonts w:ascii="仿宋_GB2312" w:hAnsi="Times New Roman" w:eastAsia="仿宋_GB2312" w:cs="Times New Roman"/>
          <w:sz w:val="28"/>
          <w:szCs w:val="28"/>
          <w:highlight w:val="none"/>
        </w:rPr>
        <w:t>报告</w:t>
      </w:r>
      <w:r>
        <w:rPr>
          <w:rFonts w:hint="eastAsia" w:ascii="仿宋_GB2312" w:hAnsi="Times New Roman" w:eastAsia="仿宋_GB2312" w:cs="Times New Roman"/>
          <w:sz w:val="28"/>
          <w:szCs w:val="28"/>
          <w:highlight w:val="none"/>
        </w:rPr>
        <w:t>，</w:t>
      </w:r>
      <w:r>
        <w:rPr>
          <w:rFonts w:ascii="仿宋_GB2312" w:hAnsi="Times New Roman" w:eastAsia="仿宋_GB2312" w:cs="Times New Roman"/>
          <w:sz w:val="28"/>
          <w:szCs w:val="28"/>
          <w:highlight w:val="none"/>
        </w:rPr>
        <w:t>报告</w:t>
      </w:r>
      <w:r>
        <w:rPr>
          <w:rFonts w:hint="eastAsia" w:ascii="仿宋_GB2312" w:hAnsi="Times New Roman" w:eastAsia="仿宋_GB2312" w:cs="Times New Roman"/>
          <w:sz w:val="28"/>
          <w:szCs w:val="28"/>
          <w:highlight w:val="none"/>
        </w:rPr>
        <w:t>应当</w:t>
      </w:r>
      <w:r>
        <w:rPr>
          <w:rFonts w:ascii="仿宋_GB2312" w:hAnsi="Times New Roman" w:eastAsia="仿宋_GB2312" w:cs="Times New Roman"/>
          <w:sz w:val="28"/>
          <w:szCs w:val="28"/>
          <w:highlight w:val="none"/>
        </w:rPr>
        <w:t>说明</w:t>
      </w:r>
      <w:r>
        <w:rPr>
          <w:rFonts w:hint="eastAsia" w:ascii="仿宋_GB2312" w:hAnsi="Times New Roman" w:eastAsia="仿宋_GB2312" w:cs="Times New Roman"/>
          <w:sz w:val="28"/>
          <w:szCs w:val="28"/>
          <w:highlight w:val="none"/>
        </w:rPr>
        <w:t>职责</w:t>
      </w:r>
      <w:r>
        <w:rPr>
          <w:rFonts w:ascii="仿宋_GB2312" w:hAnsi="Times New Roman" w:eastAsia="仿宋_GB2312" w:cs="Times New Roman"/>
          <w:sz w:val="28"/>
          <w:szCs w:val="28"/>
          <w:highlight w:val="none"/>
        </w:rPr>
        <w:t>终止原因、未尽事项及处理建议等。</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12.4  信息披露方式。</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12.4.1  信息报告与披露采取纸质文本或电子文本的方式。</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12.4.2  受托人或账户管理人应当同时向委托人及受益人提供互联网或电话查询服务。</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34" w:name="_Toc319932551"/>
      <w:bookmarkStart w:id="1035" w:name="_Toc311040998"/>
      <w:bookmarkStart w:id="1036" w:name="_Toc22616"/>
      <w:r>
        <w:rPr>
          <w:rFonts w:hint="eastAsia" w:ascii="黑体" w:hAnsi="黑体" w:eastAsia="黑体" w:cs="Times New Roman"/>
          <w:b w:val="0"/>
          <w:bCs w:val="0"/>
          <w:kern w:val="44"/>
          <w:sz w:val="28"/>
          <w:szCs w:val="28"/>
          <w:highlight w:val="none"/>
          <w:lang w:val="en-US" w:eastAsia="zh-CN" w:bidi="ar-SA"/>
        </w:rPr>
        <w:t>第十三章  禁止行为</w:t>
      </w:r>
      <w:bookmarkEnd w:id="1034"/>
      <w:bookmarkEnd w:id="1035"/>
      <w:bookmarkEnd w:id="1036"/>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本合同当事人禁止从事的行为，包括但不限于：</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13.1  甲方违反企业年金方案规定缴费；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13.2  甲方或乙方提供虚假信息；</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13.3  甲方或乙方侵占、挪用企业年金基金财产；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13.4  甲方或乙方利用企业年金基金财产为本公司或他人谋求不正当利益；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13.5  乙方管理企业年金基金财产产生的债权债务与其固有财产产生的债权债务相抵销；</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13.6  乙方管理不同企业年金计划的企业年金基金财产产生的债权债务相抵销；</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13.7  乙方不公平地对待其管理的不同企业年金计划的企业年金基金财产；</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13.8  乙方将其固有财产或他人财产混同于企业年金基金财产进行投资；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13.9  </w:t>
      </w:r>
      <w:bookmarkStart w:id="1037" w:name="_Toc196484087"/>
      <w:r>
        <w:rPr>
          <w:rFonts w:hint="eastAsia" w:ascii="仿宋_GB2312" w:hAnsi="Times New Roman" w:eastAsia="仿宋_GB2312" w:cs="Times New Roman"/>
          <w:sz w:val="28"/>
          <w:szCs w:val="28"/>
          <w:highlight w:val="none"/>
        </w:rPr>
        <w:t>法律法规规定及本合同约定禁止的其他行为。</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38" w:name="_Toc4168"/>
      <w:bookmarkStart w:id="1039" w:name="_Toc319932552"/>
      <w:bookmarkStart w:id="1040" w:name="_Toc311040999"/>
      <w:r>
        <w:rPr>
          <w:rFonts w:hint="eastAsia" w:ascii="黑体" w:hAnsi="黑体" w:eastAsia="黑体" w:cs="Times New Roman"/>
          <w:b w:val="0"/>
          <w:bCs w:val="0"/>
          <w:kern w:val="44"/>
          <w:sz w:val="28"/>
          <w:szCs w:val="28"/>
          <w:highlight w:val="none"/>
          <w:lang w:val="en-US" w:eastAsia="zh-CN" w:bidi="ar-SA"/>
        </w:rPr>
        <w:t>第十四章  违约责任与免责条款</w:t>
      </w:r>
      <w:bookmarkEnd w:id="1037"/>
      <w:bookmarkEnd w:id="1038"/>
      <w:bookmarkEnd w:id="1039"/>
      <w:bookmarkEnd w:id="1040"/>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14.1  甲方或乙方未履行本合同约定的义务，或一方在本合同中的声明与承诺严重失实或有重大遗漏，视为该方违约。违约方应当承担违约责任并赔偿因其违约而造成的损失。</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14.2  如甲方的企业年金基金财产来源不合法致使本合同约定的受托关系无效，以及由此引发的责任、损失、费用和债务，全部由甲方承担。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14.3  甲方未及时支付账户管理费，导致账户管理人暂停向甲方提供本合同约定的服务，因此给企业年金基金财产和受益人造成的损失，由甲方承担。</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14.4  甲方无正当理由不得干预乙方行使法律法规赋予的受托人职责，如因甲方无故干预，导致企业年金基金财产受到损失的，乙方免除责任。</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w:t>
      </w:r>
      <w:r>
        <w:rPr>
          <w:rFonts w:ascii="仿宋_GB2312" w:hAnsi="Times New Roman" w:eastAsia="仿宋_GB2312" w:cs="Times New Roman"/>
          <w:sz w:val="28"/>
          <w:szCs w:val="28"/>
          <w:highlight w:val="none"/>
        </w:rPr>
        <w:t>.</w:t>
      </w:r>
      <w:r>
        <w:rPr>
          <w:rFonts w:hint="eastAsia" w:ascii="仿宋_GB2312" w:hAnsi="Times New Roman" w:eastAsia="仿宋_GB2312" w:cs="Times New Roman"/>
          <w:sz w:val="28"/>
          <w:szCs w:val="28"/>
          <w:highlight w:val="none"/>
        </w:rPr>
        <w:t>5</w:t>
      </w:r>
      <w:r>
        <w:rPr>
          <w:rFonts w:ascii="仿宋_GB2312" w:hAnsi="Times New Roman" w:eastAsia="仿宋_GB2312" w:cs="Times New Roman"/>
          <w:sz w:val="28"/>
          <w:szCs w:val="28"/>
          <w:highlight w:val="none"/>
        </w:rPr>
        <w:t xml:space="preserve">  </w:t>
      </w:r>
      <w:r>
        <w:rPr>
          <w:rFonts w:hint="eastAsia" w:ascii="仿宋_GB2312" w:hAnsi="Times New Roman" w:eastAsia="仿宋_GB2312" w:cs="Times New Roman"/>
          <w:sz w:val="28"/>
          <w:szCs w:val="28"/>
          <w:highlight w:val="none"/>
        </w:rPr>
        <w:t>甲方办理企业年金基金财产转移、受益人企业年金个人权益转移时，因新受托人未尽责等非乙方原因导致乙方未能及时办理移交手续的，乙方免除责任。</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14.6  受益人未行使本合同约定的权利所引发的风险或产生的损失，乙方免除责任。</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14.7  当事人一方因不可抗力不能履行本合同，根据不可抗力的影响，部分或全部免除违约责任。不能履行合同的一方应当及时通知对方，以减轻可能给企业年金基金财产及对方造成的损失，并应当在合理期限内提供不可抗力的证明。</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14.8  本合同期间，除本合同约定原因外，甲乙双方不得擅自单方提前终止本合同，否则应当赔偿由此给企业年金基金财产及对方造成的损失。</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41" w:name="_Toc196484088"/>
      <w:bookmarkStart w:id="1042" w:name="_Toc319932553"/>
      <w:bookmarkStart w:id="1043" w:name="_Toc23712"/>
      <w:bookmarkStart w:id="1044" w:name="_Toc311041000"/>
      <w:r>
        <w:rPr>
          <w:rFonts w:hint="eastAsia" w:ascii="黑体" w:hAnsi="黑体" w:eastAsia="黑体" w:cs="Times New Roman"/>
          <w:b w:val="0"/>
          <w:bCs w:val="0"/>
          <w:kern w:val="44"/>
          <w:sz w:val="28"/>
          <w:szCs w:val="28"/>
          <w:highlight w:val="none"/>
          <w:lang w:val="en-US" w:eastAsia="zh-CN" w:bidi="ar-SA"/>
        </w:rPr>
        <w:t>第十五章  争议的处理</w:t>
      </w:r>
      <w:bookmarkEnd w:id="1041"/>
      <w:bookmarkEnd w:id="1042"/>
      <w:bookmarkEnd w:id="1043"/>
      <w:bookmarkEnd w:id="1044"/>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15.1  本合同的签订、履行、解除、终止及解释适用中华人民共和国法律，双方当事人因履行本合同而产生争议的，应当协商解决。</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15.2  经协商未能解决的，当事人应当选择以下第</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方式解决纠纷：</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15.2.1  向有管辖权的人民法院提请诉讼；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15.2.2  向</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（仲裁机构名称）仲裁机构申请仲裁，仲裁地点为</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45" w:name="_Toc7119"/>
      <w:bookmarkStart w:id="1046" w:name="_Toc311041001"/>
      <w:bookmarkStart w:id="1047" w:name="_Toc319932554"/>
      <w:r>
        <w:rPr>
          <w:rFonts w:hint="eastAsia" w:ascii="黑体" w:hAnsi="黑体" w:eastAsia="黑体" w:cs="Times New Roman"/>
          <w:b w:val="0"/>
          <w:bCs w:val="0"/>
          <w:kern w:val="44"/>
          <w:sz w:val="28"/>
          <w:szCs w:val="28"/>
          <w:highlight w:val="none"/>
          <w:lang w:val="en-US" w:eastAsia="zh-CN" w:bidi="ar-SA"/>
        </w:rPr>
        <w:t>第十六章  本合同的生效、期限、变更与终止</w:t>
      </w:r>
      <w:bookmarkEnd w:id="1045"/>
      <w:bookmarkEnd w:id="1046"/>
      <w:bookmarkEnd w:id="1047"/>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16.1  本合同的生效。</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本合同于甲乙双方的法定代表人或授权代表签字（或签章）、加盖双方公章，并经人力资源社会保障行政部门备案后生效。</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16.2  本合同的期限。</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本合同期限为自本合同生效之日起</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年,合同届满时如遇公休日或法定节假日，则顺延至下一个工作日。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  本合同的变更。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本合同生效后，如需变更，须经双方协商一致并达成书面协议，出现下列情况之一的，由乙方向人力资源社会保障行政部门备案本合同：</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16.3.1  企业年金计划名称变更；</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16.3.2  账户管理人、托管人或投资管理人变更；</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16.3.3</w:t>
      </w:r>
      <w:r>
        <w:rPr>
          <w:rFonts w:ascii="仿宋_GB2312" w:hAnsi="Times New Roman" w:eastAsia="仿宋_GB2312" w:cs="Times New Roman"/>
          <w:sz w:val="28"/>
          <w:szCs w:val="28"/>
          <w:highlight w:val="none"/>
        </w:rPr>
        <w:t xml:space="preserve"> </w:t>
      </w:r>
      <w:r>
        <w:rPr>
          <w:rFonts w:hint="eastAsia" w:ascii="仿宋_GB2312" w:hAnsi="Times New Roman" w:eastAsia="仿宋_GB2312" w:cs="Times New Roman"/>
          <w:sz w:val="28"/>
          <w:szCs w:val="28"/>
          <w:highlight w:val="none"/>
        </w:rPr>
        <w:t xml:space="preserve"> 企业年金计划管理费率变更；</w:t>
      </w:r>
    </w:p>
    <w:p>
      <w:pPr>
        <w:spacing w:line="360" w:lineRule="auto"/>
        <w:ind w:firstLine="560" w:firstLineChars="200"/>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16.3.4  本合同其他主要内容调整；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16.3.5  法律法规规定及本合同约定的其他情形。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16.4  甲乙双方按照以下第</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方式确定本合同是否顺延或续签。</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16.4.1  本合同期限截止日一个月前，任何一方未提出异议的，视为双方同意顺延相同合同期限，以后依此类推，</w:t>
      </w:r>
      <w:r>
        <w:rPr>
          <w:rFonts w:hint="eastAsia" w:ascii="仿宋_GB2312" w:hAnsi="Times New Roman" w:eastAsia="仿宋_GB2312" w:cs="宋体"/>
          <w:kern w:val="0"/>
          <w:sz w:val="28"/>
          <w:szCs w:val="28"/>
          <w:highlight w:val="none"/>
          <w:lang w:val="zh-CN"/>
        </w:rPr>
        <w:t>顺延次数不受限制；</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16.4.2  本合同期限截止日一个月前，甲乙双方应就是否续签本合同进行协商，甲乙双方同意续签本合同的，甲乙双方履行合同签署手续</w:t>
      </w:r>
      <w:r>
        <w:rPr>
          <w:rFonts w:hint="eastAsia" w:ascii="仿宋_GB2312" w:hAnsi="Times New Roman" w:eastAsia="仿宋_GB2312" w:cs="宋体"/>
          <w:kern w:val="0"/>
          <w:sz w:val="28"/>
          <w:szCs w:val="28"/>
          <w:highlight w:val="none"/>
          <w:lang w:val="zh-CN"/>
        </w:rPr>
        <w:t>。</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16.5  本合同到期顺延或续签，且合同条款无任何变更的，由乙方向人力资源社会保障行政部门报送合同顺延或合同续签情况说明的函，不再报备合同；本合同到期顺延或续签，合同条款有变更的，由乙方向人力资源社会保障行政部门报备相关变更条款。</w:t>
      </w:r>
    </w:p>
    <w:p>
      <w:pPr>
        <w:spacing w:line="360" w:lineRule="auto"/>
        <w:ind w:firstLine="560" w:firstLineChars="200"/>
        <w:rPr>
          <w:rFonts w:hint="eastAsia" w:ascii="仿宋_GB2312" w:hAnsi="Times New Roman" w:eastAsia="仿宋_GB2312" w:cs="Times New Roman"/>
          <w:sz w:val="28"/>
          <w:szCs w:val="28"/>
          <w:highlight w:val="none"/>
        </w:rPr>
      </w:pPr>
      <w:bookmarkStart w:id="1048" w:name="_Toc196484091"/>
      <w:r>
        <w:rPr>
          <w:rFonts w:hint="eastAsia" w:ascii="仿宋_GB2312" w:hAnsi="Times New Roman" w:eastAsia="仿宋_GB2312" w:cs="Times New Roman"/>
          <w:sz w:val="28"/>
          <w:szCs w:val="28"/>
          <w:highlight w:val="none"/>
        </w:rPr>
        <w:t>16.6  本合同的终止。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16.6.1  出现下列情况之一的，本合同终止：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16.6.1.1  本合同期限届满且未顺延；</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16.6.1.2  本合同经甲方与乙方协商同意终止；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16.6.1.3  本合同双方的合同关系被依法撤销；</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16.6.1.4  本合同双方的合同关系被依法解除。</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  在本合同期限内，有下列情形之一，甲方可以单方终止本合同：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16.6.2.1  乙方违反本合同约定且致使不能实现合同目的；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16.6.2.2  乙方利用企业年金基金财产为其谋取利益，或者为他人谋取不正当利益；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16.6.2.3  乙方依法解散、被依法撤销、被依法宣告破产或被依法接管；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16.6.2.4  乙方被依法取消企业年金基金受托管理业务资格；</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16.6.2.5  甲方有充分理由和证据认为更换乙方符合受益人利益；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16.6.2.6  有关监管部门有充分理由和依据认为更换乙方符合受益人利益；</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16.6.2.7  乙方在企业年金基金运作中有严重违反法律法规规定的行为；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16.6.2.8  法律法规规定及本合同约定的其他情形。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16.6.3  在本合同期限内，有下列情形之一，乙方可以单方终止本合同：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16.6.3.1  甲方因其违约行为致使不能实现合同目的；</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16.6.3.2  甲方在企业年金基金运作中有严重违反法律法规规定的行为；</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16.6.3.3  甲方依法解散、被依法撤销、被依法宣告破产或被依法接管；</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16.6.3.4  法律法规规定及本合同约定的其他情形。</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宋体"/>
          <w:kern w:val="0"/>
          <w:sz w:val="28"/>
          <w:szCs w:val="28"/>
          <w:highlight w:val="none"/>
          <w:lang w:val="zh-CN"/>
        </w:rPr>
        <w:t>16.7  本合同的终止日期：本合同期限正常届满的，以本合同期的最后一日为终止日，</w:t>
      </w:r>
      <w:r>
        <w:rPr>
          <w:rFonts w:hint="eastAsia" w:ascii="仿宋_GB2312" w:hAnsi="Times New Roman" w:eastAsia="仿宋_GB2312" w:cs="Times New Roman"/>
          <w:sz w:val="28"/>
          <w:szCs w:val="28"/>
          <w:highlight w:val="none"/>
        </w:rPr>
        <w:t>若遇公休日或法定节假日，则顺延至下一个工作日</w:t>
      </w:r>
      <w:r>
        <w:rPr>
          <w:rFonts w:hint="eastAsia" w:ascii="仿宋_GB2312" w:hAnsi="Times New Roman" w:eastAsia="仿宋_GB2312" w:cs="宋体"/>
          <w:kern w:val="0"/>
          <w:sz w:val="28"/>
          <w:szCs w:val="28"/>
          <w:highlight w:val="none"/>
          <w:lang w:val="zh-CN"/>
        </w:rPr>
        <w:t>；本合同双方协商终止的，以终止协议约定的日期为终止日；如果双方的合同关系被依法撤销或解除的，以撤销或解除通知生效之日为终止日；</w:t>
      </w:r>
      <w:r>
        <w:rPr>
          <w:rFonts w:hint="eastAsia" w:ascii="仿宋_GB2312" w:hAnsi="Times New Roman" w:eastAsia="仿宋_GB2312" w:cs="Times New Roman"/>
          <w:sz w:val="28"/>
          <w:szCs w:val="28"/>
          <w:highlight w:val="none"/>
        </w:rPr>
        <w:t>如甲方或乙方按本合同第16.6.2款与第16.6.3款的约定解除合同关系，以一方解除合同通知送达对方之日为终止日。</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49" w:name="_Toc311041002"/>
      <w:bookmarkStart w:id="1050" w:name="_Toc319932555"/>
      <w:bookmarkStart w:id="1051" w:name="_Toc12173"/>
      <w:r>
        <w:rPr>
          <w:rFonts w:hint="eastAsia" w:ascii="黑体" w:hAnsi="黑体" w:eastAsia="黑体" w:cs="Times New Roman"/>
          <w:b w:val="0"/>
          <w:bCs w:val="0"/>
          <w:kern w:val="44"/>
          <w:sz w:val="28"/>
          <w:szCs w:val="28"/>
          <w:highlight w:val="none"/>
          <w:lang w:val="en-US" w:eastAsia="zh-CN" w:bidi="ar-SA"/>
        </w:rPr>
        <w:t>第十七章  保密条款</w:t>
      </w:r>
      <w:bookmarkEnd w:id="1048"/>
      <w:bookmarkEnd w:id="1049"/>
      <w:bookmarkEnd w:id="1050"/>
      <w:bookmarkEnd w:id="1051"/>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17.1  甲方与乙方于本受托设立和管理中所知悉的对方商业秘密以及其他未公开的信息，未经许可，任何一方当事人不得自己使用或向第三方透露和使用，但根据法律法规规定或监管部门要求应当进行披露的除外。</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17.2  任何一方违反保密义务的约定，应当赔偿由此给另一方造成的损失。</w:t>
      </w:r>
    </w:p>
    <w:p>
      <w:pPr>
        <w:keepNext/>
        <w:keepLines/>
        <w:widowControl w:val="0"/>
        <w:spacing w:before="340" w:after="330" w:line="578" w:lineRule="auto"/>
        <w:jc w:val="center"/>
        <w:outlineLvl w:val="0"/>
        <w:rPr>
          <w:rFonts w:hint="eastAsia" w:ascii="黑体" w:hAnsi="黑体" w:eastAsia="黑体" w:cs="Times New Roman"/>
          <w:b w:val="0"/>
          <w:bCs w:val="0"/>
          <w:kern w:val="44"/>
          <w:sz w:val="28"/>
          <w:szCs w:val="28"/>
          <w:highlight w:val="none"/>
          <w:lang w:val="en-US" w:eastAsia="zh-CN" w:bidi="ar-SA"/>
        </w:rPr>
      </w:pPr>
      <w:bookmarkStart w:id="1052" w:name="_Toc319932556"/>
      <w:bookmarkStart w:id="1053" w:name="_Toc196484092"/>
      <w:bookmarkStart w:id="1054" w:name="_Toc1697"/>
      <w:bookmarkStart w:id="1055" w:name="_Toc311041003"/>
      <w:r>
        <w:rPr>
          <w:rFonts w:hint="eastAsia" w:ascii="黑体" w:hAnsi="黑体" w:eastAsia="黑体" w:cs="Times New Roman"/>
          <w:b w:val="0"/>
          <w:bCs w:val="0"/>
          <w:kern w:val="44"/>
          <w:sz w:val="28"/>
          <w:szCs w:val="28"/>
          <w:highlight w:val="none"/>
          <w:lang w:val="en-US" w:eastAsia="zh-CN" w:bidi="ar-SA"/>
        </w:rPr>
        <w:t>第十八章  通知及送达</w:t>
      </w:r>
      <w:bookmarkEnd w:id="1052"/>
      <w:bookmarkEnd w:id="1053"/>
      <w:bookmarkEnd w:id="1054"/>
      <w:bookmarkEnd w:id="1055"/>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18.1  甲方与乙方可采取专人送达、挂号邮递、传真或电子邮件等有效方式就受托管理业务相关事项通知对方。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18.2  通知在下列日期视为送达被通知方：</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18.2.1  专人送达：被通知方签收单中所显示的日期；</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18.2.2  挂号信或EMS邮递：被送达方的签收日和发出通知方持有的国内挂号函件或EMS收据所示日后的第7日两者中的较早日期； </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18.2.3  传真：对方确认收到后的第1个工作日；</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18.2.4  电子邮件：数据电文</w:t>
      </w:r>
      <w:r>
        <w:rPr>
          <w:rFonts w:ascii="仿宋_GB2312" w:hAnsi="Times New Roman" w:eastAsia="仿宋_GB2312" w:cs="Times New Roman"/>
          <w:sz w:val="28"/>
          <w:szCs w:val="28"/>
          <w:highlight w:val="none"/>
        </w:rPr>
        <w:t>进入</w:t>
      </w:r>
      <w:r>
        <w:rPr>
          <w:rFonts w:hint="eastAsia" w:ascii="仿宋_GB2312" w:hAnsi="Times New Roman" w:eastAsia="仿宋_GB2312" w:cs="Times New Roman"/>
          <w:sz w:val="28"/>
          <w:szCs w:val="28"/>
          <w:highlight w:val="none"/>
        </w:rPr>
        <w:t>对方</w:t>
      </w:r>
      <w:r>
        <w:rPr>
          <w:rFonts w:ascii="仿宋_GB2312" w:hAnsi="Times New Roman" w:eastAsia="仿宋_GB2312" w:cs="Times New Roman"/>
          <w:sz w:val="28"/>
          <w:szCs w:val="28"/>
          <w:highlight w:val="none"/>
        </w:rPr>
        <w:t>特定系统的</w:t>
      </w:r>
      <w:r>
        <w:rPr>
          <w:rFonts w:hint="eastAsia" w:ascii="仿宋_GB2312" w:hAnsi="Times New Roman" w:eastAsia="仿宋_GB2312" w:cs="Times New Roman"/>
          <w:sz w:val="28"/>
          <w:szCs w:val="28"/>
          <w:highlight w:val="none"/>
        </w:rPr>
        <w:t>首次</w:t>
      </w:r>
      <w:r>
        <w:rPr>
          <w:rFonts w:ascii="仿宋_GB2312" w:hAnsi="Times New Roman" w:eastAsia="仿宋_GB2312" w:cs="Times New Roman"/>
          <w:sz w:val="28"/>
          <w:szCs w:val="28"/>
          <w:highlight w:val="none"/>
        </w:rPr>
        <w:t>时间；</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18.3  一方通讯地址或联络方式发生变化，应当自发生变化之日起3个工作日内以书面形式通知另一方。</w:t>
      </w:r>
    </w:p>
    <w:p>
      <w:pPr>
        <w:keepNext/>
        <w:keepLines/>
        <w:widowControl w:val="0"/>
        <w:spacing w:before="340" w:after="330" w:line="578" w:lineRule="auto"/>
        <w:jc w:val="center"/>
        <w:outlineLvl w:val="0"/>
        <w:rPr>
          <w:rFonts w:hint="eastAsia" w:ascii="黑体" w:hAnsi="黑体" w:eastAsia="黑体" w:cs="Times New Roman"/>
          <w:b w:val="0"/>
          <w:bCs/>
          <w:kern w:val="44"/>
          <w:sz w:val="28"/>
          <w:szCs w:val="28"/>
          <w:highlight w:val="none"/>
          <w:lang w:val="en-US" w:eastAsia="zh-CN" w:bidi="ar-SA"/>
        </w:rPr>
      </w:pPr>
      <w:bookmarkStart w:id="1056" w:name="_Toc319932557"/>
      <w:bookmarkStart w:id="1057" w:name="_Toc311041004"/>
      <w:bookmarkStart w:id="1058" w:name="_Toc30703"/>
      <w:r>
        <w:rPr>
          <w:rFonts w:hint="eastAsia" w:ascii="黑体" w:hAnsi="黑体" w:eastAsia="黑体" w:cs="Times New Roman"/>
          <w:b w:val="0"/>
          <w:bCs/>
          <w:kern w:val="44"/>
          <w:sz w:val="28"/>
          <w:szCs w:val="28"/>
          <w:highlight w:val="none"/>
          <w:lang w:val="en-US" w:eastAsia="zh-CN" w:bidi="ar-SA"/>
        </w:rPr>
        <w:t>第十九章  风险提示</w:t>
      </w:r>
      <w:bookmarkEnd w:id="1056"/>
      <w:bookmarkEnd w:id="1057"/>
      <w:bookmarkEnd w:id="1058"/>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19.1  本合同经人力资源社会保障行政部门审核备案，并不表明其对企业年金基金的价值和收益做出实质性判断或保证，也不表明企业年金基金投资没有风险。</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19.2  甲乙双方已共同认识到：乙方按照法律法规规定及本合同约定的投资范围和投资比例管理运用、处分企业年金基金财产，企业年金基金财产仍有可能面临遭受损失的风险，由此产生的收益或受到的损失，归于企业年金基金财产。</w:t>
      </w:r>
    </w:p>
    <w:p>
      <w:pPr>
        <w:keepNext/>
        <w:keepLines/>
        <w:widowControl w:val="0"/>
        <w:spacing w:before="340" w:after="330" w:line="578" w:lineRule="auto"/>
        <w:jc w:val="center"/>
        <w:outlineLvl w:val="0"/>
        <w:rPr>
          <w:rFonts w:hint="eastAsia" w:ascii="黑体" w:hAnsi="黑体" w:eastAsia="黑体" w:cs="Times New Roman"/>
          <w:b w:val="0"/>
          <w:bCs/>
          <w:kern w:val="44"/>
          <w:sz w:val="28"/>
          <w:szCs w:val="28"/>
          <w:highlight w:val="none"/>
          <w:lang w:val="en-US" w:eastAsia="zh-CN" w:bidi="ar-SA"/>
        </w:rPr>
      </w:pPr>
      <w:bookmarkStart w:id="1059" w:name="_Toc30741"/>
      <w:bookmarkStart w:id="1060" w:name="_Toc311041005"/>
      <w:bookmarkStart w:id="1061" w:name="_Toc319932558"/>
      <w:bookmarkStart w:id="1062" w:name="_Toc196484093"/>
      <w:r>
        <w:rPr>
          <w:rFonts w:hint="eastAsia" w:ascii="黑体" w:hAnsi="黑体" w:eastAsia="黑体" w:cs="Times New Roman"/>
          <w:b w:val="0"/>
          <w:bCs/>
          <w:kern w:val="44"/>
          <w:sz w:val="28"/>
          <w:szCs w:val="28"/>
          <w:highlight w:val="none"/>
          <w:lang w:val="en-US" w:eastAsia="zh-CN" w:bidi="ar-SA"/>
        </w:rPr>
        <w:t>第二十章  其他事项</w:t>
      </w:r>
      <w:bookmarkEnd w:id="1059"/>
      <w:bookmarkEnd w:id="1060"/>
      <w:bookmarkEnd w:id="1061"/>
      <w:bookmarkEnd w:id="1062"/>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20.1  本合同未尽事宜，由双方达成补充协议另行规定；补充协议与本合同具有同等法律效力。</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20.2  甲方被兼并或被收购，其在本合同中所承担的权利与义务由兼并方或收购方承担。</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20.3  甲方为非企业法人单位的，由甲方负责人或授权代表签署本合同。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20.4  本合同有效期内，如法律法规规定发生变化导致本合同条款与其有抵触的，相抵触之处按新的法律法规规定执行。</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20.5  本合同有效期内，如法律法规规定发生变化导致本合同需要报人力资源社会保障行政部门审核，由乙方负责办理。</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20.6  如果本合同任何条款与相关法律法规规定不符而构成无效，并不影响本合同其他条款的效力。</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20.7  本合同一式</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份，由甲方、乙方各执</w:t>
      </w:r>
      <w:r>
        <w:rPr>
          <w:rFonts w:hint="eastAsia" w:ascii="仿宋_GB2312" w:hAnsi="Times New Roman" w:eastAsia="仿宋_GB2312" w:cs="Times New Roman"/>
          <w:b/>
          <w:sz w:val="28"/>
          <w:szCs w:val="28"/>
          <w:highlight w:val="none"/>
          <w:u w:val="single"/>
        </w:rPr>
        <w:t xml:space="preserve">    </w:t>
      </w:r>
      <w:r>
        <w:rPr>
          <w:rFonts w:hint="eastAsia" w:ascii="仿宋_GB2312" w:hAnsi="Times New Roman" w:eastAsia="仿宋_GB2312" w:cs="Times New Roman"/>
          <w:sz w:val="28"/>
          <w:szCs w:val="28"/>
          <w:highlight w:val="none"/>
        </w:rPr>
        <w:t>份，报人力资源社会保障行政部门备案</w:t>
      </w:r>
      <w:r>
        <w:rPr>
          <w:rFonts w:hint="eastAsia" w:ascii="仿宋_GB2312" w:hAnsi="Times New Roman" w:eastAsia="仿宋_GB2312" w:cs="Times New Roman"/>
          <w:sz w:val="28"/>
          <w:szCs w:val="28"/>
          <w:highlight w:val="none"/>
          <w:u w:val="single"/>
        </w:rPr>
        <w:t xml:space="preserve">    </w:t>
      </w:r>
      <w:r>
        <w:rPr>
          <w:rFonts w:hint="eastAsia" w:ascii="仿宋_GB2312" w:hAnsi="Times New Roman" w:eastAsia="仿宋_GB2312" w:cs="Times New Roman"/>
          <w:sz w:val="28"/>
          <w:szCs w:val="28"/>
          <w:highlight w:val="none"/>
        </w:rPr>
        <w:t>份，每份具有同等的法律效力。</w:t>
      </w:r>
    </w:p>
    <w:p>
      <w:pPr>
        <w:spacing w:line="360" w:lineRule="auto"/>
        <w:ind w:firstLine="560" w:firstLineChars="200"/>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（以下是本合同签署页。）</w:t>
      </w:r>
    </w:p>
    <w:p>
      <w:pPr>
        <w:spacing w:line="360" w:lineRule="auto"/>
        <w:rPr>
          <w:rFonts w:hint="eastAsia" w:ascii="仿宋_GB2312" w:hAnsi="Times New Roman" w:eastAsia="仿宋_GB2312" w:cs="Times New Roman"/>
          <w:sz w:val="28"/>
          <w:szCs w:val="28"/>
          <w:highlight w:val="none"/>
        </w:rPr>
      </w:pPr>
      <w:r>
        <w:rPr>
          <w:rFonts w:ascii="仿宋_GB2312" w:hAnsi="Times New Roman" w:eastAsia="仿宋_GB2312" w:cs="Times New Roman"/>
          <w:sz w:val="28"/>
          <w:szCs w:val="28"/>
          <w:highlight w:val="none"/>
        </w:rPr>
        <w:br w:type="page"/>
      </w:r>
    </w:p>
    <w:p>
      <w:pPr>
        <w:spacing w:line="360" w:lineRule="auto"/>
        <w:rPr>
          <w:rFonts w:hint="eastAsia" w:ascii="仿宋_GB2312" w:hAnsi="宋体" w:eastAsia="仿宋_GB2312" w:cs="Times New Roman"/>
          <w:sz w:val="28"/>
          <w:szCs w:val="28"/>
          <w:highlight w:val="none"/>
        </w:rPr>
      </w:pPr>
      <w:r>
        <w:rPr>
          <w:rFonts w:hint="eastAsia" w:ascii="仿宋_GB2312" w:hAnsi="宋体" w:eastAsia="仿宋_GB2312" w:cs="Times New Roman"/>
          <w:sz w:val="28"/>
          <w:szCs w:val="28"/>
          <w:highlight w:val="none"/>
        </w:rPr>
        <w:t>（本页是《</w:t>
      </w:r>
      <w:r>
        <w:rPr>
          <w:rFonts w:hint="eastAsia" w:ascii="仿宋_GB2312" w:hAnsi="宋体" w:eastAsia="仿宋_GB2312" w:cs="Times New Roman"/>
          <w:sz w:val="28"/>
          <w:szCs w:val="28"/>
          <w:highlight w:val="none"/>
          <w:u w:val="single"/>
        </w:rPr>
        <w:t xml:space="preserve">    </w:t>
      </w:r>
      <w:r>
        <w:rPr>
          <w:rFonts w:hint="eastAsia" w:ascii="仿宋_GB2312" w:hAnsi="宋体" w:eastAsia="仿宋_GB2312" w:cs="Times New Roman"/>
          <w:sz w:val="28"/>
          <w:szCs w:val="28"/>
          <w:highlight w:val="none"/>
        </w:rPr>
        <w:t>企业年金计划受托管理合同》签署页。）</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甲方（公章）： </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法定代表人或负责人签字（或签章）：</w:t>
      </w: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（或授权代表）</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签署日期：       年    月    日</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乙方（公章）：</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法定代表人（或授权代表）签字（或签章）：</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签署日期：        年    月    日</w:t>
      </w:r>
    </w:p>
    <w:p>
      <w:pPr>
        <w:spacing w:line="360" w:lineRule="auto"/>
        <w:rPr>
          <w:rFonts w:hint="eastAsia" w:ascii="仿宋_GB2312" w:hAnsi="Times New Roman" w:eastAsia="仿宋_GB2312" w:cs="Times New Roman"/>
          <w:sz w:val="28"/>
          <w:szCs w:val="28"/>
          <w:highlight w:val="none"/>
        </w:rPr>
      </w:pPr>
    </w:p>
    <w:p>
      <w:pPr>
        <w:spacing w:line="360" w:lineRule="auto"/>
        <w:rPr>
          <w:rFonts w:hint="eastAsia" w:ascii="Times New Roman" w:hAnsi="Times New Roman" w:eastAsia="仿宋_GB2312" w:cs="Times New Roman"/>
          <w:sz w:val="28"/>
          <w:szCs w:val="28"/>
          <w:highlight w:val="none"/>
        </w:rPr>
      </w:pPr>
    </w:p>
    <w:p>
      <w:pPr>
        <w:spacing w:line="360" w:lineRule="auto"/>
        <w:ind w:firstLine="560" w:firstLineChars="200"/>
        <w:rPr>
          <w:rFonts w:hint="eastAsia" w:ascii="仿宋_GB2312" w:hAnsi="Times New Roman" w:eastAsia="仿宋_GB2312" w:cs="Times New Roman"/>
          <w:sz w:val="28"/>
          <w:szCs w:val="28"/>
          <w:highlight w:val="none"/>
        </w:rPr>
      </w:pPr>
    </w:p>
    <w:p>
      <w:pPr>
        <w:rPr>
          <w:rFonts w:hint="eastAsia" w:ascii="微软雅黑" w:hAnsi="微软雅黑" w:eastAsia="微软雅黑" w:cs="Times New Roman"/>
          <w:szCs w:val="32"/>
          <w:highlight w:val="none"/>
        </w:rPr>
      </w:pPr>
      <w:r>
        <w:rPr>
          <w:rFonts w:hint="eastAsia" w:ascii="微软雅黑" w:hAnsi="微软雅黑" w:eastAsia="微软雅黑" w:cs="Times New Roman"/>
          <w:szCs w:val="32"/>
          <w:highlight w:val="none"/>
        </w:rPr>
        <w:br w:type="page"/>
      </w:r>
    </w:p>
    <w:p>
      <w:pPr>
        <w:bidi w:val="0"/>
        <w:jc w:val="center"/>
        <w:rPr>
          <w:rFonts w:hint="eastAsia"/>
          <w:b/>
          <w:bCs/>
          <w:sz w:val="40"/>
          <w:szCs w:val="48"/>
          <w:highlight w:val="none"/>
          <w:lang w:eastAsia="zh-CN"/>
        </w:rPr>
      </w:pPr>
      <w:bookmarkStart w:id="1063" w:name="_Toc16012"/>
      <w:r>
        <w:rPr>
          <w:rFonts w:hint="eastAsia"/>
          <w:b/>
          <w:bCs/>
          <w:sz w:val="40"/>
          <w:szCs w:val="48"/>
          <w:highlight w:val="none"/>
        </w:rPr>
        <w:t>履约验收方案</w:t>
      </w:r>
      <w:bookmarkEnd w:id="1063"/>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一、成立验收小组及成员情况</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1、验收小组组成</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由采购人组建验收小组，必要时采购人可以邀请参加本项目的其他供应商或者第三方专业机构及专家参与验收，相关验收意见作为验收的参考资料。</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2、验收小组成员</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二、验收时间及验收地点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1、验收时间</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2、验收地点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三、验收方式</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服务类项目的验收方式包括交付验收和过程验收。</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四、验收内容</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验收内容包括每一项技术和商务要求的履约情况，验收标准要包括所有客观、量化指标。不能明确客观标准、涉及主观判断的，可以通过在采购人、使用人中开展问卷调查等方式，转化为客观、量化的验收标准。</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五、验收程序</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实施验收准备、正式实施验收到出具履约验收结论的程序。（包括但不限于听取采购人、供应商对项目实施的情况汇报，现场查看和听取使用情况，查看运行情况安全、技术保障等情况）。</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六、验收标准</w:t>
      </w:r>
    </w:p>
    <w:p>
      <w:pPr>
        <w:spacing w:line="360" w:lineRule="auto"/>
        <w:rPr>
          <w:rFonts w:hint="eastAsia" w:ascii="Times New Roman" w:hAnsi="Times New Roman" w:eastAsia="宋体" w:cs="Arial"/>
          <w:bCs/>
          <w:iCs/>
          <w:kern w:val="36"/>
          <w:highlight w:val="none"/>
        </w:rPr>
      </w:pPr>
      <w:r>
        <w:rPr>
          <w:rFonts w:hint="eastAsia" w:ascii="Times New Roman" w:hAnsi="Times New Roman" w:eastAsia="宋体" w:cs="Arial"/>
          <w:bCs/>
          <w:iCs/>
          <w:kern w:val="36"/>
          <w:highlight w:val="none"/>
        </w:rPr>
        <w:t>项目验收标准应当符合采购合同、响应文件、招标文件等约定，未进行相应约定的，应当符合国家强制性规定、政策要求、安全标准、行业或企业有关标准等。</w:t>
      </w:r>
    </w:p>
    <w:p>
      <w:pPr>
        <w:adjustRightInd w:val="0"/>
        <w:snapToGrid w:val="0"/>
        <w:spacing w:line="360" w:lineRule="auto"/>
        <w:ind w:firstLine="566" w:firstLineChars="236"/>
        <w:rPr>
          <w:rFonts w:ascii="宋体" w:hAnsi="宋体"/>
          <w:sz w:val="24"/>
          <w:highlight w:val="none"/>
        </w:rPr>
      </w:pPr>
      <w:r>
        <w:rPr>
          <w:rFonts w:ascii="宋体" w:hAnsi="宋体"/>
          <w:sz w:val="24"/>
          <w:highlight w:val="none"/>
        </w:rPr>
        <w:br w:type="page"/>
      </w:r>
    </w:p>
    <w:p>
      <w:pPr>
        <w:widowControl/>
        <w:jc w:val="left"/>
        <w:rPr>
          <w:rFonts w:ascii="宋体" w:hAnsi="宋体" w:cs="宋体"/>
          <w:color w:val="000000"/>
          <w:kern w:val="0"/>
          <w:szCs w:val="21"/>
          <w:highlight w:val="none"/>
        </w:rPr>
      </w:pPr>
    </w:p>
    <w:p>
      <w:pPr>
        <w:pStyle w:val="4"/>
        <w:numPr>
          <w:ilvl w:val="0"/>
          <w:numId w:val="3"/>
        </w:numPr>
        <w:spacing w:before="120" w:after="120" w:line="300" w:lineRule="auto"/>
        <w:rPr>
          <w:rFonts w:hAnsi="宋体" w:cs="宋体"/>
          <w:sz w:val="32"/>
          <w:szCs w:val="32"/>
          <w:highlight w:val="none"/>
        </w:rPr>
      </w:pPr>
      <w:bookmarkStart w:id="1064" w:name="_Toc5215"/>
      <w:r>
        <w:rPr>
          <w:rFonts w:hint="eastAsia" w:hAnsi="宋体" w:cs="宋体"/>
          <w:sz w:val="32"/>
          <w:szCs w:val="32"/>
          <w:highlight w:val="none"/>
        </w:rPr>
        <w:t>投标文件格式</w:t>
      </w:r>
      <w:bookmarkEnd w:id="1064"/>
    </w:p>
    <w:p>
      <w:pPr>
        <w:pStyle w:val="45"/>
        <w:spacing w:line="480" w:lineRule="auto"/>
        <w:rPr>
          <w:rFonts w:hAnsi="宋体" w:cs="宋体"/>
          <w:b/>
          <w:bCs/>
          <w:spacing w:val="100"/>
          <w:w w:val="110"/>
          <w:kern w:val="0"/>
          <w:sz w:val="24"/>
          <w:highlight w:val="none"/>
          <w:u w:val="single"/>
        </w:rPr>
      </w:pPr>
      <w:r>
        <w:rPr>
          <w:rFonts w:hint="eastAsia" w:hAnsi="宋体" w:cs="宋体"/>
          <w:sz w:val="24"/>
          <w:highlight w:val="none"/>
        </w:rPr>
        <w:t>封面：</w:t>
      </w:r>
    </w:p>
    <w:p>
      <w:pPr>
        <w:pStyle w:val="45"/>
        <w:tabs>
          <w:tab w:val="left" w:pos="1260"/>
        </w:tabs>
        <w:spacing w:line="480" w:lineRule="auto"/>
        <w:jc w:val="center"/>
        <w:rPr>
          <w:rFonts w:hAnsi="宋体" w:cs="宋体"/>
          <w:b/>
          <w:bCs/>
          <w:spacing w:val="100"/>
          <w:w w:val="110"/>
          <w:kern w:val="0"/>
          <w:sz w:val="24"/>
          <w:highlight w:val="none"/>
          <w:u w:val="single"/>
        </w:rPr>
      </w:pPr>
    </w:p>
    <w:p>
      <w:pPr>
        <w:pStyle w:val="45"/>
        <w:tabs>
          <w:tab w:val="left" w:pos="1260"/>
        </w:tabs>
        <w:spacing w:line="480" w:lineRule="auto"/>
        <w:jc w:val="center"/>
        <w:rPr>
          <w:rFonts w:hAnsi="宋体" w:cs="宋体"/>
          <w:b/>
          <w:bCs/>
          <w:spacing w:val="100"/>
          <w:w w:val="110"/>
          <w:kern w:val="0"/>
          <w:sz w:val="24"/>
          <w:highlight w:val="none"/>
          <w:u w:val="single"/>
        </w:rPr>
      </w:pPr>
    </w:p>
    <w:p>
      <w:pPr>
        <w:pStyle w:val="45"/>
        <w:tabs>
          <w:tab w:val="left" w:pos="1260"/>
        </w:tabs>
        <w:spacing w:line="480" w:lineRule="auto"/>
        <w:jc w:val="center"/>
        <w:rPr>
          <w:rFonts w:hAnsi="宋体" w:cs="宋体"/>
          <w:b/>
          <w:bCs/>
          <w:spacing w:val="100"/>
          <w:w w:val="110"/>
          <w:kern w:val="0"/>
          <w:sz w:val="24"/>
          <w:highlight w:val="none"/>
          <w:u w:val="single"/>
        </w:rPr>
      </w:pPr>
    </w:p>
    <w:p>
      <w:pPr>
        <w:pStyle w:val="45"/>
        <w:tabs>
          <w:tab w:val="left" w:pos="1260"/>
        </w:tabs>
        <w:spacing w:line="300" w:lineRule="auto"/>
        <w:jc w:val="center"/>
        <w:rPr>
          <w:rFonts w:hAnsi="宋体" w:cs="宋体"/>
          <w:spacing w:val="100"/>
          <w:w w:val="110"/>
          <w:sz w:val="84"/>
          <w:szCs w:val="84"/>
          <w:highlight w:val="none"/>
        </w:rPr>
      </w:pPr>
      <w:r>
        <w:rPr>
          <w:rFonts w:hint="eastAsia" w:hAnsi="宋体" w:cs="宋体"/>
          <w:bCs/>
          <w:spacing w:val="100"/>
          <w:w w:val="110"/>
          <w:kern w:val="0"/>
          <w:sz w:val="84"/>
          <w:szCs w:val="84"/>
          <w:highlight w:val="none"/>
        </w:rPr>
        <w:t>投标文件</w:t>
      </w:r>
    </w:p>
    <w:p>
      <w:pPr>
        <w:pStyle w:val="45"/>
        <w:spacing w:line="300" w:lineRule="auto"/>
        <w:jc w:val="center"/>
        <w:rPr>
          <w:rFonts w:hAnsi="宋体" w:cs="宋体"/>
          <w:sz w:val="32"/>
          <w:szCs w:val="32"/>
          <w:highlight w:val="none"/>
        </w:rPr>
      </w:pPr>
      <w:r>
        <w:rPr>
          <w:rFonts w:hint="eastAsia" w:hAnsi="宋体" w:cs="宋体"/>
          <w:sz w:val="32"/>
          <w:szCs w:val="32"/>
          <w:highlight w:val="none"/>
        </w:rPr>
        <w:t>（正本/副本）</w:t>
      </w:r>
    </w:p>
    <w:p>
      <w:pPr>
        <w:pStyle w:val="45"/>
        <w:tabs>
          <w:tab w:val="left" w:pos="1260"/>
        </w:tabs>
        <w:spacing w:line="480" w:lineRule="auto"/>
        <w:jc w:val="center"/>
        <w:rPr>
          <w:rFonts w:hAnsi="宋体" w:cs="宋体"/>
          <w:b/>
          <w:bCs/>
          <w:spacing w:val="100"/>
          <w:w w:val="110"/>
          <w:kern w:val="0"/>
          <w:sz w:val="24"/>
          <w:highlight w:val="none"/>
          <w:u w:val="single"/>
        </w:rPr>
      </w:pPr>
    </w:p>
    <w:p>
      <w:pPr>
        <w:pStyle w:val="45"/>
        <w:tabs>
          <w:tab w:val="left" w:pos="1260"/>
        </w:tabs>
        <w:spacing w:line="480" w:lineRule="auto"/>
        <w:jc w:val="center"/>
        <w:rPr>
          <w:rFonts w:hAnsi="宋体" w:cs="宋体"/>
          <w:b/>
          <w:bCs/>
          <w:spacing w:val="100"/>
          <w:w w:val="110"/>
          <w:kern w:val="0"/>
          <w:sz w:val="24"/>
          <w:highlight w:val="none"/>
          <w:u w:val="single"/>
        </w:rPr>
      </w:pPr>
    </w:p>
    <w:p>
      <w:pPr>
        <w:pStyle w:val="45"/>
        <w:tabs>
          <w:tab w:val="left" w:pos="1260"/>
        </w:tabs>
        <w:spacing w:line="480" w:lineRule="auto"/>
        <w:jc w:val="center"/>
        <w:rPr>
          <w:rFonts w:hAnsi="宋体" w:cs="宋体"/>
          <w:b/>
          <w:bCs/>
          <w:spacing w:val="100"/>
          <w:w w:val="110"/>
          <w:kern w:val="0"/>
          <w:sz w:val="24"/>
          <w:highlight w:val="none"/>
          <w:u w:val="single"/>
        </w:rPr>
      </w:pPr>
    </w:p>
    <w:p>
      <w:pPr>
        <w:pStyle w:val="45"/>
        <w:spacing w:line="300" w:lineRule="auto"/>
        <w:ind w:firstLine="838" w:firstLineChars="262"/>
        <w:rPr>
          <w:rFonts w:hAnsi="宋体" w:cs="宋体"/>
          <w:sz w:val="32"/>
          <w:szCs w:val="32"/>
          <w:highlight w:val="none"/>
        </w:rPr>
      </w:pPr>
      <w:r>
        <w:rPr>
          <w:rFonts w:hint="eastAsia" w:hAnsi="宋体" w:cs="宋体"/>
          <w:sz w:val="32"/>
          <w:szCs w:val="32"/>
          <w:highlight w:val="none"/>
        </w:rPr>
        <w:t>项目编号：</w:t>
      </w:r>
    </w:p>
    <w:p>
      <w:pPr>
        <w:pStyle w:val="45"/>
        <w:spacing w:line="300" w:lineRule="auto"/>
        <w:ind w:firstLine="838" w:firstLineChars="262"/>
        <w:rPr>
          <w:rFonts w:hAnsi="宋体" w:cs="宋体"/>
          <w:sz w:val="32"/>
          <w:szCs w:val="32"/>
          <w:highlight w:val="none"/>
          <w:u w:val="single"/>
        </w:rPr>
      </w:pPr>
      <w:r>
        <w:rPr>
          <w:rFonts w:hint="eastAsia" w:hAnsi="宋体" w:cs="宋体"/>
          <w:sz w:val="32"/>
          <w:szCs w:val="32"/>
          <w:highlight w:val="none"/>
        </w:rPr>
        <w:t>项目名称：</w:t>
      </w:r>
    </w:p>
    <w:p>
      <w:pPr>
        <w:pStyle w:val="45"/>
        <w:spacing w:line="300" w:lineRule="auto"/>
        <w:ind w:firstLine="960" w:firstLineChars="300"/>
        <w:rPr>
          <w:rFonts w:hAnsi="宋体" w:cs="宋体"/>
          <w:sz w:val="32"/>
          <w:szCs w:val="32"/>
          <w:highlight w:val="none"/>
        </w:rPr>
      </w:pPr>
    </w:p>
    <w:p>
      <w:pPr>
        <w:pStyle w:val="45"/>
        <w:spacing w:line="300" w:lineRule="auto"/>
        <w:ind w:firstLine="960" w:firstLineChars="300"/>
        <w:rPr>
          <w:rFonts w:hAnsi="宋体" w:cs="宋体"/>
          <w:sz w:val="32"/>
          <w:szCs w:val="32"/>
          <w:highlight w:val="none"/>
        </w:rPr>
      </w:pPr>
    </w:p>
    <w:p>
      <w:pPr>
        <w:pStyle w:val="45"/>
        <w:spacing w:line="300" w:lineRule="auto"/>
        <w:ind w:firstLine="960" w:firstLineChars="300"/>
        <w:rPr>
          <w:rFonts w:hAnsi="宋体" w:cs="宋体"/>
          <w:sz w:val="32"/>
          <w:szCs w:val="32"/>
          <w:highlight w:val="none"/>
        </w:rPr>
      </w:pPr>
    </w:p>
    <w:p>
      <w:pPr>
        <w:pStyle w:val="45"/>
        <w:spacing w:line="300" w:lineRule="auto"/>
        <w:ind w:firstLine="838" w:firstLineChars="262"/>
        <w:rPr>
          <w:rFonts w:hAnsi="宋体" w:cs="宋体"/>
          <w:sz w:val="32"/>
          <w:szCs w:val="32"/>
          <w:highlight w:val="none"/>
        </w:rPr>
      </w:pPr>
    </w:p>
    <w:p>
      <w:pPr>
        <w:pStyle w:val="45"/>
        <w:spacing w:line="300" w:lineRule="auto"/>
        <w:ind w:firstLine="838" w:firstLineChars="262"/>
        <w:rPr>
          <w:rFonts w:hAnsi="宋体" w:cs="宋体"/>
          <w:sz w:val="32"/>
          <w:szCs w:val="32"/>
          <w:highlight w:val="none"/>
        </w:rPr>
      </w:pPr>
      <w:r>
        <w:rPr>
          <w:rFonts w:hint="eastAsia" w:hAnsi="宋体" w:cs="宋体"/>
          <w:sz w:val="32"/>
          <w:szCs w:val="32"/>
          <w:highlight w:val="none"/>
        </w:rPr>
        <w:t xml:space="preserve">投标人名称：                </w:t>
      </w:r>
    </w:p>
    <w:p>
      <w:pPr>
        <w:pStyle w:val="45"/>
        <w:spacing w:line="300" w:lineRule="auto"/>
        <w:ind w:firstLine="838" w:firstLineChars="262"/>
        <w:rPr>
          <w:rFonts w:hAnsi="宋体" w:cs="宋体"/>
          <w:sz w:val="32"/>
          <w:szCs w:val="32"/>
          <w:highlight w:val="none"/>
        </w:rPr>
      </w:pPr>
      <w:r>
        <w:rPr>
          <w:rFonts w:hint="eastAsia" w:hAnsi="宋体" w:cs="宋体"/>
          <w:sz w:val="32"/>
          <w:szCs w:val="32"/>
          <w:highlight w:val="none"/>
        </w:rPr>
        <w:t>日期：             年      月      日</w:t>
      </w:r>
    </w:p>
    <w:p>
      <w:pPr>
        <w:widowControl/>
        <w:jc w:val="center"/>
        <w:rPr>
          <w:rFonts w:ascii="宋体" w:hAnsi="宋体" w:cs="宋体"/>
          <w:b/>
          <w:sz w:val="32"/>
          <w:szCs w:val="32"/>
          <w:highlight w:val="none"/>
        </w:rPr>
      </w:pPr>
      <w:r>
        <w:rPr>
          <w:rFonts w:hint="eastAsia" w:ascii="宋体" w:hAnsi="宋体" w:cs="宋体"/>
          <w:b/>
          <w:sz w:val="32"/>
          <w:szCs w:val="32"/>
          <w:highlight w:val="none"/>
          <w:u w:val="single"/>
        </w:rPr>
        <w:br w:type="page"/>
      </w:r>
      <w:r>
        <w:rPr>
          <w:rFonts w:hint="eastAsia" w:ascii="宋体" w:hAnsi="宋体" w:cs="宋体"/>
          <w:b/>
          <w:sz w:val="32"/>
          <w:szCs w:val="32"/>
          <w:highlight w:val="none"/>
        </w:rPr>
        <w:t>资格自查表</w:t>
      </w:r>
    </w:p>
    <w:p>
      <w:pPr>
        <w:jc w:val="center"/>
        <w:rPr>
          <w:rFonts w:ascii="宋体" w:hAnsi="宋体" w:cs="宋体"/>
          <w:b/>
          <w:sz w:val="32"/>
          <w:szCs w:val="32"/>
          <w:highlight w:val="none"/>
          <w:u w:val="single"/>
        </w:rPr>
      </w:pPr>
    </w:p>
    <w:tbl>
      <w:tblPr>
        <w:tblStyle w:val="8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674"/>
        <w:gridCol w:w="3103"/>
        <w:gridCol w:w="4411"/>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tblHeader/>
          <w:jc w:val="center"/>
        </w:trPr>
        <w:tc>
          <w:tcPr>
            <w:tcW w:w="377" w:type="pct"/>
            <w:vAlign w:val="center"/>
          </w:tcPr>
          <w:p>
            <w:pPr>
              <w:widowControl/>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1734" w:type="pct"/>
            <w:vAlign w:val="center"/>
          </w:tcPr>
          <w:p>
            <w:pPr>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资格要求</w:t>
            </w:r>
          </w:p>
        </w:tc>
        <w:tc>
          <w:tcPr>
            <w:tcW w:w="2465" w:type="pct"/>
            <w:vAlign w:val="center"/>
          </w:tcPr>
          <w:p>
            <w:pPr>
              <w:widowControl/>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须提供的资料</w:t>
            </w:r>
          </w:p>
        </w:tc>
        <w:tc>
          <w:tcPr>
            <w:tcW w:w="424" w:type="pct"/>
            <w:vAlign w:val="center"/>
          </w:tcPr>
          <w:p>
            <w:pPr>
              <w:widowControl/>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restart"/>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snapToGrid w:val="0"/>
              <w:rPr>
                <w:rFonts w:ascii="宋体" w:hAnsi="宋体" w:cs="宋体"/>
                <w:szCs w:val="21"/>
                <w:highlight w:val="none"/>
                <w:lang w:val="hr-HR"/>
              </w:rPr>
            </w:pPr>
            <w:r>
              <w:rPr>
                <w:rFonts w:hint="eastAsia" w:ascii="宋体" w:hAnsi="宋体" w:cs="宋体"/>
                <w:szCs w:val="21"/>
                <w:highlight w:val="none"/>
                <w:lang w:val="hr-HR"/>
              </w:rPr>
              <w:t xml:space="preserve">具有独立承担民事责任的能力 </w:t>
            </w:r>
          </w:p>
        </w:tc>
        <w:tc>
          <w:tcPr>
            <w:tcW w:w="2465" w:type="pct"/>
            <w:vAlign w:val="center"/>
          </w:tcPr>
          <w:p>
            <w:pPr>
              <w:snapToGrid w:val="0"/>
              <w:rPr>
                <w:rFonts w:ascii="宋体" w:hAnsi="宋体" w:cs="宋体"/>
                <w:bCs/>
                <w:szCs w:val="21"/>
                <w:highlight w:val="none"/>
              </w:rPr>
            </w:pPr>
            <w:r>
              <w:rPr>
                <w:rFonts w:hint="eastAsia" w:ascii="宋体" w:hAnsi="宋体" w:cs="宋体"/>
                <w:bCs/>
                <w:szCs w:val="21"/>
                <w:highlight w:val="none"/>
              </w:rPr>
              <w:t>如投标人是企业（包括合伙企业），应提供在工商部门注册的有效“企业法人营业执照”或“营业执照”；如投标人是事业单位，应提供有效的“事业单位法人证书”；投标人是非企业专业服务机构的，应提供执业许可证等证明文件；如投标人是个体工商户，应提供有效的“个体工商户营业执照”；如投标人是自然人，应提供有效的自然人身份证明。</w:t>
            </w:r>
          </w:p>
        </w:tc>
        <w:tc>
          <w:tcPr>
            <w:tcW w:w="424" w:type="pct"/>
            <w:vAlign w:val="center"/>
          </w:tcPr>
          <w:p>
            <w:pPr>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kern w:val="0"/>
                <w:szCs w:val="21"/>
                <w:highlight w:val="none"/>
              </w:rPr>
            </w:pPr>
            <w:r>
              <w:rPr>
                <w:rFonts w:hint="eastAsia" w:ascii="宋体" w:hAnsi="宋体" w:cs="宋体"/>
                <w:szCs w:val="21"/>
                <w:highlight w:val="none"/>
                <w:lang w:val="hr-HR"/>
              </w:rPr>
              <w:t>具有良好的商业信誉和健全的财务会计制度</w:t>
            </w:r>
          </w:p>
        </w:tc>
        <w:tc>
          <w:tcPr>
            <w:tcW w:w="2465" w:type="pct"/>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rPr>
                <w:rFonts w:ascii="宋体" w:hAnsi="宋体" w:cs="宋体"/>
                <w:bCs/>
                <w:szCs w:val="21"/>
                <w:highlight w:val="none"/>
              </w:rPr>
            </w:pPr>
            <w:r>
              <w:rPr>
                <w:rFonts w:hint="eastAsia" w:ascii="宋体" w:hAnsi="宋体" w:cs="宋体"/>
                <w:bCs/>
                <w:szCs w:val="21"/>
                <w:highlight w:val="none"/>
              </w:rPr>
              <w:t>投标人是法人的，应具有上一年度（202</w:t>
            </w:r>
            <w:r>
              <w:rPr>
                <w:rFonts w:hint="eastAsia" w:ascii="宋体" w:hAnsi="宋体" w:cs="宋体"/>
                <w:bCs/>
                <w:szCs w:val="21"/>
                <w:highlight w:val="none"/>
                <w:lang w:val="en-US" w:eastAsia="zh-CN"/>
              </w:rPr>
              <w:t>4</w:t>
            </w:r>
            <w:r>
              <w:rPr>
                <w:rFonts w:hint="eastAsia" w:ascii="宋体" w:hAnsi="宋体" w:cs="宋体"/>
                <w:bCs/>
                <w:szCs w:val="21"/>
                <w:highlight w:val="none"/>
              </w:rPr>
              <w:t>年度或202</w:t>
            </w:r>
            <w:r>
              <w:rPr>
                <w:rFonts w:hint="eastAsia" w:ascii="宋体" w:hAnsi="宋体" w:cs="宋体"/>
                <w:bCs/>
                <w:szCs w:val="21"/>
                <w:highlight w:val="none"/>
                <w:lang w:val="en-US" w:eastAsia="zh-CN"/>
              </w:rPr>
              <w:t>5</w:t>
            </w:r>
            <w:r>
              <w:rPr>
                <w:rFonts w:hint="eastAsia" w:ascii="宋体" w:hAnsi="宋体" w:cs="宋体"/>
                <w:bCs/>
                <w:szCs w:val="21"/>
                <w:highlight w:val="none"/>
              </w:rPr>
              <w:t>年度）经审计的财务报告，或其基本开户银行出具的资信证明。其他组织和自然人，没有经审计的财务报告，应具有银行出具的资信证明。</w:t>
            </w:r>
          </w:p>
          <w:p>
            <w:pPr>
              <w:adjustRightInd w:val="0"/>
              <w:snapToGrid w:val="0"/>
              <w:rPr>
                <w:rFonts w:ascii="宋体" w:hAnsi="宋体" w:cs="宋体"/>
                <w:bCs/>
                <w:szCs w:val="21"/>
                <w:highlight w:val="none"/>
              </w:rPr>
            </w:pPr>
            <w:r>
              <w:rPr>
                <w:rFonts w:hint="eastAsia" w:ascii="宋体" w:hAnsi="宋体" w:cs="宋体"/>
                <w:bCs/>
                <w:szCs w:val="21"/>
                <w:highlight w:val="none"/>
              </w:rPr>
              <w:t>有专业担保机构对投标人进行资信审查后出具投标担保函的，可以不用具备经审计的财务报告和银行资信证明文件。</w:t>
            </w:r>
          </w:p>
          <w:p>
            <w:pPr>
              <w:adjustRightInd w:val="0"/>
              <w:snapToGrid w:val="0"/>
              <w:rPr>
                <w:rFonts w:ascii="宋体" w:hAnsi="宋体" w:cs="宋体"/>
                <w:b/>
                <w:highlight w:val="none"/>
              </w:rPr>
            </w:pPr>
            <w:r>
              <w:rPr>
                <w:rFonts w:hint="eastAsia" w:ascii="宋体" w:hAnsi="宋体" w:cs="宋体"/>
                <w:b/>
                <w:highlight w:val="none"/>
              </w:rPr>
              <w:t>备注：如果投标人同时提供了1）书面承诺及声明、2）相应证明材料，且二者内容不一致的，</w:t>
            </w:r>
            <w:r>
              <w:rPr>
                <w:rFonts w:hint="eastAsia" w:ascii="宋体" w:hAnsi="宋体" w:cs="宋体"/>
                <w:b/>
                <w:szCs w:val="21"/>
                <w:highlight w:val="none"/>
                <w:lang w:val="hr-HR"/>
              </w:rPr>
              <w:t>采购人或者采购代理机构</w:t>
            </w:r>
            <w:r>
              <w:rPr>
                <w:rFonts w:hint="eastAsia" w:ascii="宋体" w:hAnsi="宋体" w:cs="宋体"/>
                <w:b/>
                <w:highlight w:val="none"/>
              </w:rPr>
              <w:t>有权任选其中一种进行评审，由投标人自行承担一切后果。</w:t>
            </w:r>
          </w:p>
        </w:tc>
        <w:tc>
          <w:tcPr>
            <w:tcW w:w="424" w:type="pct"/>
            <w:vAlign w:val="center"/>
          </w:tcPr>
          <w:p>
            <w:pPr>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具有履行合同所必需的设备和专业技术能力</w:t>
            </w:r>
          </w:p>
        </w:tc>
        <w:tc>
          <w:tcPr>
            <w:tcW w:w="2465" w:type="pct"/>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c>
          <w:tcPr>
            <w:tcW w:w="424" w:type="pct"/>
            <w:vAlign w:val="center"/>
          </w:tcPr>
          <w:p>
            <w:pPr>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有依法缴纳税收和社会保障资金的良好记录</w:t>
            </w:r>
          </w:p>
        </w:tc>
        <w:tc>
          <w:tcPr>
            <w:tcW w:w="2465" w:type="pct"/>
            <w:vAlign w:val="center"/>
          </w:tcPr>
          <w:p>
            <w:pPr>
              <w:adjustRightInd w:val="0"/>
              <w:snapToGrid w:val="0"/>
              <w:rPr>
                <w:rFonts w:ascii="宋体" w:hAnsi="宋体" w:cs="宋体"/>
                <w:b/>
                <w:bCs/>
                <w:szCs w:val="21"/>
                <w:highlight w:val="none"/>
              </w:rPr>
            </w:pPr>
            <w:r>
              <w:rPr>
                <w:rFonts w:hint="eastAsia" w:ascii="宋体" w:hAnsi="宋体" w:cs="宋体"/>
                <w:b/>
                <w:szCs w:val="21"/>
                <w:highlight w:val="none"/>
              </w:rPr>
              <w:t>由投标人对以下内容提供书面承诺及声明，或提供相应证明材料。</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投标人依法缴纳税收：本项目公告发布时间前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（至少有1个月）缴纳税收的凭据（完税证、缴款书、印花税票、银行代扣（代缴）转账凭证等均可）；</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投标人依法缴纳社会保障资金：本项目公告发布时间前</w:t>
            </w:r>
            <w:r>
              <w:rPr>
                <w:rFonts w:hint="eastAsia" w:ascii="宋体" w:hAnsi="宋体" w:cs="宋体"/>
                <w:szCs w:val="21"/>
                <w:highlight w:val="none"/>
              </w:rPr>
              <w:t>12个月内</w:t>
            </w:r>
            <w:r>
              <w:rPr>
                <w:rFonts w:hint="eastAsia" w:ascii="宋体" w:hAnsi="宋体" w:cs="宋体"/>
                <w:szCs w:val="21"/>
                <w:highlight w:val="none"/>
                <w:lang w:val="hr-HR"/>
              </w:rPr>
              <w:t>（至少有1个月）缴纳社会保险的凭据（专用收据或社会保险交纳清单）；</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投标人为其他组织或自然人的，也应满足以上要求；</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递交投标文件截止时间的当月成立但因税务机关原因导致其尚未依法缴纳税收的投标人，提供将依法缴纳税收承诺书原件（格式自拟），该承诺书视同税收缴纳凭据。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递交投标文件截止时间的当月成立但因社会保障资金管理机关原因导致其尚未依法缴纳社会保障资金的投标人，提供将依法缴纳社会保障资金承诺书原件（格式自拟），该承诺书视同社会保险凭据。</w:t>
            </w:r>
          </w:p>
          <w:p>
            <w:pPr>
              <w:adjustRightInd w:val="0"/>
              <w:snapToGrid w:val="0"/>
              <w:ind w:firstLine="420" w:firstLineChars="200"/>
              <w:rPr>
                <w:rFonts w:ascii="宋体" w:hAnsi="宋体" w:cs="宋体"/>
                <w:szCs w:val="21"/>
                <w:highlight w:val="none"/>
                <w:lang w:val="hr-HR"/>
              </w:rPr>
            </w:pPr>
            <w:r>
              <w:rPr>
                <w:rFonts w:hint="eastAsia" w:ascii="宋体" w:hAnsi="宋体" w:cs="宋体"/>
                <w:szCs w:val="21"/>
                <w:highlight w:val="none"/>
                <w:lang w:val="hr-HR"/>
              </w:rPr>
              <w:t>依法免税或不需要缴纳社会保障资金的投标人，具有相应文件证明其依法免税或不需要交纳社会保障资金。</w:t>
            </w:r>
          </w:p>
          <w:p>
            <w:pPr>
              <w:adjustRightInd w:val="0"/>
              <w:snapToGrid w:val="0"/>
              <w:rPr>
                <w:rFonts w:ascii="宋体" w:hAnsi="宋体" w:cs="宋体"/>
                <w:b/>
                <w:highlight w:val="none"/>
                <w:lang w:val="hr-HR"/>
              </w:rPr>
            </w:pPr>
            <w:r>
              <w:rPr>
                <w:rFonts w:hint="eastAsia" w:ascii="宋体" w:hAnsi="宋体" w:cs="宋体"/>
                <w:b/>
                <w:szCs w:val="21"/>
                <w:highlight w:val="none"/>
                <w:lang w:val="hr-HR"/>
              </w:rPr>
              <w:t>备注：如果投标人同时提供了1）书面承诺及声明、2）相应证明材料，且二者内容不一致的，采购人或者采购代理机构有权任选其中一种进行评审，由投标人自行承担一切后果。</w:t>
            </w:r>
          </w:p>
        </w:tc>
        <w:tc>
          <w:tcPr>
            <w:tcW w:w="424" w:type="pct"/>
            <w:vAlign w:val="center"/>
          </w:tcPr>
          <w:p>
            <w:pPr>
              <w:snapToGrid w:val="0"/>
              <w:spacing w:line="300" w:lineRule="auto"/>
              <w:ind w:firstLine="315" w:firstLineChars="15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参加政府采购活动前三年内，在经营活动中没有重大违法记录</w:t>
            </w:r>
          </w:p>
        </w:tc>
        <w:tc>
          <w:tcPr>
            <w:tcW w:w="2465" w:type="pct"/>
            <w:vAlign w:val="center"/>
          </w:tcPr>
          <w:p>
            <w:pPr>
              <w:widowControl/>
              <w:adjustRightInd w:val="0"/>
              <w:snapToGrid w:val="0"/>
              <w:rPr>
                <w:rFonts w:ascii="宋体" w:hAnsi="宋体" w:cs="宋体"/>
                <w:szCs w:val="21"/>
                <w:highlight w:val="none"/>
                <w:lang w:val="hr-HR"/>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c>
          <w:tcPr>
            <w:tcW w:w="424" w:type="pct"/>
            <w:vAlign w:val="center"/>
          </w:tcPr>
          <w:p>
            <w:pPr>
              <w:widowControl/>
              <w:adjustRightInd w:val="0"/>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Merge w:val="continue"/>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法律、行政法规规定的其他条件</w:t>
            </w:r>
          </w:p>
        </w:tc>
        <w:tc>
          <w:tcPr>
            <w:tcW w:w="2465" w:type="pct"/>
            <w:vAlign w:val="center"/>
          </w:tcPr>
          <w:p>
            <w:pPr>
              <w:adjustRightInd w:val="0"/>
              <w:snapToGrid w:val="0"/>
              <w:rPr>
                <w:rFonts w:ascii="宋体" w:hAnsi="宋体" w:cs="宋体"/>
                <w:bCs/>
                <w:szCs w:val="21"/>
                <w:highlight w:val="none"/>
              </w:rPr>
            </w:pPr>
            <w:r>
              <w:rPr>
                <w:rFonts w:hint="eastAsia" w:ascii="宋体" w:hAnsi="宋体" w:cs="宋体"/>
                <w:bCs/>
                <w:szCs w:val="21"/>
                <w:highlight w:val="none"/>
              </w:rPr>
              <w:t>由投标人提供书面承诺及声明</w:t>
            </w:r>
            <w:r>
              <w:rPr>
                <w:rFonts w:hint="eastAsia" w:ascii="宋体" w:hAnsi="宋体" w:cs="宋体"/>
                <w:highlight w:val="none"/>
              </w:rPr>
              <w:t>，或提供相应证明材料。</w:t>
            </w:r>
          </w:p>
        </w:tc>
        <w:tc>
          <w:tcPr>
            <w:tcW w:w="424" w:type="pct"/>
            <w:vAlign w:val="center"/>
          </w:tcPr>
          <w:p>
            <w:pPr>
              <w:widowControl/>
              <w:adjustRightInd w:val="0"/>
              <w:snapToGrid w:val="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rPr>
              <w:t>单位负责人为同一人或者存在直接控股、管理关系的不同投标人，不得参加本项目同一合同项下的政府采购活动</w:t>
            </w:r>
          </w:p>
        </w:tc>
        <w:tc>
          <w:tcPr>
            <w:tcW w:w="2465"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c>
          <w:tcPr>
            <w:tcW w:w="424" w:type="pct"/>
            <w:vAlign w:val="center"/>
          </w:tcPr>
          <w:p>
            <w:pPr>
              <w:widowControl/>
              <w:adjustRightInd w:val="0"/>
              <w:snapToGrid w:val="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为本采购项目提供整体设计、规范编制或者项目管理、监理、检测等服务的，不得再参加本项目的其他招标采购活动。</w:t>
            </w:r>
          </w:p>
        </w:tc>
        <w:tc>
          <w:tcPr>
            <w:tcW w:w="2465" w:type="pct"/>
            <w:vAlign w:val="center"/>
          </w:tcPr>
          <w:p>
            <w:pPr>
              <w:widowControl/>
              <w:adjustRightInd w:val="0"/>
              <w:snapToGrid w:val="0"/>
              <w:rPr>
                <w:rFonts w:ascii="宋体" w:hAnsi="宋体" w:cs="宋体"/>
                <w:szCs w:val="21"/>
                <w:highlight w:val="none"/>
                <w:lang w:val="hr-HR"/>
              </w:rPr>
            </w:pPr>
            <w:r>
              <w:rPr>
                <w:rFonts w:hint="eastAsia" w:ascii="宋体" w:hAnsi="宋体" w:cs="宋体"/>
                <w:szCs w:val="21"/>
                <w:highlight w:val="none"/>
                <w:lang w:val="hr-HR"/>
              </w:rPr>
              <w:t>由投标人在《投标函》中声明</w:t>
            </w:r>
          </w:p>
        </w:tc>
        <w:tc>
          <w:tcPr>
            <w:tcW w:w="424" w:type="pct"/>
            <w:vAlign w:val="center"/>
          </w:tcPr>
          <w:p>
            <w:pPr>
              <w:widowControl/>
              <w:adjustRightInd w:val="0"/>
              <w:snapToGrid w:val="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8"/>
              </w:numPr>
              <w:adjustRightInd w:val="0"/>
              <w:snapToGrid w:val="0"/>
              <w:rPr>
                <w:rFonts w:ascii="宋体" w:hAnsi="宋体" w:cs="宋体"/>
                <w:kern w:val="0"/>
                <w:szCs w:val="21"/>
                <w:highlight w:val="none"/>
              </w:rPr>
            </w:pPr>
          </w:p>
        </w:tc>
        <w:tc>
          <w:tcPr>
            <w:tcW w:w="1734" w:type="pct"/>
            <w:vAlign w:val="center"/>
          </w:tcPr>
          <w:p>
            <w:pPr>
              <w:widowControl/>
              <w:adjustRightInd w:val="0"/>
              <w:snapToGrid w:val="0"/>
              <w:rPr>
                <w:rFonts w:ascii="宋体" w:hAnsi="宋体" w:cs="宋体"/>
                <w:szCs w:val="21"/>
                <w:highlight w:val="none"/>
              </w:rPr>
            </w:pPr>
            <w:r>
              <w:rPr>
                <w:rFonts w:hint="eastAsia" w:ascii="宋体" w:hAnsi="宋体" w:cs="宋体"/>
                <w:szCs w:val="21"/>
                <w:highlight w:val="none"/>
              </w:rPr>
              <w:t>未被列入失信被执行人、重大税收违法失信主体，未被列入政府采购严重违法失信行为记录名单。</w:t>
            </w:r>
          </w:p>
        </w:tc>
        <w:tc>
          <w:tcPr>
            <w:tcW w:w="2465" w:type="pct"/>
            <w:vAlign w:val="center"/>
          </w:tcPr>
          <w:p>
            <w:pPr>
              <w:widowControl/>
              <w:adjustRightInd w:val="0"/>
              <w:snapToGrid w:val="0"/>
              <w:rPr>
                <w:rFonts w:ascii="宋体" w:hAnsi="宋体" w:cs="宋体"/>
                <w:highlight w:val="none"/>
                <w:lang w:val="hr-HR"/>
              </w:rPr>
            </w:pPr>
            <w:r>
              <w:rPr>
                <w:rFonts w:hint="eastAsia" w:ascii="宋体" w:hAnsi="宋体" w:cs="宋体"/>
                <w:szCs w:val="21"/>
                <w:highlight w:val="none"/>
                <w:lang w:val="hr-HR"/>
              </w:rPr>
              <w:t>以采购人和采购代理机构在投标截止日在“信用中国”网站（www.creditchina.gov.cn）及中国政府采购网(www.ccgp.gov.cn)查询的投标人参加政府采购活动前三年内的结果为准（采购人和采购代理机构对信用信息查询记录和证据截图或下载存档）。</w:t>
            </w:r>
          </w:p>
        </w:tc>
        <w:tc>
          <w:tcPr>
            <w:tcW w:w="424" w:type="pct"/>
            <w:vAlign w:val="center"/>
          </w:tcPr>
          <w:p>
            <w:pPr>
              <w:widowControl/>
              <w:adjustRightInd w:val="0"/>
              <w:snapToGrid w:val="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8"/>
              </w:numPr>
              <w:adjustRightInd w:val="0"/>
              <w:snapToGrid w:val="0"/>
              <w:rPr>
                <w:rFonts w:ascii="宋体" w:hAnsi="宋体" w:cs="宋体"/>
                <w:kern w:val="0"/>
                <w:szCs w:val="21"/>
                <w:highlight w:val="none"/>
              </w:rPr>
            </w:pPr>
          </w:p>
        </w:tc>
        <w:tc>
          <w:tcPr>
            <w:tcW w:w="1734" w:type="pct"/>
          </w:tcPr>
          <w:p>
            <w:pPr>
              <w:widowControl/>
              <w:adjustRightInd w:val="0"/>
              <w:snapToGrid w:val="0"/>
              <w:rPr>
                <w:rFonts w:hint="default" w:ascii="宋体" w:hAnsi="宋体" w:eastAsia="宋体" w:cs="宋体"/>
                <w:szCs w:val="21"/>
                <w:highlight w:val="none"/>
                <w:lang w:val="en-US" w:eastAsia="zh-CN"/>
              </w:rPr>
            </w:pPr>
            <w:r>
              <w:rPr>
                <w:rFonts w:hint="eastAsia" w:ascii="宋体" w:hAnsi="宋体" w:cs="宋体"/>
                <w:szCs w:val="21"/>
                <w:highlight w:val="none"/>
              </w:rPr>
              <w:t>落实政府采购政策需满足的资格要求</w:t>
            </w:r>
            <w:r>
              <w:rPr>
                <w:rFonts w:hint="eastAsia" w:ascii="宋体" w:hAnsi="宋体" w:cs="宋体"/>
                <w:szCs w:val="21"/>
                <w:highlight w:val="none"/>
                <w:lang w:eastAsia="zh-CN"/>
              </w:rPr>
              <w:t>：</w:t>
            </w:r>
            <w:r>
              <w:rPr>
                <w:rFonts w:hint="eastAsia" w:ascii="宋体" w:hAnsi="宋体" w:cs="宋体"/>
                <w:szCs w:val="21"/>
                <w:highlight w:val="none"/>
                <w:lang w:val="en-US" w:eastAsia="zh-CN"/>
              </w:rPr>
              <w:t>/</w:t>
            </w:r>
          </w:p>
        </w:tc>
        <w:tc>
          <w:tcPr>
            <w:tcW w:w="2465" w:type="pct"/>
            <w:vAlign w:val="center"/>
          </w:tcPr>
          <w:p>
            <w:pPr>
              <w:jc w:val="left"/>
              <w:rPr>
                <w:rFonts w:ascii="宋体" w:hAnsi="宋体" w:cs="宋体"/>
                <w:szCs w:val="21"/>
                <w:highlight w:val="none"/>
              </w:rPr>
            </w:pPr>
            <w:r>
              <w:rPr>
                <w:rFonts w:hint="eastAsia" w:ascii="宋体" w:hAnsi="宋体" w:cs="宋体"/>
                <w:szCs w:val="21"/>
                <w:highlight w:val="none"/>
              </w:rPr>
              <w:t>/</w:t>
            </w:r>
          </w:p>
        </w:tc>
        <w:tc>
          <w:tcPr>
            <w:tcW w:w="424" w:type="pct"/>
            <w:vAlign w:val="center"/>
          </w:tcPr>
          <w:p>
            <w:pPr>
              <w:widowControl/>
              <w:adjustRightInd w:val="0"/>
              <w:snapToGrid w:val="0"/>
              <w:jc w:val="center"/>
              <w:rPr>
                <w:rFonts w:ascii="宋体" w:hAnsi="宋体" w:cs="宋体"/>
                <w:szCs w:val="21"/>
                <w:highlight w:val="none"/>
                <w:lang w:val="hr-H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77" w:type="pct"/>
            <w:vAlign w:val="center"/>
          </w:tcPr>
          <w:p>
            <w:pPr>
              <w:widowControl/>
              <w:numPr>
                <w:ilvl w:val="0"/>
                <w:numId w:val="8"/>
              </w:numPr>
              <w:adjustRightInd w:val="0"/>
              <w:snapToGrid w:val="0"/>
              <w:rPr>
                <w:rFonts w:ascii="宋体" w:hAnsi="宋体" w:cs="宋体"/>
                <w:kern w:val="0"/>
                <w:szCs w:val="21"/>
                <w:highlight w:val="none"/>
              </w:rPr>
            </w:pPr>
          </w:p>
        </w:tc>
        <w:tc>
          <w:tcPr>
            <w:tcW w:w="3103" w:type="dxa"/>
            <w:vAlign w:val="center"/>
          </w:tcPr>
          <w:p>
            <w:pPr>
              <w:widowControl/>
              <w:adjustRightInd w:val="0"/>
              <w:snapToGrid w:val="0"/>
              <w:spacing w:line="360" w:lineRule="auto"/>
              <w:rPr>
                <w:rFonts w:hint="eastAsia" w:ascii="宋体" w:hAnsi="宋体"/>
                <w:color w:val="auto"/>
                <w:kern w:val="2"/>
                <w:sz w:val="21"/>
                <w:szCs w:val="21"/>
                <w:highlight w:val="none"/>
                <w:lang w:val="en-US" w:eastAsia="zh-CN"/>
              </w:rPr>
            </w:pPr>
            <w:r>
              <w:rPr>
                <w:rFonts w:hint="eastAsia"/>
                <w:color w:val="auto"/>
                <w:kern w:val="2"/>
                <w:sz w:val="21"/>
                <w:szCs w:val="21"/>
                <w:highlight w:val="none"/>
              </w:rPr>
              <w:t>本项目的特定资格要求：</w:t>
            </w:r>
            <w:r>
              <w:rPr>
                <w:rFonts w:hint="eastAsia" w:ascii="宋体" w:hAnsi="宋体"/>
                <w:color w:val="auto"/>
                <w:kern w:val="2"/>
                <w:sz w:val="21"/>
                <w:szCs w:val="21"/>
                <w:highlight w:val="none"/>
                <w:lang w:val="en-US" w:eastAsia="zh-CN"/>
              </w:rPr>
              <w:t>（1）本项目允许分支机构参与投标，投标人隶属同一集团旗下的分公司或分支机构，只允许一家参与本次招投标活动，不得同时参与本项目投标；如同时参与投标的，对同时参与投标的投标人同时否决。</w:t>
            </w:r>
          </w:p>
          <w:p>
            <w:pPr>
              <w:widowControl/>
              <w:adjustRightInd w:val="0"/>
              <w:snapToGrid w:val="0"/>
              <w:spacing w:line="360" w:lineRule="auto"/>
              <w:rPr>
                <w:rFonts w:hint="eastAsia" w:ascii="宋体" w:hAnsi="宋体" w:eastAsia="宋体" w:cs="宋体"/>
                <w:szCs w:val="21"/>
                <w:highlight w:val="none"/>
                <w:lang w:val="hr-HR" w:eastAsia="zh-CN"/>
              </w:rPr>
            </w:pPr>
            <w:r>
              <w:rPr>
                <w:rFonts w:hint="eastAsia" w:ascii="宋体" w:hAnsi="宋体"/>
                <w:color w:val="auto"/>
                <w:kern w:val="2"/>
                <w:sz w:val="21"/>
                <w:szCs w:val="21"/>
                <w:highlight w:val="none"/>
                <w:lang w:val="en-US" w:eastAsia="zh-CN"/>
              </w:rPr>
              <w:t>（2）投标人或其总公司具有有效的中华人民共和国人力资源和社会保障部颁发的《企业年金基金管理机构》资格证书。</w:t>
            </w:r>
          </w:p>
        </w:tc>
        <w:tc>
          <w:tcPr>
            <w:tcW w:w="4411" w:type="dxa"/>
            <w:vAlign w:val="center"/>
          </w:tcPr>
          <w:p>
            <w:pPr>
              <w:adjustRightInd w:val="0"/>
              <w:snapToGrid w:val="0"/>
              <w:spacing w:line="360" w:lineRule="auto"/>
              <w:jc w:val="left"/>
              <w:rPr>
                <w:rFonts w:ascii="宋体" w:hAnsi="宋体" w:cs="宋体"/>
                <w:szCs w:val="21"/>
                <w:highlight w:val="none"/>
                <w:lang w:val="hr-HR"/>
              </w:rPr>
            </w:pPr>
            <w:r>
              <w:rPr>
                <w:rFonts w:hint="eastAsia" w:ascii="宋体" w:hAnsi="宋体"/>
                <w:color w:val="auto"/>
                <w:kern w:val="2"/>
                <w:sz w:val="21"/>
                <w:szCs w:val="21"/>
                <w:highlight w:val="none"/>
                <w:lang w:val="en-US" w:eastAsia="zh-CN"/>
              </w:rPr>
              <w:t>需提供相应证明材料。</w:t>
            </w:r>
          </w:p>
        </w:tc>
        <w:tc>
          <w:tcPr>
            <w:tcW w:w="424" w:type="pct"/>
            <w:vAlign w:val="center"/>
          </w:tcPr>
          <w:p>
            <w:pPr>
              <w:widowControl/>
              <w:adjustRightInd w:val="0"/>
              <w:snapToGrid w:val="0"/>
              <w:jc w:val="center"/>
              <w:rPr>
                <w:rFonts w:ascii="宋体" w:hAnsi="宋体" w:cs="宋体"/>
                <w:szCs w:val="21"/>
                <w:highlight w:val="none"/>
                <w:lang w:val="hr-HR"/>
              </w:rPr>
            </w:pPr>
          </w:p>
        </w:tc>
      </w:tr>
    </w:tbl>
    <w:p>
      <w:pPr>
        <w:widowControl/>
        <w:jc w:val="center"/>
        <w:rPr>
          <w:rFonts w:ascii="宋体" w:hAnsi="宋体" w:cs="宋体"/>
          <w:b/>
          <w:sz w:val="32"/>
          <w:szCs w:val="32"/>
          <w:highlight w:val="none"/>
          <w:lang w:val="hr-HR"/>
        </w:rPr>
      </w:pPr>
    </w:p>
    <w:p>
      <w:pPr>
        <w:widowControl/>
        <w:jc w:val="center"/>
        <w:rPr>
          <w:rFonts w:ascii="宋体" w:hAnsi="宋体" w:cs="宋体"/>
          <w:b/>
          <w:sz w:val="32"/>
          <w:szCs w:val="32"/>
          <w:highlight w:val="none"/>
        </w:rPr>
      </w:pPr>
      <w:r>
        <w:rPr>
          <w:rFonts w:hint="eastAsia" w:ascii="宋体" w:hAnsi="宋体" w:cs="宋体"/>
          <w:b/>
          <w:highlight w:val="none"/>
          <w:lang w:val="hr-HR"/>
        </w:rPr>
        <w:br w:type="page"/>
      </w:r>
      <w:r>
        <w:rPr>
          <w:rFonts w:hint="eastAsia" w:ascii="宋体" w:hAnsi="宋体" w:cs="宋体"/>
          <w:b/>
          <w:sz w:val="32"/>
          <w:szCs w:val="32"/>
          <w:highlight w:val="none"/>
        </w:rPr>
        <w:t>符合性自查表</w:t>
      </w:r>
    </w:p>
    <w:p>
      <w:pPr>
        <w:jc w:val="center"/>
        <w:rPr>
          <w:rFonts w:ascii="宋体" w:hAnsi="宋体" w:cs="宋体"/>
          <w:b/>
          <w:sz w:val="32"/>
          <w:szCs w:val="32"/>
          <w:highlight w:val="none"/>
          <w:u w:val="single"/>
        </w:rPr>
      </w:pPr>
    </w:p>
    <w:tbl>
      <w:tblPr>
        <w:tblStyle w:val="88"/>
        <w:tblW w:w="5000" w:type="pct"/>
        <w:jc w:val="center"/>
        <w:tblLayout w:type="autofit"/>
        <w:tblCellMar>
          <w:top w:w="0" w:type="dxa"/>
          <w:left w:w="108" w:type="dxa"/>
          <w:bottom w:w="0" w:type="dxa"/>
          <w:right w:w="108" w:type="dxa"/>
        </w:tblCellMar>
      </w:tblPr>
      <w:tblGrid>
        <w:gridCol w:w="674"/>
        <w:gridCol w:w="7088"/>
        <w:gridCol w:w="1185"/>
      </w:tblGrid>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396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b/>
                <w:kern w:val="0"/>
                <w:szCs w:val="21"/>
                <w:highlight w:val="none"/>
              </w:rPr>
            </w:pPr>
            <w:r>
              <w:rPr>
                <w:rFonts w:hint="eastAsia" w:ascii="宋体" w:hAnsi="宋体" w:cs="宋体"/>
                <w:b/>
                <w:kern w:val="0"/>
                <w:szCs w:val="21"/>
                <w:highlight w:val="none"/>
              </w:rPr>
              <w:t>审核内容</w:t>
            </w:r>
          </w:p>
        </w:tc>
        <w:tc>
          <w:tcPr>
            <w:tcW w:w="662"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r>
              <w:rPr>
                <w:rFonts w:hint="eastAsia" w:ascii="宋体" w:hAnsi="宋体" w:cs="宋体"/>
                <w:b/>
                <w:kern w:val="0"/>
                <w:szCs w:val="21"/>
                <w:highlight w:val="none"/>
              </w:rPr>
              <w:t>对应页码</w:t>
            </w: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按照招标文件规定要求签署、盖章；</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按招标文件要求进行报价；</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投标有效期满足招标文件规定；</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投标文件中未附有采购人不能接受条件；</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投标文件满足招标文件商务、技术等实质性要求；</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single" w:color="auto" w:sz="4" w:space="0"/>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投标人未出现招标文件中规定无效投标的其它条款（包括标记</w:t>
            </w:r>
            <w:r>
              <w:rPr>
                <w:rFonts w:hint="eastAsia" w:ascii="宋体" w:hAnsi="宋体" w:cs="宋体"/>
                <w:bCs/>
                <w:highlight w:val="none"/>
              </w:rPr>
              <w:t>★的条款</w:t>
            </w:r>
            <w:r>
              <w:rPr>
                <w:rFonts w:hint="eastAsia" w:ascii="宋体" w:hAnsi="宋体" w:cs="宋体"/>
                <w:kern w:val="0"/>
                <w:szCs w:val="21"/>
                <w:highlight w:val="none"/>
              </w:rPr>
              <w:t>）；</w:t>
            </w:r>
          </w:p>
        </w:tc>
        <w:tc>
          <w:tcPr>
            <w:tcW w:w="662" w:type="pct"/>
            <w:tcBorders>
              <w:top w:val="single" w:color="auto" w:sz="4" w:space="0"/>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377" w:type="pct"/>
            <w:tcBorders>
              <w:top w:val="single" w:color="auto" w:sz="4" w:space="0"/>
              <w:left w:val="single" w:color="auto" w:sz="4" w:space="0"/>
              <w:bottom w:val="single" w:color="auto" w:sz="4" w:space="0"/>
              <w:right w:val="single" w:color="auto" w:sz="4" w:space="0"/>
            </w:tcBorders>
            <w:vAlign w:val="center"/>
          </w:tcPr>
          <w:p>
            <w:pPr>
              <w:widowControl/>
              <w:numPr>
                <w:ilvl w:val="0"/>
                <w:numId w:val="9"/>
              </w:numPr>
              <w:adjustRightInd w:val="0"/>
              <w:snapToGrid w:val="0"/>
              <w:rPr>
                <w:rFonts w:ascii="宋体" w:hAnsi="宋体" w:cs="宋体"/>
                <w:kern w:val="0"/>
                <w:szCs w:val="21"/>
                <w:highlight w:val="none"/>
              </w:rPr>
            </w:pPr>
          </w:p>
        </w:tc>
        <w:tc>
          <w:tcPr>
            <w:tcW w:w="3961" w:type="pct"/>
            <w:tcBorders>
              <w:top w:val="nil"/>
              <w:left w:val="nil"/>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投标人未有下列任一情形：</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（1）不同投标人的投标文件由同一单位或者个人编制；</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（2）不同投标人委托同一单位或者个人办理投标事宜；</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（3）不同投标人的投标文件载明的项目管理成员或者联系人员为同一人；</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（4）不同投标人的投标文件异常一致或者投标报价呈规律性差异；</w:t>
            </w:r>
          </w:p>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（5）不同投标人的投标文件相互混装。</w:t>
            </w:r>
          </w:p>
        </w:tc>
        <w:tc>
          <w:tcPr>
            <w:tcW w:w="662" w:type="pct"/>
            <w:tcBorders>
              <w:top w:val="nil"/>
              <w:left w:val="nil"/>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r>
        <w:tblPrEx>
          <w:tblCellMar>
            <w:top w:w="0" w:type="dxa"/>
            <w:left w:w="108" w:type="dxa"/>
            <w:bottom w:w="0" w:type="dxa"/>
            <w:right w:w="108" w:type="dxa"/>
          </w:tblCellMar>
        </w:tblPrEx>
        <w:trPr>
          <w:trHeight w:val="454" w:hRule="atLeast"/>
          <w:jc w:val="center"/>
        </w:trPr>
        <w:tc>
          <w:tcPr>
            <w:tcW w:w="4338" w:type="pct"/>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rPr>
                <w:rFonts w:ascii="宋体" w:hAnsi="宋体" w:cs="宋体"/>
                <w:kern w:val="0"/>
                <w:szCs w:val="21"/>
                <w:highlight w:val="none"/>
              </w:rPr>
            </w:pPr>
            <w:r>
              <w:rPr>
                <w:rFonts w:hint="eastAsia" w:ascii="宋体" w:hAnsi="宋体" w:cs="宋体"/>
                <w:kern w:val="0"/>
                <w:szCs w:val="21"/>
                <w:highlight w:val="none"/>
              </w:rPr>
              <w:t>审核结论</w:t>
            </w:r>
          </w:p>
        </w:tc>
        <w:tc>
          <w:tcPr>
            <w:tcW w:w="662"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ascii="宋体" w:hAnsi="宋体" w:cs="宋体"/>
                <w:kern w:val="0"/>
                <w:szCs w:val="21"/>
                <w:highlight w:val="none"/>
              </w:rPr>
            </w:pPr>
          </w:p>
        </w:tc>
      </w:tr>
    </w:tbl>
    <w:p>
      <w:pPr>
        <w:jc w:val="center"/>
        <w:rPr>
          <w:rFonts w:ascii="宋体" w:hAnsi="宋体" w:cs="宋体"/>
          <w:b/>
          <w:highlight w:val="none"/>
        </w:rPr>
      </w:pPr>
    </w:p>
    <w:p>
      <w:pPr>
        <w:jc w:val="center"/>
        <w:rPr>
          <w:rFonts w:ascii="宋体" w:hAnsi="宋体" w:cs="宋体"/>
          <w:b/>
          <w:sz w:val="32"/>
          <w:szCs w:val="32"/>
          <w:highlight w:val="none"/>
        </w:rPr>
      </w:pPr>
      <w:r>
        <w:rPr>
          <w:rFonts w:hint="eastAsia" w:ascii="宋体" w:hAnsi="宋体" w:cs="宋体"/>
          <w:b/>
          <w:sz w:val="32"/>
          <w:szCs w:val="32"/>
          <w:highlight w:val="none"/>
        </w:rPr>
        <w:br w:type="page"/>
      </w:r>
      <w:r>
        <w:rPr>
          <w:rFonts w:hint="eastAsia" w:ascii="宋体" w:hAnsi="宋体" w:cs="宋体"/>
          <w:b/>
          <w:sz w:val="32"/>
          <w:szCs w:val="32"/>
          <w:highlight w:val="none"/>
        </w:rPr>
        <w:t>评标导航表</w:t>
      </w:r>
    </w:p>
    <w:p>
      <w:pPr>
        <w:rPr>
          <w:rFonts w:ascii="宋体" w:hAnsi="宋体" w:cs="宋体"/>
          <w:b/>
          <w:sz w:val="24"/>
          <w:highlight w:val="none"/>
          <w:u w:val="single"/>
        </w:rPr>
      </w:pP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816"/>
        <w:gridCol w:w="938"/>
        <w:gridCol w:w="2796"/>
        <w:gridCol w:w="2173"/>
        <w:gridCol w:w="1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876"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评审</w:t>
            </w:r>
          </w:p>
          <w:p>
            <w:pPr>
              <w:widowControl/>
              <w:snapToGrid w:val="0"/>
              <w:jc w:val="center"/>
              <w:rPr>
                <w:rFonts w:ascii="宋体" w:hAnsi="宋体" w:cs="宋体"/>
                <w:b/>
                <w:bCs/>
                <w:szCs w:val="21"/>
                <w:highlight w:val="none"/>
              </w:rPr>
            </w:pPr>
            <w:r>
              <w:rPr>
                <w:rFonts w:hint="eastAsia" w:ascii="宋体" w:hAnsi="宋体" w:cs="宋体"/>
                <w:b/>
                <w:bCs/>
                <w:szCs w:val="21"/>
                <w:highlight w:val="none"/>
              </w:rPr>
              <w:t>项目</w:t>
            </w:r>
          </w:p>
        </w:tc>
        <w:tc>
          <w:tcPr>
            <w:tcW w:w="816"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项目</w:t>
            </w:r>
          </w:p>
        </w:tc>
        <w:tc>
          <w:tcPr>
            <w:tcW w:w="938"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分值</w:t>
            </w:r>
          </w:p>
        </w:tc>
        <w:tc>
          <w:tcPr>
            <w:tcW w:w="2796"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评分标准</w:t>
            </w:r>
          </w:p>
        </w:tc>
        <w:tc>
          <w:tcPr>
            <w:tcW w:w="2173"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投标人响应</w:t>
            </w:r>
          </w:p>
        </w:tc>
        <w:tc>
          <w:tcPr>
            <w:tcW w:w="1122" w:type="dxa"/>
            <w:shd w:val="clear" w:color="auto" w:fill="BFBFBF"/>
            <w:vAlign w:val="center"/>
          </w:tcPr>
          <w:p>
            <w:pPr>
              <w:widowControl/>
              <w:snapToGrid w:val="0"/>
              <w:jc w:val="center"/>
              <w:rPr>
                <w:rFonts w:ascii="宋体" w:hAnsi="宋体" w:cs="宋体"/>
                <w:b/>
                <w:bCs/>
                <w:szCs w:val="21"/>
                <w:highlight w:val="none"/>
              </w:rPr>
            </w:pPr>
            <w:r>
              <w:rPr>
                <w:rFonts w:hint="eastAsia" w:ascii="宋体" w:hAnsi="宋体" w:cs="宋体"/>
                <w:b/>
                <w:bCs/>
                <w:szCs w:val="21"/>
                <w:highlight w:val="none"/>
              </w:rPr>
              <w:t>投标文件对应页码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876" w:type="dxa"/>
            <w:vMerge w:val="restart"/>
            <w:vAlign w:val="center"/>
          </w:tcPr>
          <w:p>
            <w:pPr>
              <w:pStyle w:val="31"/>
              <w:widowControl/>
              <w:tabs>
                <w:tab w:val="left" w:pos="0"/>
              </w:tabs>
              <w:topLinePunct/>
              <w:snapToGrid w:val="0"/>
              <w:spacing w:after="0"/>
              <w:jc w:val="center"/>
              <w:rPr>
                <w:rFonts w:ascii="宋体" w:hAnsi="宋体" w:cs="宋体"/>
                <w:b/>
                <w:bCs/>
                <w:sz w:val="21"/>
                <w:szCs w:val="21"/>
                <w:highlight w:val="none"/>
              </w:rPr>
            </w:pPr>
            <w:r>
              <w:rPr>
                <w:rFonts w:hint="eastAsia" w:ascii="宋体" w:hAnsi="宋体" w:cs="宋体"/>
                <w:b/>
                <w:bCs/>
                <w:sz w:val="21"/>
                <w:szCs w:val="21"/>
                <w:highlight w:val="none"/>
              </w:rPr>
              <w:t>报价</w:t>
            </w:r>
          </w:p>
          <w:p>
            <w:pPr>
              <w:pStyle w:val="31"/>
              <w:widowControl/>
              <w:tabs>
                <w:tab w:val="left" w:pos="0"/>
              </w:tabs>
              <w:topLinePunct/>
              <w:snapToGrid w:val="0"/>
              <w:spacing w:after="0"/>
              <w:jc w:val="center"/>
              <w:rPr>
                <w:rFonts w:ascii="宋体" w:hAnsi="宋体" w:cs="宋体"/>
                <w:b/>
                <w:bCs/>
                <w:sz w:val="21"/>
                <w:szCs w:val="21"/>
                <w:highlight w:val="none"/>
              </w:rPr>
            </w:pPr>
            <w:r>
              <w:rPr>
                <w:rFonts w:hint="eastAsia" w:ascii="宋体" w:hAnsi="宋体" w:cs="宋体"/>
                <w:b/>
                <w:bCs/>
                <w:sz w:val="21"/>
                <w:szCs w:val="21"/>
                <w:highlight w:val="none"/>
              </w:rPr>
              <w:t>部分</w:t>
            </w:r>
          </w:p>
        </w:tc>
        <w:tc>
          <w:tcPr>
            <w:tcW w:w="81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76" w:type="dxa"/>
            <w:vMerge w:val="continue"/>
            <w:vAlign w:val="center"/>
          </w:tcPr>
          <w:p>
            <w:pPr>
              <w:pStyle w:val="31"/>
              <w:widowControl/>
              <w:tabs>
                <w:tab w:val="left" w:pos="0"/>
              </w:tabs>
              <w:topLinePunct/>
              <w:snapToGrid w:val="0"/>
              <w:spacing w:after="0"/>
              <w:jc w:val="center"/>
              <w:rPr>
                <w:rFonts w:ascii="宋体" w:hAnsi="宋体" w:cs="宋体"/>
                <w:b/>
                <w:bCs/>
                <w:sz w:val="21"/>
                <w:szCs w:val="21"/>
                <w:highlight w:val="none"/>
              </w:rPr>
            </w:pPr>
          </w:p>
        </w:tc>
        <w:tc>
          <w:tcPr>
            <w:tcW w:w="81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
                <w:sz w:val="21"/>
                <w:szCs w:val="21"/>
                <w:highlight w:val="none"/>
              </w:rPr>
            </w:pPr>
          </w:p>
        </w:tc>
        <w:tc>
          <w:tcPr>
            <w:tcW w:w="2173" w:type="dxa"/>
            <w:vAlign w:val="center"/>
          </w:tcPr>
          <w:p>
            <w:pPr>
              <w:widowControl/>
              <w:snapToGrid w:val="0"/>
              <w:jc w:val="center"/>
              <w:rPr>
                <w:rFonts w:ascii="宋体" w:hAnsi="宋体" w:cs="宋体"/>
                <w:b/>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876" w:type="dxa"/>
            <w:vMerge w:val="continue"/>
            <w:vAlign w:val="center"/>
          </w:tcPr>
          <w:p>
            <w:pPr>
              <w:pStyle w:val="31"/>
              <w:widowControl/>
              <w:tabs>
                <w:tab w:val="left" w:pos="0"/>
              </w:tabs>
              <w:topLinePunct/>
              <w:snapToGrid w:val="0"/>
              <w:spacing w:after="0"/>
              <w:jc w:val="center"/>
              <w:rPr>
                <w:rFonts w:ascii="宋体" w:hAnsi="宋体" w:cs="宋体"/>
                <w:b/>
                <w:bCs/>
                <w:sz w:val="21"/>
                <w:szCs w:val="21"/>
                <w:highlight w:val="none"/>
              </w:rPr>
            </w:pPr>
          </w:p>
        </w:tc>
        <w:tc>
          <w:tcPr>
            <w:tcW w:w="81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
                <w:sz w:val="21"/>
                <w:szCs w:val="21"/>
                <w:highlight w:val="none"/>
              </w:rPr>
            </w:pPr>
          </w:p>
        </w:tc>
        <w:tc>
          <w:tcPr>
            <w:tcW w:w="2173" w:type="dxa"/>
            <w:vAlign w:val="center"/>
          </w:tcPr>
          <w:p>
            <w:pPr>
              <w:widowControl/>
              <w:snapToGrid w:val="0"/>
              <w:jc w:val="center"/>
              <w:rPr>
                <w:rFonts w:ascii="宋体" w:hAnsi="宋体" w:cs="宋体"/>
                <w:b/>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876" w:type="dxa"/>
            <w:vMerge w:val="continue"/>
            <w:vAlign w:val="center"/>
          </w:tcPr>
          <w:p>
            <w:pPr>
              <w:pStyle w:val="31"/>
              <w:widowControl/>
              <w:tabs>
                <w:tab w:val="left" w:pos="0"/>
              </w:tabs>
              <w:topLinePunct/>
              <w:snapToGrid w:val="0"/>
              <w:spacing w:after="0"/>
              <w:jc w:val="center"/>
              <w:rPr>
                <w:rFonts w:ascii="宋体" w:hAnsi="宋体" w:cs="宋体"/>
                <w:b/>
                <w:bCs/>
                <w:sz w:val="21"/>
                <w:szCs w:val="21"/>
                <w:highlight w:val="none"/>
              </w:rPr>
            </w:pPr>
          </w:p>
        </w:tc>
        <w:tc>
          <w:tcPr>
            <w:tcW w:w="81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
                <w:sz w:val="21"/>
                <w:szCs w:val="21"/>
                <w:highlight w:val="none"/>
              </w:rPr>
            </w:pPr>
          </w:p>
        </w:tc>
        <w:tc>
          <w:tcPr>
            <w:tcW w:w="2173" w:type="dxa"/>
            <w:vAlign w:val="center"/>
          </w:tcPr>
          <w:p>
            <w:pPr>
              <w:widowControl/>
              <w:snapToGrid w:val="0"/>
              <w:jc w:val="center"/>
              <w:rPr>
                <w:rFonts w:ascii="宋体" w:hAnsi="宋体" w:cs="宋体"/>
                <w:b/>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snapToGrid w:val="0"/>
              <w:jc w:val="center"/>
              <w:rPr>
                <w:rFonts w:ascii="宋体" w:hAnsi="宋体" w:cs="宋体"/>
                <w:b/>
                <w:bCs/>
                <w:szCs w:val="21"/>
                <w:highlight w:val="none"/>
              </w:rPr>
            </w:pPr>
            <w:r>
              <w:rPr>
                <w:rFonts w:hint="eastAsia" w:ascii="宋体" w:hAnsi="宋体" w:cs="宋体"/>
                <w:b/>
                <w:bCs/>
                <w:szCs w:val="21"/>
                <w:highlight w:val="none"/>
              </w:rPr>
              <w:t>商务</w:t>
            </w:r>
          </w:p>
          <w:p>
            <w:pPr>
              <w:snapToGrid w:val="0"/>
              <w:jc w:val="center"/>
              <w:rPr>
                <w:rFonts w:ascii="宋体" w:hAnsi="宋体" w:cs="宋体"/>
                <w:b/>
                <w:bCs/>
                <w:szCs w:val="21"/>
                <w:highlight w:val="none"/>
              </w:rPr>
            </w:pPr>
            <w:r>
              <w:rPr>
                <w:rFonts w:hint="eastAsia" w:ascii="宋体" w:hAnsi="宋体" w:cs="宋体"/>
                <w:b/>
                <w:bCs/>
                <w:szCs w:val="21"/>
                <w:highlight w:val="none"/>
              </w:rPr>
              <w:t>部分</w:t>
            </w:r>
          </w:p>
        </w:tc>
        <w:tc>
          <w:tcPr>
            <w:tcW w:w="816" w:type="dxa"/>
            <w:vMerge w:val="restart"/>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snapToGrid w:val="0"/>
              <w:jc w:val="center"/>
              <w:rPr>
                <w:rFonts w:ascii="宋体" w:hAnsi="宋体" w:cs="宋体"/>
                <w:b/>
                <w:bCs/>
                <w:szCs w:val="21"/>
                <w:highlight w:val="none"/>
              </w:rPr>
            </w:pPr>
          </w:p>
        </w:tc>
        <w:tc>
          <w:tcPr>
            <w:tcW w:w="816" w:type="dxa"/>
            <w:vMerge w:val="restart"/>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widowControl/>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cs="宋体"/>
                <w:b/>
                <w:szCs w:val="21"/>
                <w:highlight w:val="none"/>
              </w:rPr>
            </w:pPr>
          </w:p>
        </w:tc>
        <w:tc>
          <w:tcPr>
            <w:tcW w:w="816" w:type="dxa"/>
            <w:vMerge w:val="continue"/>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938"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796"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2173" w:type="dxa"/>
            <w:vAlign w:val="center"/>
          </w:tcPr>
          <w:p>
            <w:pPr>
              <w:snapToGrid w:val="0"/>
              <w:jc w:val="center"/>
              <w:rPr>
                <w:rFonts w:ascii="宋体" w:hAnsi="宋体" w:cs="宋体"/>
                <w:bCs/>
                <w:szCs w:val="21"/>
                <w:highlight w:val="none"/>
              </w:rPr>
            </w:pPr>
          </w:p>
        </w:tc>
        <w:tc>
          <w:tcPr>
            <w:tcW w:w="1122" w:type="dxa"/>
            <w:vAlign w:val="center"/>
          </w:tcPr>
          <w:p>
            <w:pPr>
              <w:widowControl/>
              <w:snapToGrid w:val="0"/>
              <w:jc w:val="center"/>
              <w:rPr>
                <w:rFonts w:ascii="宋体" w:hAnsi="宋体" w:cs="宋体"/>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restart"/>
            <w:vAlign w:val="center"/>
          </w:tcPr>
          <w:p>
            <w:pPr>
              <w:widowControl/>
              <w:snapToGrid w:val="0"/>
              <w:jc w:val="center"/>
              <w:rPr>
                <w:rFonts w:ascii="宋体" w:hAnsi="宋体" w:cs="宋体"/>
                <w:b/>
                <w:szCs w:val="21"/>
                <w:highlight w:val="none"/>
              </w:rPr>
            </w:pPr>
            <w:r>
              <w:rPr>
                <w:rFonts w:hint="eastAsia" w:ascii="宋体" w:hAnsi="宋体" w:cs="宋体"/>
                <w:b/>
                <w:szCs w:val="21"/>
                <w:highlight w:val="none"/>
              </w:rPr>
              <w:t>技术</w:t>
            </w:r>
          </w:p>
          <w:p>
            <w:pPr>
              <w:widowControl/>
              <w:snapToGrid w:val="0"/>
              <w:jc w:val="center"/>
              <w:rPr>
                <w:rFonts w:ascii="宋体" w:hAnsi="宋体" w:cs="宋体"/>
                <w:b/>
                <w:szCs w:val="21"/>
                <w:highlight w:val="none"/>
              </w:rPr>
            </w:pPr>
            <w:r>
              <w:rPr>
                <w:rFonts w:hint="eastAsia" w:ascii="宋体" w:hAnsi="宋体" w:cs="宋体"/>
                <w:b/>
                <w:szCs w:val="21"/>
                <w:highlight w:val="none"/>
              </w:rPr>
              <w:t>部分</w:t>
            </w:r>
          </w:p>
        </w:tc>
        <w:tc>
          <w:tcPr>
            <w:tcW w:w="816" w:type="dxa"/>
            <w:vMerge w:val="restart"/>
            <w:vAlign w:val="center"/>
          </w:tcPr>
          <w:p>
            <w:pPr>
              <w:widowControl/>
              <w:snapToGrid w:val="0"/>
              <w:jc w:val="center"/>
              <w:rPr>
                <w:rFonts w:ascii="宋体" w:hAnsi="宋体" w:cs="宋体"/>
                <w:szCs w:val="21"/>
                <w:highlight w:val="none"/>
              </w:rPr>
            </w:pPr>
          </w:p>
        </w:tc>
        <w:tc>
          <w:tcPr>
            <w:tcW w:w="938" w:type="dxa"/>
            <w:vAlign w:val="center"/>
          </w:tcPr>
          <w:p>
            <w:pPr>
              <w:widowControl/>
              <w:snapToGrid w:val="0"/>
              <w:jc w:val="center"/>
              <w:rPr>
                <w:rFonts w:ascii="宋体" w:hAnsi="宋体" w:cs="宋体"/>
                <w:szCs w:val="21"/>
                <w:highlight w:val="none"/>
              </w:rPr>
            </w:pPr>
          </w:p>
        </w:tc>
        <w:tc>
          <w:tcPr>
            <w:tcW w:w="2796" w:type="dxa"/>
            <w:vAlign w:val="center"/>
          </w:tcPr>
          <w:p>
            <w:pPr>
              <w:pStyle w:val="31"/>
              <w:widowControl/>
              <w:tabs>
                <w:tab w:val="left" w:pos="0"/>
              </w:tabs>
              <w:topLinePunct/>
              <w:snapToGrid w:val="0"/>
              <w:jc w:val="center"/>
              <w:rPr>
                <w:rFonts w:ascii="宋体" w:hAnsi="宋体" w:cs="宋体"/>
                <w:bCs/>
                <w:sz w:val="21"/>
                <w:szCs w:val="21"/>
                <w:highlight w:val="none"/>
              </w:rPr>
            </w:pPr>
          </w:p>
        </w:tc>
        <w:tc>
          <w:tcPr>
            <w:tcW w:w="2173"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1122"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cs="宋体"/>
                <w:b/>
                <w:szCs w:val="21"/>
                <w:highlight w:val="none"/>
              </w:rPr>
            </w:pPr>
          </w:p>
        </w:tc>
        <w:tc>
          <w:tcPr>
            <w:tcW w:w="816" w:type="dxa"/>
            <w:vMerge w:val="continue"/>
            <w:vAlign w:val="center"/>
          </w:tcPr>
          <w:p>
            <w:pPr>
              <w:widowControl/>
              <w:snapToGrid w:val="0"/>
              <w:jc w:val="center"/>
              <w:rPr>
                <w:rFonts w:ascii="宋体" w:hAnsi="宋体" w:cs="宋体"/>
                <w:szCs w:val="21"/>
                <w:highlight w:val="none"/>
              </w:rPr>
            </w:pPr>
          </w:p>
        </w:tc>
        <w:tc>
          <w:tcPr>
            <w:tcW w:w="938" w:type="dxa"/>
            <w:vAlign w:val="center"/>
          </w:tcPr>
          <w:p>
            <w:pPr>
              <w:widowControl/>
              <w:snapToGrid w:val="0"/>
              <w:jc w:val="center"/>
              <w:rPr>
                <w:rFonts w:ascii="宋体" w:hAnsi="宋体" w:cs="宋体"/>
                <w:szCs w:val="21"/>
                <w:highlight w:val="none"/>
              </w:rPr>
            </w:pPr>
          </w:p>
        </w:tc>
        <w:tc>
          <w:tcPr>
            <w:tcW w:w="2796" w:type="dxa"/>
            <w:vAlign w:val="center"/>
          </w:tcPr>
          <w:p>
            <w:pPr>
              <w:pStyle w:val="31"/>
              <w:widowControl/>
              <w:tabs>
                <w:tab w:val="left" w:pos="0"/>
              </w:tabs>
              <w:topLinePunct/>
              <w:snapToGrid w:val="0"/>
              <w:jc w:val="center"/>
              <w:rPr>
                <w:rFonts w:ascii="宋体" w:hAnsi="宋体" w:cs="宋体"/>
                <w:bCs/>
                <w:sz w:val="21"/>
                <w:szCs w:val="21"/>
                <w:highlight w:val="none"/>
              </w:rPr>
            </w:pPr>
          </w:p>
        </w:tc>
        <w:tc>
          <w:tcPr>
            <w:tcW w:w="2173"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1122"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cs="宋体"/>
                <w:b/>
                <w:szCs w:val="21"/>
                <w:highlight w:val="none"/>
              </w:rPr>
            </w:pPr>
          </w:p>
        </w:tc>
        <w:tc>
          <w:tcPr>
            <w:tcW w:w="816" w:type="dxa"/>
            <w:vMerge w:val="continue"/>
            <w:vAlign w:val="center"/>
          </w:tcPr>
          <w:p>
            <w:pPr>
              <w:widowControl/>
              <w:snapToGrid w:val="0"/>
              <w:jc w:val="center"/>
              <w:rPr>
                <w:rFonts w:ascii="宋体" w:hAnsi="宋体" w:cs="宋体"/>
                <w:szCs w:val="21"/>
                <w:highlight w:val="none"/>
              </w:rPr>
            </w:pPr>
          </w:p>
        </w:tc>
        <w:tc>
          <w:tcPr>
            <w:tcW w:w="938" w:type="dxa"/>
            <w:vAlign w:val="center"/>
          </w:tcPr>
          <w:p>
            <w:pPr>
              <w:widowControl/>
              <w:snapToGrid w:val="0"/>
              <w:jc w:val="center"/>
              <w:rPr>
                <w:rFonts w:ascii="宋体" w:hAnsi="宋体" w:cs="宋体"/>
                <w:szCs w:val="21"/>
                <w:highlight w:val="none"/>
              </w:rPr>
            </w:pPr>
          </w:p>
        </w:tc>
        <w:tc>
          <w:tcPr>
            <w:tcW w:w="2796" w:type="dxa"/>
            <w:vAlign w:val="center"/>
          </w:tcPr>
          <w:p>
            <w:pPr>
              <w:pStyle w:val="31"/>
              <w:widowControl/>
              <w:tabs>
                <w:tab w:val="left" w:pos="0"/>
              </w:tabs>
              <w:topLinePunct/>
              <w:snapToGrid w:val="0"/>
              <w:jc w:val="center"/>
              <w:rPr>
                <w:rFonts w:ascii="宋体" w:hAnsi="宋体" w:cs="宋体"/>
                <w:bCs/>
                <w:sz w:val="21"/>
                <w:szCs w:val="21"/>
                <w:highlight w:val="none"/>
              </w:rPr>
            </w:pPr>
          </w:p>
        </w:tc>
        <w:tc>
          <w:tcPr>
            <w:tcW w:w="2173"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1122"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6" w:type="dxa"/>
            <w:vMerge w:val="continue"/>
            <w:vAlign w:val="center"/>
          </w:tcPr>
          <w:p>
            <w:pPr>
              <w:widowControl/>
              <w:snapToGrid w:val="0"/>
              <w:jc w:val="center"/>
              <w:rPr>
                <w:rFonts w:ascii="宋体" w:hAnsi="宋体" w:cs="宋体"/>
                <w:b/>
                <w:szCs w:val="21"/>
                <w:highlight w:val="none"/>
              </w:rPr>
            </w:pPr>
          </w:p>
        </w:tc>
        <w:tc>
          <w:tcPr>
            <w:tcW w:w="816" w:type="dxa"/>
            <w:vMerge w:val="continue"/>
            <w:vAlign w:val="center"/>
          </w:tcPr>
          <w:p>
            <w:pPr>
              <w:widowControl/>
              <w:snapToGrid w:val="0"/>
              <w:jc w:val="center"/>
              <w:rPr>
                <w:rFonts w:ascii="宋体" w:hAnsi="宋体" w:cs="宋体"/>
                <w:szCs w:val="21"/>
                <w:highlight w:val="none"/>
              </w:rPr>
            </w:pPr>
          </w:p>
        </w:tc>
        <w:tc>
          <w:tcPr>
            <w:tcW w:w="938" w:type="dxa"/>
            <w:vAlign w:val="center"/>
          </w:tcPr>
          <w:p>
            <w:pPr>
              <w:widowControl/>
              <w:snapToGrid w:val="0"/>
              <w:jc w:val="center"/>
              <w:rPr>
                <w:rFonts w:ascii="宋体" w:hAnsi="宋体" w:cs="宋体"/>
                <w:szCs w:val="21"/>
                <w:highlight w:val="none"/>
              </w:rPr>
            </w:pPr>
          </w:p>
        </w:tc>
        <w:tc>
          <w:tcPr>
            <w:tcW w:w="2796" w:type="dxa"/>
            <w:vAlign w:val="center"/>
          </w:tcPr>
          <w:p>
            <w:pPr>
              <w:pStyle w:val="31"/>
              <w:widowControl/>
              <w:tabs>
                <w:tab w:val="left" w:pos="0"/>
              </w:tabs>
              <w:topLinePunct/>
              <w:snapToGrid w:val="0"/>
              <w:jc w:val="center"/>
              <w:rPr>
                <w:rFonts w:ascii="宋体" w:hAnsi="宋体" w:cs="宋体"/>
                <w:bCs/>
                <w:sz w:val="21"/>
                <w:szCs w:val="21"/>
                <w:highlight w:val="none"/>
              </w:rPr>
            </w:pPr>
          </w:p>
        </w:tc>
        <w:tc>
          <w:tcPr>
            <w:tcW w:w="2173"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c>
          <w:tcPr>
            <w:tcW w:w="1122" w:type="dxa"/>
            <w:vAlign w:val="center"/>
          </w:tcPr>
          <w:p>
            <w:pPr>
              <w:pStyle w:val="31"/>
              <w:widowControl/>
              <w:tabs>
                <w:tab w:val="left" w:pos="0"/>
              </w:tabs>
              <w:topLinePunct/>
              <w:snapToGrid w:val="0"/>
              <w:spacing w:after="0"/>
              <w:jc w:val="center"/>
              <w:rPr>
                <w:rFonts w:ascii="宋体" w:hAnsi="宋体" w:cs="宋体"/>
                <w:bCs/>
                <w:sz w:val="21"/>
                <w:szCs w:val="21"/>
                <w:highlight w:val="none"/>
              </w:rPr>
            </w:pPr>
          </w:p>
        </w:tc>
      </w:tr>
    </w:tbl>
    <w:p>
      <w:pPr>
        <w:rPr>
          <w:rFonts w:ascii="宋体" w:hAnsi="宋体" w:cs="宋体"/>
          <w:szCs w:val="21"/>
          <w:highlight w:val="none"/>
        </w:rPr>
      </w:pPr>
      <w:r>
        <w:rPr>
          <w:rFonts w:hint="eastAsia" w:ascii="宋体" w:hAnsi="宋体" w:cs="宋体"/>
          <w:szCs w:val="21"/>
          <w:highlight w:val="none"/>
        </w:rPr>
        <w:t>备注：为方便评委评标，投标人可根据招标文件中载明的《评分标准》，将具体响应情况及投标文件中对应页码在上表中注明。未在上表中标注对应页码，导致评委评标时漏看的，一切后果由投标人自负。</w:t>
      </w:r>
      <w:r>
        <w:rPr>
          <w:rFonts w:hint="eastAsia" w:ascii="宋体" w:hAnsi="宋体" w:cs="宋体"/>
          <w:szCs w:val="21"/>
          <w:highlight w:val="none"/>
        </w:rPr>
        <w:br w:type="page"/>
      </w:r>
    </w:p>
    <w:p>
      <w:pPr>
        <w:pStyle w:val="45"/>
        <w:spacing w:line="300" w:lineRule="auto"/>
        <w:rPr>
          <w:rFonts w:hAnsi="宋体" w:cs="宋体"/>
          <w:sz w:val="24"/>
          <w:highlight w:val="none"/>
        </w:rPr>
      </w:pPr>
    </w:p>
    <w:p>
      <w:pPr>
        <w:pStyle w:val="45"/>
        <w:spacing w:line="300" w:lineRule="auto"/>
        <w:rPr>
          <w:rFonts w:hAnsi="宋体" w:cs="宋体"/>
          <w:sz w:val="24"/>
          <w:highlight w:val="none"/>
        </w:rPr>
        <w:sectPr>
          <w:headerReference r:id="rId12" w:type="default"/>
          <w:footerReference r:id="rId13" w:type="default"/>
          <w:footerReference r:id="rId14" w:type="even"/>
          <w:type w:val="nextColumn"/>
          <w:pgSz w:w="11907" w:h="16840"/>
          <w:pgMar w:top="1247" w:right="1588" w:bottom="1247" w:left="1588" w:header="851" w:footer="851" w:gutter="0"/>
          <w:pgNumType w:fmt="decimal"/>
          <w:cols w:space="720" w:num="1"/>
          <w:docGrid w:linePitch="312" w:charSpace="0"/>
        </w:sectPr>
      </w:pPr>
      <w:r>
        <w:rPr>
          <w:rFonts w:hint="eastAsia" w:hAnsi="宋体" w:cs="宋体"/>
          <w:sz w:val="24"/>
          <w:highlight w:val="none"/>
        </w:rPr>
        <w:t>投标文件目录（略）</w:t>
      </w:r>
    </w:p>
    <w:p>
      <w:pPr>
        <w:pStyle w:val="2"/>
        <w:rPr>
          <w:rFonts w:ascii="宋体" w:hAnsi="宋体" w:eastAsia="宋体" w:cs="宋体"/>
          <w:bCs w:val="0"/>
          <w:highlight w:val="none"/>
        </w:rPr>
      </w:pPr>
      <w:bookmarkStart w:id="1065" w:name="_Toc430813342"/>
      <w:bookmarkStart w:id="1066" w:name="_Toc432367422"/>
      <w:bookmarkStart w:id="1067" w:name="_Toc24192"/>
      <w:r>
        <w:rPr>
          <w:rFonts w:hint="eastAsia" w:ascii="宋体" w:hAnsi="宋体" w:eastAsia="宋体" w:cs="宋体"/>
          <w:bCs w:val="0"/>
          <w:highlight w:val="none"/>
        </w:rPr>
        <w:t>一、投标函</w:t>
      </w:r>
      <w:bookmarkEnd w:id="1065"/>
      <w:r>
        <w:rPr>
          <w:rFonts w:hint="eastAsia" w:ascii="宋体" w:hAnsi="宋体" w:eastAsia="宋体" w:cs="宋体"/>
          <w:bCs w:val="0"/>
          <w:highlight w:val="none"/>
        </w:rPr>
        <w:t>及附件</w:t>
      </w:r>
      <w:bookmarkEnd w:id="1066"/>
      <w:bookmarkEnd w:id="1067"/>
    </w:p>
    <w:p>
      <w:pPr>
        <w:pStyle w:val="2"/>
        <w:snapToGrid w:val="0"/>
        <w:spacing w:before="120" w:after="120" w:line="360" w:lineRule="auto"/>
        <w:rPr>
          <w:rFonts w:ascii="宋体" w:hAnsi="宋体" w:eastAsia="宋体" w:cs="宋体"/>
          <w:bCs w:val="0"/>
          <w:highlight w:val="none"/>
        </w:rPr>
      </w:pPr>
      <w:bookmarkStart w:id="1068" w:name="_Toc432367423"/>
      <w:bookmarkStart w:id="1069" w:name="_Toc430813343"/>
      <w:bookmarkStart w:id="1070" w:name="_Toc917"/>
      <w:r>
        <w:rPr>
          <w:rFonts w:hint="eastAsia" w:ascii="宋体" w:hAnsi="宋体" w:eastAsia="宋体" w:cs="宋体"/>
          <w:bCs w:val="0"/>
          <w:highlight w:val="none"/>
        </w:rPr>
        <w:t>（一）投标函</w:t>
      </w:r>
      <w:bookmarkEnd w:id="1068"/>
      <w:bookmarkEnd w:id="1069"/>
      <w:bookmarkEnd w:id="1070"/>
    </w:p>
    <w:p>
      <w:pPr>
        <w:spacing w:line="324" w:lineRule="auto"/>
        <w:rPr>
          <w:rFonts w:ascii="宋体" w:hAnsi="宋体" w:cs="宋体"/>
          <w:highlight w:val="none"/>
          <w:u w:val="single"/>
        </w:rPr>
      </w:pPr>
      <w:r>
        <w:rPr>
          <w:rFonts w:hint="eastAsia" w:ascii="宋体" w:hAnsi="宋体" w:cs="宋体"/>
          <w:highlight w:val="none"/>
        </w:rPr>
        <w:t>致：</w:t>
      </w:r>
      <w:r>
        <w:rPr>
          <w:rFonts w:hint="eastAsia" w:ascii="宋体" w:hAnsi="宋体" w:cs="宋体"/>
          <w:highlight w:val="none"/>
          <w:u w:val="single"/>
        </w:rPr>
        <w:t>（采购人和招标代理机构）</w:t>
      </w:r>
    </w:p>
    <w:p>
      <w:pPr>
        <w:spacing w:line="324" w:lineRule="auto"/>
        <w:ind w:firstLine="420" w:firstLineChars="200"/>
        <w:rPr>
          <w:rFonts w:ascii="宋体" w:hAnsi="宋体" w:cs="宋体"/>
          <w:highlight w:val="none"/>
        </w:rPr>
      </w:pPr>
      <w:r>
        <w:rPr>
          <w:rFonts w:hint="eastAsia" w:ascii="宋体" w:hAnsi="宋体" w:cs="宋体"/>
          <w:highlight w:val="none"/>
        </w:rPr>
        <w:t>根据贵方为</w:t>
      </w:r>
      <w:r>
        <w:rPr>
          <w:rFonts w:hint="eastAsia" w:ascii="宋体" w:hAnsi="宋体" w:cs="宋体"/>
          <w:i/>
          <w:iCs/>
          <w:highlight w:val="none"/>
          <w:u w:val="single"/>
        </w:rPr>
        <w:t>（项目）</w:t>
      </w:r>
      <w:r>
        <w:rPr>
          <w:rFonts w:hint="eastAsia" w:ascii="宋体" w:hAnsi="宋体" w:cs="宋体"/>
          <w:highlight w:val="none"/>
        </w:rPr>
        <w:t>招标采购的投标邀请</w:t>
      </w:r>
      <w:r>
        <w:rPr>
          <w:rFonts w:hint="eastAsia" w:ascii="宋体" w:hAnsi="宋体" w:cs="宋体"/>
          <w:i/>
          <w:iCs/>
          <w:highlight w:val="none"/>
          <w:u w:val="single"/>
        </w:rPr>
        <w:t>（项目编号）</w:t>
      </w:r>
      <w:r>
        <w:rPr>
          <w:rFonts w:hint="eastAsia" w:ascii="宋体" w:hAnsi="宋体" w:cs="宋体"/>
          <w:highlight w:val="none"/>
        </w:rPr>
        <w:t>，签字代表</w:t>
      </w:r>
      <w:r>
        <w:rPr>
          <w:rFonts w:hint="eastAsia" w:ascii="宋体" w:hAnsi="宋体" w:cs="宋体"/>
          <w:i/>
          <w:iCs/>
          <w:highlight w:val="none"/>
          <w:u w:val="single"/>
        </w:rPr>
        <w:t>（姓名、职务）</w:t>
      </w:r>
      <w:r>
        <w:rPr>
          <w:rFonts w:hint="eastAsia" w:ascii="宋体" w:hAnsi="宋体" w:cs="宋体"/>
          <w:highlight w:val="none"/>
        </w:rPr>
        <w:t>经正式授权并代表我方</w:t>
      </w:r>
      <w:r>
        <w:rPr>
          <w:rFonts w:hint="eastAsia" w:ascii="宋体" w:hAnsi="宋体" w:cs="宋体"/>
          <w:i/>
          <w:iCs/>
          <w:highlight w:val="none"/>
          <w:u w:val="single"/>
        </w:rPr>
        <w:t>（投标人名称、地址）</w:t>
      </w:r>
      <w:r>
        <w:rPr>
          <w:rFonts w:hint="eastAsia" w:ascii="宋体" w:hAnsi="宋体" w:cs="宋体"/>
          <w:highlight w:val="none"/>
        </w:rPr>
        <w:t>提交下述文件正本一份及副本份：</w:t>
      </w:r>
    </w:p>
    <w:p>
      <w:pPr>
        <w:numPr>
          <w:ilvl w:val="0"/>
          <w:numId w:val="10"/>
        </w:numPr>
        <w:spacing w:line="324" w:lineRule="auto"/>
        <w:rPr>
          <w:rFonts w:ascii="宋体" w:hAnsi="宋体" w:cs="宋体"/>
          <w:highlight w:val="none"/>
        </w:rPr>
      </w:pPr>
      <w:r>
        <w:rPr>
          <w:rFonts w:hint="eastAsia" w:ascii="宋体" w:hAnsi="宋体" w:cs="宋体"/>
          <w:highlight w:val="none"/>
        </w:rPr>
        <w:t>投标函文件；</w:t>
      </w:r>
    </w:p>
    <w:p>
      <w:pPr>
        <w:numPr>
          <w:ilvl w:val="0"/>
          <w:numId w:val="10"/>
        </w:numPr>
        <w:spacing w:line="324" w:lineRule="auto"/>
        <w:rPr>
          <w:rFonts w:ascii="宋体" w:hAnsi="宋体" w:cs="宋体"/>
          <w:highlight w:val="none"/>
        </w:rPr>
      </w:pPr>
      <w:r>
        <w:rPr>
          <w:rFonts w:hint="eastAsia" w:ascii="宋体" w:hAnsi="宋体" w:cs="宋体"/>
          <w:highlight w:val="none"/>
        </w:rPr>
        <w:t>报价文件；</w:t>
      </w:r>
    </w:p>
    <w:p>
      <w:pPr>
        <w:numPr>
          <w:ilvl w:val="0"/>
          <w:numId w:val="10"/>
        </w:numPr>
        <w:spacing w:line="324" w:lineRule="auto"/>
        <w:rPr>
          <w:rFonts w:ascii="宋体" w:hAnsi="宋体" w:cs="宋体"/>
          <w:highlight w:val="none"/>
        </w:rPr>
      </w:pPr>
      <w:r>
        <w:rPr>
          <w:rFonts w:hint="eastAsia" w:ascii="宋体" w:hAnsi="宋体" w:cs="宋体"/>
          <w:highlight w:val="none"/>
        </w:rPr>
        <w:t>商务文件；</w:t>
      </w:r>
    </w:p>
    <w:p>
      <w:pPr>
        <w:numPr>
          <w:ilvl w:val="0"/>
          <w:numId w:val="10"/>
        </w:numPr>
        <w:spacing w:line="324" w:lineRule="auto"/>
        <w:rPr>
          <w:rFonts w:ascii="宋体" w:hAnsi="宋体" w:cs="宋体"/>
          <w:highlight w:val="none"/>
        </w:rPr>
      </w:pPr>
      <w:r>
        <w:rPr>
          <w:rFonts w:hint="eastAsia" w:ascii="宋体" w:hAnsi="宋体" w:cs="宋体"/>
          <w:highlight w:val="none"/>
        </w:rPr>
        <w:t>技术文件；</w:t>
      </w:r>
    </w:p>
    <w:p>
      <w:pPr>
        <w:numPr>
          <w:ilvl w:val="0"/>
          <w:numId w:val="10"/>
        </w:numPr>
        <w:spacing w:line="324" w:lineRule="auto"/>
        <w:rPr>
          <w:rFonts w:ascii="宋体" w:hAnsi="宋体" w:cs="宋体"/>
          <w:highlight w:val="none"/>
        </w:rPr>
      </w:pPr>
      <w:r>
        <w:rPr>
          <w:rFonts w:hint="eastAsia" w:ascii="宋体" w:hAnsi="宋体" w:cs="宋体"/>
          <w:highlight w:val="none"/>
        </w:rPr>
        <w:t>资格审查资料。</w:t>
      </w:r>
    </w:p>
    <w:p>
      <w:pPr>
        <w:spacing w:line="324" w:lineRule="auto"/>
        <w:ind w:left="360"/>
        <w:rPr>
          <w:rFonts w:ascii="宋体" w:hAnsi="宋体" w:cs="宋体"/>
          <w:highlight w:val="none"/>
        </w:rPr>
      </w:pPr>
      <w:r>
        <w:rPr>
          <w:rFonts w:hint="eastAsia" w:ascii="宋体" w:hAnsi="宋体" w:cs="宋体"/>
          <w:highlight w:val="none"/>
        </w:rPr>
        <w:t>根据此函，签字代表宣布同意如下：</w:t>
      </w:r>
    </w:p>
    <w:p>
      <w:pPr>
        <w:numPr>
          <w:ilvl w:val="0"/>
          <w:numId w:val="11"/>
        </w:numPr>
        <w:spacing w:line="324" w:lineRule="auto"/>
        <w:rPr>
          <w:rFonts w:ascii="宋体" w:hAnsi="宋体" w:cs="宋体"/>
          <w:highlight w:val="none"/>
          <w:u w:val="single"/>
        </w:rPr>
      </w:pPr>
      <w:r>
        <w:rPr>
          <w:rFonts w:hint="eastAsia" w:ascii="宋体" w:hAnsi="宋体" w:cs="宋体"/>
          <w:highlight w:val="none"/>
        </w:rPr>
        <w:t>所附投标价格表中规定的应提交和交付的服务的投标</w:t>
      </w:r>
      <w:r>
        <w:rPr>
          <w:rFonts w:hint="eastAsia" w:ascii="宋体" w:hAnsi="宋体" w:cs="宋体"/>
          <w:highlight w:val="none"/>
          <w:lang w:val="en-US" w:eastAsia="zh-CN"/>
        </w:rPr>
        <w:t>报价为：</w:t>
      </w:r>
      <w:r>
        <w:rPr>
          <w:rFonts w:hint="eastAsia" w:ascii="宋体" w:hAnsi="宋体" w:cs="宋体"/>
          <w:highlight w:val="none"/>
          <w:u w:val="single"/>
          <w:lang w:val="en-US" w:eastAsia="zh-CN"/>
        </w:rPr>
        <w:t xml:space="preserve">      </w:t>
      </w:r>
      <w:r>
        <w:rPr>
          <w:rFonts w:hint="eastAsia" w:ascii="宋体" w:hAnsi="宋体" w:cs="宋体"/>
          <w:highlight w:val="none"/>
          <w:u w:val="single"/>
        </w:rPr>
        <w:t>。</w:t>
      </w:r>
    </w:p>
    <w:p>
      <w:pPr>
        <w:numPr>
          <w:ilvl w:val="0"/>
          <w:numId w:val="11"/>
        </w:numPr>
        <w:spacing w:line="324" w:lineRule="auto"/>
        <w:rPr>
          <w:rFonts w:ascii="宋体" w:hAnsi="宋体" w:cs="宋体"/>
          <w:highlight w:val="none"/>
        </w:rPr>
      </w:pPr>
      <w:r>
        <w:rPr>
          <w:rFonts w:hint="eastAsia" w:ascii="宋体" w:hAnsi="宋体" w:cs="宋体"/>
          <w:highlight w:val="none"/>
        </w:rPr>
        <w:t>我方接受本招标文件合同书格式及合同条款，并将按招标文件的规定履行合同责任和义务。</w:t>
      </w:r>
    </w:p>
    <w:p>
      <w:pPr>
        <w:numPr>
          <w:ilvl w:val="0"/>
          <w:numId w:val="11"/>
        </w:numPr>
        <w:spacing w:line="324" w:lineRule="auto"/>
        <w:rPr>
          <w:rFonts w:ascii="宋体" w:hAnsi="宋体" w:cs="宋体"/>
          <w:highlight w:val="none"/>
        </w:rPr>
      </w:pPr>
      <w:r>
        <w:rPr>
          <w:rFonts w:hint="eastAsia" w:ascii="宋体" w:hAnsi="宋体" w:cs="宋体"/>
          <w:highlight w:val="none"/>
        </w:rPr>
        <w:t>我方已详细审查全部招标文件，包括第</w:t>
      </w:r>
      <w:r>
        <w:rPr>
          <w:rFonts w:hint="eastAsia" w:ascii="宋体" w:hAnsi="宋体" w:cs="宋体"/>
          <w:i/>
          <w:highlight w:val="none"/>
          <w:u w:val="single"/>
        </w:rPr>
        <w:t>（编号、补遗书）（如果有的话）</w:t>
      </w:r>
      <w:r>
        <w:rPr>
          <w:rFonts w:hint="eastAsia" w:ascii="宋体" w:hAnsi="宋体" w:cs="宋体"/>
          <w:highlight w:val="none"/>
        </w:rPr>
        <w:t>。我们完全理解并同意放弃对这方面有不明及误解的权力。</w:t>
      </w:r>
    </w:p>
    <w:p>
      <w:pPr>
        <w:numPr>
          <w:ilvl w:val="0"/>
          <w:numId w:val="11"/>
        </w:numPr>
        <w:spacing w:line="324" w:lineRule="auto"/>
        <w:rPr>
          <w:rFonts w:ascii="宋体" w:hAnsi="宋体" w:cs="宋体"/>
          <w:highlight w:val="none"/>
        </w:rPr>
      </w:pPr>
      <w:r>
        <w:rPr>
          <w:rFonts w:hint="eastAsia" w:ascii="宋体" w:hAnsi="宋体" w:cs="宋体"/>
          <w:highlight w:val="none"/>
        </w:rPr>
        <w:t>本投标有效期为自开标之日起</w:t>
      </w:r>
      <w:r>
        <w:rPr>
          <w:rFonts w:hint="eastAsia" w:ascii="宋体" w:hAnsi="宋体" w:cs="宋体"/>
          <w:i/>
          <w:highlight w:val="none"/>
          <w:u w:val="single"/>
        </w:rPr>
        <w:t>（由投标人填写）</w:t>
      </w:r>
      <w:r>
        <w:rPr>
          <w:rFonts w:hint="eastAsia" w:ascii="宋体" w:hAnsi="宋体" w:cs="宋体"/>
          <w:highlight w:val="none"/>
        </w:rPr>
        <w:t>个日历天。</w:t>
      </w:r>
    </w:p>
    <w:p>
      <w:pPr>
        <w:numPr>
          <w:ilvl w:val="0"/>
          <w:numId w:val="11"/>
        </w:numPr>
        <w:spacing w:line="324" w:lineRule="auto"/>
        <w:rPr>
          <w:rFonts w:ascii="宋体" w:hAnsi="宋体" w:cs="宋体"/>
          <w:highlight w:val="none"/>
        </w:rPr>
      </w:pPr>
      <w:r>
        <w:rPr>
          <w:rFonts w:hint="eastAsia" w:ascii="宋体" w:hAnsi="宋体" w:cs="宋体"/>
          <w:highlight w:val="none"/>
        </w:rPr>
        <w:t>我方同意提供按照贵方可能要求的与其投标有关的一切数据或资料，完全理解贵方不一定接受最低价的投标或收到的任何投标。</w:t>
      </w:r>
    </w:p>
    <w:p>
      <w:pPr>
        <w:numPr>
          <w:ilvl w:val="0"/>
          <w:numId w:val="11"/>
        </w:numPr>
        <w:spacing w:line="324" w:lineRule="auto"/>
        <w:rPr>
          <w:rFonts w:ascii="宋体" w:hAnsi="宋体" w:cs="宋体"/>
          <w:highlight w:val="none"/>
        </w:rPr>
      </w:pPr>
      <w:r>
        <w:rPr>
          <w:rFonts w:hint="eastAsia" w:ascii="宋体" w:hAnsi="宋体" w:cs="宋体"/>
          <w:highlight w:val="none"/>
        </w:rPr>
        <w:t>本项目如由中标人支付招标代理服务费，我方同意按投标人须知前附表中规定向采购代理机构支付招标代理服务费。</w:t>
      </w:r>
    </w:p>
    <w:p>
      <w:pPr>
        <w:numPr>
          <w:ilvl w:val="0"/>
          <w:numId w:val="11"/>
        </w:numPr>
        <w:snapToGrid w:val="0"/>
        <w:spacing w:line="324" w:lineRule="auto"/>
        <w:rPr>
          <w:rFonts w:ascii="宋体" w:hAnsi="宋体" w:cs="宋体"/>
          <w:highlight w:val="none"/>
        </w:rPr>
      </w:pPr>
      <w:r>
        <w:rPr>
          <w:rFonts w:hint="eastAsia" w:ascii="宋体" w:hAnsi="宋体" w:cs="宋体"/>
          <w:highlight w:val="none"/>
        </w:rPr>
        <w:t>重要声明：</w:t>
      </w:r>
    </w:p>
    <w:p>
      <w:pPr>
        <w:snapToGrid w:val="0"/>
        <w:spacing w:line="324" w:lineRule="auto"/>
        <w:ind w:firstLine="420" w:firstLineChars="200"/>
        <w:rPr>
          <w:rFonts w:ascii="宋体" w:hAnsi="宋体" w:cs="宋体"/>
          <w:highlight w:val="none"/>
        </w:rPr>
      </w:pPr>
      <w:r>
        <w:rPr>
          <w:rFonts w:hint="eastAsia" w:ascii="宋体" w:hAnsi="宋体" w:cs="宋体"/>
          <w:highlight w:val="none"/>
        </w:rPr>
        <w:t>1）与我方单位负责人为同一人的其他单位名称：</w:t>
      </w:r>
    </w:p>
    <w:p>
      <w:pPr>
        <w:snapToGrid w:val="0"/>
        <w:spacing w:line="324" w:lineRule="auto"/>
        <w:ind w:left="399" w:leftChars="190" w:firstLine="222" w:firstLineChars="148"/>
        <w:rPr>
          <w:rFonts w:ascii="宋体" w:hAnsi="宋体" w:cs="宋体"/>
          <w:szCs w:val="21"/>
          <w:highlight w:val="none"/>
        </w:rPr>
      </w:pPr>
      <w:r>
        <w:rPr>
          <w:rFonts w:hint="eastAsia" w:ascii="宋体" w:hAnsi="宋体" w:cs="宋体"/>
          <w:sz w:val="15"/>
          <w:szCs w:val="15"/>
          <w:highlight w:val="none"/>
          <w:bdr w:val="single" w:color="auto" w:sz="4" w:space="0"/>
        </w:rPr>
        <w:t>√</w:t>
      </w:r>
      <w:r>
        <w:rPr>
          <w:rFonts w:hint="eastAsia" w:ascii="宋体" w:hAnsi="宋体" w:cs="宋体"/>
          <w:szCs w:val="21"/>
          <w:highlight w:val="none"/>
        </w:rPr>
        <w:t>无；□有，具体单位名称为：</w:t>
      </w:r>
      <w:r>
        <w:rPr>
          <w:rFonts w:hint="eastAsia" w:ascii="宋体" w:hAnsi="宋体" w:cs="宋体"/>
          <w:i/>
          <w:highlight w:val="none"/>
          <w:u w:val="single"/>
        </w:rPr>
        <w:t>（由投标人如实填写）</w:t>
      </w:r>
      <w:r>
        <w:rPr>
          <w:rFonts w:hint="eastAsia" w:ascii="宋体" w:hAnsi="宋体" w:cs="宋体"/>
          <w:szCs w:val="21"/>
          <w:highlight w:val="none"/>
        </w:rPr>
        <w:t>。</w:t>
      </w:r>
    </w:p>
    <w:p>
      <w:pPr>
        <w:snapToGrid w:val="0"/>
        <w:spacing w:line="324" w:lineRule="auto"/>
        <w:ind w:left="400"/>
        <w:rPr>
          <w:rFonts w:ascii="宋体" w:hAnsi="宋体" w:cs="宋体"/>
          <w:szCs w:val="21"/>
          <w:highlight w:val="none"/>
        </w:rPr>
      </w:pPr>
      <w:r>
        <w:rPr>
          <w:rFonts w:hint="eastAsia" w:ascii="宋体" w:hAnsi="宋体" w:cs="宋体"/>
          <w:szCs w:val="21"/>
          <w:highlight w:val="none"/>
        </w:rPr>
        <w:t>2）与我方存在控股、管理关系的其他单位的名称：</w:t>
      </w:r>
    </w:p>
    <w:p>
      <w:pPr>
        <w:snapToGrid w:val="0"/>
        <w:spacing w:line="324" w:lineRule="auto"/>
        <w:ind w:left="399" w:leftChars="190" w:firstLine="222" w:firstLineChars="148"/>
        <w:rPr>
          <w:rFonts w:ascii="宋体" w:hAnsi="宋体" w:cs="宋体"/>
          <w:szCs w:val="21"/>
          <w:highlight w:val="none"/>
        </w:rPr>
      </w:pPr>
      <w:r>
        <w:rPr>
          <w:rFonts w:hint="eastAsia" w:ascii="宋体" w:hAnsi="宋体" w:cs="宋体"/>
          <w:sz w:val="15"/>
          <w:szCs w:val="15"/>
          <w:highlight w:val="none"/>
          <w:bdr w:val="single" w:color="auto" w:sz="4" w:space="0"/>
        </w:rPr>
        <w:t>√</w:t>
      </w:r>
      <w:r>
        <w:rPr>
          <w:rFonts w:hint="eastAsia" w:ascii="宋体" w:hAnsi="宋体" w:cs="宋体"/>
          <w:szCs w:val="21"/>
          <w:highlight w:val="none"/>
        </w:rPr>
        <w:t xml:space="preserve">无；□有，具体单位名称为： </w:t>
      </w:r>
      <w:r>
        <w:rPr>
          <w:rFonts w:hint="eastAsia" w:ascii="宋体" w:hAnsi="宋体" w:cs="宋体"/>
          <w:i/>
          <w:highlight w:val="none"/>
          <w:u w:val="single"/>
        </w:rPr>
        <w:t>（由投标人如实填写）</w:t>
      </w:r>
      <w:r>
        <w:rPr>
          <w:rFonts w:hint="eastAsia" w:ascii="宋体" w:hAnsi="宋体" w:cs="宋体"/>
          <w:szCs w:val="21"/>
          <w:highlight w:val="none"/>
        </w:rPr>
        <w:t>。</w:t>
      </w:r>
    </w:p>
    <w:p>
      <w:pPr>
        <w:snapToGrid w:val="0"/>
        <w:spacing w:line="324" w:lineRule="auto"/>
        <w:ind w:left="400"/>
        <w:rPr>
          <w:rFonts w:ascii="宋体" w:hAnsi="宋体" w:cs="宋体"/>
          <w:szCs w:val="21"/>
          <w:highlight w:val="none"/>
        </w:rPr>
      </w:pPr>
      <w:r>
        <w:rPr>
          <w:rFonts w:hint="eastAsia" w:ascii="宋体" w:hAnsi="宋体" w:cs="宋体"/>
          <w:szCs w:val="21"/>
          <w:highlight w:val="none"/>
        </w:rPr>
        <w:t>3）参与本项目采购活动前，是否为本项目前期准备提供过整体设计、规范编制或者项目管理、监理、检测等服务：</w:t>
      </w:r>
    </w:p>
    <w:p>
      <w:pPr>
        <w:snapToGrid w:val="0"/>
        <w:spacing w:line="324" w:lineRule="auto"/>
        <w:ind w:left="399" w:leftChars="190" w:firstLine="222" w:firstLineChars="148"/>
        <w:rPr>
          <w:rFonts w:ascii="宋体" w:hAnsi="宋体" w:cs="宋体"/>
          <w:szCs w:val="21"/>
          <w:highlight w:val="none"/>
        </w:rPr>
      </w:pPr>
      <w:r>
        <w:rPr>
          <w:rFonts w:hint="eastAsia" w:ascii="宋体" w:hAnsi="宋体" w:cs="宋体"/>
          <w:sz w:val="15"/>
          <w:szCs w:val="15"/>
          <w:highlight w:val="none"/>
          <w:bdr w:val="single" w:color="auto" w:sz="4" w:space="0"/>
        </w:rPr>
        <w:t>√</w:t>
      </w:r>
      <w:r>
        <w:rPr>
          <w:rFonts w:hint="eastAsia" w:ascii="宋体" w:hAnsi="宋体" w:cs="宋体"/>
          <w:szCs w:val="21"/>
          <w:highlight w:val="none"/>
        </w:rPr>
        <w:t xml:space="preserve">无；□有，已提供的具体服务内容为： </w:t>
      </w:r>
      <w:r>
        <w:rPr>
          <w:rFonts w:hint="eastAsia" w:ascii="宋体" w:hAnsi="宋体" w:cs="宋体"/>
          <w:i/>
          <w:highlight w:val="none"/>
          <w:u w:val="single"/>
        </w:rPr>
        <w:t>（由投标人如实填写）</w:t>
      </w:r>
      <w:r>
        <w:rPr>
          <w:rFonts w:hint="eastAsia" w:ascii="宋体" w:hAnsi="宋体" w:cs="宋体"/>
          <w:szCs w:val="21"/>
          <w:highlight w:val="none"/>
        </w:rPr>
        <w:t>。</w:t>
      </w:r>
    </w:p>
    <w:p>
      <w:pPr>
        <w:spacing w:line="324" w:lineRule="auto"/>
        <w:ind w:left="630" w:leftChars="300"/>
        <w:rPr>
          <w:rFonts w:ascii="宋体" w:hAnsi="宋体" w:cs="宋体"/>
          <w:highlight w:val="none"/>
        </w:rPr>
      </w:pPr>
      <w:r>
        <w:rPr>
          <w:rFonts w:hint="eastAsia" w:ascii="宋体" w:hAnsi="宋体" w:cs="宋体"/>
          <w:szCs w:val="21"/>
          <w:highlight w:val="none"/>
        </w:rPr>
        <w:t>（备注：以上3项声明，必须如实选择，选中项用</w:t>
      </w:r>
      <w:r>
        <w:rPr>
          <w:rFonts w:hint="eastAsia" w:ascii="宋体" w:hAnsi="宋体" w:cs="宋体"/>
          <w:sz w:val="15"/>
          <w:szCs w:val="15"/>
          <w:highlight w:val="none"/>
          <w:bdr w:val="single" w:color="auto" w:sz="4" w:space="0"/>
        </w:rPr>
        <w:t>√</w:t>
      </w:r>
      <w:r>
        <w:rPr>
          <w:rFonts w:hint="eastAsia" w:ascii="宋体" w:hAnsi="宋体" w:cs="宋体"/>
          <w:szCs w:val="21"/>
          <w:highlight w:val="none"/>
        </w:rPr>
        <w:t>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r>
        <w:rPr>
          <w:rFonts w:hint="eastAsia" w:ascii="宋体" w:hAnsi="宋体" w:cs="宋体"/>
          <w:highlight w:val="none"/>
        </w:rPr>
        <w:t>）</w:t>
      </w:r>
    </w:p>
    <w:p>
      <w:pPr>
        <w:snapToGrid w:val="0"/>
        <w:spacing w:line="324" w:lineRule="auto"/>
        <w:ind w:firstLine="420" w:firstLineChars="200"/>
        <w:rPr>
          <w:rFonts w:ascii="宋体" w:hAnsi="宋体" w:cs="宋体"/>
          <w:highlight w:val="none"/>
        </w:rPr>
      </w:pPr>
      <w:r>
        <w:rPr>
          <w:rFonts w:hint="eastAsia" w:ascii="宋体" w:hAnsi="宋体" w:cs="宋体"/>
          <w:highlight w:val="none"/>
        </w:rPr>
        <w:t>4）我方在本投标文件中所提供的全部资料均真实有效，我方承诺对其真实性负责并承担相应后果。</w:t>
      </w:r>
    </w:p>
    <w:p>
      <w:pPr>
        <w:numPr>
          <w:ilvl w:val="0"/>
          <w:numId w:val="11"/>
        </w:numPr>
        <w:spacing w:line="300" w:lineRule="auto"/>
        <w:rPr>
          <w:rFonts w:ascii="宋体" w:hAnsi="宋体" w:cs="宋体"/>
          <w:highlight w:val="none"/>
        </w:rPr>
      </w:pPr>
      <w:r>
        <w:rPr>
          <w:rFonts w:hint="eastAsia" w:ascii="宋体" w:hAnsi="宋体" w:cs="宋体"/>
          <w:highlight w:val="none"/>
        </w:rPr>
        <w:t>与本投标有关的一切正式往来函件、通讯请发往：</w:t>
      </w:r>
    </w:p>
    <w:p>
      <w:pPr>
        <w:spacing w:line="300" w:lineRule="auto"/>
        <w:rPr>
          <w:rFonts w:ascii="宋体" w:hAnsi="宋体" w:cs="宋体"/>
          <w:highlight w:val="none"/>
        </w:rPr>
      </w:pPr>
      <w:r>
        <w:rPr>
          <w:rFonts w:hint="eastAsia" w:ascii="宋体" w:hAnsi="宋体" w:cs="宋体"/>
          <w:highlight w:val="none"/>
        </w:rPr>
        <w:t>地址传真</w:t>
      </w:r>
    </w:p>
    <w:p>
      <w:pPr>
        <w:spacing w:line="300" w:lineRule="auto"/>
        <w:rPr>
          <w:rFonts w:ascii="宋体" w:hAnsi="宋体" w:cs="宋体"/>
          <w:highlight w:val="none"/>
        </w:rPr>
      </w:pPr>
      <w:r>
        <w:rPr>
          <w:rFonts w:hint="eastAsia" w:ascii="宋体" w:hAnsi="宋体" w:cs="宋体"/>
          <w:highlight w:val="none"/>
        </w:rPr>
        <w:t>电话电子函件</w:t>
      </w:r>
    </w:p>
    <w:p>
      <w:pPr>
        <w:spacing w:line="300" w:lineRule="auto"/>
        <w:rPr>
          <w:rFonts w:ascii="宋体" w:hAnsi="宋体" w:cs="宋体"/>
          <w:highlight w:val="none"/>
        </w:rPr>
      </w:pPr>
    </w:p>
    <w:p>
      <w:pPr>
        <w:spacing w:line="300" w:lineRule="auto"/>
        <w:rPr>
          <w:rFonts w:ascii="宋体" w:hAnsi="宋体" w:cs="宋体"/>
          <w:highlight w:val="none"/>
        </w:rPr>
      </w:pPr>
    </w:p>
    <w:p>
      <w:pPr>
        <w:spacing w:line="300" w:lineRule="auto"/>
        <w:rPr>
          <w:rFonts w:ascii="宋体" w:hAnsi="宋体" w:cs="宋体"/>
          <w:highlight w:val="none"/>
        </w:rPr>
      </w:pPr>
    </w:p>
    <w:p>
      <w:pPr>
        <w:spacing w:line="300" w:lineRule="auto"/>
        <w:rPr>
          <w:rFonts w:ascii="宋体" w:hAnsi="宋体" w:cs="宋体"/>
          <w:highlight w:val="none"/>
        </w:rPr>
      </w:pPr>
    </w:p>
    <w:p>
      <w:pPr>
        <w:spacing w:line="300" w:lineRule="auto"/>
        <w:rPr>
          <w:rFonts w:ascii="宋体" w:hAnsi="宋体" w:cs="宋体"/>
          <w:highlight w:val="none"/>
        </w:rPr>
      </w:pPr>
      <w:r>
        <w:rPr>
          <w:rFonts w:hint="eastAsia" w:ascii="宋体" w:hAnsi="宋体" w:cs="宋体"/>
          <w:highlight w:val="none"/>
        </w:rPr>
        <w:t>投标人名称</w:t>
      </w:r>
      <w:r>
        <w:rPr>
          <w:rFonts w:hint="eastAsia" w:ascii="宋体" w:hAnsi="宋体" w:cs="宋体"/>
          <w:szCs w:val="21"/>
          <w:highlight w:val="none"/>
        </w:rPr>
        <w:t>投标人授权代表</w:t>
      </w:r>
      <w:r>
        <w:rPr>
          <w:rFonts w:hint="eastAsia" w:ascii="宋体" w:hAnsi="宋体" w:cs="宋体"/>
          <w:highlight w:val="none"/>
          <w:u w:val="single"/>
        </w:rPr>
        <w:t>姓名、职务（印刷体）</w:t>
      </w:r>
    </w:p>
    <w:p>
      <w:pPr>
        <w:spacing w:line="300" w:lineRule="auto"/>
        <w:rPr>
          <w:rFonts w:ascii="宋体" w:hAnsi="宋体" w:cs="宋体"/>
          <w:highlight w:val="none"/>
          <w:u w:val="single"/>
        </w:rPr>
      </w:pPr>
      <w:r>
        <w:rPr>
          <w:rFonts w:hint="eastAsia" w:ascii="宋体" w:hAnsi="宋体" w:cs="宋体"/>
          <w:highlight w:val="none"/>
        </w:rPr>
        <w:t>公章</w:t>
      </w:r>
      <w:r>
        <w:rPr>
          <w:rFonts w:hint="eastAsia" w:ascii="宋体" w:hAnsi="宋体" w:cs="宋体"/>
          <w:szCs w:val="21"/>
          <w:highlight w:val="none"/>
        </w:rPr>
        <w:t>投标人授权代表</w:t>
      </w:r>
      <w:r>
        <w:rPr>
          <w:rFonts w:hint="eastAsia" w:ascii="宋体" w:hAnsi="宋体" w:cs="宋体"/>
          <w:highlight w:val="none"/>
        </w:rPr>
        <w:t>签字</w:t>
      </w:r>
    </w:p>
    <w:p>
      <w:pPr>
        <w:spacing w:line="300" w:lineRule="auto"/>
        <w:rPr>
          <w:rFonts w:ascii="宋体" w:hAnsi="宋体" w:cs="宋体"/>
          <w:highlight w:val="none"/>
        </w:rPr>
        <w:sectPr>
          <w:type w:val="nextColumn"/>
          <w:pgSz w:w="11907" w:h="16840"/>
          <w:pgMar w:top="1247" w:right="1588" w:bottom="1247" w:left="1588" w:header="907" w:footer="907" w:gutter="0"/>
          <w:pgNumType w:fmt="decimal"/>
          <w:cols w:space="720" w:num="1"/>
          <w:docGrid w:linePitch="312" w:charSpace="0"/>
        </w:sectPr>
      </w:pPr>
      <w:r>
        <w:rPr>
          <w:rFonts w:hint="eastAsia" w:ascii="宋体" w:hAnsi="宋体" w:cs="宋体"/>
          <w:highlight w:val="none"/>
        </w:rPr>
        <w:t>日期</w:t>
      </w:r>
    </w:p>
    <w:p>
      <w:pPr>
        <w:pStyle w:val="2"/>
        <w:snapToGrid w:val="0"/>
        <w:spacing w:before="120" w:after="120" w:line="360" w:lineRule="auto"/>
        <w:rPr>
          <w:rFonts w:ascii="宋体" w:hAnsi="宋体" w:eastAsia="宋体" w:cs="宋体"/>
          <w:bCs w:val="0"/>
          <w:highlight w:val="none"/>
        </w:rPr>
      </w:pPr>
      <w:bookmarkStart w:id="1071" w:name="_Toc432367425"/>
      <w:bookmarkStart w:id="1072" w:name="_Toc430813345"/>
      <w:bookmarkStart w:id="1073" w:name="_Toc10397"/>
      <w:r>
        <w:rPr>
          <w:rFonts w:hint="eastAsia" w:ascii="宋体" w:hAnsi="宋体" w:eastAsia="宋体" w:cs="宋体"/>
          <w:bCs w:val="0"/>
          <w:highlight w:val="none"/>
        </w:rPr>
        <w:t>（二）法定代表人身份证明</w:t>
      </w:r>
      <w:bookmarkEnd w:id="1071"/>
      <w:bookmarkEnd w:id="1072"/>
      <w:bookmarkEnd w:id="1073"/>
    </w:p>
    <w:p>
      <w:pPr>
        <w:widowControl/>
        <w:spacing w:line="360" w:lineRule="auto"/>
        <w:rPr>
          <w:rFonts w:ascii="宋体" w:hAnsi="宋体" w:cs="宋体"/>
          <w:highlight w:val="none"/>
        </w:rPr>
      </w:pPr>
    </w:p>
    <w:p>
      <w:pPr>
        <w:widowControl/>
        <w:spacing w:line="360" w:lineRule="auto"/>
        <w:rPr>
          <w:rFonts w:ascii="宋体" w:hAnsi="宋体" w:cs="宋体"/>
          <w:highlight w:val="none"/>
        </w:rPr>
      </w:pPr>
      <w:r>
        <w:rPr>
          <w:rFonts w:hint="eastAsia" w:ascii="宋体" w:hAnsi="宋体" w:cs="宋体"/>
          <w:highlight w:val="none"/>
        </w:rPr>
        <w:t>投标人名称：</w:t>
      </w:r>
    </w:p>
    <w:p>
      <w:pPr>
        <w:widowControl/>
        <w:spacing w:line="360" w:lineRule="auto"/>
        <w:rPr>
          <w:rFonts w:ascii="宋体" w:hAnsi="宋体" w:cs="宋体"/>
          <w:highlight w:val="none"/>
          <w:u w:val="single"/>
        </w:rPr>
      </w:pPr>
      <w:r>
        <w:rPr>
          <w:rFonts w:hint="eastAsia" w:ascii="宋体" w:hAnsi="宋体" w:cs="宋体"/>
          <w:highlight w:val="none"/>
        </w:rPr>
        <w:t>单位性质：</w:t>
      </w:r>
    </w:p>
    <w:p>
      <w:pPr>
        <w:widowControl/>
        <w:spacing w:line="360" w:lineRule="auto"/>
        <w:rPr>
          <w:rFonts w:ascii="宋体" w:hAnsi="宋体" w:cs="宋体"/>
          <w:highlight w:val="none"/>
        </w:rPr>
      </w:pPr>
      <w:r>
        <w:rPr>
          <w:rFonts w:hint="eastAsia" w:ascii="宋体" w:hAnsi="宋体" w:cs="宋体"/>
          <w:highlight w:val="none"/>
        </w:rPr>
        <w:t>地址：</w:t>
      </w:r>
    </w:p>
    <w:p>
      <w:pPr>
        <w:widowControl/>
        <w:spacing w:line="360" w:lineRule="auto"/>
        <w:rPr>
          <w:rFonts w:ascii="宋体" w:hAnsi="宋体" w:cs="宋体"/>
          <w:highlight w:val="none"/>
        </w:rPr>
      </w:pPr>
      <w:r>
        <w:rPr>
          <w:rFonts w:hint="eastAsia" w:ascii="宋体" w:hAnsi="宋体" w:cs="宋体"/>
          <w:highlight w:val="none"/>
        </w:rPr>
        <w:t xml:space="preserve">成立时间：年月 日 </w:t>
      </w:r>
    </w:p>
    <w:p>
      <w:pPr>
        <w:widowControl/>
        <w:spacing w:line="360" w:lineRule="auto"/>
        <w:rPr>
          <w:rFonts w:ascii="宋体" w:hAnsi="宋体" w:cs="宋体"/>
          <w:highlight w:val="none"/>
        </w:rPr>
      </w:pPr>
      <w:r>
        <w:rPr>
          <w:rFonts w:hint="eastAsia" w:ascii="宋体" w:hAnsi="宋体" w:cs="宋体"/>
          <w:highlight w:val="none"/>
        </w:rPr>
        <w:t>经营期限：</w:t>
      </w:r>
    </w:p>
    <w:p>
      <w:pPr>
        <w:widowControl/>
        <w:spacing w:line="360" w:lineRule="auto"/>
        <w:rPr>
          <w:rFonts w:ascii="宋体" w:hAnsi="宋体" w:cs="宋体"/>
          <w:highlight w:val="none"/>
          <w:u w:val="single"/>
        </w:rPr>
      </w:pPr>
      <w:r>
        <w:rPr>
          <w:rFonts w:hint="eastAsia" w:ascii="宋体" w:hAnsi="宋体" w:cs="宋体"/>
          <w:highlight w:val="none"/>
        </w:rPr>
        <w:t>姓名：性别：</w:t>
      </w:r>
    </w:p>
    <w:p>
      <w:pPr>
        <w:widowControl/>
        <w:spacing w:line="360" w:lineRule="auto"/>
        <w:rPr>
          <w:rFonts w:ascii="宋体" w:hAnsi="宋体" w:cs="宋体"/>
          <w:highlight w:val="none"/>
        </w:rPr>
      </w:pPr>
      <w:r>
        <w:rPr>
          <w:rFonts w:hint="eastAsia" w:ascii="宋体" w:hAnsi="宋体" w:cs="宋体"/>
          <w:highlight w:val="none"/>
        </w:rPr>
        <w:t>年龄：职务：</w:t>
      </w:r>
    </w:p>
    <w:p>
      <w:pPr>
        <w:widowControl/>
        <w:spacing w:line="360" w:lineRule="auto"/>
        <w:rPr>
          <w:rFonts w:ascii="宋体" w:hAnsi="宋体" w:cs="宋体"/>
          <w:highlight w:val="none"/>
        </w:rPr>
      </w:pPr>
      <w:r>
        <w:rPr>
          <w:rFonts w:hint="eastAsia" w:ascii="宋体" w:hAnsi="宋体" w:cs="宋体"/>
          <w:highlight w:val="none"/>
        </w:rPr>
        <w:t xml:space="preserve">系 （投标人名称）的法定代表人。 </w:t>
      </w:r>
    </w:p>
    <w:p>
      <w:pPr>
        <w:widowControl/>
        <w:spacing w:line="360" w:lineRule="auto"/>
        <w:rPr>
          <w:rFonts w:ascii="宋体" w:hAnsi="宋体" w:cs="宋体"/>
          <w:highlight w:val="none"/>
        </w:rPr>
      </w:pPr>
      <w:r>
        <w:rPr>
          <w:rFonts w:hint="eastAsia" w:ascii="宋体" w:hAnsi="宋体" w:cs="宋体"/>
          <w:highlight w:val="none"/>
        </w:rPr>
        <w:t xml:space="preserve">特此证明。 </w:t>
      </w:r>
    </w:p>
    <w:p>
      <w:pPr>
        <w:widowControl/>
        <w:spacing w:line="360" w:lineRule="auto"/>
        <w:rPr>
          <w:rFonts w:ascii="宋体" w:hAnsi="宋体" w:cs="宋体"/>
          <w:highlight w:val="none"/>
        </w:rPr>
      </w:pPr>
    </w:p>
    <w:p>
      <w:pPr>
        <w:widowControl/>
        <w:spacing w:line="360" w:lineRule="auto"/>
        <w:rPr>
          <w:rFonts w:ascii="宋体" w:hAnsi="宋体" w:cs="宋体"/>
          <w:highlight w:val="none"/>
        </w:rPr>
      </w:pPr>
    </w:p>
    <w:p>
      <w:pPr>
        <w:widowControl/>
        <w:spacing w:line="360" w:lineRule="auto"/>
        <w:rPr>
          <w:rFonts w:ascii="宋体" w:hAnsi="宋体" w:cs="宋体"/>
          <w:highlight w:val="none"/>
        </w:rPr>
      </w:pPr>
    </w:p>
    <w:p>
      <w:pPr>
        <w:widowControl/>
        <w:spacing w:line="360" w:lineRule="auto"/>
        <w:jc w:val="right"/>
        <w:rPr>
          <w:rFonts w:ascii="宋体" w:hAnsi="宋体" w:cs="宋体"/>
          <w:highlight w:val="none"/>
        </w:rPr>
      </w:pPr>
      <w:r>
        <w:rPr>
          <w:rFonts w:hint="eastAsia" w:ascii="宋体" w:hAnsi="宋体" w:cs="宋体"/>
          <w:highlight w:val="none"/>
        </w:rPr>
        <w:t xml:space="preserve">投标人： （盖单位章） </w:t>
      </w:r>
    </w:p>
    <w:p>
      <w:pPr>
        <w:widowControl/>
        <w:spacing w:line="360" w:lineRule="auto"/>
        <w:jc w:val="right"/>
        <w:rPr>
          <w:rFonts w:ascii="宋体" w:hAnsi="宋体" w:cs="宋体"/>
          <w:highlight w:val="none"/>
        </w:rPr>
      </w:pPr>
      <w:r>
        <w:rPr>
          <w:rFonts w:hint="eastAsia" w:ascii="宋体" w:hAnsi="宋体" w:cs="宋体"/>
          <w:highlight w:val="none"/>
        </w:rPr>
        <w:t xml:space="preserve">年 月 日 </w:t>
      </w:r>
    </w:p>
    <w:p>
      <w:pPr>
        <w:rPr>
          <w:rFonts w:ascii="宋体" w:hAnsi="宋体" w:cs="宋体"/>
          <w:highlight w:val="none"/>
        </w:rPr>
      </w:pPr>
      <w:r>
        <w:rPr>
          <w:rFonts w:hint="eastAsia" w:ascii="宋体" w:hAnsi="宋体" w:cs="宋体"/>
          <w:highlight w:val="none"/>
        </w:rPr>
        <w:t>附：法定代表人身份证复印件</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tcPr>
          <w:p>
            <w:pPr>
              <w:rPr>
                <w:rFonts w:ascii="宋体" w:hAnsi="宋体" w:cs="宋体"/>
                <w:highlight w:val="none"/>
              </w:rPr>
            </w:pPr>
          </w:p>
        </w:tc>
      </w:tr>
    </w:tbl>
    <w:p>
      <w:pPr>
        <w:spacing w:line="360" w:lineRule="auto"/>
        <w:ind w:firstLine="735" w:firstLineChars="350"/>
        <w:jc w:val="center"/>
        <w:rPr>
          <w:rFonts w:ascii="宋体" w:hAnsi="宋体" w:cs="宋体"/>
          <w:highlight w:val="none"/>
        </w:rPr>
      </w:pPr>
    </w:p>
    <w:p>
      <w:pPr>
        <w:spacing w:line="360" w:lineRule="auto"/>
        <w:ind w:firstLine="735" w:firstLineChars="350"/>
        <w:jc w:val="center"/>
        <w:rPr>
          <w:rFonts w:ascii="宋体" w:hAnsi="宋体" w:cs="宋体"/>
          <w:highlight w:val="none"/>
        </w:rPr>
      </w:pPr>
      <w:r>
        <w:rPr>
          <w:rFonts w:hint="eastAsia" w:ascii="宋体" w:hAnsi="宋体" w:cs="宋体"/>
          <w:highlight w:val="none"/>
        </w:rPr>
        <w:br w:type="page"/>
      </w:r>
    </w:p>
    <w:p>
      <w:pPr>
        <w:pStyle w:val="2"/>
        <w:snapToGrid w:val="0"/>
        <w:spacing w:before="120" w:after="120" w:line="360" w:lineRule="auto"/>
        <w:rPr>
          <w:rFonts w:ascii="宋体" w:hAnsi="宋体" w:eastAsia="宋体" w:cs="宋体"/>
          <w:bCs w:val="0"/>
          <w:highlight w:val="none"/>
        </w:rPr>
      </w:pPr>
      <w:bookmarkStart w:id="1074" w:name="_Toc24734"/>
      <w:bookmarkStart w:id="1075" w:name="_Toc430813346"/>
      <w:bookmarkStart w:id="1076" w:name="_Toc432367426"/>
      <w:r>
        <w:rPr>
          <w:rFonts w:hint="eastAsia" w:ascii="宋体" w:hAnsi="宋体" w:eastAsia="宋体" w:cs="宋体"/>
          <w:bCs w:val="0"/>
          <w:highlight w:val="none"/>
        </w:rPr>
        <w:t>（三）法定代表人授权书</w:t>
      </w:r>
      <w:bookmarkEnd w:id="1074"/>
      <w:bookmarkEnd w:id="1075"/>
      <w:bookmarkEnd w:id="1076"/>
    </w:p>
    <w:p>
      <w:pPr>
        <w:spacing w:line="360" w:lineRule="auto"/>
        <w:rPr>
          <w:rFonts w:ascii="宋体" w:hAnsi="宋体" w:cs="宋体"/>
          <w:highlight w:val="none"/>
        </w:rPr>
      </w:pPr>
    </w:p>
    <w:p>
      <w:pPr>
        <w:pStyle w:val="355"/>
        <w:spacing w:line="30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人（姓名）系（投标人名称）的法定代表人，现委托（姓名）为我方代理人。代理人根据授权，以我方名义签署、澄清、说明、补正、递交、撤回、修改（项目名称）投标文件、签订合同和处理有关事宜，其法律后果由我方承担。</w:t>
      </w:r>
    </w:p>
    <w:p>
      <w:pPr>
        <w:pStyle w:val="355"/>
        <w:spacing w:line="300" w:lineRule="auto"/>
        <w:ind w:firstLine="420"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委托期限：</w:t>
      </w:r>
    </w:p>
    <w:p>
      <w:pPr>
        <w:pStyle w:val="355"/>
        <w:spacing w:line="30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pPr>
        <w:pStyle w:val="355"/>
        <w:spacing w:line="30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附：法定代表人身份证明</w:t>
      </w:r>
    </w:p>
    <w:p>
      <w:pPr>
        <w:pStyle w:val="355"/>
        <w:spacing w:line="300" w:lineRule="auto"/>
        <w:ind w:firstLine="420" w:firstLineChars="200"/>
        <w:rPr>
          <w:rFonts w:ascii="宋体" w:hAnsi="宋体" w:eastAsia="宋体" w:cs="宋体"/>
          <w:color w:val="auto"/>
          <w:sz w:val="21"/>
          <w:szCs w:val="21"/>
          <w:highlight w:val="none"/>
        </w:rPr>
      </w:pPr>
    </w:p>
    <w:p>
      <w:pPr>
        <w:pStyle w:val="355"/>
        <w:spacing w:line="300" w:lineRule="auto"/>
        <w:ind w:firstLine="420" w:firstLineChars="200"/>
        <w:rPr>
          <w:rFonts w:ascii="宋体" w:hAnsi="宋体" w:eastAsia="宋体" w:cs="宋体"/>
          <w:color w:val="auto"/>
          <w:sz w:val="21"/>
          <w:szCs w:val="21"/>
          <w:highlight w:val="none"/>
        </w:rPr>
      </w:pPr>
    </w:p>
    <w:p>
      <w:pPr>
        <w:pStyle w:val="355"/>
        <w:spacing w:line="300" w:lineRule="auto"/>
        <w:ind w:right="480" w:firstLine="420" w:firstLineChars="200"/>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投标人：（盖单位章）</w:t>
      </w:r>
    </w:p>
    <w:p>
      <w:pPr>
        <w:pStyle w:val="355"/>
        <w:spacing w:line="300" w:lineRule="auto"/>
        <w:ind w:right="480" w:firstLine="1890" w:firstLineChars="9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pPr>
        <w:pStyle w:val="355"/>
        <w:spacing w:line="300" w:lineRule="auto"/>
        <w:ind w:right="480" w:firstLine="1890" w:firstLineChars="9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p>
      <w:pPr>
        <w:pStyle w:val="355"/>
        <w:spacing w:line="300" w:lineRule="auto"/>
        <w:ind w:right="480" w:firstLine="1890" w:firstLineChars="9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w:t>
      </w:r>
    </w:p>
    <w:p>
      <w:pPr>
        <w:pStyle w:val="355"/>
        <w:spacing w:line="300" w:lineRule="auto"/>
        <w:ind w:right="480" w:firstLine="1890" w:firstLineChars="9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p>
      <w:pPr>
        <w:pStyle w:val="355"/>
        <w:spacing w:line="300" w:lineRule="auto"/>
        <w:ind w:right="480" w:firstLine="3990" w:firstLineChars="19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年月日</w:t>
      </w:r>
    </w:p>
    <w:p>
      <w:pPr>
        <w:pStyle w:val="355"/>
        <w:spacing w:line="300" w:lineRule="auto"/>
        <w:ind w:right="480" w:firstLine="3990" w:firstLineChars="1900"/>
        <w:rPr>
          <w:rFonts w:ascii="宋体" w:hAnsi="宋体" w:eastAsia="宋体" w:cs="宋体"/>
          <w:color w:val="auto"/>
          <w:sz w:val="21"/>
          <w:szCs w:val="21"/>
          <w:highlight w:val="none"/>
        </w:rPr>
      </w:pPr>
    </w:p>
    <w:p>
      <w:pPr>
        <w:rPr>
          <w:rFonts w:ascii="宋体" w:hAnsi="宋体" w:cs="宋体"/>
          <w:highlight w:val="none"/>
        </w:rPr>
      </w:pPr>
      <w:r>
        <w:rPr>
          <w:rFonts w:hint="eastAsia" w:ascii="宋体" w:hAnsi="宋体" w:cs="宋体"/>
          <w:highlight w:val="none"/>
        </w:rPr>
        <w:t>附：授权代表身份证复印件</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tcPr>
          <w:p>
            <w:pPr>
              <w:rPr>
                <w:rFonts w:ascii="宋体" w:hAnsi="宋体" w:cs="宋体"/>
                <w:highlight w:val="none"/>
              </w:rPr>
            </w:pPr>
          </w:p>
        </w:tc>
      </w:tr>
    </w:tbl>
    <w:p>
      <w:pPr>
        <w:spacing w:line="300" w:lineRule="auto"/>
        <w:rPr>
          <w:rFonts w:ascii="宋体" w:hAnsi="宋体" w:cs="宋体"/>
          <w:highlight w:val="none"/>
        </w:rPr>
      </w:pPr>
    </w:p>
    <w:p>
      <w:pPr>
        <w:rPr>
          <w:rFonts w:ascii="宋体" w:hAnsi="宋体" w:cs="宋体"/>
          <w:highlight w:val="none"/>
        </w:rPr>
      </w:pPr>
    </w:p>
    <w:p>
      <w:pPr>
        <w:spacing w:line="300" w:lineRule="auto"/>
        <w:rPr>
          <w:rFonts w:ascii="宋体" w:hAnsi="宋体" w:cs="宋体"/>
          <w:highlight w:val="none"/>
        </w:rPr>
      </w:pPr>
      <w:r>
        <w:rPr>
          <w:rFonts w:hint="eastAsia" w:ascii="宋体" w:hAnsi="宋体" w:cs="宋体"/>
          <w:highlight w:val="none"/>
        </w:rPr>
        <w:br w:type="page"/>
      </w:r>
    </w:p>
    <w:p>
      <w:pPr>
        <w:pStyle w:val="2"/>
        <w:rPr>
          <w:rFonts w:ascii="宋体" w:hAnsi="宋体" w:eastAsia="宋体" w:cs="宋体"/>
          <w:bCs w:val="0"/>
          <w:highlight w:val="none"/>
        </w:rPr>
      </w:pPr>
      <w:bookmarkStart w:id="1077" w:name="_Toc22404"/>
      <w:bookmarkStart w:id="1078" w:name="_Toc430813348"/>
      <w:bookmarkStart w:id="1079" w:name="_Toc432367428"/>
      <w:r>
        <w:rPr>
          <w:rFonts w:hint="eastAsia" w:ascii="宋体" w:hAnsi="宋体" w:eastAsia="宋体" w:cs="宋体"/>
          <w:bCs w:val="0"/>
          <w:highlight w:val="none"/>
        </w:rPr>
        <w:t>二、报价文件</w:t>
      </w:r>
      <w:bookmarkEnd w:id="1077"/>
      <w:bookmarkEnd w:id="1078"/>
      <w:bookmarkEnd w:id="1079"/>
    </w:p>
    <w:p>
      <w:pPr>
        <w:pStyle w:val="2"/>
        <w:snapToGrid w:val="0"/>
        <w:spacing w:before="120" w:after="120" w:line="360" w:lineRule="auto"/>
        <w:rPr>
          <w:rFonts w:ascii="宋体" w:hAnsi="宋体" w:eastAsia="宋体" w:cs="宋体"/>
          <w:bCs w:val="0"/>
          <w:highlight w:val="none"/>
        </w:rPr>
      </w:pPr>
      <w:bookmarkStart w:id="1080" w:name="_Toc432367429"/>
      <w:bookmarkStart w:id="1081" w:name="_Toc6530"/>
      <w:bookmarkStart w:id="1082" w:name="_Toc430813349"/>
      <w:r>
        <w:rPr>
          <w:rFonts w:hint="eastAsia" w:ascii="宋体" w:hAnsi="宋体" w:eastAsia="宋体" w:cs="宋体"/>
          <w:bCs w:val="0"/>
          <w:highlight w:val="none"/>
        </w:rPr>
        <w:t>（一）开标一览表</w:t>
      </w:r>
      <w:bookmarkEnd w:id="1080"/>
      <w:bookmarkEnd w:id="1081"/>
      <w:bookmarkEnd w:id="1082"/>
    </w:p>
    <w:p>
      <w:pPr>
        <w:adjustRightInd w:val="0"/>
        <w:snapToGrid w:val="0"/>
        <w:spacing w:line="360" w:lineRule="auto"/>
        <w:rPr>
          <w:rFonts w:hint="eastAsia" w:ascii="Arial" w:hAnsi="Arial" w:eastAsia="宋体" w:cs="Arial"/>
          <w:color w:val="auto"/>
          <w:kern w:val="2"/>
          <w:sz w:val="21"/>
          <w:szCs w:val="21"/>
          <w:highlight w:val="none"/>
          <w:lang w:val="en-US" w:eastAsia="zh-CN"/>
        </w:rPr>
      </w:pPr>
      <w:r>
        <w:rPr>
          <w:rFonts w:ascii="Arial" w:hAnsi="Arial" w:eastAsia="宋体" w:cs="Arial"/>
          <w:color w:val="auto"/>
          <w:kern w:val="2"/>
          <w:sz w:val="21"/>
          <w:szCs w:val="21"/>
          <w:highlight w:val="none"/>
        </w:rPr>
        <w:t>项目名称：</w:t>
      </w:r>
      <w:r>
        <w:rPr>
          <w:rFonts w:hint="eastAsia" w:ascii="Arial" w:hAnsi="Arial" w:eastAsia="宋体" w:cs="Arial"/>
          <w:color w:val="auto"/>
          <w:kern w:val="2"/>
          <w:sz w:val="21"/>
          <w:szCs w:val="21"/>
          <w:highlight w:val="none"/>
          <w:lang w:val="hr-HR" w:eastAsia="zh-CN"/>
        </w:rPr>
        <w:t>中南民族大学企业年金受托管理服务项目</w:t>
      </w:r>
    </w:p>
    <w:p>
      <w:pPr>
        <w:adjustRightInd w:val="0"/>
        <w:snapToGrid w:val="0"/>
        <w:spacing w:line="360" w:lineRule="auto"/>
        <w:rPr>
          <w:rFonts w:ascii="Arial" w:hAnsi="Arial" w:eastAsia="宋体" w:cs="Arial"/>
          <w:color w:val="auto"/>
          <w:kern w:val="2"/>
          <w:sz w:val="21"/>
          <w:szCs w:val="21"/>
          <w:highlight w:val="none"/>
        </w:rPr>
      </w:pPr>
      <w:r>
        <w:rPr>
          <w:rFonts w:ascii="Arial" w:hAnsi="Arial" w:eastAsia="宋体" w:cs="Arial"/>
          <w:color w:val="auto"/>
          <w:kern w:val="2"/>
          <w:sz w:val="21"/>
          <w:szCs w:val="21"/>
          <w:highlight w:val="none"/>
        </w:rPr>
        <w:t>项目编号：</w:t>
      </w:r>
      <w:r>
        <w:rPr>
          <w:rFonts w:ascii="Arial" w:hAnsi="Arial" w:eastAsia="宋体" w:cs="Arial"/>
          <w:color w:val="auto"/>
          <w:kern w:val="2"/>
          <w:sz w:val="21"/>
          <w:szCs w:val="21"/>
          <w:highlight w:val="none"/>
          <w:u w:val="single"/>
        </w:rPr>
        <w:t xml:space="preserve">           </w:t>
      </w:r>
      <w:r>
        <w:rPr>
          <w:rFonts w:ascii="Arial" w:hAnsi="Arial" w:eastAsia="宋体" w:cs="Arial"/>
          <w:color w:val="auto"/>
          <w:kern w:val="2"/>
          <w:sz w:val="21"/>
          <w:szCs w:val="21"/>
          <w:highlight w:val="none"/>
        </w:rPr>
        <w:t xml:space="preserve">  </w:t>
      </w:r>
      <w:r>
        <w:rPr>
          <w:rFonts w:hint="eastAsia" w:ascii="Arial" w:hAnsi="Arial" w:eastAsia="宋体" w:cs="Arial"/>
          <w:color w:val="auto"/>
          <w:kern w:val="2"/>
          <w:sz w:val="21"/>
          <w:szCs w:val="21"/>
          <w:highlight w:val="none"/>
        </w:rPr>
        <w:t xml:space="preserve">   </w:t>
      </w:r>
      <w:r>
        <w:rPr>
          <w:rFonts w:ascii="Arial" w:hAnsi="Arial" w:eastAsia="宋体" w:cs="Arial"/>
          <w:color w:val="auto"/>
          <w:kern w:val="2"/>
          <w:sz w:val="21"/>
          <w:szCs w:val="21"/>
          <w:highlight w:val="none"/>
        </w:rPr>
        <w:t xml:space="preserve"> </w:t>
      </w:r>
      <w:r>
        <w:rPr>
          <w:rFonts w:hint="eastAsia" w:ascii="Arial" w:hAnsi="Arial" w:eastAsia="宋体" w:cs="Arial"/>
          <w:color w:val="auto"/>
          <w:kern w:val="2"/>
          <w:sz w:val="21"/>
          <w:szCs w:val="21"/>
          <w:highlight w:val="none"/>
        </w:rPr>
        <w:t xml:space="preserve">    </w:t>
      </w:r>
      <w:r>
        <w:rPr>
          <w:rFonts w:hint="eastAsia" w:ascii="Arial" w:hAnsi="Arial" w:eastAsia="宋体" w:cs="Arial"/>
          <w:color w:val="auto"/>
          <w:kern w:val="0"/>
          <w:sz w:val="20"/>
          <w:szCs w:val="21"/>
          <w:highlight w:val="none"/>
        </w:rPr>
        <w:t xml:space="preserve">包号: </w:t>
      </w:r>
      <w:r>
        <w:rPr>
          <w:rFonts w:hint="eastAsia" w:ascii="宋体" w:hAnsi="宋体" w:eastAsia="宋体" w:cs="宋体"/>
          <w:color w:val="auto"/>
          <w:kern w:val="0"/>
          <w:sz w:val="20"/>
          <w:szCs w:val="21"/>
          <w:highlight w:val="none"/>
        </w:rPr>
        <w:t xml:space="preserve"> </w:t>
      </w:r>
      <w:r>
        <w:rPr>
          <w:rFonts w:hint="eastAsia" w:ascii="宋体" w:hAnsi="宋体" w:eastAsia="宋体" w:cs="宋体"/>
          <w:color w:val="auto"/>
          <w:kern w:val="0"/>
          <w:sz w:val="20"/>
          <w:szCs w:val="21"/>
          <w:highlight w:val="none"/>
          <w:u w:val="single"/>
        </w:rPr>
        <w:t xml:space="preserve">         </w:t>
      </w:r>
      <w:r>
        <w:rPr>
          <w:rFonts w:hint="eastAsia" w:ascii="宋体" w:hAnsi="宋体" w:eastAsia="宋体" w:cs="宋体"/>
          <w:color w:val="auto"/>
          <w:kern w:val="2"/>
          <w:sz w:val="21"/>
          <w:szCs w:val="21"/>
          <w:highlight w:val="none"/>
          <w:u w:val="single"/>
        </w:rPr>
        <w:t xml:space="preserve"> </w:t>
      </w:r>
      <w:r>
        <w:rPr>
          <w:rFonts w:hint="eastAsia" w:ascii="Arial" w:hAnsi="Arial" w:eastAsia="宋体" w:cs="Arial"/>
          <w:color w:val="auto"/>
          <w:kern w:val="2"/>
          <w:sz w:val="21"/>
          <w:szCs w:val="21"/>
          <w:highlight w:val="none"/>
          <w:u w:val="single"/>
        </w:rPr>
        <w:t xml:space="preserve">  </w:t>
      </w:r>
    </w:p>
    <w:tbl>
      <w:tblPr>
        <w:tblStyle w:val="404"/>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622"/>
        <w:gridCol w:w="61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1499" w:type="pct"/>
            <w:vAlign w:val="center"/>
          </w:tcPr>
          <w:p>
            <w:pPr>
              <w:widowControl/>
              <w:kinsoku w:val="0"/>
              <w:autoSpaceDE w:val="0"/>
              <w:autoSpaceDN w:val="0"/>
              <w:adjustRightInd w:val="0"/>
              <w:snapToGrid w:val="0"/>
              <w:spacing w:before="182" w:line="228" w:lineRule="auto"/>
              <w:jc w:val="center"/>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b/>
                <w:bCs/>
                <w:snapToGrid w:val="0"/>
                <w:color w:val="000000"/>
                <w:spacing w:val="7"/>
                <w:kern w:val="0"/>
                <w:sz w:val="20"/>
                <w:szCs w:val="20"/>
                <w:highlight w:val="none"/>
                <w:lang w:eastAsia="en-US"/>
              </w:rPr>
              <w:t>投标人名称</w:t>
            </w:r>
          </w:p>
        </w:tc>
        <w:tc>
          <w:tcPr>
            <w:tcW w:w="3500" w:type="pct"/>
            <w:vAlign w:val="center"/>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1499" w:type="pct"/>
            <w:vAlign w:val="center"/>
          </w:tcPr>
          <w:p>
            <w:pPr>
              <w:widowControl/>
              <w:kinsoku w:val="0"/>
              <w:autoSpaceDE w:val="0"/>
              <w:autoSpaceDN w:val="0"/>
              <w:adjustRightInd w:val="0"/>
              <w:snapToGrid w:val="0"/>
              <w:spacing w:before="180" w:line="228" w:lineRule="auto"/>
              <w:jc w:val="center"/>
              <w:textAlignment w:val="baseline"/>
              <w:rPr>
                <w:rFonts w:ascii="宋体" w:hAnsi="宋体" w:eastAsia="宋体" w:cs="宋体"/>
                <w:snapToGrid w:val="0"/>
                <w:color w:val="000000"/>
                <w:kern w:val="0"/>
                <w:sz w:val="20"/>
                <w:szCs w:val="20"/>
                <w:highlight w:val="none"/>
                <w:lang w:eastAsia="en-US"/>
              </w:rPr>
            </w:pPr>
            <w:r>
              <w:rPr>
                <w:rFonts w:ascii="宋体" w:hAnsi="宋体" w:eastAsia="宋体" w:cs="宋体"/>
                <w:b/>
                <w:bCs/>
                <w:snapToGrid w:val="0"/>
                <w:color w:val="000000"/>
                <w:spacing w:val="6"/>
                <w:kern w:val="0"/>
                <w:sz w:val="20"/>
                <w:szCs w:val="20"/>
                <w:highlight w:val="none"/>
                <w:lang w:eastAsia="en-US"/>
              </w:rPr>
              <w:t>合同履约期限</w:t>
            </w:r>
          </w:p>
        </w:tc>
        <w:tc>
          <w:tcPr>
            <w:tcW w:w="3500" w:type="pct"/>
            <w:vAlign w:val="center"/>
          </w:tcPr>
          <w:p>
            <w:pPr>
              <w:widowControl/>
              <w:kinsoku w:val="0"/>
              <w:autoSpaceDE w:val="0"/>
              <w:autoSpaceDN w:val="0"/>
              <w:adjustRightInd w:val="0"/>
              <w:snapToGrid w:val="0"/>
              <w:spacing w:line="240" w:lineRule="auto"/>
              <w:jc w:val="left"/>
              <w:textAlignment w:val="baseline"/>
              <w:rPr>
                <w:rFonts w:hint="eastAsia" w:ascii="宋体" w:hAnsi="宋体" w:eastAsia="宋体" w:cs="宋体"/>
                <w:snapToGrid w:val="0"/>
                <w:color w:val="000000"/>
                <w:kern w:val="0"/>
                <w:sz w:val="21"/>
                <w:szCs w:val="21"/>
                <w:highlight w:val="none"/>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1" w:hRule="atLeast"/>
          <w:jc w:val="center"/>
        </w:trPr>
        <w:tc>
          <w:tcPr>
            <w:tcW w:w="1499" w:type="pct"/>
            <w:vMerge w:val="restart"/>
            <w:tcBorders>
              <w:bottom w:val="nil"/>
            </w:tcBorders>
            <w:vAlign w:val="center"/>
          </w:tcPr>
          <w:p>
            <w:pPr>
              <w:widowControl/>
              <w:kinsoku w:val="0"/>
              <w:autoSpaceDE w:val="0"/>
              <w:autoSpaceDN w:val="0"/>
              <w:adjustRightInd w:val="0"/>
              <w:snapToGrid w:val="0"/>
              <w:spacing w:before="65" w:line="226" w:lineRule="auto"/>
              <w:jc w:val="center"/>
              <w:textAlignment w:val="baseline"/>
              <w:rPr>
                <w:rFonts w:ascii="宋体" w:hAnsi="宋体" w:eastAsia="宋体" w:cs="宋体"/>
                <w:snapToGrid w:val="0"/>
                <w:color w:val="000000"/>
                <w:kern w:val="0"/>
                <w:sz w:val="20"/>
                <w:szCs w:val="20"/>
                <w:highlight w:val="none"/>
                <w:lang w:eastAsia="en-US"/>
              </w:rPr>
            </w:pPr>
            <w:r>
              <w:rPr>
                <w:rFonts w:hint="eastAsia" w:ascii="宋体" w:hAnsi="宋体" w:eastAsia="宋体" w:cs="宋体"/>
                <w:b/>
                <w:bCs/>
                <w:snapToGrid w:val="0"/>
                <w:color w:val="000000"/>
                <w:spacing w:val="4"/>
                <w:kern w:val="0"/>
                <w:sz w:val="20"/>
                <w:szCs w:val="20"/>
                <w:highlight w:val="none"/>
                <w:lang w:val="en-US" w:eastAsia="zh-CN"/>
              </w:rPr>
              <w:t>投标</w:t>
            </w:r>
            <w:r>
              <w:rPr>
                <w:rFonts w:ascii="宋体" w:hAnsi="宋体" w:eastAsia="宋体" w:cs="宋体"/>
                <w:b/>
                <w:bCs/>
                <w:snapToGrid w:val="0"/>
                <w:color w:val="000000"/>
                <w:spacing w:val="4"/>
                <w:kern w:val="0"/>
                <w:sz w:val="20"/>
                <w:szCs w:val="20"/>
                <w:highlight w:val="none"/>
                <w:lang w:eastAsia="en-US"/>
              </w:rPr>
              <w:t>报价</w:t>
            </w:r>
          </w:p>
        </w:tc>
        <w:tc>
          <w:tcPr>
            <w:tcW w:w="3500" w:type="pct"/>
            <w:vAlign w:val="center"/>
          </w:tcPr>
          <w:p>
            <w:pPr>
              <w:kinsoku w:val="0"/>
              <w:autoSpaceDE w:val="0"/>
              <w:autoSpaceDN w:val="0"/>
              <w:adjustRightInd w:val="0"/>
              <w:snapToGrid w:val="0"/>
              <w:spacing w:before="182" w:line="231" w:lineRule="auto"/>
              <w:ind w:left="1511"/>
              <w:jc w:val="left"/>
              <w:textAlignment w:val="baseline"/>
              <w:rPr>
                <w:rFonts w:hint="eastAsia" w:ascii="宋体" w:hAnsi="宋体" w:eastAsia="宋体" w:cs="宋体"/>
                <w:snapToGrid w:val="0"/>
                <w:color w:val="000000"/>
                <w:kern w:val="0"/>
                <w:sz w:val="20"/>
                <w:szCs w:val="20"/>
                <w:highlight w:val="none"/>
                <w:lang w:val="en-US" w:eastAsia="en-US" w:bidi="ar-SA"/>
              </w:rPr>
            </w:pPr>
            <w:r>
              <w:rPr>
                <w:rFonts w:hint="eastAsia" w:ascii="宋体" w:hAnsi="宋体" w:eastAsia="宋体" w:cs="宋体"/>
                <w:snapToGrid w:val="0"/>
                <w:color w:val="000000"/>
                <w:spacing w:val="6"/>
                <w:kern w:val="0"/>
                <w:sz w:val="20"/>
                <w:szCs w:val="20"/>
                <w:highlight w:val="none"/>
                <w:lang w:val="en-US" w:eastAsia="en-US" w:bidi="ar-SA"/>
              </w:rPr>
              <w:t>受托人年度管理费率</w:t>
            </w:r>
            <w:r>
              <w:rPr>
                <w:rFonts w:hint="eastAsia" w:ascii="宋体" w:hAnsi="宋体" w:eastAsia="宋体" w:cs="宋体"/>
                <w:snapToGrid w:val="0"/>
                <w:color w:val="000000"/>
                <w:spacing w:val="6"/>
                <w:kern w:val="0"/>
                <w:sz w:val="20"/>
                <w:szCs w:val="20"/>
                <w:highlight w:val="none"/>
                <w:u w:val="single" w:color="auto"/>
                <w:lang w:val="en-US" w:eastAsia="en-US" w:bidi="ar-SA"/>
              </w:rPr>
              <w:t xml:space="preserve">       </w:t>
            </w:r>
            <w:r>
              <w:rPr>
                <w:rFonts w:hint="eastAsia" w:ascii="宋体" w:hAnsi="宋体" w:eastAsia="宋体" w:cs="宋体"/>
                <w:snapToGrid w:val="0"/>
                <w:color w:val="000000"/>
                <w:spacing w:val="6"/>
                <w:kern w:val="0"/>
                <w:sz w:val="20"/>
                <w:szCs w:val="20"/>
                <w:highlight w:val="none"/>
                <w:lang w:val="en-US" w:eastAsia="en-US"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499" w:type="pct"/>
            <w:vMerge w:val="continue"/>
            <w:tcBorders>
              <w:top w:val="nil"/>
              <w:bottom w:val="nil"/>
            </w:tcBorders>
            <w:vAlign w:val="center"/>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00" w:type="pct"/>
            <w:vAlign w:val="center"/>
          </w:tcPr>
          <w:p>
            <w:pPr>
              <w:kinsoku w:val="0"/>
              <w:autoSpaceDE w:val="0"/>
              <w:autoSpaceDN w:val="0"/>
              <w:adjustRightInd w:val="0"/>
              <w:snapToGrid w:val="0"/>
              <w:spacing w:before="182" w:line="231" w:lineRule="auto"/>
              <w:jc w:val="center"/>
              <w:textAlignment w:val="baseline"/>
              <w:rPr>
                <w:rFonts w:hint="eastAsia" w:ascii="宋体" w:hAnsi="宋体" w:eastAsia="宋体" w:cs="宋体"/>
                <w:snapToGrid w:val="0"/>
                <w:color w:val="000000"/>
                <w:kern w:val="0"/>
                <w:sz w:val="20"/>
                <w:szCs w:val="20"/>
                <w:highlight w:val="none"/>
                <w:lang w:val="en-US" w:eastAsia="zh-CN" w:bidi="ar-SA"/>
              </w:rPr>
            </w:pPr>
            <w:r>
              <w:rPr>
                <w:rFonts w:hint="eastAsia" w:ascii="宋体" w:hAnsi="宋体" w:eastAsia="宋体" w:cs="宋体"/>
                <w:snapToGrid w:val="0"/>
                <w:color w:val="000000"/>
                <w:spacing w:val="6"/>
                <w:kern w:val="0"/>
                <w:sz w:val="20"/>
                <w:szCs w:val="20"/>
                <w:highlight w:val="none"/>
                <w:lang w:val="en-US" w:eastAsia="en-US" w:bidi="ar-SA"/>
              </w:rPr>
              <w:t>账户管理费</w:t>
            </w:r>
            <w:r>
              <w:rPr>
                <w:rFonts w:hint="eastAsia" w:ascii="宋体" w:hAnsi="宋体" w:eastAsia="宋体" w:cs="宋体"/>
                <w:snapToGrid w:val="0"/>
                <w:color w:val="000000"/>
                <w:spacing w:val="-96"/>
                <w:kern w:val="0"/>
                <w:sz w:val="20"/>
                <w:szCs w:val="20"/>
                <w:highlight w:val="none"/>
                <w:lang w:val="en-US" w:eastAsia="en-US" w:bidi="ar-SA"/>
              </w:rPr>
              <w:t xml:space="preserve"> </w:t>
            </w:r>
            <w:r>
              <w:rPr>
                <w:rFonts w:hint="eastAsia" w:ascii="宋体" w:hAnsi="宋体" w:eastAsia="宋体" w:cs="宋体"/>
                <w:snapToGrid w:val="0"/>
                <w:color w:val="000000"/>
                <w:spacing w:val="6"/>
                <w:kern w:val="0"/>
                <w:sz w:val="20"/>
                <w:szCs w:val="20"/>
                <w:highlight w:val="none"/>
                <w:u w:val="single" w:color="auto"/>
                <w:lang w:val="en-US" w:eastAsia="en-US" w:bidi="ar-SA"/>
              </w:rPr>
              <w:t xml:space="preserve">       </w:t>
            </w:r>
            <w:r>
              <w:rPr>
                <w:rFonts w:hint="eastAsia" w:ascii="宋体" w:hAnsi="宋体" w:eastAsia="宋体" w:cs="宋体"/>
                <w:snapToGrid w:val="0"/>
                <w:color w:val="000000"/>
                <w:spacing w:val="6"/>
                <w:kern w:val="0"/>
                <w:sz w:val="20"/>
                <w:szCs w:val="20"/>
                <w:highlight w:val="none"/>
                <w:lang w:val="en-US" w:eastAsia="en-US" w:bidi="ar-SA"/>
              </w:rPr>
              <w:t>（元/月/户）</w:t>
            </w:r>
            <w:r>
              <w:rPr>
                <w:rFonts w:hint="eastAsia" w:ascii="宋体" w:hAnsi="宋体" w:eastAsia="宋体" w:cs="宋体"/>
                <w:snapToGrid w:val="0"/>
                <w:color w:val="000000"/>
                <w:spacing w:val="6"/>
                <w:kern w:val="0"/>
                <w:sz w:val="20"/>
                <w:szCs w:val="20"/>
                <w:highlight w:val="none"/>
                <w:lang w:val="en-US" w:eastAsia="zh-CN" w:bidi="ar-SA"/>
              </w:rPr>
              <w:t>（</w:t>
            </w:r>
            <w:r>
              <w:rPr>
                <w:rFonts w:hint="eastAsia" w:ascii="宋体" w:hAnsi="宋体" w:cs="宋体"/>
                <w:snapToGrid w:val="0"/>
                <w:color w:val="000000"/>
                <w:spacing w:val="6"/>
                <w:kern w:val="0"/>
                <w:sz w:val="20"/>
                <w:szCs w:val="20"/>
                <w:highlight w:val="none"/>
                <w:lang w:val="en-US" w:eastAsia="zh-CN" w:bidi="ar-SA"/>
              </w:rPr>
              <w:t>不得0报价</w:t>
            </w:r>
            <w:r>
              <w:rPr>
                <w:rFonts w:hint="eastAsia" w:ascii="宋体" w:hAnsi="宋体" w:eastAsia="宋体" w:cs="宋体"/>
                <w:snapToGrid w:val="0"/>
                <w:color w:val="000000"/>
                <w:spacing w:val="6"/>
                <w:kern w:val="0"/>
                <w:sz w:val="20"/>
                <w:szCs w:val="20"/>
                <w:highlight w:val="none"/>
                <w:lang w:val="en-US" w:eastAsia="zh-CN"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1499" w:type="pct"/>
            <w:vMerge w:val="continue"/>
            <w:tcBorders>
              <w:top w:val="nil"/>
              <w:bottom w:val="nil"/>
            </w:tcBorders>
            <w:vAlign w:val="center"/>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00" w:type="pct"/>
            <w:vAlign w:val="center"/>
          </w:tcPr>
          <w:p>
            <w:pPr>
              <w:kinsoku w:val="0"/>
              <w:autoSpaceDE w:val="0"/>
              <w:autoSpaceDN w:val="0"/>
              <w:adjustRightInd w:val="0"/>
              <w:snapToGrid w:val="0"/>
              <w:spacing w:before="181" w:line="231" w:lineRule="auto"/>
              <w:ind w:left="1501"/>
              <w:jc w:val="left"/>
              <w:textAlignment w:val="baseline"/>
              <w:rPr>
                <w:rFonts w:hint="eastAsia" w:ascii="宋体" w:hAnsi="宋体" w:eastAsia="宋体" w:cs="宋体"/>
                <w:snapToGrid w:val="0"/>
                <w:color w:val="000000"/>
                <w:kern w:val="0"/>
                <w:sz w:val="20"/>
                <w:szCs w:val="20"/>
                <w:highlight w:val="none"/>
                <w:lang w:val="en-US" w:eastAsia="en-US" w:bidi="ar-SA"/>
              </w:rPr>
            </w:pPr>
            <w:r>
              <w:rPr>
                <w:rFonts w:hint="eastAsia" w:ascii="宋体" w:hAnsi="宋体" w:eastAsia="宋体" w:cs="宋体"/>
                <w:snapToGrid w:val="0"/>
                <w:color w:val="000000"/>
                <w:spacing w:val="6"/>
                <w:kern w:val="0"/>
                <w:sz w:val="20"/>
                <w:szCs w:val="20"/>
                <w:highlight w:val="none"/>
                <w:lang w:val="en-US" w:eastAsia="en-US" w:bidi="ar-SA"/>
              </w:rPr>
              <w:t>托管人年度管理费率</w:t>
            </w:r>
            <w:r>
              <w:rPr>
                <w:rFonts w:hint="eastAsia" w:ascii="宋体" w:hAnsi="宋体" w:eastAsia="宋体" w:cs="宋体"/>
                <w:snapToGrid w:val="0"/>
                <w:color w:val="000000"/>
                <w:spacing w:val="6"/>
                <w:kern w:val="0"/>
                <w:sz w:val="20"/>
                <w:szCs w:val="20"/>
                <w:highlight w:val="none"/>
                <w:u w:val="single" w:color="auto"/>
                <w:lang w:val="en-US" w:eastAsia="en-US" w:bidi="ar-SA"/>
              </w:rPr>
              <w:t xml:space="preserve">       </w:t>
            </w:r>
            <w:r>
              <w:rPr>
                <w:rFonts w:hint="eastAsia" w:ascii="宋体" w:hAnsi="宋体" w:eastAsia="宋体" w:cs="宋体"/>
                <w:snapToGrid w:val="0"/>
                <w:color w:val="000000"/>
                <w:spacing w:val="6"/>
                <w:kern w:val="0"/>
                <w:sz w:val="20"/>
                <w:szCs w:val="20"/>
                <w:highlight w:val="none"/>
                <w:lang w:val="en-US" w:eastAsia="en-US" w:bidi="ar-SA"/>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1499" w:type="pct"/>
            <w:vMerge w:val="continue"/>
            <w:tcBorders>
              <w:top w:val="nil"/>
            </w:tcBorders>
            <w:vAlign w:val="center"/>
          </w:tcPr>
          <w:p>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00" w:type="pct"/>
            <w:vAlign w:val="center"/>
          </w:tcPr>
          <w:p>
            <w:pPr>
              <w:kinsoku w:val="0"/>
              <w:autoSpaceDE w:val="0"/>
              <w:autoSpaceDN w:val="0"/>
              <w:adjustRightInd w:val="0"/>
              <w:snapToGrid w:val="0"/>
              <w:spacing w:before="182" w:line="231" w:lineRule="auto"/>
              <w:ind w:left="1289"/>
              <w:jc w:val="left"/>
              <w:textAlignment w:val="baseline"/>
              <w:rPr>
                <w:rFonts w:hint="eastAsia" w:ascii="宋体" w:hAnsi="宋体" w:eastAsia="宋体" w:cs="宋体"/>
                <w:snapToGrid w:val="0"/>
                <w:color w:val="000000"/>
                <w:kern w:val="0"/>
                <w:sz w:val="20"/>
                <w:szCs w:val="20"/>
                <w:highlight w:val="none"/>
                <w:lang w:val="en-US" w:eastAsia="en-US" w:bidi="ar-SA"/>
              </w:rPr>
            </w:pPr>
            <w:r>
              <w:rPr>
                <w:rFonts w:hint="eastAsia" w:ascii="宋体" w:hAnsi="宋体" w:eastAsia="宋体" w:cs="宋体"/>
                <w:snapToGrid w:val="0"/>
                <w:color w:val="000000"/>
                <w:spacing w:val="6"/>
                <w:kern w:val="0"/>
                <w:sz w:val="20"/>
                <w:szCs w:val="20"/>
                <w:highlight w:val="none"/>
                <w:lang w:val="en-US" w:eastAsia="en-US" w:bidi="ar-SA"/>
              </w:rPr>
              <w:t>投资管理人年度管理费率</w:t>
            </w:r>
            <w:r>
              <w:rPr>
                <w:rFonts w:hint="eastAsia" w:ascii="宋体" w:hAnsi="宋体" w:eastAsia="宋体" w:cs="宋体"/>
                <w:snapToGrid w:val="0"/>
                <w:color w:val="000000"/>
                <w:spacing w:val="-82"/>
                <w:kern w:val="0"/>
                <w:sz w:val="20"/>
                <w:szCs w:val="20"/>
                <w:highlight w:val="none"/>
                <w:lang w:val="en-US" w:eastAsia="en-US" w:bidi="ar-SA"/>
              </w:rPr>
              <w:t xml:space="preserve"> </w:t>
            </w:r>
            <w:r>
              <w:rPr>
                <w:rFonts w:hint="eastAsia" w:ascii="宋体" w:hAnsi="宋体" w:eastAsia="宋体" w:cs="宋体"/>
                <w:snapToGrid w:val="0"/>
                <w:color w:val="000000"/>
                <w:spacing w:val="6"/>
                <w:kern w:val="0"/>
                <w:sz w:val="20"/>
                <w:szCs w:val="20"/>
                <w:highlight w:val="none"/>
                <w:u w:val="single" w:color="auto"/>
                <w:lang w:val="en-US" w:eastAsia="en-US" w:bidi="ar-SA"/>
              </w:rPr>
              <w:t xml:space="preserve">       </w:t>
            </w:r>
            <w:r>
              <w:rPr>
                <w:rFonts w:hint="eastAsia" w:ascii="宋体" w:hAnsi="宋体" w:eastAsia="宋体" w:cs="宋体"/>
                <w:snapToGrid w:val="0"/>
                <w:color w:val="000000"/>
                <w:spacing w:val="6"/>
                <w:kern w:val="0"/>
                <w:sz w:val="20"/>
                <w:szCs w:val="20"/>
                <w:highlight w:val="none"/>
                <w:lang w:val="en-US" w:eastAsia="en-US" w:bidi="ar-SA"/>
              </w:rPr>
              <w:t>（‰）</w:t>
            </w:r>
          </w:p>
        </w:tc>
      </w:tr>
    </w:tbl>
    <w:p>
      <w:pPr>
        <w:widowControl/>
        <w:kinsoku w:val="0"/>
        <w:autoSpaceDE w:val="0"/>
        <w:autoSpaceDN w:val="0"/>
        <w:adjustRightInd w:val="0"/>
        <w:snapToGrid w:val="0"/>
        <w:spacing w:before="34" w:line="224" w:lineRule="auto"/>
        <w:ind w:left="608"/>
        <w:jc w:val="left"/>
        <w:textAlignment w:val="baseline"/>
        <w:rPr>
          <w:rFonts w:ascii="仿宋" w:hAnsi="仿宋" w:eastAsia="仿宋" w:cs="仿宋"/>
          <w:snapToGrid w:val="0"/>
          <w:color w:val="000000"/>
          <w:kern w:val="0"/>
          <w:sz w:val="24"/>
          <w:szCs w:val="24"/>
          <w:highlight w:val="none"/>
          <w:lang w:eastAsia="en-US"/>
        </w:rPr>
      </w:pPr>
      <w:r>
        <w:rPr>
          <w:rFonts w:ascii="仿宋" w:hAnsi="仿宋" w:eastAsia="仿宋" w:cs="仿宋"/>
          <w:snapToGrid w:val="0"/>
          <w:color w:val="000000"/>
          <w:spacing w:val="-6"/>
          <w:kern w:val="0"/>
          <w:sz w:val="24"/>
          <w:szCs w:val="24"/>
          <w:highlight w:val="none"/>
          <w:lang w:eastAsia="en-US"/>
        </w:rPr>
        <w:t>说明：</w:t>
      </w:r>
    </w:p>
    <w:p>
      <w:pPr>
        <w:widowControl/>
        <w:kinsoku w:val="0"/>
        <w:autoSpaceDE w:val="0"/>
        <w:autoSpaceDN w:val="0"/>
        <w:adjustRightInd w:val="0"/>
        <w:snapToGrid w:val="0"/>
        <w:spacing w:before="179" w:line="313" w:lineRule="auto"/>
        <w:ind w:left="127" w:right="29" w:firstLine="490"/>
        <w:jc w:val="left"/>
        <w:textAlignment w:val="baseline"/>
        <w:rPr>
          <w:rFonts w:ascii="仿宋" w:hAnsi="仿宋" w:eastAsia="仿宋" w:cs="仿宋"/>
          <w:snapToGrid w:val="0"/>
          <w:color w:val="000000"/>
          <w:kern w:val="0"/>
          <w:sz w:val="24"/>
          <w:szCs w:val="24"/>
          <w:highlight w:val="none"/>
          <w:lang w:eastAsia="en-US"/>
        </w:rPr>
      </w:pPr>
      <w:r>
        <w:rPr>
          <w:rFonts w:hint="eastAsia" w:ascii="仿宋" w:hAnsi="仿宋" w:eastAsia="仿宋" w:cs="仿宋"/>
          <w:b/>
          <w:bCs/>
          <w:snapToGrid w:val="0"/>
          <w:color w:val="000000"/>
          <w:spacing w:val="-5"/>
          <w:kern w:val="0"/>
          <w:sz w:val="24"/>
          <w:szCs w:val="24"/>
          <w:highlight w:val="none"/>
          <w:lang w:val="hr-HR" w:eastAsia="en-US"/>
        </w:rPr>
        <w:t>企业年金受托人和托管人提取的管理费均不得高于企业年金基金净值的1.5‰，投资管理人提取的管理费不得高于企业年金基金净值的6‰，账户管理费每户每月不超过1</w:t>
      </w:r>
      <w:r>
        <w:rPr>
          <w:rFonts w:hint="eastAsia" w:ascii="仿宋" w:hAnsi="仿宋" w:eastAsia="仿宋" w:cs="仿宋"/>
          <w:b/>
          <w:bCs/>
          <w:snapToGrid w:val="0"/>
          <w:color w:val="000000"/>
          <w:spacing w:val="-5"/>
          <w:kern w:val="0"/>
          <w:sz w:val="24"/>
          <w:szCs w:val="24"/>
          <w:highlight w:val="none"/>
          <w:lang w:val="en-US" w:eastAsia="zh-CN"/>
        </w:rPr>
        <w:t>.5</w:t>
      </w:r>
      <w:r>
        <w:rPr>
          <w:rFonts w:hint="eastAsia" w:ascii="仿宋" w:hAnsi="仿宋" w:eastAsia="仿宋" w:cs="仿宋"/>
          <w:b/>
          <w:bCs/>
          <w:snapToGrid w:val="0"/>
          <w:color w:val="000000"/>
          <w:spacing w:val="-5"/>
          <w:kern w:val="0"/>
          <w:sz w:val="24"/>
          <w:szCs w:val="24"/>
          <w:highlight w:val="none"/>
          <w:lang w:val="hr-HR" w:eastAsia="en-US"/>
        </w:rPr>
        <w:t>元</w:t>
      </w:r>
      <w:r>
        <w:rPr>
          <w:rFonts w:hint="eastAsia" w:eastAsia="宋体"/>
          <w:b/>
          <w:bCs/>
          <w:sz w:val="21"/>
          <w:szCs w:val="21"/>
          <w:highlight w:val="none"/>
          <w:lang w:eastAsia="zh-CN"/>
        </w:rPr>
        <w:t>（</w:t>
      </w:r>
      <w:r>
        <w:rPr>
          <w:rFonts w:hint="eastAsia" w:ascii="Times New Roman" w:eastAsia="宋体"/>
          <w:b/>
          <w:bCs/>
          <w:sz w:val="21"/>
          <w:szCs w:val="21"/>
          <w:highlight w:val="none"/>
          <w:lang w:val="en-US" w:eastAsia="zh-CN"/>
        </w:rPr>
        <w:t>不得0元报价</w:t>
      </w:r>
      <w:r>
        <w:rPr>
          <w:rFonts w:hint="eastAsia" w:eastAsia="宋体"/>
          <w:b/>
          <w:bCs/>
          <w:sz w:val="21"/>
          <w:szCs w:val="21"/>
          <w:highlight w:val="none"/>
          <w:lang w:eastAsia="zh-CN"/>
        </w:rPr>
        <w:t>）</w:t>
      </w:r>
      <w:r>
        <w:rPr>
          <w:rFonts w:hint="eastAsia" w:ascii="仿宋" w:hAnsi="仿宋" w:eastAsia="仿宋" w:cs="仿宋"/>
          <w:b/>
          <w:bCs/>
          <w:snapToGrid w:val="0"/>
          <w:color w:val="000000"/>
          <w:spacing w:val="-5"/>
          <w:kern w:val="0"/>
          <w:sz w:val="24"/>
          <w:szCs w:val="24"/>
          <w:highlight w:val="none"/>
          <w:lang w:val="hr-HR" w:eastAsia="en-US"/>
        </w:rPr>
        <w:t>。投标人报价须符合《企业年金基金管理办法》与《企业年金基金管理机构基本服务和收费标准行业自律公约》规定</w:t>
      </w:r>
      <w:r>
        <w:rPr>
          <w:rFonts w:ascii="仿宋" w:hAnsi="仿宋" w:eastAsia="仿宋" w:cs="仿宋"/>
          <w:b/>
          <w:bCs/>
          <w:snapToGrid w:val="0"/>
          <w:color w:val="000000"/>
          <w:spacing w:val="-1"/>
          <w:kern w:val="0"/>
          <w:sz w:val="24"/>
          <w:szCs w:val="24"/>
          <w:highlight w:val="none"/>
          <w:lang w:eastAsia="en-US"/>
        </w:rPr>
        <w:t>。</w:t>
      </w:r>
    </w:p>
    <w:p>
      <w:pPr>
        <w:adjustRightInd w:val="0"/>
        <w:snapToGrid w:val="0"/>
        <w:spacing w:line="360" w:lineRule="auto"/>
        <w:rPr>
          <w:rFonts w:ascii="Arial" w:hAnsi="Arial" w:eastAsia="宋体" w:cs="Arial"/>
          <w:color w:val="auto"/>
          <w:kern w:val="2"/>
          <w:sz w:val="21"/>
          <w:szCs w:val="21"/>
          <w:highlight w:val="none"/>
        </w:rPr>
      </w:pPr>
    </w:p>
    <w:p>
      <w:pPr>
        <w:adjustRightInd w:val="0"/>
        <w:snapToGrid w:val="0"/>
        <w:spacing w:line="360" w:lineRule="auto"/>
        <w:rPr>
          <w:rFonts w:ascii="Arial" w:hAnsi="Arial" w:eastAsia="宋体" w:cs="Arial"/>
          <w:color w:val="auto"/>
          <w:kern w:val="2"/>
          <w:sz w:val="21"/>
          <w:szCs w:val="21"/>
          <w:highlight w:val="none"/>
        </w:rPr>
      </w:pPr>
    </w:p>
    <w:p>
      <w:pPr>
        <w:adjustRightInd w:val="0"/>
        <w:snapToGrid w:val="0"/>
        <w:spacing w:line="360" w:lineRule="auto"/>
        <w:rPr>
          <w:rFonts w:ascii="Arial" w:hAnsi="Arial" w:eastAsia="宋体" w:cs="Arial"/>
          <w:color w:val="auto"/>
          <w:kern w:val="2"/>
          <w:sz w:val="21"/>
          <w:szCs w:val="21"/>
          <w:highlight w:val="none"/>
        </w:rPr>
      </w:pPr>
      <w:r>
        <w:rPr>
          <w:rFonts w:ascii="Arial" w:hAnsi="Arial" w:eastAsia="宋体" w:cs="Arial"/>
          <w:color w:val="auto"/>
          <w:kern w:val="2"/>
          <w:sz w:val="21"/>
          <w:szCs w:val="21"/>
          <w:highlight w:val="none"/>
        </w:rPr>
        <w:t>投标人名称[盖章]：</w:t>
      </w:r>
      <w:r>
        <w:rPr>
          <w:rFonts w:ascii="Arial" w:hAnsi="Arial" w:eastAsia="宋体" w:cs="Arial"/>
          <w:color w:val="auto"/>
          <w:kern w:val="2"/>
          <w:sz w:val="21"/>
          <w:szCs w:val="21"/>
          <w:highlight w:val="none"/>
          <w:u w:val="single"/>
        </w:rPr>
        <w:t xml:space="preserve">                    </w:t>
      </w:r>
      <w:r>
        <w:rPr>
          <w:rFonts w:hint="eastAsia" w:ascii="Arial" w:hAnsi="Arial" w:eastAsia="宋体" w:cs="Arial"/>
          <w:color w:val="auto"/>
          <w:kern w:val="2"/>
          <w:sz w:val="21"/>
          <w:szCs w:val="21"/>
          <w:highlight w:val="none"/>
          <w:u w:val="single"/>
        </w:rPr>
        <w:t xml:space="preserve">     </w:t>
      </w:r>
      <w:r>
        <w:rPr>
          <w:rFonts w:ascii="Arial" w:hAnsi="Arial" w:eastAsia="宋体" w:cs="Arial"/>
          <w:color w:val="auto"/>
          <w:kern w:val="2"/>
          <w:sz w:val="21"/>
          <w:szCs w:val="21"/>
          <w:highlight w:val="none"/>
          <w:u w:val="single"/>
        </w:rPr>
        <w:t xml:space="preserve">          </w:t>
      </w:r>
      <w:r>
        <w:rPr>
          <w:rFonts w:ascii="Arial" w:hAnsi="Arial" w:eastAsia="宋体" w:cs="Arial"/>
          <w:color w:val="auto"/>
          <w:kern w:val="2"/>
          <w:sz w:val="21"/>
          <w:szCs w:val="21"/>
          <w:highlight w:val="none"/>
        </w:rPr>
        <w:t xml:space="preserve"> </w:t>
      </w:r>
    </w:p>
    <w:p>
      <w:pPr>
        <w:adjustRightInd w:val="0"/>
        <w:snapToGrid w:val="0"/>
        <w:spacing w:line="360" w:lineRule="auto"/>
        <w:rPr>
          <w:rFonts w:ascii="Arial" w:hAnsi="Arial" w:eastAsia="宋体" w:cs="Arial"/>
          <w:color w:val="auto"/>
          <w:kern w:val="2"/>
          <w:sz w:val="21"/>
          <w:szCs w:val="21"/>
          <w:highlight w:val="none"/>
        </w:rPr>
      </w:pPr>
      <w:r>
        <w:rPr>
          <w:rFonts w:ascii="Arial" w:hAnsi="Arial" w:eastAsia="宋体" w:cs="Arial"/>
          <w:color w:val="auto"/>
          <w:kern w:val="2"/>
          <w:sz w:val="21"/>
          <w:szCs w:val="21"/>
          <w:highlight w:val="none"/>
        </w:rPr>
        <w:t>投标人授权代表签字：</w:t>
      </w:r>
      <w:r>
        <w:rPr>
          <w:rFonts w:ascii="Arial" w:hAnsi="Arial" w:eastAsia="宋体" w:cs="Arial"/>
          <w:color w:val="auto"/>
          <w:kern w:val="2"/>
          <w:sz w:val="21"/>
          <w:szCs w:val="21"/>
          <w:highlight w:val="none"/>
          <w:u w:val="single"/>
        </w:rPr>
        <w:t xml:space="preserve"> </w:t>
      </w:r>
      <w:r>
        <w:rPr>
          <w:rFonts w:hint="eastAsia" w:ascii="Arial" w:hAnsi="Arial" w:eastAsia="宋体" w:cs="Arial"/>
          <w:color w:val="auto"/>
          <w:kern w:val="2"/>
          <w:sz w:val="21"/>
          <w:szCs w:val="21"/>
          <w:highlight w:val="none"/>
          <w:u w:val="single"/>
        </w:rPr>
        <w:t xml:space="preserve">                             </w:t>
      </w:r>
      <w:r>
        <w:rPr>
          <w:rFonts w:ascii="Arial" w:hAnsi="Arial" w:eastAsia="宋体" w:cs="Arial"/>
          <w:color w:val="auto"/>
          <w:kern w:val="2"/>
          <w:sz w:val="21"/>
          <w:szCs w:val="21"/>
          <w:highlight w:val="none"/>
          <w:u w:val="single"/>
        </w:rPr>
        <w:t xml:space="preserve">  </w:t>
      </w:r>
    </w:p>
    <w:p>
      <w:pPr>
        <w:adjustRightInd w:val="0"/>
        <w:snapToGrid w:val="0"/>
        <w:spacing w:line="360" w:lineRule="auto"/>
        <w:rPr>
          <w:rFonts w:ascii="Arial" w:hAnsi="Arial" w:eastAsia="宋体" w:cs="Arial"/>
          <w:color w:val="auto"/>
          <w:kern w:val="2"/>
          <w:sz w:val="21"/>
          <w:szCs w:val="21"/>
          <w:highlight w:val="none"/>
          <w:u w:val="single"/>
        </w:rPr>
      </w:pPr>
      <w:r>
        <w:rPr>
          <w:rFonts w:ascii="Arial" w:hAnsi="Arial" w:eastAsia="宋体" w:cs="Arial"/>
          <w:color w:val="auto"/>
          <w:kern w:val="2"/>
          <w:sz w:val="21"/>
          <w:szCs w:val="21"/>
          <w:highlight w:val="none"/>
        </w:rPr>
        <w:t>日</w:t>
      </w:r>
      <w:r>
        <w:rPr>
          <w:rFonts w:hint="eastAsia" w:ascii="Arial" w:hAnsi="Arial" w:eastAsia="宋体" w:cs="Arial"/>
          <w:color w:val="auto"/>
          <w:kern w:val="2"/>
          <w:sz w:val="21"/>
          <w:szCs w:val="21"/>
          <w:highlight w:val="none"/>
        </w:rPr>
        <w:t xml:space="preserve">            </w:t>
      </w:r>
      <w:r>
        <w:rPr>
          <w:rFonts w:ascii="Arial" w:hAnsi="Arial" w:eastAsia="宋体" w:cs="Arial"/>
          <w:color w:val="auto"/>
          <w:kern w:val="2"/>
          <w:sz w:val="21"/>
          <w:szCs w:val="21"/>
          <w:highlight w:val="none"/>
        </w:rPr>
        <w:t>期：</w:t>
      </w:r>
      <w:r>
        <w:rPr>
          <w:rFonts w:hint="eastAsia" w:ascii="Arial" w:hAnsi="Arial" w:eastAsia="宋体" w:cs="Arial"/>
          <w:color w:val="auto"/>
          <w:kern w:val="2"/>
          <w:sz w:val="21"/>
          <w:szCs w:val="21"/>
          <w:highlight w:val="none"/>
          <w:u w:val="single"/>
        </w:rPr>
        <w:t xml:space="preserve">                     </w:t>
      </w:r>
    </w:p>
    <w:p>
      <w:pPr>
        <w:rPr>
          <w:rFonts w:ascii="Times New Roman" w:hAnsi="Times New Roman" w:eastAsia="宋体" w:cs="Times New Roman"/>
          <w:color w:val="auto"/>
          <w:kern w:val="0"/>
          <w:sz w:val="20"/>
          <w:szCs w:val="20"/>
          <w:highlight w:val="none"/>
        </w:rPr>
      </w:pPr>
    </w:p>
    <w:p>
      <w:pPr>
        <w:rPr>
          <w:rFonts w:ascii="Times New Roman" w:hAnsi="Times New Roman" w:eastAsia="宋体" w:cs="Times New Roman"/>
          <w:color w:val="auto"/>
          <w:kern w:val="0"/>
          <w:sz w:val="20"/>
          <w:szCs w:val="20"/>
          <w:highlight w:val="none"/>
        </w:rPr>
      </w:pPr>
      <w:r>
        <w:rPr>
          <w:rFonts w:ascii="Times New Roman" w:hAnsi="Times New Roman" w:eastAsia="宋体" w:cs="Times New Roman"/>
          <w:color w:val="auto"/>
          <w:kern w:val="0"/>
          <w:sz w:val="20"/>
          <w:szCs w:val="20"/>
          <w:highlight w:val="none"/>
        </w:rPr>
        <w:t>注：</w:t>
      </w:r>
      <w:r>
        <w:rPr>
          <w:rFonts w:hint="eastAsia" w:ascii="Times New Roman" w:hAnsi="Times New Roman" w:eastAsia="宋体" w:cs="Times New Roman"/>
          <w:color w:val="auto"/>
          <w:kern w:val="0"/>
          <w:sz w:val="20"/>
          <w:szCs w:val="20"/>
          <w:highlight w:val="none"/>
        </w:rPr>
        <w:t>为方便开标唱标，供应商应将《开标一览表》和《法定代表人（或负责人）授权书》单独密封提交，并在密封袋上标明“开标一览表”字样</w:t>
      </w:r>
      <w:r>
        <w:rPr>
          <w:rFonts w:ascii="Times New Roman" w:hAnsi="Times New Roman" w:eastAsia="宋体" w:cs="Times New Roman"/>
          <w:color w:val="auto"/>
          <w:kern w:val="0"/>
          <w:sz w:val="20"/>
          <w:szCs w:val="20"/>
          <w:highlight w:val="none"/>
        </w:rPr>
        <w:t>。</w:t>
      </w:r>
    </w:p>
    <w:p>
      <w:pPr>
        <w:rPr>
          <w:rFonts w:ascii="Times New Roman" w:hAnsi="Times New Roman" w:eastAsia="宋体" w:cs="Times New Roman"/>
          <w:color w:val="auto"/>
          <w:kern w:val="0"/>
          <w:sz w:val="20"/>
          <w:szCs w:val="20"/>
          <w:highlight w:val="none"/>
        </w:rPr>
      </w:pPr>
    </w:p>
    <w:p>
      <w:pPr>
        <w:spacing w:line="300" w:lineRule="auto"/>
        <w:rPr>
          <w:rFonts w:ascii="宋体" w:hAnsi="宋体" w:cs="宋体"/>
          <w:szCs w:val="21"/>
          <w:highlight w:val="none"/>
        </w:rPr>
      </w:pPr>
    </w:p>
    <w:p>
      <w:pPr>
        <w:spacing w:line="300" w:lineRule="auto"/>
        <w:rPr>
          <w:rFonts w:ascii="宋体" w:hAnsi="宋体" w:cs="宋体"/>
          <w:highlight w:val="none"/>
        </w:rPr>
      </w:pPr>
      <w:r>
        <w:rPr>
          <w:rFonts w:hint="eastAsia" w:ascii="宋体" w:hAnsi="宋体" w:cs="宋体"/>
          <w:szCs w:val="21"/>
          <w:highlight w:val="none"/>
        </w:rPr>
        <w:br w:type="page"/>
      </w:r>
    </w:p>
    <w:p>
      <w:pPr>
        <w:pStyle w:val="2"/>
        <w:snapToGrid w:val="0"/>
        <w:spacing w:before="120" w:after="120" w:line="360" w:lineRule="auto"/>
        <w:rPr>
          <w:rFonts w:hint="eastAsia" w:cs="Arial"/>
          <w:bCs w:val="0"/>
          <w:highlight w:val="none"/>
        </w:rPr>
      </w:pPr>
      <w:bookmarkStart w:id="1083" w:name="_Toc5413"/>
      <w:r>
        <w:rPr>
          <w:rFonts w:hint="eastAsia" w:cs="Arial"/>
          <w:bCs w:val="0"/>
          <w:highlight w:val="none"/>
        </w:rPr>
        <w:t>（</w:t>
      </w:r>
      <w:r>
        <w:rPr>
          <w:rFonts w:hint="eastAsia" w:cs="Arial"/>
          <w:bCs w:val="0"/>
          <w:highlight w:val="none"/>
          <w:lang w:val="en-US" w:eastAsia="zh-CN"/>
        </w:rPr>
        <w:t>二</w:t>
      </w:r>
      <w:r>
        <w:rPr>
          <w:rFonts w:hint="eastAsia" w:cs="Arial"/>
          <w:bCs w:val="0"/>
          <w:highlight w:val="none"/>
        </w:rPr>
        <w:t>）报价说明（如果有）</w:t>
      </w:r>
      <w:bookmarkEnd w:id="1083"/>
    </w:p>
    <w:p>
      <w:pPr>
        <w:spacing w:line="300" w:lineRule="auto"/>
        <w:rPr>
          <w:rFonts w:ascii="宋体" w:hAnsi="宋体" w:cs="宋体"/>
          <w:b/>
          <w:bCs/>
          <w:szCs w:val="21"/>
          <w:highlight w:val="none"/>
        </w:rPr>
      </w:pPr>
    </w:p>
    <w:p>
      <w:pPr>
        <w:pStyle w:val="2"/>
        <w:rPr>
          <w:rFonts w:cs="Arial"/>
          <w:bCs w:val="0"/>
          <w:highlight w:val="none"/>
        </w:rPr>
      </w:pPr>
      <w:r>
        <w:rPr>
          <w:rFonts w:cs="Arial"/>
          <w:bCs w:val="0"/>
          <w:highlight w:val="none"/>
        </w:rPr>
        <w:br w:type="page"/>
      </w:r>
      <w:bookmarkStart w:id="1084" w:name="_Toc21590"/>
      <w:bookmarkStart w:id="1085" w:name="_Toc31835"/>
      <w:r>
        <w:rPr>
          <w:rFonts w:hint="eastAsia" w:cs="Arial"/>
          <w:bCs w:val="0"/>
          <w:highlight w:val="none"/>
        </w:rPr>
        <w:t>三、商务</w:t>
      </w:r>
      <w:r>
        <w:rPr>
          <w:rFonts w:cs="Arial"/>
          <w:bCs w:val="0"/>
          <w:highlight w:val="none"/>
        </w:rPr>
        <w:t>文件</w:t>
      </w:r>
      <w:bookmarkEnd w:id="1084"/>
      <w:bookmarkEnd w:id="1085"/>
    </w:p>
    <w:p>
      <w:pPr>
        <w:pStyle w:val="2"/>
        <w:snapToGrid w:val="0"/>
        <w:spacing w:before="120" w:after="120" w:line="360" w:lineRule="auto"/>
        <w:rPr>
          <w:rFonts w:cs="Arial"/>
          <w:bCs w:val="0"/>
          <w:highlight w:val="none"/>
        </w:rPr>
      </w:pPr>
      <w:bookmarkStart w:id="1086" w:name="_Toc30847"/>
      <w:bookmarkStart w:id="1087" w:name="_Toc7052"/>
      <w:bookmarkStart w:id="1088" w:name="_Toc432367433"/>
      <w:bookmarkStart w:id="1089" w:name="_Toc430813356"/>
      <w:r>
        <w:rPr>
          <w:rFonts w:hint="eastAsia" w:cs="Arial"/>
          <w:bCs w:val="0"/>
          <w:highlight w:val="none"/>
        </w:rPr>
        <w:t>（一）</w:t>
      </w:r>
      <w:r>
        <w:rPr>
          <w:rFonts w:cs="Arial"/>
          <w:bCs w:val="0"/>
          <w:highlight w:val="none"/>
        </w:rPr>
        <w:t>投标人基本情况</w:t>
      </w:r>
      <w:r>
        <w:rPr>
          <w:rFonts w:hint="eastAsia" w:cs="Arial"/>
          <w:bCs w:val="0"/>
          <w:highlight w:val="none"/>
        </w:rPr>
        <w:t>表</w:t>
      </w:r>
      <w:bookmarkEnd w:id="1086"/>
      <w:bookmarkEnd w:id="1087"/>
      <w:bookmarkEnd w:id="1088"/>
      <w:bookmarkEnd w:id="1089"/>
    </w:p>
    <w:p>
      <w:pPr>
        <w:rPr>
          <w:rFonts w:ascii="Arial" w:hAnsi="Arial" w:cs="Arial"/>
          <w:bCs/>
          <w:szCs w:val="21"/>
          <w:highlight w:val="none"/>
        </w:rPr>
      </w:pPr>
      <w:r>
        <w:rPr>
          <w:rFonts w:ascii="Arial" w:hAnsi="Arial" w:cs="Arial"/>
          <w:szCs w:val="21"/>
          <w:highlight w:val="none"/>
        </w:rPr>
        <w:t>项目名称：</w:t>
      </w:r>
      <w:r>
        <w:rPr>
          <w:rFonts w:ascii="Arial" w:hAnsi="Arial" w:cs="Arial"/>
          <w:szCs w:val="21"/>
          <w:highlight w:val="none"/>
          <w:u w:val="single"/>
        </w:rPr>
        <w:t xml:space="preserve">          </w:t>
      </w:r>
      <w:r>
        <w:rPr>
          <w:rFonts w:hint="eastAsia" w:ascii="Arial" w:hAnsi="Arial" w:cs="Arial"/>
          <w:szCs w:val="21"/>
          <w:highlight w:val="none"/>
        </w:rPr>
        <w:t xml:space="preserve">                  </w:t>
      </w:r>
      <w:r>
        <w:rPr>
          <w:rFonts w:ascii="Arial" w:hAnsi="Arial" w:cs="Arial"/>
          <w:szCs w:val="21"/>
          <w:highlight w:val="none"/>
        </w:rPr>
        <w:t>项目编号：</w:t>
      </w:r>
      <w:r>
        <w:rPr>
          <w:rFonts w:ascii="Arial" w:hAnsi="Arial" w:cs="Arial"/>
          <w:szCs w:val="21"/>
          <w:highlight w:val="none"/>
          <w:u w:val="single"/>
        </w:rPr>
        <w:t xml:space="preserve">              </w:t>
      </w:r>
      <w:r>
        <w:rPr>
          <w:rFonts w:ascii="Arial" w:hAnsi="Arial" w:cs="Arial"/>
          <w:bCs/>
          <w:szCs w:val="21"/>
          <w:highlight w:val="none"/>
        </w:rPr>
        <w:t xml:space="preserve"> </w:t>
      </w:r>
    </w:p>
    <w:p>
      <w:pPr>
        <w:rPr>
          <w:rFonts w:hint="eastAsia" w:ascii="Arial" w:hAnsi="Arial" w:cs="Arial"/>
          <w:highlight w:val="none"/>
        </w:rPr>
      </w:pP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6"/>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hint="eastAsia" w:ascii="Arial" w:hAnsi="Arial" w:cs="Arial"/>
                <w:color w:val="auto"/>
                <w:highlight w:val="none"/>
              </w:rPr>
              <w:t>投标人名</w:t>
            </w:r>
            <w:r>
              <w:rPr>
                <w:rFonts w:ascii="Arial" w:hAnsi="Arial" w:cs="Arial"/>
                <w:color w:val="auto"/>
                <w:highlight w:val="none"/>
              </w:rPr>
              <w:t>称</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cs="Arial"/>
                <w:color w:val="auto"/>
                <w:highlight w:val="none"/>
              </w:rPr>
            </w:pPr>
            <w:r>
              <w:rPr>
                <w:rFonts w:hint="eastAsia" w:ascii="Arial" w:hAnsi="Arial" w:cs="Arial"/>
                <w:color w:val="auto"/>
                <w:highlight w:val="none"/>
              </w:rPr>
              <w:t>联系地址</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ascii="Arial" w:hAnsi="Arial" w:cs="Arial"/>
                <w:color w:val="auto"/>
                <w:highlight w:val="none"/>
              </w:rPr>
              <w:t>企业资质</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hint="eastAsia" w:ascii="Arial" w:hAnsi="Arial" w:cs="Arial"/>
                <w:color w:val="auto"/>
                <w:highlight w:val="none"/>
              </w:rPr>
              <w:t>企业从业人员数量</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cs="Arial"/>
                <w:color w:val="auto"/>
                <w:highlight w:val="none"/>
              </w:rPr>
            </w:pPr>
            <w:r>
              <w:rPr>
                <w:rFonts w:hint="eastAsia" w:ascii="Arial" w:hAnsi="Arial" w:cs="Arial"/>
                <w:color w:val="auto"/>
                <w:highlight w:val="none"/>
              </w:rPr>
              <w:t>资产总额</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hint="eastAsia" w:ascii="Arial" w:hAnsi="Arial" w:cs="Arial"/>
                <w:color w:val="auto"/>
                <w:highlight w:val="none"/>
              </w:rPr>
              <w:t>截止上一年度资产总额：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cs="Arial"/>
                <w:color w:val="auto"/>
                <w:highlight w:val="none"/>
              </w:rPr>
            </w:pPr>
            <w:r>
              <w:rPr>
                <w:rFonts w:hint="eastAsia" w:ascii="Arial" w:hAnsi="Arial" w:cs="Arial"/>
                <w:color w:val="auto"/>
                <w:highlight w:val="none"/>
              </w:rPr>
              <w:t>营业收入</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hint="eastAsia" w:ascii="Arial" w:hAnsi="Arial" w:cs="Arial"/>
                <w:color w:val="auto"/>
                <w:highlight w:val="none"/>
              </w:rPr>
              <w:t>上一年度营业收入：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Arial" w:hAnsi="Arial" w:cs="Arial"/>
                <w:color w:val="auto"/>
                <w:highlight w:val="none"/>
              </w:rPr>
            </w:pPr>
            <w:r>
              <w:rPr>
                <w:rFonts w:hint="eastAsia" w:ascii="Arial" w:hAnsi="Arial" w:cs="Arial"/>
                <w:color w:val="auto"/>
                <w:highlight w:val="none"/>
              </w:rPr>
              <w:t>法定代表人</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ascii="Arial" w:hAnsi="Arial" w:cs="Arial"/>
                <w:color w:val="auto"/>
                <w:highlight w:val="none"/>
              </w:rPr>
              <w:t>姓名：　　　职务：　　　职称：</w:t>
            </w:r>
            <w:r>
              <w:rPr>
                <w:rFonts w:hint="eastAsia" w:ascii="Arial" w:hAnsi="Arial" w:cs="Arial"/>
                <w:color w:val="auto"/>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ascii="Arial" w:hAnsi="Arial" w:cs="Arial"/>
                <w:color w:val="auto"/>
                <w:highlight w:val="none"/>
              </w:rPr>
              <w:t>技术负责人</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ascii="Arial" w:hAnsi="Arial" w:cs="Arial"/>
                <w:color w:val="auto"/>
                <w:highlight w:val="none"/>
              </w:rPr>
              <w:t>姓名：　　　职务：　　　职称：</w:t>
            </w:r>
            <w:r>
              <w:rPr>
                <w:rFonts w:hint="eastAsia" w:ascii="Arial" w:hAnsi="Arial" w:cs="Arial"/>
                <w:color w:val="auto"/>
                <w:highlight w:val="none"/>
              </w:rPr>
              <w:t xml:space="preserve">       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ascii="Arial" w:hAnsi="Arial" w:cs="Arial"/>
                <w:color w:val="auto"/>
                <w:highlight w:val="none"/>
              </w:rPr>
              <w:t>联系方式</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hint="eastAsia" w:ascii="Arial" w:hAnsi="Arial" w:cs="Arial"/>
                <w:color w:val="auto"/>
                <w:highlight w:val="none"/>
              </w:rPr>
              <w:t>联系人</w:t>
            </w:r>
            <w:r>
              <w:rPr>
                <w:rFonts w:ascii="Arial" w:hAnsi="Arial" w:cs="Arial"/>
                <w:color w:val="auto"/>
                <w:highlight w:val="none"/>
              </w:rPr>
              <w:t>：</w:t>
            </w:r>
            <w:r>
              <w:rPr>
                <w:rFonts w:hint="eastAsia" w:ascii="Arial" w:hAnsi="Arial" w:cs="Arial"/>
                <w:color w:val="auto"/>
                <w:highlight w:val="none"/>
              </w:rPr>
              <w:t xml:space="preserve">                      </w:t>
            </w:r>
            <w:r>
              <w:rPr>
                <w:rFonts w:ascii="Arial" w:hAnsi="Arial" w:cs="Arial"/>
                <w:color w:val="auto"/>
                <w:highlight w:val="none"/>
              </w:rPr>
              <w:t>电　话：</w:t>
            </w:r>
          </w:p>
          <w:p>
            <w:pPr>
              <w:rPr>
                <w:rFonts w:ascii="Arial" w:hAnsi="Arial" w:cs="Arial"/>
                <w:color w:val="auto"/>
                <w:highlight w:val="none"/>
              </w:rPr>
            </w:pPr>
            <w:r>
              <w:rPr>
                <w:rFonts w:ascii="Arial" w:hAnsi="Arial" w:cs="Arial"/>
                <w:color w:val="auto"/>
                <w:highlight w:val="none"/>
              </w:rPr>
              <w:t>传　真：　　　　　　　　　　　</w:t>
            </w:r>
            <w:r>
              <w:rPr>
                <w:rFonts w:hint="eastAsia" w:ascii="Arial" w:hAnsi="Arial" w:cs="Arial"/>
                <w:color w:val="auto"/>
                <w:highlight w:val="none"/>
              </w:rPr>
              <w:t>邮  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23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Arial" w:hAnsi="Arial" w:cs="Arial"/>
                <w:color w:val="auto"/>
                <w:highlight w:val="none"/>
              </w:rPr>
            </w:pPr>
            <w:r>
              <w:rPr>
                <w:rFonts w:hint="eastAsia" w:ascii="Arial" w:hAnsi="Arial" w:cs="Arial"/>
                <w:color w:val="auto"/>
                <w:highlight w:val="none"/>
              </w:rPr>
              <w:t>基本账户</w:t>
            </w:r>
          </w:p>
        </w:tc>
        <w:tc>
          <w:tcPr>
            <w:tcW w:w="6654" w:type="dxa"/>
            <w:tcBorders>
              <w:top w:val="single" w:color="auto" w:sz="4" w:space="0"/>
              <w:left w:val="single" w:color="auto" w:sz="4" w:space="0"/>
              <w:bottom w:val="single" w:color="auto" w:sz="4" w:space="0"/>
              <w:right w:val="single" w:color="auto" w:sz="4" w:space="0"/>
            </w:tcBorders>
            <w:noWrap w:val="0"/>
            <w:vAlign w:val="center"/>
          </w:tcPr>
          <w:p>
            <w:pPr>
              <w:rPr>
                <w:rFonts w:ascii="Arial" w:hAnsi="Arial" w:cs="Arial"/>
                <w:color w:val="auto"/>
                <w:highlight w:val="none"/>
              </w:rPr>
            </w:pPr>
            <w:r>
              <w:rPr>
                <w:rFonts w:ascii="Arial" w:hAnsi="Arial" w:cs="Arial"/>
                <w:color w:val="auto"/>
                <w:highlight w:val="none"/>
              </w:rPr>
              <w:t>名　称：　　　　　　　　　　　</w:t>
            </w:r>
            <w:r>
              <w:rPr>
                <w:rFonts w:hint="eastAsia" w:ascii="Arial" w:hAnsi="Arial" w:cs="Arial"/>
                <w:color w:val="auto"/>
                <w:highlight w:val="none"/>
              </w:rPr>
              <w:t xml:space="preserve">账  </w:t>
            </w:r>
            <w:r>
              <w:rPr>
                <w:rFonts w:ascii="Arial" w:hAnsi="Arial" w:cs="Arial"/>
                <w:color w:val="auto"/>
                <w:highlight w:val="none"/>
              </w:rPr>
              <w:t>号：</w:t>
            </w:r>
          </w:p>
        </w:tc>
      </w:tr>
    </w:tbl>
    <w:p>
      <w:pPr>
        <w:pStyle w:val="34"/>
        <w:rPr>
          <w:rFonts w:hint="eastAsia"/>
          <w:highlight w:val="none"/>
        </w:rPr>
      </w:pPr>
    </w:p>
    <w:p>
      <w:pPr>
        <w:pStyle w:val="34"/>
        <w:rPr>
          <w:highlight w:val="none"/>
        </w:rPr>
      </w:pPr>
    </w:p>
    <w:p>
      <w:pPr>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hint="eastAsia" w:ascii="Arial" w:hAnsi="Arial" w:cs="Arial"/>
          <w:highlight w:val="none"/>
          <w:u w:val="singl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r>
        <w:rPr>
          <w:rFonts w:ascii="Arial" w:hAnsi="Arial" w:cs="Arial"/>
          <w:highlight w:val="none"/>
          <w:u w:val="single"/>
        </w:rPr>
        <w:t xml:space="preserve"> </w:t>
      </w:r>
      <w:bookmarkStart w:id="1090" w:name="_Toc430813358"/>
    </w:p>
    <w:p>
      <w:pPr>
        <w:widowControl/>
        <w:spacing w:before="100" w:beforeAutospacing="1" w:after="100" w:afterAutospacing="1"/>
        <w:rPr>
          <w:rFonts w:hint="eastAsia" w:ascii="Arial" w:hAnsi="Arial" w:cs="Arial"/>
          <w:highlight w:val="none"/>
          <w:u w:val="single"/>
        </w:rPr>
      </w:pPr>
      <w:r>
        <w:rPr>
          <w:rFonts w:ascii="Arial" w:hAnsi="Arial" w:cs="Arial"/>
          <w:highlight w:val="none"/>
          <w:u w:val="single"/>
        </w:rPr>
        <w:br w:type="page"/>
      </w:r>
      <w:bookmarkEnd w:id="1090"/>
    </w:p>
    <w:p>
      <w:pPr>
        <w:pStyle w:val="2"/>
        <w:snapToGrid w:val="0"/>
        <w:spacing w:before="120" w:after="120" w:line="360" w:lineRule="auto"/>
        <w:rPr>
          <w:rFonts w:cs="Arial"/>
          <w:bCs w:val="0"/>
          <w:highlight w:val="none"/>
        </w:rPr>
      </w:pPr>
      <w:bookmarkStart w:id="1091" w:name="_Toc22000"/>
      <w:bookmarkStart w:id="1092" w:name="_Toc24360"/>
      <w:r>
        <w:rPr>
          <w:rFonts w:hint="eastAsia" w:cs="Arial"/>
          <w:bCs w:val="0"/>
          <w:highlight w:val="none"/>
        </w:rPr>
        <w:t>（二）资格证明文件</w:t>
      </w:r>
      <w:bookmarkEnd w:id="1091"/>
      <w:bookmarkEnd w:id="1092"/>
    </w:p>
    <w:p>
      <w:pPr>
        <w:snapToGrid w:val="0"/>
        <w:spacing w:line="360" w:lineRule="auto"/>
        <w:ind w:firstLine="420" w:firstLineChars="200"/>
        <w:jc w:val="center"/>
        <w:rPr>
          <w:rFonts w:ascii="Arial" w:hAnsi="Arial" w:cs="Arial"/>
          <w:highlight w:val="none"/>
        </w:rPr>
      </w:pPr>
    </w:p>
    <w:p>
      <w:pPr>
        <w:snapToGrid w:val="0"/>
        <w:spacing w:line="360" w:lineRule="auto"/>
        <w:ind w:firstLine="420" w:firstLineChars="200"/>
        <w:rPr>
          <w:rFonts w:hint="eastAsia" w:ascii="Arial" w:hAnsi="Arial" w:cs="Arial"/>
          <w:highlight w:val="none"/>
        </w:rPr>
      </w:pPr>
      <w:r>
        <w:rPr>
          <w:rFonts w:hint="eastAsia" w:ascii="Arial" w:hAnsi="Arial" w:cs="Arial"/>
          <w:highlight w:val="none"/>
        </w:rPr>
        <w:t>投标人须提供的资格证明文件详见第四章《资格审查表》。</w:t>
      </w:r>
    </w:p>
    <w:p>
      <w:pPr>
        <w:spacing w:line="300" w:lineRule="auto"/>
        <w:ind w:left="1049"/>
        <w:rPr>
          <w:rFonts w:hint="eastAsia" w:ascii="Arial" w:hAnsi="Arial" w:cs="Arial"/>
          <w:highlight w:val="none"/>
        </w:rPr>
      </w:pPr>
    </w:p>
    <w:p>
      <w:pPr>
        <w:spacing w:line="360" w:lineRule="auto"/>
        <w:rPr>
          <w:rFonts w:ascii="Arial" w:hAnsi="Arial" w:cs="Arial"/>
          <w:highlight w:val="none"/>
        </w:rPr>
      </w:pPr>
    </w:p>
    <w:p>
      <w:pPr>
        <w:spacing w:line="360" w:lineRule="auto"/>
        <w:rPr>
          <w:rFonts w:hint="eastAsia" w:ascii="Arial" w:hAnsi="Arial" w:cs="Arial"/>
          <w:highlight w:val="none"/>
        </w:rPr>
      </w:pPr>
    </w:p>
    <w:p>
      <w:pPr>
        <w:spacing w:line="360" w:lineRule="auto"/>
        <w:rPr>
          <w:rFonts w:ascii="Arial" w:hAnsi="Arial" w:cs="Arial"/>
          <w:highlight w:val="none"/>
        </w:rPr>
      </w:pPr>
    </w:p>
    <w:p>
      <w:pPr>
        <w:spacing w:line="300" w:lineRule="auto"/>
        <w:rPr>
          <w:rFonts w:ascii="Arial" w:hAnsi="Arial" w:cs="Arial"/>
          <w:highlight w:val="none"/>
        </w:rPr>
        <w:sectPr>
          <w:type w:val="nextColumn"/>
          <w:pgSz w:w="11906" w:h="16838"/>
          <w:pgMar w:top="1247" w:right="1588" w:bottom="1247" w:left="1588" w:header="851" w:footer="805" w:gutter="0"/>
          <w:pgBorders w:offsetFrom="page">
            <w:top w:val="none" w:sz="0" w:space="0"/>
            <w:left w:val="none" w:sz="0" w:space="0"/>
            <w:bottom w:val="none" w:sz="0" w:space="0"/>
            <w:right w:val="none" w:sz="0" w:space="0"/>
          </w:pgBorders>
          <w:pgNumType w:fmt="decimal"/>
          <w:cols w:space="720" w:num="1"/>
          <w:docGrid w:linePitch="312" w:charSpace="0"/>
        </w:sectPr>
      </w:pPr>
    </w:p>
    <w:p>
      <w:pPr>
        <w:pStyle w:val="2"/>
        <w:snapToGrid w:val="0"/>
        <w:spacing w:before="120" w:after="120" w:line="360" w:lineRule="auto"/>
        <w:rPr>
          <w:rFonts w:hint="eastAsia" w:cs="Arial"/>
          <w:bCs w:val="0"/>
          <w:highlight w:val="none"/>
        </w:rPr>
      </w:pPr>
      <w:bookmarkStart w:id="1093" w:name="_Toc29551"/>
      <w:bookmarkStart w:id="1094" w:name="_Toc23436"/>
      <w:r>
        <w:rPr>
          <w:rFonts w:hint="eastAsia" w:cs="Arial"/>
          <w:bCs w:val="0"/>
          <w:highlight w:val="none"/>
        </w:rPr>
        <w:t>（三）</w:t>
      </w:r>
      <w:r>
        <w:rPr>
          <w:rFonts w:hint="eastAsia" w:ascii="等线" w:hAnsi="等线" w:eastAsia="等线" w:cs="宋体"/>
          <w:bCs w:val="0"/>
          <w:szCs w:val="21"/>
          <w:highlight w:val="none"/>
        </w:rPr>
        <w:t>关于资格条件的有关承诺及声明</w:t>
      </w:r>
      <w:bookmarkEnd w:id="1093"/>
      <w:bookmarkEnd w:id="1094"/>
    </w:p>
    <w:p>
      <w:pPr>
        <w:snapToGrid w:val="0"/>
        <w:spacing w:line="480" w:lineRule="auto"/>
        <w:ind w:firstLine="482" w:firstLineChars="200"/>
        <w:jc w:val="center"/>
        <w:rPr>
          <w:b/>
          <w:sz w:val="24"/>
          <w:szCs w:val="21"/>
          <w:highlight w:val="none"/>
        </w:rPr>
      </w:pPr>
    </w:p>
    <w:p>
      <w:pPr>
        <w:snapToGrid w:val="0"/>
        <w:spacing w:line="480" w:lineRule="auto"/>
        <w:ind w:firstLine="482" w:firstLineChars="200"/>
        <w:jc w:val="center"/>
        <w:rPr>
          <w:b/>
          <w:sz w:val="24"/>
          <w:szCs w:val="21"/>
          <w:highlight w:val="none"/>
        </w:rPr>
      </w:pPr>
      <w:r>
        <w:rPr>
          <w:rFonts w:hint="eastAsia"/>
          <w:b/>
          <w:sz w:val="24"/>
          <w:szCs w:val="21"/>
          <w:highlight w:val="none"/>
        </w:rPr>
        <w:t>（投标人应根据本单位实际情况进行承诺和声明）</w:t>
      </w:r>
    </w:p>
    <w:p>
      <w:pPr>
        <w:snapToGrid w:val="0"/>
        <w:spacing w:line="480" w:lineRule="auto"/>
        <w:rPr>
          <w:kern w:val="0"/>
          <w:szCs w:val="21"/>
          <w:highlight w:val="none"/>
        </w:rPr>
      </w:pPr>
    </w:p>
    <w:p>
      <w:pPr>
        <w:snapToGrid w:val="0"/>
        <w:spacing w:line="360" w:lineRule="auto"/>
        <w:rPr>
          <w:szCs w:val="21"/>
          <w:highlight w:val="none"/>
        </w:rPr>
      </w:pPr>
      <w:r>
        <w:rPr>
          <w:kern w:val="0"/>
          <w:szCs w:val="21"/>
          <w:highlight w:val="none"/>
        </w:rPr>
        <w:t>采购人和采购代理机构：</w:t>
      </w:r>
    </w:p>
    <w:p>
      <w:pPr>
        <w:snapToGrid w:val="0"/>
        <w:spacing w:line="360" w:lineRule="auto"/>
        <w:ind w:firstLine="420" w:firstLineChars="200"/>
        <w:rPr>
          <w:szCs w:val="21"/>
          <w:highlight w:val="none"/>
        </w:rPr>
      </w:pPr>
      <w:r>
        <w:rPr>
          <w:kern w:val="0"/>
          <w:szCs w:val="21"/>
          <w:highlight w:val="none"/>
        </w:rPr>
        <w:t>一、我方在此郑重承诺，我方</w:t>
      </w:r>
      <w:r>
        <w:rPr>
          <w:szCs w:val="21"/>
          <w:highlight w:val="none"/>
        </w:rPr>
        <w:t>满足本</w:t>
      </w:r>
      <w:r>
        <w:rPr>
          <w:rFonts w:hint="eastAsia"/>
          <w:szCs w:val="21"/>
          <w:highlight w:val="none"/>
        </w:rPr>
        <w:t>招标文件</w:t>
      </w:r>
      <w:r>
        <w:rPr>
          <w:szCs w:val="21"/>
          <w:highlight w:val="none"/>
        </w:rPr>
        <w:t>第一章《</w:t>
      </w:r>
      <w:r>
        <w:rPr>
          <w:rFonts w:hint="eastAsia"/>
          <w:szCs w:val="21"/>
          <w:highlight w:val="none"/>
        </w:rPr>
        <w:t>招标</w:t>
      </w:r>
      <w:r>
        <w:rPr>
          <w:szCs w:val="21"/>
          <w:highlight w:val="none"/>
        </w:rPr>
        <w:t>公告》第二条“申请人资格要求”（具体要求详见第五章《评审程序、方法及标准》中的《资格审查表》），且无纳税、社保等方面失信记录。</w:t>
      </w:r>
    </w:p>
    <w:p>
      <w:pPr>
        <w:snapToGrid w:val="0"/>
        <w:spacing w:line="360" w:lineRule="auto"/>
        <w:ind w:firstLine="420" w:firstLineChars="200"/>
        <w:rPr>
          <w:szCs w:val="21"/>
          <w:highlight w:val="none"/>
        </w:rPr>
      </w:pPr>
      <w:r>
        <w:rPr>
          <w:kern w:val="0"/>
          <w:szCs w:val="21"/>
          <w:highlight w:val="none"/>
        </w:rPr>
        <w:t>二、我方在此声明，我方在参加本次政府采购活动前三年内，在经营活动中没有以下重大违法记录：</w:t>
      </w:r>
    </w:p>
    <w:p>
      <w:pPr>
        <w:snapToGrid w:val="0"/>
        <w:spacing w:line="360" w:lineRule="auto"/>
        <w:ind w:firstLine="420" w:firstLineChars="200"/>
        <w:rPr>
          <w:szCs w:val="21"/>
          <w:highlight w:val="none"/>
        </w:rPr>
      </w:pPr>
      <w:r>
        <w:rPr>
          <w:kern w:val="0"/>
          <w:szCs w:val="21"/>
          <w:highlight w:val="none"/>
        </w:rPr>
        <w:t>1、我方因违法经营被追究过刑事责任；</w:t>
      </w:r>
    </w:p>
    <w:p>
      <w:pPr>
        <w:snapToGrid w:val="0"/>
        <w:spacing w:line="360" w:lineRule="auto"/>
        <w:ind w:firstLine="420" w:firstLineChars="200"/>
        <w:rPr>
          <w:szCs w:val="21"/>
          <w:highlight w:val="none"/>
        </w:rPr>
      </w:pPr>
      <w:r>
        <w:rPr>
          <w:kern w:val="0"/>
          <w:szCs w:val="21"/>
          <w:highlight w:val="none"/>
        </w:rPr>
        <w:t>2、我方因违法经营被责令停产停业、吊销许可证或者执照；</w:t>
      </w:r>
    </w:p>
    <w:p>
      <w:pPr>
        <w:snapToGrid w:val="0"/>
        <w:spacing w:line="360" w:lineRule="auto"/>
        <w:ind w:firstLine="420" w:firstLineChars="200"/>
        <w:rPr>
          <w:szCs w:val="21"/>
          <w:highlight w:val="none"/>
        </w:rPr>
      </w:pPr>
      <w:r>
        <w:rPr>
          <w:kern w:val="0"/>
          <w:szCs w:val="21"/>
          <w:highlight w:val="none"/>
        </w:rPr>
        <w:t>3、我方因违法经营被处以较大数额罚款等行政处罚。</w:t>
      </w:r>
    </w:p>
    <w:p>
      <w:pPr>
        <w:snapToGrid w:val="0"/>
        <w:spacing w:line="360" w:lineRule="auto"/>
        <w:ind w:firstLine="420" w:firstLineChars="200"/>
        <w:rPr>
          <w:szCs w:val="21"/>
          <w:highlight w:val="none"/>
        </w:rPr>
      </w:pPr>
      <w:r>
        <w:rPr>
          <w:kern w:val="0"/>
          <w:szCs w:val="21"/>
          <w:highlight w:val="none"/>
        </w:rPr>
        <w:t>我方保证上述承诺或声明内容的客观、真实、准确，并愿意承担我方因提供虚假承诺或声明谋骗取中标、成交所引起的一切法律后果</w:t>
      </w:r>
      <w:r>
        <w:rPr>
          <w:rFonts w:hint="eastAsia"/>
          <w:kern w:val="0"/>
          <w:szCs w:val="21"/>
          <w:highlight w:val="none"/>
        </w:rPr>
        <w:t>。</w:t>
      </w:r>
    </w:p>
    <w:p>
      <w:pPr>
        <w:snapToGrid w:val="0"/>
        <w:spacing w:line="360" w:lineRule="auto"/>
        <w:ind w:firstLine="420" w:firstLineChars="200"/>
        <w:rPr>
          <w:szCs w:val="21"/>
          <w:highlight w:val="none"/>
        </w:rPr>
      </w:pPr>
      <w:r>
        <w:rPr>
          <w:rFonts w:hint="eastAsia"/>
          <w:kern w:val="0"/>
          <w:szCs w:val="21"/>
          <w:highlight w:val="none"/>
        </w:rPr>
        <w:t>特此声明</w:t>
      </w:r>
      <w:r>
        <w:rPr>
          <w:rFonts w:hint="eastAsia"/>
          <w:kern w:val="0"/>
          <w:szCs w:val="21"/>
          <w:highlight w:val="none"/>
          <w:shd w:val="clear" w:color="auto" w:fill="FFFFFF"/>
        </w:rPr>
        <w:t>！</w:t>
      </w:r>
    </w:p>
    <w:p>
      <w:pPr>
        <w:snapToGrid w:val="0"/>
        <w:spacing w:line="480" w:lineRule="auto"/>
        <w:ind w:firstLine="420" w:firstLineChars="200"/>
        <w:rPr>
          <w:szCs w:val="21"/>
          <w:highlight w:val="none"/>
        </w:rPr>
      </w:pPr>
    </w:p>
    <w:p>
      <w:pPr>
        <w:snapToGrid w:val="0"/>
        <w:spacing w:line="480" w:lineRule="auto"/>
        <w:ind w:firstLine="420" w:firstLineChars="200"/>
        <w:rPr>
          <w:szCs w:val="21"/>
          <w:highlight w:val="none"/>
        </w:rPr>
      </w:pPr>
      <w:r>
        <w:rPr>
          <w:rFonts w:hint="eastAsia"/>
          <w:kern w:val="0"/>
          <w:szCs w:val="21"/>
          <w:highlight w:val="none"/>
          <w:shd w:val="clear" w:color="auto" w:fill="FFFFFF"/>
        </w:rPr>
        <w:t> </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投标人：</w:t>
      </w:r>
      <w:r>
        <w:rPr>
          <w:rFonts w:hint="eastAsia"/>
          <w:kern w:val="0"/>
          <w:szCs w:val="21"/>
          <w:highlight w:val="none"/>
          <w:u w:val="single"/>
          <w:shd w:val="clear" w:color="auto" w:fill="FFFFFF"/>
        </w:rPr>
        <w:t>                    </w:t>
      </w:r>
      <w:r>
        <w:rPr>
          <w:rFonts w:hint="eastAsia"/>
          <w:kern w:val="0"/>
          <w:szCs w:val="21"/>
          <w:highlight w:val="none"/>
          <w:shd w:val="clear" w:color="auto" w:fill="FFFFFF"/>
        </w:rPr>
        <w:t>（盖单位章）</w:t>
      </w:r>
    </w:p>
    <w:p>
      <w:pPr>
        <w:snapToGrid w:val="0"/>
        <w:spacing w:line="480" w:lineRule="auto"/>
        <w:ind w:firstLine="420" w:firstLineChars="200"/>
        <w:jc w:val="right"/>
        <w:rPr>
          <w:szCs w:val="21"/>
          <w:highlight w:val="none"/>
        </w:rPr>
      </w:pPr>
      <w:r>
        <w:rPr>
          <w:rFonts w:hint="eastAsia"/>
          <w:kern w:val="0"/>
          <w:szCs w:val="21"/>
          <w:highlight w:val="none"/>
          <w:shd w:val="clear" w:color="auto" w:fill="FFFFFF"/>
        </w:rPr>
        <w:t>法定代表人或其委托代理人：</w:t>
      </w:r>
      <w:r>
        <w:rPr>
          <w:rFonts w:hint="eastAsia"/>
          <w:kern w:val="0"/>
          <w:szCs w:val="21"/>
          <w:highlight w:val="none"/>
          <w:u w:val="single"/>
          <w:shd w:val="clear" w:color="auto" w:fill="FFFFFF"/>
        </w:rPr>
        <w:t>               </w:t>
      </w:r>
      <w:r>
        <w:rPr>
          <w:rFonts w:hint="eastAsia"/>
          <w:kern w:val="0"/>
          <w:szCs w:val="21"/>
          <w:highlight w:val="none"/>
          <w:shd w:val="clear" w:color="auto" w:fill="FFFFFF"/>
        </w:rPr>
        <w:t>（签字）</w:t>
      </w:r>
    </w:p>
    <w:p>
      <w:pPr>
        <w:snapToGrid w:val="0"/>
        <w:spacing w:line="480" w:lineRule="auto"/>
        <w:ind w:firstLine="420" w:firstLineChars="200"/>
        <w:jc w:val="right"/>
        <w:rPr>
          <w:szCs w:val="21"/>
          <w:highlight w:val="none"/>
        </w:rPr>
      </w:pPr>
      <w:r>
        <w:rPr>
          <w:rFonts w:hint="eastAsia"/>
          <w:kern w:val="0"/>
          <w:szCs w:val="21"/>
          <w:highlight w:val="none"/>
          <w:u w:val="single"/>
          <w:shd w:val="clear" w:color="auto" w:fill="FFFFFF"/>
        </w:rPr>
        <w:t>          </w:t>
      </w:r>
      <w:r>
        <w:rPr>
          <w:rFonts w:hint="eastAsia"/>
          <w:kern w:val="0"/>
          <w:szCs w:val="21"/>
          <w:highlight w:val="none"/>
          <w:shd w:val="clear" w:color="auto" w:fill="FFFFFF"/>
        </w:rPr>
        <w:t>年</w:t>
      </w:r>
      <w:r>
        <w:rPr>
          <w:rFonts w:hint="eastAsia"/>
          <w:kern w:val="0"/>
          <w:szCs w:val="21"/>
          <w:highlight w:val="none"/>
          <w:u w:val="single"/>
          <w:shd w:val="clear" w:color="auto" w:fill="FFFFFF"/>
        </w:rPr>
        <w:t>        </w:t>
      </w:r>
      <w:r>
        <w:rPr>
          <w:rFonts w:hint="eastAsia"/>
          <w:kern w:val="0"/>
          <w:szCs w:val="21"/>
          <w:highlight w:val="none"/>
          <w:shd w:val="clear" w:color="auto" w:fill="FFFFFF"/>
        </w:rPr>
        <w:t>月</w:t>
      </w:r>
      <w:r>
        <w:rPr>
          <w:rFonts w:hint="eastAsia"/>
          <w:kern w:val="0"/>
          <w:szCs w:val="21"/>
          <w:highlight w:val="none"/>
          <w:u w:val="single"/>
          <w:shd w:val="clear" w:color="auto" w:fill="FFFFFF"/>
        </w:rPr>
        <w:t>        </w:t>
      </w:r>
      <w:r>
        <w:rPr>
          <w:rFonts w:hint="eastAsia"/>
          <w:kern w:val="0"/>
          <w:szCs w:val="21"/>
          <w:highlight w:val="none"/>
          <w:shd w:val="clear" w:color="auto" w:fill="FFFFFF"/>
        </w:rPr>
        <w:t>日</w:t>
      </w:r>
      <w:bookmarkStart w:id="1095" w:name="_Toc25994"/>
      <w:bookmarkEnd w:id="1095"/>
      <w:bookmarkStart w:id="1096" w:name="_Toc27204"/>
      <w:bookmarkEnd w:id="1096"/>
    </w:p>
    <w:p>
      <w:pPr>
        <w:rPr>
          <w:highlight w:val="none"/>
        </w:rPr>
      </w:pPr>
    </w:p>
    <w:p>
      <w:pPr>
        <w:rPr>
          <w:highlight w:val="none"/>
        </w:rPr>
      </w:pPr>
    </w:p>
    <w:p>
      <w:pPr>
        <w:rPr>
          <w:highlight w:val="none"/>
        </w:rPr>
      </w:pPr>
    </w:p>
    <w:p>
      <w:pPr>
        <w:rPr>
          <w:highlight w:val="none"/>
        </w:rPr>
      </w:pPr>
    </w:p>
    <w:p>
      <w:pPr>
        <w:rPr>
          <w:highlight w:val="none"/>
        </w:rPr>
      </w:pPr>
    </w:p>
    <w:p>
      <w:pPr>
        <w:jc w:val="right"/>
        <w:rPr>
          <w:rFonts w:hint="eastAsia" w:ascii="Arial" w:hAnsi="Arial" w:cs="Arial"/>
          <w:szCs w:val="21"/>
          <w:highlight w:val="none"/>
        </w:rPr>
      </w:pPr>
    </w:p>
    <w:p>
      <w:pPr>
        <w:pStyle w:val="2"/>
        <w:snapToGrid w:val="0"/>
        <w:spacing w:before="120" w:after="120" w:line="360" w:lineRule="auto"/>
        <w:rPr>
          <w:rFonts w:hint="eastAsia" w:cs="Arial"/>
          <w:bCs w:val="0"/>
          <w:highlight w:val="none"/>
        </w:rPr>
      </w:pPr>
      <w:r>
        <w:rPr>
          <w:rFonts w:hint="eastAsia" w:cs="Arial"/>
          <w:bCs w:val="0"/>
          <w:highlight w:val="none"/>
        </w:rPr>
        <w:br w:type="page"/>
      </w:r>
      <w:bookmarkStart w:id="1097" w:name="_Toc30285"/>
      <w:bookmarkStart w:id="1098" w:name="_Toc22723"/>
      <w:r>
        <w:rPr>
          <w:rFonts w:hint="eastAsia" w:cs="Arial"/>
          <w:bCs w:val="0"/>
          <w:highlight w:val="none"/>
        </w:rPr>
        <w:t>（四）中小企业声明函</w:t>
      </w:r>
      <w:bookmarkEnd w:id="1097"/>
      <w:bookmarkEnd w:id="1098"/>
    </w:p>
    <w:p>
      <w:pPr>
        <w:rPr>
          <w:rFonts w:hint="eastAsia" w:ascii="Arial" w:hAnsi="Arial" w:cs="Arial"/>
          <w:szCs w:val="21"/>
          <w:highlight w:val="none"/>
        </w:rPr>
      </w:pPr>
    </w:p>
    <w:p>
      <w:pPr>
        <w:spacing w:line="360" w:lineRule="auto"/>
        <w:ind w:firstLine="643" w:firstLineChars="200"/>
        <w:jc w:val="center"/>
        <w:rPr>
          <w:rFonts w:hint="eastAsia"/>
          <w:b/>
          <w:sz w:val="32"/>
          <w:szCs w:val="32"/>
          <w:highlight w:val="none"/>
        </w:rPr>
      </w:pPr>
      <w:r>
        <w:rPr>
          <w:rFonts w:hint="eastAsia"/>
          <w:b/>
          <w:sz w:val="32"/>
          <w:szCs w:val="32"/>
          <w:highlight w:val="none"/>
        </w:rPr>
        <w:t>中小企业声明函（服务）</w:t>
      </w:r>
    </w:p>
    <w:p>
      <w:pPr>
        <w:spacing w:line="360" w:lineRule="auto"/>
        <w:ind w:firstLine="420" w:firstLineChars="200"/>
        <w:rPr>
          <w:rFonts w:hint="eastAsia"/>
          <w:szCs w:val="21"/>
          <w:highlight w:val="none"/>
        </w:rPr>
      </w:pPr>
      <w:r>
        <w:rPr>
          <w:rFonts w:hint="eastAsia"/>
          <w:szCs w:val="21"/>
          <w:highlight w:val="none"/>
        </w:rPr>
        <w:t>本公司（联合体）郑重声明，根据《政府采购促进中小企业发展管理办法》 （财库﹝2020﹞46号）的规定，本公司（联合体）参加</w:t>
      </w:r>
      <w:r>
        <w:rPr>
          <w:rFonts w:hint="eastAsia"/>
          <w:szCs w:val="21"/>
          <w:highlight w:val="none"/>
          <w:u w:val="single"/>
        </w:rPr>
        <w:t xml:space="preserve"> </w:t>
      </w:r>
      <w:r>
        <w:rPr>
          <w:szCs w:val="21"/>
          <w:highlight w:val="none"/>
          <w:u w:val="single"/>
        </w:rPr>
        <w:t xml:space="preserve">  </w:t>
      </w:r>
      <w:r>
        <w:rPr>
          <w:rFonts w:hint="eastAsia"/>
          <w:i/>
          <w:szCs w:val="21"/>
          <w:highlight w:val="none"/>
          <w:u w:val="single"/>
        </w:rPr>
        <w:t>（单位名称）</w:t>
      </w:r>
      <w:r>
        <w:rPr>
          <w:rFonts w:hint="eastAsia"/>
          <w:szCs w:val="21"/>
          <w:highlight w:val="none"/>
          <w:u w:val="single"/>
        </w:rPr>
        <w:t xml:space="preserve"> </w:t>
      </w:r>
      <w:r>
        <w:rPr>
          <w:szCs w:val="21"/>
          <w:highlight w:val="none"/>
          <w:u w:val="single"/>
        </w:rPr>
        <w:t xml:space="preserve">   </w:t>
      </w:r>
      <w:r>
        <w:rPr>
          <w:rFonts w:hint="eastAsia"/>
          <w:szCs w:val="21"/>
          <w:highlight w:val="none"/>
        </w:rPr>
        <w:t>的</w:t>
      </w:r>
      <w:r>
        <w:rPr>
          <w:rFonts w:hint="eastAsia"/>
          <w:szCs w:val="21"/>
          <w:highlight w:val="none"/>
          <w:u w:val="single"/>
        </w:rPr>
        <w:t xml:space="preserve"> </w:t>
      </w:r>
      <w:r>
        <w:rPr>
          <w:szCs w:val="21"/>
          <w:highlight w:val="none"/>
          <w:u w:val="single"/>
        </w:rPr>
        <w:t xml:space="preserve">  </w:t>
      </w:r>
      <w:r>
        <w:rPr>
          <w:rFonts w:hint="eastAsia"/>
          <w:i/>
          <w:szCs w:val="21"/>
          <w:highlight w:val="none"/>
          <w:u w:val="single"/>
        </w:rPr>
        <w:t>（项目名称）</w:t>
      </w:r>
      <w:r>
        <w:rPr>
          <w:rFonts w:hint="eastAsia"/>
          <w:szCs w:val="21"/>
          <w:highlight w:val="none"/>
          <w:u w:val="single"/>
        </w:rPr>
        <w:t xml:space="preserve"> </w:t>
      </w:r>
      <w:r>
        <w:rPr>
          <w:szCs w:val="21"/>
          <w:highlight w:val="none"/>
          <w:u w:val="single"/>
        </w:rPr>
        <w:t xml:space="preserve"> </w:t>
      </w:r>
      <w:r>
        <w:rPr>
          <w:rFonts w:ascii="Arial" w:hAnsi="Arial" w:cs="Arial"/>
          <w:szCs w:val="21"/>
          <w:highlight w:val="none"/>
        </w:rPr>
        <w:t xml:space="preserve"> </w:t>
      </w:r>
      <w:r>
        <w:rPr>
          <w:rFonts w:hint="eastAsia" w:ascii="Arial" w:hAnsi="Arial" w:cs="Arial"/>
          <w:szCs w:val="21"/>
          <w:highlight w:val="none"/>
        </w:rPr>
        <w:t xml:space="preserve">  </w:t>
      </w:r>
      <w:r>
        <w:rPr>
          <w:szCs w:val="21"/>
          <w:highlight w:val="none"/>
          <w:u w:val="single"/>
        </w:rPr>
        <w:t xml:space="preserve">  </w:t>
      </w:r>
      <w:r>
        <w:rPr>
          <w:rFonts w:hint="eastAsia"/>
          <w:szCs w:val="21"/>
          <w:highlight w:val="none"/>
        </w:rPr>
        <w:t>采购活动，服务全部由符合政策要求的中小企业承接。相关企业（含联合体中的中小企业、签订分包意向协议的中小企业）的具体情况如下：</w:t>
      </w:r>
    </w:p>
    <w:p>
      <w:pPr>
        <w:spacing w:line="360" w:lineRule="auto"/>
        <w:ind w:firstLine="420" w:firstLineChars="200"/>
        <w:rPr>
          <w:rFonts w:hint="eastAsia"/>
          <w:szCs w:val="21"/>
          <w:highlight w:val="none"/>
        </w:rPr>
      </w:pPr>
      <w:r>
        <w:rPr>
          <w:rFonts w:hint="eastAsia"/>
          <w:szCs w:val="21"/>
          <w:highlight w:val="none"/>
        </w:rPr>
        <w:t>1.</w:t>
      </w:r>
      <w:r>
        <w:rPr>
          <w:szCs w:val="21"/>
          <w:highlight w:val="none"/>
        </w:rPr>
        <w:t xml:space="preserve"> </w:t>
      </w:r>
      <w:r>
        <w:rPr>
          <w:i/>
          <w:szCs w:val="21"/>
          <w:highlight w:val="none"/>
          <w:u w:val="single"/>
        </w:rPr>
        <w:t xml:space="preserve">    </w:t>
      </w:r>
      <w:r>
        <w:rPr>
          <w:rFonts w:hint="eastAsia"/>
          <w:i/>
          <w:szCs w:val="21"/>
          <w:highlight w:val="none"/>
          <w:u w:val="single"/>
        </w:rPr>
        <w:t xml:space="preserve">（标的名称） </w:t>
      </w:r>
      <w:r>
        <w:rPr>
          <w:i/>
          <w:szCs w:val="21"/>
          <w:highlight w:val="none"/>
          <w:u w:val="single"/>
        </w:rPr>
        <w:t xml:space="preserve">    </w:t>
      </w:r>
      <w:r>
        <w:rPr>
          <w:rFonts w:hint="eastAsia"/>
          <w:szCs w:val="21"/>
          <w:highlight w:val="none"/>
        </w:rPr>
        <w:t>，属于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lang w:val="en-US" w:eastAsia="zh-CN"/>
        </w:rPr>
        <w:t xml:space="preserve">  </w:t>
      </w:r>
      <w:r>
        <w:rPr>
          <w:i/>
          <w:szCs w:val="21"/>
          <w:highlight w:val="none"/>
          <w:u w:val="single"/>
        </w:rPr>
        <w:t xml:space="preserve">   </w:t>
      </w:r>
      <w:r>
        <w:rPr>
          <w:rFonts w:hint="eastAsia"/>
          <w:szCs w:val="21"/>
          <w:highlight w:val="none"/>
        </w:rPr>
        <w:t xml:space="preserve"> ；承接企业为</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（企业名称） </w:t>
      </w:r>
      <w:r>
        <w:rPr>
          <w:i/>
          <w:szCs w:val="21"/>
          <w:highlight w:val="none"/>
          <w:u w:val="single"/>
        </w:rPr>
        <w:t xml:space="preserve">   </w:t>
      </w:r>
      <w:r>
        <w:rPr>
          <w:rFonts w:hint="eastAsia"/>
          <w:i/>
          <w:szCs w:val="21"/>
          <w:highlight w:val="none"/>
          <w:u w:val="single"/>
        </w:rPr>
        <w:t xml:space="preserve"> </w:t>
      </w:r>
      <w:r>
        <w:rPr>
          <w:rFonts w:hint="eastAsia"/>
          <w:szCs w:val="21"/>
          <w:highlight w:val="none"/>
        </w:rPr>
        <w:t>，从业人员</w:t>
      </w:r>
      <w:r>
        <w:rPr>
          <w:rFonts w:hint="eastAsia"/>
          <w:szCs w:val="21"/>
          <w:highlight w:val="none"/>
          <w:u w:val="single"/>
        </w:rPr>
        <w:t xml:space="preserve"> </w:t>
      </w:r>
      <w:r>
        <w:rPr>
          <w:szCs w:val="21"/>
          <w:highlight w:val="none"/>
          <w:u w:val="single"/>
        </w:rPr>
        <w:t xml:space="preserve">        </w:t>
      </w:r>
      <w:r>
        <w:rPr>
          <w:rFonts w:hint="eastAsia"/>
          <w:szCs w:val="21"/>
          <w:highlight w:val="none"/>
        </w:rPr>
        <w:t>人，营业收入为</w:t>
      </w:r>
      <w:r>
        <w:rPr>
          <w:rFonts w:hint="eastAsia"/>
          <w:szCs w:val="21"/>
          <w:highlight w:val="none"/>
          <w:u w:val="single"/>
        </w:rPr>
        <w:t xml:space="preserve"> </w:t>
      </w:r>
      <w:r>
        <w:rPr>
          <w:szCs w:val="21"/>
          <w:highlight w:val="none"/>
          <w:u w:val="single"/>
        </w:rPr>
        <w:t xml:space="preserve">                  </w:t>
      </w:r>
      <w:r>
        <w:rPr>
          <w:rFonts w:hint="eastAsia"/>
          <w:szCs w:val="21"/>
          <w:highlight w:val="none"/>
        </w:rPr>
        <w:t>万元，资产总额为</w:t>
      </w:r>
      <w:r>
        <w:rPr>
          <w:rFonts w:hint="eastAsia"/>
          <w:szCs w:val="21"/>
          <w:highlight w:val="none"/>
          <w:u w:val="single"/>
        </w:rPr>
        <w:t xml:space="preserve"> </w:t>
      </w:r>
      <w:r>
        <w:rPr>
          <w:szCs w:val="21"/>
          <w:highlight w:val="none"/>
          <w:u w:val="single"/>
        </w:rPr>
        <w:t xml:space="preserve">              </w:t>
      </w:r>
      <w:r>
        <w:rPr>
          <w:rFonts w:hint="eastAsia"/>
          <w:szCs w:val="21"/>
          <w:highlight w:val="none"/>
        </w:rPr>
        <w:t>万元，属于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（中型企业、小型企业、微型企业） </w:t>
      </w:r>
      <w:r>
        <w:rPr>
          <w:i/>
          <w:szCs w:val="21"/>
          <w:highlight w:val="none"/>
          <w:u w:val="single"/>
        </w:rPr>
        <w:t xml:space="preserve">   </w:t>
      </w:r>
      <w:r>
        <w:rPr>
          <w:rFonts w:hint="eastAsia"/>
          <w:szCs w:val="21"/>
          <w:highlight w:val="none"/>
        </w:rPr>
        <w:t xml:space="preserve"> ；</w:t>
      </w:r>
    </w:p>
    <w:p>
      <w:pPr>
        <w:spacing w:line="360" w:lineRule="auto"/>
        <w:ind w:firstLine="420" w:firstLineChars="200"/>
        <w:rPr>
          <w:rFonts w:hint="eastAsia"/>
          <w:szCs w:val="21"/>
          <w:highlight w:val="none"/>
        </w:rPr>
      </w:pPr>
      <w:r>
        <w:rPr>
          <w:rFonts w:hint="eastAsia"/>
          <w:szCs w:val="21"/>
          <w:highlight w:val="none"/>
        </w:rPr>
        <w:t xml:space="preserve">2. </w:t>
      </w:r>
      <w:r>
        <w:rPr>
          <w:i/>
          <w:szCs w:val="21"/>
          <w:highlight w:val="none"/>
          <w:u w:val="single"/>
        </w:rPr>
        <w:t xml:space="preserve">    </w:t>
      </w:r>
      <w:r>
        <w:rPr>
          <w:rFonts w:hint="eastAsia"/>
          <w:i/>
          <w:szCs w:val="21"/>
          <w:highlight w:val="none"/>
          <w:u w:val="single"/>
        </w:rPr>
        <w:t xml:space="preserve">（标的名称） </w:t>
      </w:r>
      <w:r>
        <w:rPr>
          <w:i/>
          <w:szCs w:val="21"/>
          <w:highlight w:val="none"/>
          <w:u w:val="single"/>
        </w:rPr>
        <w:t xml:space="preserve">    </w:t>
      </w:r>
      <w:r>
        <w:rPr>
          <w:rFonts w:hint="eastAsia"/>
          <w:szCs w:val="21"/>
          <w:highlight w:val="none"/>
        </w:rPr>
        <w:t>，属于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lang w:val="en-US" w:eastAsia="zh-CN"/>
        </w:rPr>
        <w:t xml:space="preserve">    </w:t>
      </w:r>
      <w:r>
        <w:rPr>
          <w:rFonts w:hint="eastAsia"/>
          <w:i/>
          <w:szCs w:val="21"/>
          <w:highlight w:val="none"/>
          <w:u w:val="single"/>
        </w:rPr>
        <w:t xml:space="preserve"> </w:t>
      </w:r>
      <w:r>
        <w:rPr>
          <w:i/>
          <w:szCs w:val="21"/>
          <w:highlight w:val="none"/>
          <w:u w:val="single"/>
        </w:rPr>
        <w:t xml:space="preserve">   </w:t>
      </w:r>
      <w:r>
        <w:rPr>
          <w:rFonts w:hint="eastAsia"/>
          <w:szCs w:val="21"/>
          <w:highlight w:val="none"/>
        </w:rPr>
        <w:t xml:space="preserve"> ；承接企业为</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（企业名称） </w:t>
      </w:r>
      <w:r>
        <w:rPr>
          <w:i/>
          <w:szCs w:val="21"/>
          <w:highlight w:val="none"/>
          <w:u w:val="single"/>
        </w:rPr>
        <w:t xml:space="preserve">   </w:t>
      </w:r>
      <w:r>
        <w:rPr>
          <w:rFonts w:hint="eastAsia"/>
          <w:i/>
          <w:szCs w:val="21"/>
          <w:highlight w:val="none"/>
          <w:u w:val="single"/>
        </w:rPr>
        <w:t xml:space="preserve"> </w:t>
      </w:r>
      <w:r>
        <w:rPr>
          <w:rFonts w:hint="eastAsia"/>
          <w:szCs w:val="21"/>
          <w:highlight w:val="none"/>
        </w:rPr>
        <w:t>，从业人员</w:t>
      </w:r>
      <w:r>
        <w:rPr>
          <w:rFonts w:hint="eastAsia"/>
          <w:szCs w:val="21"/>
          <w:highlight w:val="none"/>
          <w:u w:val="single"/>
        </w:rPr>
        <w:t xml:space="preserve"> </w:t>
      </w:r>
      <w:r>
        <w:rPr>
          <w:szCs w:val="21"/>
          <w:highlight w:val="none"/>
          <w:u w:val="single"/>
        </w:rPr>
        <w:t xml:space="preserve">        </w:t>
      </w:r>
      <w:r>
        <w:rPr>
          <w:rFonts w:hint="eastAsia"/>
          <w:szCs w:val="21"/>
          <w:highlight w:val="none"/>
        </w:rPr>
        <w:t>人，营业收入为</w:t>
      </w:r>
      <w:r>
        <w:rPr>
          <w:rFonts w:hint="eastAsia"/>
          <w:szCs w:val="21"/>
          <w:highlight w:val="none"/>
          <w:u w:val="single"/>
        </w:rPr>
        <w:t xml:space="preserve"> </w:t>
      </w:r>
      <w:r>
        <w:rPr>
          <w:szCs w:val="21"/>
          <w:highlight w:val="none"/>
          <w:u w:val="single"/>
        </w:rPr>
        <w:t xml:space="preserve">                  </w:t>
      </w:r>
      <w:r>
        <w:rPr>
          <w:rFonts w:hint="eastAsia"/>
          <w:szCs w:val="21"/>
          <w:highlight w:val="none"/>
        </w:rPr>
        <w:t>万元，资产总额为</w:t>
      </w:r>
      <w:r>
        <w:rPr>
          <w:rFonts w:hint="eastAsia"/>
          <w:szCs w:val="21"/>
          <w:highlight w:val="none"/>
          <w:u w:val="single"/>
        </w:rPr>
        <w:t xml:space="preserve"> </w:t>
      </w:r>
      <w:r>
        <w:rPr>
          <w:szCs w:val="21"/>
          <w:highlight w:val="none"/>
          <w:u w:val="single"/>
        </w:rPr>
        <w:t xml:space="preserve">              </w:t>
      </w:r>
      <w:r>
        <w:rPr>
          <w:rFonts w:hint="eastAsia"/>
          <w:szCs w:val="21"/>
          <w:highlight w:val="none"/>
        </w:rPr>
        <w:t>万元，属于</w:t>
      </w:r>
      <w:r>
        <w:rPr>
          <w:rFonts w:hint="eastAsia"/>
          <w:i/>
          <w:szCs w:val="21"/>
          <w:highlight w:val="none"/>
          <w:u w:val="single"/>
        </w:rPr>
        <w:t xml:space="preserve"> </w:t>
      </w:r>
      <w:r>
        <w:rPr>
          <w:i/>
          <w:szCs w:val="21"/>
          <w:highlight w:val="none"/>
          <w:u w:val="single"/>
        </w:rPr>
        <w:t xml:space="preserve">  </w:t>
      </w:r>
      <w:r>
        <w:rPr>
          <w:rFonts w:hint="eastAsia"/>
          <w:i/>
          <w:szCs w:val="21"/>
          <w:highlight w:val="none"/>
          <w:u w:val="single"/>
        </w:rPr>
        <w:t xml:space="preserve">（中型企业、小型企业、微型企业） </w:t>
      </w:r>
      <w:r>
        <w:rPr>
          <w:i/>
          <w:szCs w:val="21"/>
          <w:highlight w:val="none"/>
          <w:u w:val="single"/>
        </w:rPr>
        <w:t xml:space="preserve">   </w:t>
      </w:r>
      <w:r>
        <w:rPr>
          <w:rFonts w:hint="eastAsia"/>
          <w:szCs w:val="21"/>
          <w:highlight w:val="none"/>
        </w:rPr>
        <w:t xml:space="preserve"> ；</w:t>
      </w:r>
    </w:p>
    <w:p>
      <w:pPr>
        <w:spacing w:line="360" w:lineRule="auto"/>
        <w:ind w:firstLine="420" w:firstLineChars="200"/>
        <w:rPr>
          <w:szCs w:val="21"/>
          <w:highlight w:val="none"/>
        </w:rPr>
      </w:pPr>
      <w:r>
        <w:rPr>
          <w:rFonts w:hint="eastAsia"/>
          <w:szCs w:val="21"/>
          <w:highlight w:val="none"/>
        </w:rPr>
        <w:t>……</w:t>
      </w:r>
    </w:p>
    <w:p>
      <w:pPr>
        <w:spacing w:line="360" w:lineRule="auto"/>
        <w:ind w:firstLine="420" w:firstLineChars="200"/>
        <w:rPr>
          <w:rFonts w:hint="eastAsia"/>
          <w:szCs w:val="21"/>
          <w:highlight w:val="none"/>
        </w:rPr>
      </w:pPr>
    </w:p>
    <w:p>
      <w:pPr>
        <w:spacing w:line="360" w:lineRule="auto"/>
        <w:ind w:firstLine="422" w:firstLineChars="200"/>
        <w:rPr>
          <w:rFonts w:hint="eastAsia"/>
          <w:szCs w:val="21"/>
          <w:highlight w:val="none"/>
        </w:rPr>
      </w:pPr>
      <w:r>
        <w:rPr>
          <w:rFonts w:hint="eastAsia"/>
          <w:b/>
          <w:bCs/>
          <w:szCs w:val="21"/>
          <w:highlight w:val="none"/>
        </w:rPr>
        <w:t>以上企业，不属于大企业的分支机构，不存在控股股东为大企业的情形，也不存在与大企业的负责人为同一人的情形。</w:t>
      </w:r>
    </w:p>
    <w:p>
      <w:pPr>
        <w:spacing w:line="360" w:lineRule="auto"/>
        <w:ind w:firstLine="420" w:firstLineChars="200"/>
        <w:rPr>
          <w:rFonts w:hint="eastAsia"/>
          <w:szCs w:val="21"/>
          <w:highlight w:val="none"/>
        </w:rPr>
      </w:pPr>
      <w:r>
        <w:rPr>
          <w:rFonts w:hint="eastAsia"/>
          <w:szCs w:val="21"/>
          <w:highlight w:val="none"/>
        </w:rPr>
        <w:t>本企业对上述声明内容的真实性负责。如有虚假，将依法承担相应责任。</w:t>
      </w:r>
    </w:p>
    <w:p>
      <w:pPr>
        <w:spacing w:line="360" w:lineRule="auto"/>
        <w:ind w:firstLine="420" w:firstLineChars="200"/>
        <w:rPr>
          <w:szCs w:val="21"/>
          <w:highlight w:val="none"/>
        </w:rPr>
      </w:pPr>
    </w:p>
    <w:p>
      <w:pPr>
        <w:spacing w:line="360" w:lineRule="auto"/>
        <w:ind w:firstLine="420" w:firstLineChars="200"/>
        <w:rPr>
          <w:szCs w:val="21"/>
          <w:highlight w:val="none"/>
        </w:rPr>
      </w:pPr>
    </w:p>
    <w:p>
      <w:pPr>
        <w:spacing w:line="360" w:lineRule="auto"/>
        <w:ind w:firstLine="4830" w:firstLineChars="2300"/>
        <w:rPr>
          <w:rFonts w:hint="eastAsia"/>
          <w:szCs w:val="21"/>
          <w:highlight w:val="none"/>
        </w:rPr>
      </w:pPr>
      <w:r>
        <w:rPr>
          <w:rFonts w:hint="eastAsia"/>
          <w:szCs w:val="21"/>
          <w:highlight w:val="none"/>
        </w:rPr>
        <w:t>企业名称（盖章） ：</w:t>
      </w:r>
    </w:p>
    <w:p>
      <w:pPr>
        <w:spacing w:line="360" w:lineRule="auto"/>
        <w:ind w:firstLine="420" w:firstLineChars="200"/>
        <w:rPr>
          <w:rFonts w:hint="eastAsia"/>
          <w:szCs w:val="21"/>
          <w:highlight w:val="none"/>
        </w:rPr>
      </w:pPr>
    </w:p>
    <w:p>
      <w:pPr>
        <w:spacing w:line="360" w:lineRule="auto"/>
        <w:ind w:firstLine="5250" w:firstLineChars="2500"/>
        <w:rPr>
          <w:szCs w:val="21"/>
          <w:highlight w:val="none"/>
        </w:rPr>
      </w:pPr>
      <w:r>
        <w:rPr>
          <w:rFonts w:hint="eastAsia"/>
          <w:szCs w:val="21"/>
          <w:highlight w:val="none"/>
        </w:rPr>
        <w:t>日期：</w:t>
      </w:r>
    </w:p>
    <w:p>
      <w:pPr>
        <w:spacing w:line="360" w:lineRule="auto"/>
        <w:ind w:firstLine="5250" w:firstLineChars="2500"/>
        <w:rPr>
          <w:szCs w:val="21"/>
          <w:highlight w:val="none"/>
        </w:rPr>
      </w:pPr>
    </w:p>
    <w:p>
      <w:pPr>
        <w:spacing w:line="360" w:lineRule="auto"/>
        <w:jc w:val="left"/>
        <w:rPr>
          <w:rFonts w:hint="eastAsia"/>
          <w:szCs w:val="21"/>
          <w:highlight w:val="none"/>
        </w:rPr>
      </w:pPr>
      <w:r>
        <w:rPr>
          <w:rFonts w:hint="eastAsia"/>
          <w:szCs w:val="21"/>
          <w:highlight w:val="none"/>
        </w:rPr>
        <w:t xml:space="preserve"> </w:t>
      </w:r>
      <w:r>
        <w:rPr>
          <w:szCs w:val="21"/>
          <w:highlight w:val="none"/>
        </w:rPr>
        <w:t xml:space="preserve">  </w:t>
      </w:r>
      <w:r>
        <w:rPr>
          <w:rFonts w:hint="eastAsia"/>
          <w:szCs w:val="21"/>
          <w:highlight w:val="none"/>
        </w:rPr>
        <w:t>备注：</w:t>
      </w:r>
    </w:p>
    <w:p>
      <w:pPr>
        <w:spacing w:line="360" w:lineRule="auto"/>
        <w:ind w:firstLine="840" w:firstLineChars="400"/>
        <w:rPr>
          <w:szCs w:val="21"/>
          <w:highlight w:val="none"/>
        </w:rPr>
      </w:pPr>
      <w:r>
        <w:rPr>
          <w:rFonts w:hint="eastAsia"/>
          <w:szCs w:val="21"/>
          <w:highlight w:val="none"/>
        </w:rPr>
        <w:t>1、从业人员、营业收入、资产总额填报上一年度数据，无上一年度数据的新成立企业可不填报。</w:t>
      </w:r>
    </w:p>
    <w:p>
      <w:pPr>
        <w:spacing w:line="360" w:lineRule="auto"/>
        <w:ind w:firstLine="446" w:firstLineChars="200"/>
        <w:rPr>
          <w:szCs w:val="21"/>
          <w:highlight w:val="none"/>
        </w:rPr>
      </w:pPr>
      <w:r>
        <w:rPr>
          <w:rFonts w:ascii="宋体" w:hAnsi="宋体" w:cs="宋体"/>
          <w:b/>
          <w:spacing w:val="6"/>
          <w:szCs w:val="21"/>
          <w:highlight w:val="none"/>
        </w:rPr>
        <w:t xml:space="preserve">   </w:t>
      </w:r>
      <w:r>
        <w:rPr>
          <w:rFonts w:hint="eastAsia"/>
          <w:szCs w:val="21"/>
          <w:highlight w:val="none"/>
        </w:rPr>
        <w:t>2、以联合体形式参加政府采购活动，联合体各方均为中小企业的，联合体视同中小企业。其中，联合体各方均为小微企业的，联合体视同小微企业。</w:t>
      </w:r>
    </w:p>
    <w:p>
      <w:pPr>
        <w:snapToGrid w:val="0"/>
        <w:spacing w:line="300" w:lineRule="auto"/>
        <w:ind w:firstLine="779" w:firstLineChars="371"/>
        <w:jc w:val="left"/>
        <w:rPr>
          <w:szCs w:val="21"/>
          <w:highlight w:val="none"/>
        </w:rPr>
      </w:pPr>
      <w:r>
        <w:rPr>
          <w:rFonts w:hint="eastAsia"/>
          <w:szCs w:val="21"/>
          <w:highlight w:val="none"/>
        </w:rPr>
        <w:t>3、在服务采购项目中，服务由中小企业承接，即提供服务的人员为中小企业依照《中华人民共和国劳动合同法》订立劳动合同的从业人员。</w:t>
      </w:r>
    </w:p>
    <w:p>
      <w:pPr>
        <w:snapToGrid w:val="0"/>
        <w:spacing w:line="300" w:lineRule="auto"/>
        <w:ind w:firstLine="779" w:firstLineChars="371"/>
        <w:jc w:val="left"/>
        <w:rPr>
          <w:rFonts w:hint="eastAsia"/>
          <w:szCs w:val="21"/>
          <w:highlight w:val="none"/>
        </w:rPr>
      </w:pPr>
      <w:r>
        <w:rPr>
          <w:rFonts w:hint="eastAsia"/>
          <w:szCs w:val="21"/>
          <w:highlight w:val="none"/>
        </w:rPr>
        <w:t>4、符合中小企业划分标准的个体工商户，在政府采购活动中视同中小企业。</w:t>
      </w:r>
    </w:p>
    <w:p>
      <w:pPr>
        <w:spacing w:line="360" w:lineRule="auto"/>
        <w:ind w:firstLine="420" w:firstLineChars="200"/>
        <w:rPr>
          <w:rFonts w:hint="eastAsia"/>
          <w:szCs w:val="21"/>
          <w:highlight w:val="none"/>
        </w:rPr>
      </w:pPr>
      <w:r>
        <w:rPr>
          <w:rFonts w:hint="eastAsia"/>
          <w:szCs w:val="21"/>
          <w:highlight w:val="none"/>
        </w:rPr>
        <w:t xml:space="preserve">           </w:t>
      </w:r>
    </w:p>
    <w:p>
      <w:pPr>
        <w:spacing w:line="360" w:lineRule="auto"/>
        <w:ind w:firstLine="2266" w:firstLineChars="1021"/>
        <w:jc w:val="right"/>
        <w:rPr>
          <w:rFonts w:hint="eastAsia" w:ascii="宋体" w:hAnsi="宋体" w:cs="宋体"/>
          <w:spacing w:val="6"/>
          <w:szCs w:val="21"/>
          <w:highlight w:val="none"/>
        </w:rPr>
      </w:pPr>
      <w:r>
        <w:rPr>
          <w:rFonts w:hint="eastAsia" w:ascii="宋体" w:hAnsi="宋体" w:cs="宋体"/>
          <w:spacing w:val="6"/>
          <w:szCs w:val="21"/>
          <w:highlight w:val="none"/>
        </w:rPr>
        <w:t xml:space="preserve"> </w:t>
      </w:r>
    </w:p>
    <w:p>
      <w:pPr>
        <w:rPr>
          <w:rFonts w:ascii="Arial" w:hAnsi="Arial" w:cs="Arial"/>
          <w:szCs w:val="21"/>
          <w:highlight w:val="none"/>
        </w:rPr>
      </w:pPr>
    </w:p>
    <w:p>
      <w:pPr>
        <w:pStyle w:val="2"/>
        <w:snapToGrid w:val="0"/>
        <w:spacing w:before="120" w:after="120" w:line="360" w:lineRule="auto"/>
        <w:rPr>
          <w:rFonts w:cs="Arial"/>
          <w:bCs w:val="0"/>
          <w:highlight w:val="none"/>
        </w:rPr>
      </w:pPr>
      <w:r>
        <w:rPr>
          <w:rFonts w:cs="Arial"/>
          <w:highlight w:val="none"/>
        </w:rPr>
        <w:br w:type="page"/>
      </w:r>
      <w:bookmarkStart w:id="1099" w:name="_Toc432367435"/>
      <w:bookmarkStart w:id="1100" w:name="_Toc430813365"/>
      <w:bookmarkStart w:id="1101" w:name="_Toc4475"/>
      <w:bookmarkStart w:id="1102" w:name="_Toc1410"/>
      <w:r>
        <w:rPr>
          <w:rFonts w:hint="eastAsia" w:cs="Arial"/>
          <w:bCs w:val="0"/>
          <w:highlight w:val="none"/>
        </w:rPr>
        <w:t>（五）</w:t>
      </w:r>
      <w:bookmarkEnd w:id="1099"/>
      <w:bookmarkEnd w:id="1100"/>
      <w:r>
        <w:rPr>
          <w:rFonts w:hint="eastAsia" w:ascii="宋体" w:hAnsi="宋体" w:cs="Arial"/>
          <w:szCs w:val="21"/>
          <w:highlight w:val="none"/>
        </w:rPr>
        <w:t>监狱企业证明文件</w:t>
      </w:r>
      <w:bookmarkEnd w:id="1101"/>
      <w:bookmarkEnd w:id="1102"/>
    </w:p>
    <w:p>
      <w:pPr>
        <w:widowControl/>
        <w:spacing w:before="100" w:beforeAutospacing="1" w:after="100" w:afterAutospacing="1"/>
        <w:ind w:firstLine="315" w:firstLineChars="150"/>
        <w:rPr>
          <w:rFonts w:hint="eastAsia" w:ascii="Arial" w:hAnsi="Arial" w:cs="Arial"/>
          <w:szCs w:val="21"/>
          <w:highlight w:val="none"/>
        </w:rPr>
      </w:pPr>
      <w:r>
        <w:rPr>
          <w:rFonts w:hint="eastAsia" w:ascii="Arial" w:hAnsi="Arial" w:cs="Arial"/>
          <w:szCs w:val="21"/>
          <w:highlight w:val="none"/>
        </w:rPr>
        <w:t>投标人如是</w:t>
      </w:r>
      <w:r>
        <w:rPr>
          <w:rFonts w:hint="eastAsia" w:ascii="宋体" w:hAnsi="宋体" w:cs="Arial"/>
          <w:szCs w:val="21"/>
          <w:highlight w:val="none"/>
        </w:rPr>
        <w:t>监狱企业，提供相关证明文件。</w:t>
      </w: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ascii="Arial" w:hAnsi="Arial" w:cs="Arial"/>
          <w:szCs w:val="21"/>
          <w:highlight w:val="none"/>
        </w:rPr>
      </w:pPr>
    </w:p>
    <w:p>
      <w:pPr>
        <w:spacing w:line="300" w:lineRule="auto"/>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szCs w:val="21"/>
          <w:highlight w:val="none"/>
          <w:u w:val="singl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rPr>
          <w:rFonts w:hint="eastAsia"/>
          <w:highlight w:val="none"/>
        </w:rPr>
      </w:pPr>
    </w:p>
    <w:p>
      <w:pPr>
        <w:rPr>
          <w:rFonts w:hint="eastAsia"/>
          <w:highlight w:val="none"/>
        </w:rPr>
      </w:pPr>
    </w:p>
    <w:p>
      <w:pPr>
        <w:pStyle w:val="2"/>
        <w:snapToGrid w:val="0"/>
        <w:spacing w:before="120" w:after="120" w:line="360" w:lineRule="auto"/>
        <w:rPr>
          <w:rFonts w:cs="Arial"/>
          <w:bCs w:val="0"/>
          <w:highlight w:val="none"/>
        </w:rPr>
      </w:pPr>
      <w:r>
        <w:rPr>
          <w:highlight w:val="none"/>
        </w:rPr>
        <w:br w:type="page"/>
      </w:r>
      <w:bookmarkStart w:id="1103" w:name="_Toc32686"/>
      <w:bookmarkStart w:id="1104" w:name="_Toc21228"/>
      <w:r>
        <w:rPr>
          <w:rFonts w:hint="eastAsia" w:cs="Arial"/>
          <w:bCs w:val="0"/>
          <w:highlight w:val="none"/>
        </w:rPr>
        <w:t>（六）</w:t>
      </w:r>
      <w:r>
        <w:rPr>
          <w:rFonts w:ascii="宋体" w:hAnsi="宋体" w:cs="Arial"/>
          <w:szCs w:val="21"/>
          <w:highlight w:val="none"/>
        </w:rPr>
        <w:t>残疾人福利性单位声明函</w:t>
      </w:r>
      <w:bookmarkEnd w:id="1103"/>
      <w:bookmarkEnd w:id="1104"/>
    </w:p>
    <w:p>
      <w:pPr>
        <w:spacing w:line="588" w:lineRule="exact"/>
        <w:jc w:val="center"/>
        <w:rPr>
          <w:rFonts w:ascii="宋体" w:hAnsi="宋体"/>
          <w:b/>
          <w:spacing w:val="6"/>
          <w:szCs w:val="21"/>
          <w:highlight w:val="none"/>
        </w:rPr>
      </w:pPr>
      <w:bookmarkStart w:id="1105" w:name="OLE_LINK13"/>
      <w:bookmarkStart w:id="1106" w:name="OLE_LINK14"/>
      <w:r>
        <w:rPr>
          <w:rFonts w:hint="eastAsia" w:ascii="宋体" w:hAnsi="宋体"/>
          <w:b/>
          <w:spacing w:val="6"/>
          <w:szCs w:val="21"/>
          <w:highlight w:val="none"/>
        </w:rPr>
        <w:t>残疾人福利性单位声明函</w:t>
      </w:r>
    </w:p>
    <w:bookmarkEnd w:id="1105"/>
    <w:bookmarkEnd w:id="1106"/>
    <w:p>
      <w:pPr>
        <w:spacing w:line="588" w:lineRule="exact"/>
        <w:rPr>
          <w:rFonts w:ascii="宋体" w:hAnsi="宋体"/>
          <w:b/>
          <w:spacing w:val="6"/>
          <w:szCs w:val="21"/>
          <w:highlight w:val="none"/>
        </w:rPr>
      </w:pPr>
    </w:p>
    <w:p>
      <w:pPr>
        <w:spacing w:line="588" w:lineRule="exact"/>
        <w:ind w:firstLine="444" w:firstLineChars="200"/>
        <w:rPr>
          <w:rFonts w:ascii="宋体" w:hAnsi="宋体"/>
          <w:spacing w:val="6"/>
          <w:szCs w:val="21"/>
          <w:highlight w:val="none"/>
        </w:rPr>
      </w:pPr>
      <w:r>
        <w:rPr>
          <w:rFonts w:hint="eastAsia" w:ascii="宋体" w:hAnsi="宋体"/>
          <w:spacing w:val="6"/>
          <w:szCs w:val="21"/>
          <w:highlight w:val="none"/>
        </w:rPr>
        <w:t>本单位郑重声明，根据《财政部 民政部 中国残疾人联合会关于促进残疾人就业政府采购政策的通知》（财库</w:t>
      </w:r>
      <w:r>
        <w:rPr>
          <w:rFonts w:hint="eastAsia" w:ascii="宋体" w:hAnsi="宋体"/>
          <w:szCs w:val="21"/>
          <w:highlight w:val="none"/>
        </w:rPr>
        <w:t>〔2017〕 141</w:t>
      </w:r>
      <w:r>
        <w:rPr>
          <w:rFonts w:hint="eastAsia" w:ascii="宋体" w:hAnsi="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spacing w:val="6"/>
          <w:szCs w:val="21"/>
          <w:highlight w:val="none"/>
        </w:rPr>
      </w:pPr>
      <w:r>
        <w:rPr>
          <w:rFonts w:hint="eastAsia" w:ascii="宋体" w:hAnsi="宋体"/>
          <w:spacing w:val="6"/>
          <w:szCs w:val="21"/>
          <w:highlight w:val="none"/>
        </w:rPr>
        <w:t>本单位对上述声明的真实性负责。如有虚假，将依法承担相应责任。</w:t>
      </w:r>
    </w:p>
    <w:p>
      <w:pPr>
        <w:tabs>
          <w:tab w:val="left" w:pos="4860"/>
        </w:tabs>
        <w:spacing w:line="588" w:lineRule="exact"/>
        <w:ind w:right="1560" w:firstLine="444" w:firstLineChars="200"/>
        <w:jc w:val="right"/>
        <w:rPr>
          <w:rFonts w:ascii="宋体" w:hAnsi="宋体"/>
          <w:spacing w:val="6"/>
          <w:szCs w:val="21"/>
          <w:highlight w:val="none"/>
        </w:rPr>
      </w:pPr>
      <w:r>
        <w:rPr>
          <w:rFonts w:hint="eastAsia" w:ascii="宋体" w:hAnsi="宋体"/>
          <w:spacing w:val="6"/>
          <w:szCs w:val="21"/>
          <w:highlight w:val="none"/>
        </w:rPr>
        <w:t>单位名称（盖章）：</w:t>
      </w:r>
    </w:p>
    <w:p>
      <w:pPr>
        <w:tabs>
          <w:tab w:val="left" w:pos="4860"/>
        </w:tabs>
        <w:spacing w:line="588" w:lineRule="exact"/>
        <w:ind w:right="1560" w:firstLine="444" w:firstLineChars="200"/>
        <w:jc w:val="right"/>
        <w:rPr>
          <w:rFonts w:hint="eastAsia" w:ascii="宋体" w:hAnsi="宋体"/>
          <w:spacing w:val="6"/>
          <w:szCs w:val="21"/>
          <w:highlight w:val="none"/>
        </w:rPr>
      </w:pPr>
      <w:r>
        <w:rPr>
          <w:rFonts w:hint="eastAsia" w:ascii="宋体" w:hAnsi="宋体"/>
          <w:spacing w:val="6"/>
          <w:szCs w:val="21"/>
          <w:highlight w:val="none"/>
        </w:rPr>
        <w:t>日  期：</w:t>
      </w:r>
    </w:p>
    <w:p>
      <w:pPr>
        <w:tabs>
          <w:tab w:val="left" w:pos="4860"/>
        </w:tabs>
        <w:spacing w:line="588" w:lineRule="exact"/>
        <w:ind w:right="1560"/>
        <w:rPr>
          <w:rFonts w:ascii="宋体" w:hAnsi="宋体"/>
          <w:spacing w:val="6"/>
          <w:szCs w:val="21"/>
          <w:highlight w:val="none"/>
        </w:rPr>
      </w:pPr>
    </w:p>
    <w:p>
      <w:pPr>
        <w:snapToGrid w:val="0"/>
        <w:spacing w:line="300" w:lineRule="auto"/>
        <w:rPr>
          <w:rFonts w:hint="eastAsia"/>
          <w:sz w:val="20"/>
          <w:highlight w:val="none"/>
        </w:rPr>
      </w:pPr>
      <w:r>
        <w:rPr>
          <w:rFonts w:hint="eastAsia"/>
          <w:sz w:val="20"/>
          <w:highlight w:val="none"/>
        </w:rPr>
        <w:t>备注：</w:t>
      </w:r>
    </w:p>
    <w:p>
      <w:pPr>
        <w:snapToGrid w:val="0"/>
        <w:spacing w:line="300" w:lineRule="auto"/>
        <w:ind w:firstLine="400" w:firstLineChars="200"/>
        <w:rPr>
          <w:rFonts w:hint="eastAsia"/>
          <w:sz w:val="20"/>
          <w:highlight w:val="none"/>
        </w:rPr>
      </w:pPr>
      <w:r>
        <w:rPr>
          <w:rFonts w:hint="eastAsia"/>
          <w:sz w:val="20"/>
          <w:highlight w:val="none"/>
        </w:rPr>
        <w:t>1、享受政府采购支持政策的残疾人福利性单位应当同时满足以下条件：</w:t>
      </w:r>
    </w:p>
    <w:p>
      <w:pPr>
        <w:snapToGrid w:val="0"/>
        <w:spacing w:line="300" w:lineRule="auto"/>
        <w:ind w:firstLine="400" w:firstLineChars="200"/>
        <w:rPr>
          <w:rFonts w:hint="eastAsia"/>
          <w:sz w:val="20"/>
          <w:highlight w:val="none"/>
        </w:rPr>
      </w:pPr>
      <w:r>
        <w:rPr>
          <w:rFonts w:hint="eastAsia"/>
          <w:sz w:val="20"/>
          <w:highlight w:val="none"/>
        </w:rPr>
        <w:t>（1）安置的残疾人占本单位在职职工人数的比例不低于25%（含25%），并且安置的残疾人人数不少于10人（含10人）；</w:t>
      </w:r>
    </w:p>
    <w:p>
      <w:pPr>
        <w:snapToGrid w:val="0"/>
        <w:spacing w:line="300" w:lineRule="auto"/>
        <w:ind w:firstLine="400" w:firstLineChars="200"/>
        <w:rPr>
          <w:rFonts w:hint="eastAsia"/>
          <w:sz w:val="20"/>
          <w:highlight w:val="none"/>
        </w:rPr>
      </w:pPr>
      <w:r>
        <w:rPr>
          <w:rFonts w:hint="eastAsia"/>
          <w:sz w:val="20"/>
          <w:highlight w:val="none"/>
        </w:rPr>
        <w:t>（2）依法与安置的每位残疾人签订了一年以上（含一年）的劳动合同或服务协议；</w:t>
      </w:r>
    </w:p>
    <w:p>
      <w:pPr>
        <w:snapToGrid w:val="0"/>
        <w:spacing w:line="300" w:lineRule="auto"/>
        <w:ind w:firstLine="400" w:firstLineChars="200"/>
        <w:rPr>
          <w:rFonts w:hint="eastAsia"/>
          <w:sz w:val="20"/>
          <w:highlight w:val="none"/>
        </w:rPr>
      </w:pPr>
      <w:r>
        <w:rPr>
          <w:rFonts w:hint="eastAsia"/>
          <w:sz w:val="20"/>
          <w:highlight w:val="none"/>
        </w:rPr>
        <w:t>（3）为安置的每位残疾人按月足额缴纳了基本养老保险、基本医疗保险、失业保险、工伤保险和生育保险等社会保险费；</w:t>
      </w:r>
    </w:p>
    <w:p>
      <w:pPr>
        <w:snapToGrid w:val="0"/>
        <w:spacing w:line="300" w:lineRule="auto"/>
        <w:ind w:firstLine="400" w:firstLineChars="200"/>
        <w:rPr>
          <w:rFonts w:hint="eastAsia"/>
          <w:sz w:val="20"/>
          <w:highlight w:val="none"/>
        </w:rPr>
      </w:pPr>
      <w:r>
        <w:rPr>
          <w:rFonts w:hint="eastAsia"/>
          <w:sz w:val="20"/>
          <w:highlight w:val="none"/>
        </w:rPr>
        <w:t>（4）通过银行等金融机构向安置的每位残疾人，按月支付了不低于单位所在区县适用的经省级人民政府批准的月最低工资标准的工资；</w:t>
      </w:r>
    </w:p>
    <w:p>
      <w:pPr>
        <w:snapToGrid w:val="0"/>
        <w:spacing w:line="300" w:lineRule="auto"/>
        <w:ind w:firstLine="400" w:firstLineChars="200"/>
        <w:rPr>
          <w:rFonts w:hint="eastAsia"/>
          <w:sz w:val="20"/>
          <w:highlight w:val="none"/>
        </w:rPr>
      </w:pPr>
      <w:r>
        <w:rPr>
          <w:rFonts w:hint="eastAsia"/>
          <w:sz w:val="20"/>
          <w:highlight w:val="none"/>
        </w:rPr>
        <w:t>（5）提供本单位制造的货物、承担的工程或者服务（以下简称产品），或者提供其他残疾人福利性单位制造的货物（不包括使用非残疾人福利性单位注册商标的货物）。</w:t>
      </w:r>
    </w:p>
    <w:p>
      <w:pPr>
        <w:snapToGrid w:val="0"/>
        <w:spacing w:line="300" w:lineRule="auto"/>
        <w:ind w:firstLine="400" w:firstLineChars="200"/>
        <w:rPr>
          <w:rFonts w:hint="eastAsia"/>
          <w:sz w:val="20"/>
          <w:highlight w:val="none"/>
        </w:rPr>
      </w:pPr>
      <w:r>
        <w:rPr>
          <w:rFonts w:hint="eastAsia"/>
          <w:sz w:val="20"/>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napToGrid w:val="0"/>
        <w:spacing w:line="300" w:lineRule="auto"/>
        <w:ind w:firstLine="400" w:firstLineChars="200"/>
        <w:rPr>
          <w:highlight w:val="none"/>
        </w:rPr>
      </w:pPr>
      <w:r>
        <w:rPr>
          <w:rFonts w:hint="eastAsia"/>
          <w:sz w:val="20"/>
          <w:highlight w:val="none"/>
        </w:rPr>
        <w:t>2、对于非专门面向中小企业的项目或采购包，按照《政府采购促进中小企业发展管理办法》（财库[2020]46号）第九条规定，对符合条件的投标人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《环境标志产品政府采购品目》范围内，获得相关证书的企业。投标人如是残疾人福利性单位，应当提供《残疾人福利性单位声明函》，否则在评审时不享受相关价格评审优惠。</w:t>
      </w:r>
    </w:p>
    <w:p>
      <w:pPr>
        <w:pStyle w:val="2"/>
        <w:snapToGrid w:val="0"/>
        <w:spacing w:before="120" w:after="120" w:line="360" w:lineRule="auto"/>
        <w:jc w:val="left"/>
        <w:rPr>
          <w:rFonts w:cs="Arial"/>
          <w:bCs w:val="0"/>
          <w:highlight w:val="none"/>
        </w:rPr>
      </w:pPr>
      <w:r>
        <w:rPr>
          <w:highlight w:val="none"/>
        </w:rPr>
        <w:br w:type="page"/>
      </w:r>
      <w:bookmarkStart w:id="1107" w:name="_Toc17973"/>
      <w:bookmarkStart w:id="1108" w:name="_Toc13492"/>
      <w:bookmarkStart w:id="1109" w:name="_Toc27970"/>
      <w:r>
        <w:rPr>
          <w:rFonts w:hint="eastAsia" w:cs="Arial"/>
          <w:bCs w:val="0"/>
          <w:highlight w:val="none"/>
        </w:rPr>
        <w:t>（七）</w:t>
      </w:r>
      <w:bookmarkStart w:id="1110" w:name="_Toc98696095"/>
      <w:r>
        <w:rPr>
          <w:rFonts w:hint="eastAsia" w:cs="Arial"/>
          <w:bCs w:val="0"/>
          <w:highlight w:val="none"/>
        </w:rPr>
        <w:t>纳入创新产品应用示范推荐目录内的企业证明材料</w:t>
      </w:r>
      <w:bookmarkEnd w:id="1107"/>
      <w:bookmarkEnd w:id="1108"/>
      <w:bookmarkEnd w:id="1109"/>
      <w:bookmarkEnd w:id="1110"/>
    </w:p>
    <w:p>
      <w:pPr>
        <w:spacing w:line="360" w:lineRule="auto"/>
        <w:ind w:firstLine="420" w:firstLineChars="200"/>
        <w:rPr>
          <w:szCs w:val="21"/>
          <w:highlight w:val="none"/>
        </w:rPr>
      </w:pPr>
      <w:r>
        <w:rPr>
          <w:rFonts w:hint="eastAsia"/>
          <w:szCs w:val="21"/>
          <w:highlight w:val="none"/>
        </w:rPr>
        <w:t>对于非专门面向中小企业的项目或采购包，按照《政府采购促进中小企业发展管理办法》（财库[2020]46号）第九条规定，对符合条件的供应商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《环境标志产品政府采购品目》范围内，获得相关证书的企业。投标人如是纳入创新产品应用示范推荐目录内的小微企业，应当提供相关证明材料；否则在评审时不享受相关价格评审优惠。</w:t>
      </w:r>
    </w:p>
    <w:p>
      <w:pPr>
        <w:rPr>
          <w:rFonts w:cs="Arial"/>
          <w:highlight w:val="none"/>
        </w:rPr>
      </w:pPr>
      <w:r>
        <w:rPr>
          <w:rFonts w:hint="eastAsia" w:cs="Arial"/>
          <w:highlight w:val="none"/>
        </w:rPr>
        <w:br w:type="page"/>
      </w:r>
    </w:p>
    <w:p>
      <w:pPr>
        <w:pStyle w:val="2"/>
        <w:snapToGrid w:val="0"/>
        <w:spacing w:before="120" w:after="120" w:line="360" w:lineRule="auto"/>
        <w:rPr>
          <w:rFonts w:cs="Arial"/>
          <w:bCs w:val="0"/>
          <w:highlight w:val="none"/>
        </w:rPr>
      </w:pPr>
      <w:bookmarkStart w:id="1111" w:name="_Toc31920"/>
      <w:bookmarkStart w:id="1112" w:name="_Toc31603"/>
      <w:bookmarkStart w:id="1113" w:name="_Toc15696"/>
      <w:bookmarkStart w:id="1114" w:name="_Toc97585614"/>
      <w:r>
        <w:rPr>
          <w:rFonts w:hint="eastAsia" w:cs="Arial"/>
          <w:bCs w:val="0"/>
          <w:highlight w:val="none"/>
        </w:rPr>
        <w:t>（八）政府优先采购相关证书</w:t>
      </w:r>
      <w:bookmarkEnd w:id="1111"/>
      <w:bookmarkEnd w:id="1112"/>
      <w:bookmarkEnd w:id="1113"/>
      <w:bookmarkEnd w:id="1114"/>
    </w:p>
    <w:p>
      <w:pPr>
        <w:spacing w:line="360" w:lineRule="auto"/>
        <w:rPr>
          <w:rFonts w:cs="Arial"/>
          <w:highlight w:val="none"/>
        </w:rPr>
      </w:pPr>
      <w:r>
        <w:rPr>
          <w:rFonts w:hint="eastAsia" w:ascii="宋体" w:hAnsi="宋体" w:cs="宋体"/>
          <w:szCs w:val="21"/>
          <w:highlight w:val="none"/>
        </w:rPr>
        <w:t xml:space="preserve">   对于非专门面向中小企业的项目或采购包，按照《政府采购促进中小企业发展管理办法》（财库[2020]46号）第九条规定，对符合条件的供应商给予价格评审优惠。其中，对符合以下情形之一的小微企业，以价格优惠幅度的上限享受评审优惠：残疾人企业或监狱企业；纳入创新产品应用示范推荐目录内的企业；政府采购项目的品目属于政府优先采购《节能产品政府采购品目清单》 《环境标志产品政府采购品目》范围内，获得相关证书的企业。采购项目或采购包的品目如在政府优先采购《节能产品政府采购品目清单》《环境标志产品政府采购品目》范围内，且投标人是获得相关证书的小微企业，应当提供相关证书复印件；否则在评审时不享受相关价格评审优惠。</w:t>
      </w:r>
    </w:p>
    <w:p>
      <w:pPr>
        <w:pStyle w:val="2"/>
        <w:snapToGrid w:val="0"/>
        <w:spacing w:before="120" w:after="120" w:line="360" w:lineRule="auto"/>
        <w:rPr>
          <w:rFonts w:cs="Arial"/>
          <w:bCs w:val="0"/>
          <w:highlight w:val="none"/>
        </w:rPr>
      </w:pPr>
      <w:r>
        <w:rPr>
          <w:rFonts w:hint="eastAsia" w:cs="Arial"/>
          <w:bCs w:val="0"/>
          <w:highlight w:val="none"/>
        </w:rPr>
        <w:br w:type="page"/>
      </w:r>
      <w:bookmarkStart w:id="1115" w:name="_Toc32195"/>
      <w:bookmarkStart w:id="1116" w:name="_Toc19063"/>
      <w:r>
        <w:rPr>
          <w:rFonts w:hint="eastAsia" w:cs="Arial"/>
          <w:bCs w:val="0"/>
          <w:highlight w:val="none"/>
        </w:rPr>
        <w:t>（九）业绩情况一览表</w:t>
      </w:r>
      <w:bookmarkEnd w:id="1115"/>
      <w:bookmarkEnd w:id="1116"/>
    </w:p>
    <w:p>
      <w:pPr>
        <w:rPr>
          <w:rFonts w:ascii="Arial" w:hAnsi="Arial" w:cs="Arial"/>
          <w:bCs/>
          <w:szCs w:val="21"/>
          <w:highlight w:val="none"/>
        </w:rPr>
      </w:pPr>
      <w:r>
        <w:rPr>
          <w:rFonts w:ascii="Arial" w:hAnsi="Arial" w:cs="Arial"/>
          <w:bCs/>
          <w:szCs w:val="21"/>
          <w:highlight w:val="none"/>
        </w:rPr>
        <w:fldChar w:fldCharType="begin"/>
      </w:r>
      <w:r>
        <w:rPr>
          <w:rFonts w:ascii="Arial" w:hAnsi="Arial" w:cs="Arial"/>
          <w:bCs/>
          <w:szCs w:val="21"/>
          <w:highlight w:val="none"/>
        </w:rPr>
        <w:instrText xml:space="preserve"> LINK Word.Document.8 "D:\\音乐厅\\4通用设备\\招标文件\\音乐厅空调设备招标文件v1.0.doc" "OLE_LINK8" \r  \* MERGEFORMAT </w:instrText>
      </w:r>
      <w:r>
        <w:rPr>
          <w:rFonts w:ascii="Arial" w:hAnsi="Arial" w:cs="Arial"/>
          <w:bCs/>
          <w:szCs w:val="21"/>
          <w:highlight w:val="none"/>
        </w:rPr>
        <w:fldChar w:fldCharType="separate"/>
      </w:r>
      <w:r>
        <w:rPr>
          <w:rFonts w:hint="eastAsia" w:ascii="Arial" w:hAnsi="Arial" w:cs="Arial"/>
          <w:bCs/>
          <w:szCs w:val="21"/>
          <w:highlight w:val="none"/>
        </w:rPr>
        <w:t>项目</w:t>
      </w:r>
      <w:r>
        <w:rPr>
          <w:rFonts w:ascii="Arial" w:hAnsi="Arial" w:cs="Arial"/>
          <w:bCs/>
          <w:szCs w:val="21"/>
          <w:highlight w:val="none"/>
        </w:rPr>
        <w:t>名称：</w:t>
      </w:r>
      <w:r>
        <w:rPr>
          <w:rFonts w:ascii="Arial" w:hAnsi="Arial" w:cs="Arial"/>
          <w:bCs/>
          <w:szCs w:val="21"/>
          <w:highlight w:val="none"/>
          <w:u w:val="single"/>
        </w:rPr>
        <w:t xml:space="preserve">            </w:t>
      </w:r>
      <w:r>
        <w:rPr>
          <w:rFonts w:ascii="Arial" w:hAnsi="Arial" w:cs="Arial"/>
          <w:bCs/>
          <w:szCs w:val="21"/>
          <w:highlight w:val="none"/>
        </w:rPr>
        <w:t xml:space="preserve">        </w:t>
      </w:r>
      <w:r>
        <w:rPr>
          <w:rFonts w:ascii="Arial" w:hAnsi="Arial" w:cs="Arial"/>
          <w:szCs w:val="21"/>
          <w:highlight w:val="none"/>
        </w:rPr>
        <w:t>项目编号</w:t>
      </w:r>
      <w:r>
        <w:rPr>
          <w:rFonts w:ascii="Arial" w:hAnsi="Arial" w:cs="Arial"/>
          <w:bCs/>
          <w:szCs w:val="21"/>
          <w:highlight w:val="none"/>
        </w:rPr>
        <w:t>：</w:t>
      </w:r>
      <w:r>
        <w:rPr>
          <w:rFonts w:ascii="Arial" w:hAnsi="Arial" w:cs="Arial"/>
          <w:bCs/>
          <w:szCs w:val="21"/>
          <w:highlight w:val="none"/>
          <w:u w:val="single"/>
        </w:rPr>
        <w:t xml:space="preserve">       </w:t>
      </w:r>
      <w:r>
        <w:rPr>
          <w:rFonts w:ascii="Arial" w:hAnsi="Arial" w:cs="Arial"/>
          <w:bCs/>
          <w:szCs w:val="21"/>
          <w:highlight w:val="none"/>
        </w:rPr>
        <w:t xml:space="preserve"> </w:t>
      </w:r>
      <w:r>
        <w:rPr>
          <w:rFonts w:hint="eastAsia" w:ascii="Arial" w:hAnsi="Arial" w:cs="Arial"/>
          <w:bCs/>
          <w:szCs w:val="21"/>
          <w:highlight w:val="none"/>
          <w:lang w:val="en-US" w:eastAsia="zh-CN"/>
        </w:rPr>
        <w:t xml:space="preserve">  </w:t>
      </w:r>
      <w:r>
        <w:rPr>
          <w:rFonts w:hint="eastAsia" w:ascii="Arial" w:hAnsi="Arial" w:cs="Arial"/>
          <w:szCs w:val="21"/>
          <w:highlight w:val="none"/>
          <w:lang w:val="en-US" w:eastAsia="zh-CN"/>
        </w:rPr>
        <w:t xml:space="preserve"> </w:t>
      </w:r>
      <w:r>
        <w:rPr>
          <w:rFonts w:hint="eastAsia" w:ascii="Arial" w:hAnsi="Arial" w:cs="Arial"/>
          <w:szCs w:val="21"/>
          <w:highlight w:val="none"/>
        </w:rPr>
        <w:t xml:space="preserve"> </w:t>
      </w:r>
      <w:r>
        <w:rPr>
          <w:rFonts w:ascii="Arial" w:hAnsi="Arial" w:cs="Arial"/>
          <w:bCs/>
          <w:szCs w:val="21"/>
          <w:highlight w:val="none"/>
        </w:rPr>
        <w:fldChar w:fldCharType="end"/>
      </w:r>
    </w:p>
    <w:tbl>
      <w:tblPr>
        <w:tblStyle w:val="88"/>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
        <w:gridCol w:w="1581"/>
        <w:gridCol w:w="1036"/>
        <w:gridCol w:w="1308"/>
        <w:gridCol w:w="1222"/>
        <w:gridCol w:w="1122"/>
        <w:gridCol w:w="1099"/>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center"/>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序号</w:t>
            </w:r>
          </w:p>
        </w:tc>
        <w:tc>
          <w:tcPr>
            <w:tcW w:w="1581" w:type="dxa"/>
            <w:noWrap w:val="0"/>
            <w:vAlign w:val="center"/>
          </w:tcPr>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完成时间</w:t>
            </w:r>
          </w:p>
        </w:tc>
        <w:tc>
          <w:tcPr>
            <w:tcW w:w="1036" w:type="dxa"/>
            <w:noWrap w:val="0"/>
            <w:vAlign w:val="center"/>
          </w:tcPr>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项目</w:t>
            </w:r>
          </w:p>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名称</w:t>
            </w:r>
          </w:p>
        </w:tc>
        <w:tc>
          <w:tcPr>
            <w:tcW w:w="1308" w:type="dxa"/>
            <w:noWrap w:val="0"/>
            <w:vAlign w:val="center"/>
          </w:tcPr>
          <w:p>
            <w:pPr>
              <w:widowControl/>
              <w:snapToGrid w:val="0"/>
              <w:jc w:val="center"/>
              <w:rPr>
                <w:rFonts w:ascii="Arial" w:hAnsi="Arial" w:cs="Arial"/>
                <w:color w:val="auto"/>
                <w:kern w:val="0"/>
                <w:szCs w:val="21"/>
                <w:highlight w:val="none"/>
              </w:rPr>
            </w:pPr>
            <w:r>
              <w:rPr>
                <w:rFonts w:hint="eastAsia" w:ascii="Arial" w:hAnsi="Arial" w:cs="Arial"/>
                <w:color w:val="auto"/>
                <w:kern w:val="0"/>
                <w:szCs w:val="21"/>
                <w:highlight w:val="none"/>
              </w:rPr>
              <w:t>服务</w:t>
            </w:r>
            <w:r>
              <w:rPr>
                <w:rFonts w:ascii="Arial" w:hAnsi="Arial" w:cs="Arial"/>
                <w:color w:val="auto"/>
                <w:kern w:val="0"/>
                <w:szCs w:val="21"/>
                <w:highlight w:val="none"/>
              </w:rPr>
              <w:t>内容</w:t>
            </w:r>
          </w:p>
        </w:tc>
        <w:tc>
          <w:tcPr>
            <w:tcW w:w="1222" w:type="dxa"/>
            <w:noWrap w:val="0"/>
            <w:vAlign w:val="center"/>
          </w:tcPr>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合同总额</w:t>
            </w:r>
          </w:p>
        </w:tc>
        <w:tc>
          <w:tcPr>
            <w:tcW w:w="1122" w:type="dxa"/>
            <w:noWrap w:val="0"/>
            <w:vAlign w:val="center"/>
          </w:tcPr>
          <w:p>
            <w:pPr>
              <w:widowControl/>
              <w:snapToGrid w:val="0"/>
              <w:jc w:val="center"/>
              <w:rPr>
                <w:rFonts w:ascii="Arial" w:hAnsi="Arial" w:cs="Arial"/>
                <w:color w:val="auto"/>
                <w:kern w:val="0"/>
                <w:szCs w:val="21"/>
                <w:highlight w:val="none"/>
              </w:rPr>
            </w:pPr>
            <w:r>
              <w:rPr>
                <w:rFonts w:hint="eastAsia" w:ascii="Arial" w:hAnsi="Arial" w:cs="Arial"/>
                <w:color w:val="auto"/>
                <w:kern w:val="0"/>
                <w:szCs w:val="21"/>
                <w:highlight w:val="none"/>
              </w:rPr>
              <w:t>委托</w:t>
            </w:r>
            <w:r>
              <w:rPr>
                <w:rFonts w:ascii="Arial" w:hAnsi="Arial" w:cs="Arial"/>
                <w:color w:val="auto"/>
                <w:kern w:val="0"/>
                <w:szCs w:val="21"/>
                <w:highlight w:val="none"/>
              </w:rPr>
              <w:t>方</w:t>
            </w:r>
          </w:p>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名称</w:t>
            </w:r>
          </w:p>
        </w:tc>
        <w:tc>
          <w:tcPr>
            <w:tcW w:w="1099" w:type="dxa"/>
            <w:noWrap w:val="0"/>
            <w:vAlign w:val="center"/>
          </w:tcPr>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联系人</w:t>
            </w:r>
          </w:p>
        </w:tc>
        <w:tc>
          <w:tcPr>
            <w:tcW w:w="1113" w:type="dxa"/>
            <w:noWrap w:val="0"/>
            <w:vAlign w:val="center"/>
          </w:tcPr>
          <w:p>
            <w:pPr>
              <w:widowControl/>
              <w:snapToGrid w:val="0"/>
              <w:jc w:val="center"/>
              <w:rPr>
                <w:rFonts w:ascii="Arial" w:hAnsi="Arial" w:cs="Arial"/>
                <w:color w:val="auto"/>
                <w:kern w:val="0"/>
                <w:szCs w:val="21"/>
                <w:highlight w:val="none"/>
              </w:rPr>
            </w:pPr>
            <w:r>
              <w:rPr>
                <w:rFonts w:ascii="Arial" w:hAnsi="Arial" w:cs="Arial"/>
                <w:color w:val="auto"/>
                <w:kern w:val="0"/>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1.</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2.</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3.</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4.</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5.</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5" w:type="dxa"/>
            <w:noWrap w:val="0"/>
            <w:vAlign w:val="top"/>
          </w:tcPr>
          <w:p>
            <w:pPr>
              <w:widowControl/>
              <w:spacing w:before="100" w:beforeAutospacing="1" w:after="100" w:afterAutospacing="1"/>
              <w:jc w:val="center"/>
              <w:rPr>
                <w:rFonts w:ascii="Arial" w:hAnsi="Arial" w:cs="Arial"/>
                <w:color w:val="auto"/>
                <w:kern w:val="0"/>
                <w:szCs w:val="21"/>
                <w:highlight w:val="none"/>
              </w:rPr>
            </w:pPr>
            <w:r>
              <w:rPr>
                <w:rFonts w:ascii="Arial" w:hAnsi="Arial" w:cs="Arial"/>
                <w:color w:val="auto"/>
                <w:kern w:val="0"/>
                <w:szCs w:val="21"/>
                <w:highlight w:val="none"/>
              </w:rPr>
              <w:t>6.</w:t>
            </w:r>
          </w:p>
        </w:tc>
        <w:tc>
          <w:tcPr>
            <w:tcW w:w="1581"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36"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308"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222" w:type="dxa"/>
            <w:noWrap w:val="0"/>
            <w:vAlign w:val="top"/>
          </w:tcPr>
          <w:p>
            <w:pPr>
              <w:widowControl/>
              <w:spacing w:before="100" w:beforeAutospacing="1" w:after="100" w:afterAutospacing="1"/>
              <w:jc w:val="center"/>
              <w:rPr>
                <w:rFonts w:ascii="Arial" w:hAnsi="Arial" w:cs="Arial"/>
                <w:color w:val="auto"/>
                <w:kern w:val="0"/>
                <w:szCs w:val="21"/>
                <w:highlight w:val="none"/>
              </w:rPr>
            </w:pPr>
          </w:p>
        </w:tc>
        <w:tc>
          <w:tcPr>
            <w:tcW w:w="1122"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099"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c>
          <w:tcPr>
            <w:tcW w:w="1113" w:type="dxa"/>
            <w:noWrap w:val="0"/>
            <w:vAlign w:val="center"/>
          </w:tcPr>
          <w:p>
            <w:pPr>
              <w:widowControl/>
              <w:spacing w:before="100" w:beforeAutospacing="1" w:after="100" w:afterAutospacing="1"/>
              <w:jc w:val="center"/>
              <w:rPr>
                <w:rFonts w:ascii="Arial" w:hAnsi="Arial" w:cs="Arial"/>
                <w:color w:val="auto"/>
                <w:kern w:val="0"/>
                <w:szCs w:val="21"/>
                <w:highlight w:val="none"/>
              </w:rPr>
            </w:pPr>
          </w:p>
        </w:tc>
      </w:tr>
    </w:tbl>
    <w:p>
      <w:pPr>
        <w:widowControl/>
        <w:spacing w:before="100" w:beforeAutospacing="1" w:after="100" w:afterAutospacing="1"/>
        <w:rPr>
          <w:rFonts w:ascii="Arial" w:hAnsi="Arial" w:cs="Arial"/>
          <w:color w:val="auto"/>
          <w:szCs w:val="21"/>
          <w:highlight w:val="none"/>
        </w:rPr>
      </w:pPr>
      <w:r>
        <w:rPr>
          <w:rFonts w:ascii="Arial" w:hAnsi="Arial" w:cs="Arial"/>
          <w:color w:val="auto"/>
          <w:szCs w:val="21"/>
          <w:highlight w:val="none"/>
        </w:rPr>
        <w:t>注：</w:t>
      </w:r>
      <w:r>
        <w:rPr>
          <w:rFonts w:hint="eastAsia" w:ascii="Arial" w:hAnsi="Arial" w:cs="Arial"/>
          <w:color w:val="auto"/>
          <w:szCs w:val="21"/>
          <w:highlight w:val="none"/>
          <w:lang w:val="en-US" w:eastAsia="zh-CN"/>
        </w:rPr>
        <w:t>投标人</w:t>
      </w:r>
      <w:r>
        <w:rPr>
          <w:rFonts w:ascii="Arial" w:hAnsi="Arial" w:cs="Arial"/>
          <w:color w:val="auto"/>
          <w:szCs w:val="21"/>
          <w:highlight w:val="none"/>
        </w:rPr>
        <w:t>须按上表提供业绩证明资料。</w:t>
      </w: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hint="eastAsia" w:ascii="Arial" w:hAnsi="Arial" w:cs="Arial"/>
          <w:szCs w:val="21"/>
          <w:highlight w:val="none"/>
        </w:rPr>
      </w:pPr>
    </w:p>
    <w:p>
      <w:pPr>
        <w:widowControl/>
        <w:spacing w:before="100" w:beforeAutospacing="1" w:after="100" w:afterAutospacing="1"/>
        <w:rPr>
          <w:rFonts w:ascii="Arial" w:hAnsi="Arial" w:cs="Arial"/>
          <w:szCs w:val="21"/>
          <w:highlight w:val="none"/>
        </w:rPr>
      </w:pPr>
    </w:p>
    <w:p>
      <w:pPr>
        <w:spacing w:line="300" w:lineRule="auto"/>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szCs w:val="21"/>
          <w:highlight w:val="none"/>
          <w:u w:val="singl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spacing w:line="440" w:lineRule="exact"/>
        <w:jc w:val="center"/>
        <w:rPr>
          <w:rFonts w:hint="eastAsia" w:ascii="Arial" w:hAnsi="Arial" w:eastAsia="黑体" w:cs="Arial"/>
          <w:b/>
          <w:bCs/>
          <w:sz w:val="32"/>
          <w:szCs w:val="32"/>
          <w:highlight w:val="none"/>
        </w:rPr>
      </w:pPr>
      <w:bookmarkStart w:id="1117" w:name="_Toc430813369"/>
      <w:bookmarkStart w:id="1118" w:name="_Toc432367437"/>
      <w:r>
        <w:rPr>
          <w:rFonts w:cs="Arial"/>
          <w:szCs w:val="21"/>
          <w:highlight w:val="none"/>
        </w:rPr>
        <w:br w:type="page"/>
      </w:r>
      <w:bookmarkStart w:id="1119" w:name="_Toc432367436"/>
      <w:bookmarkStart w:id="1120" w:name="_Toc430813366"/>
      <w:r>
        <w:rPr>
          <w:rFonts w:hint="eastAsia" w:ascii="Arial" w:hAnsi="Arial" w:eastAsia="黑体" w:cs="Arial"/>
          <w:b/>
          <w:bCs/>
          <w:sz w:val="32"/>
          <w:szCs w:val="32"/>
          <w:highlight w:val="none"/>
        </w:rPr>
        <w:t>近3年投标人类似项目获得业主优良评价情况表</w:t>
      </w:r>
    </w:p>
    <w:p>
      <w:pPr>
        <w:spacing w:line="440" w:lineRule="exact"/>
        <w:jc w:val="left"/>
        <w:rPr>
          <w:rFonts w:eastAsia="黑体"/>
          <w:sz w:val="24"/>
          <w:highlight w:val="none"/>
        </w:rPr>
      </w:pPr>
      <w:r>
        <w:rPr>
          <w:rFonts w:ascii="Arial" w:hAnsi="Arial" w:cs="Arial"/>
          <w:bCs/>
          <w:szCs w:val="21"/>
          <w:highlight w:val="none"/>
        </w:rPr>
        <w:fldChar w:fldCharType="begin"/>
      </w:r>
      <w:r>
        <w:rPr>
          <w:rFonts w:ascii="Arial" w:hAnsi="Arial" w:cs="Arial"/>
          <w:bCs/>
          <w:szCs w:val="21"/>
          <w:highlight w:val="none"/>
        </w:rPr>
        <w:instrText xml:space="preserve"> LINK Word.Document.8 "D:\\音乐厅\\4通用设备\\招标文件\\音乐厅空调设备招标文件v1.0.doc" "OLE_LINK8" \r  \* MERGEFORMAT </w:instrText>
      </w:r>
      <w:r>
        <w:rPr>
          <w:rFonts w:ascii="Arial" w:hAnsi="Arial" w:cs="Arial"/>
          <w:bCs/>
          <w:szCs w:val="21"/>
          <w:highlight w:val="none"/>
        </w:rPr>
        <w:fldChar w:fldCharType="separate"/>
      </w:r>
      <w:r>
        <w:rPr>
          <w:rFonts w:hint="eastAsia" w:ascii="Arial" w:hAnsi="Arial" w:cs="Arial"/>
          <w:bCs/>
          <w:szCs w:val="21"/>
          <w:highlight w:val="none"/>
        </w:rPr>
        <w:t>项目</w:t>
      </w:r>
      <w:r>
        <w:rPr>
          <w:rFonts w:ascii="Arial" w:hAnsi="Arial" w:cs="Arial"/>
          <w:bCs/>
          <w:szCs w:val="21"/>
          <w:highlight w:val="none"/>
        </w:rPr>
        <w:t>名称：</w:t>
      </w:r>
      <w:r>
        <w:rPr>
          <w:rFonts w:ascii="Arial" w:hAnsi="Arial" w:cs="Arial"/>
          <w:bCs/>
          <w:szCs w:val="21"/>
          <w:highlight w:val="none"/>
          <w:u w:val="single"/>
        </w:rPr>
        <w:t xml:space="preserve">            </w:t>
      </w:r>
      <w:r>
        <w:rPr>
          <w:rFonts w:ascii="Arial" w:hAnsi="Arial" w:cs="Arial"/>
          <w:bCs/>
          <w:szCs w:val="21"/>
          <w:highlight w:val="none"/>
        </w:rPr>
        <w:t xml:space="preserve">        </w:t>
      </w:r>
      <w:r>
        <w:rPr>
          <w:rFonts w:ascii="Arial" w:hAnsi="Arial" w:cs="Arial"/>
          <w:szCs w:val="21"/>
          <w:highlight w:val="none"/>
        </w:rPr>
        <w:t>项目编号</w:t>
      </w:r>
      <w:r>
        <w:rPr>
          <w:rFonts w:ascii="Arial" w:hAnsi="Arial" w:cs="Arial"/>
          <w:bCs/>
          <w:szCs w:val="21"/>
          <w:highlight w:val="none"/>
        </w:rPr>
        <w:t>：</w:t>
      </w:r>
      <w:r>
        <w:rPr>
          <w:rFonts w:ascii="Arial" w:hAnsi="Arial" w:cs="Arial"/>
          <w:bCs/>
          <w:szCs w:val="21"/>
          <w:highlight w:val="none"/>
          <w:u w:val="single"/>
        </w:rPr>
        <w:t xml:space="preserve">       </w:t>
      </w:r>
      <w:r>
        <w:rPr>
          <w:rFonts w:ascii="Arial" w:hAnsi="Arial" w:cs="Arial"/>
          <w:bCs/>
          <w:szCs w:val="21"/>
          <w:highlight w:val="none"/>
        </w:rPr>
        <w:t xml:space="preserve"> </w:t>
      </w:r>
      <w:r>
        <w:rPr>
          <w:rFonts w:hint="eastAsia" w:ascii="Arial" w:hAnsi="Arial" w:cs="Arial"/>
          <w:bCs/>
          <w:szCs w:val="21"/>
          <w:highlight w:val="none"/>
          <w:lang w:val="en-US" w:eastAsia="zh-CN"/>
        </w:rPr>
        <w:t xml:space="preserve">  </w:t>
      </w:r>
      <w:r>
        <w:rPr>
          <w:rFonts w:ascii="Arial" w:hAnsi="Arial" w:cs="Arial"/>
          <w:bCs/>
          <w:szCs w:val="21"/>
          <w:highlight w:val="none"/>
        </w:rPr>
        <w:fldChar w:fldCharType="end"/>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402"/>
        <w:gridCol w:w="1800"/>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766" w:type="dxa"/>
            <w:noWrap w:val="0"/>
            <w:vAlign w:val="top"/>
          </w:tcPr>
          <w:p>
            <w:pPr>
              <w:topLinePunct/>
              <w:spacing w:line="400" w:lineRule="atLeast"/>
              <w:jc w:val="center"/>
              <w:rPr>
                <w:szCs w:val="21"/>
                <w:highlight w:val="none"/>
              </w:rPr>
            </w:pPr>
            <w:r>
              <w:rPr>
                <w:rFonts w:hint="eastAsia"/>
                <w:szCs w:val="21"/>
                <w:highlight w:val="none"/>
              </w:rPr>
              <w:t>序号</w:t>
            </w:r>
          </w:p>
        </w:tc>
        <w:tc>
          <w:tcPr>
            <w:tcW w:w="2402" w:type="dxa"/>
            <w:noWrap w:val="0"/>
            <w:vAlign w:val="top"/>
          </w:tcPr>
          <w:p>
            <w:pPr>
              <w:topLinePunct/>
              <w:spacing w:line="400" w:lineRule="atLeast"/>
              <w:jc w:val="center"/>
              <w:rPr>
                <w:szCs w:val="21"/>
                <w:highlight w:val="none"/>
              </w:rPr>
            </w:pPr>
            <w:r>
              <w:rPr>
                <w:rFonts w:hint="eastAsia"/>
                <w:szCs w:val="21"/>
                <w:highlight w:val="none"/>
              </w:rPr>
              <w:t>建设项目名称</w:t>
            </w:r>
          </w:p>
        </w:tc>
        <w:tc>
          <w:tcPr>
            <w:tcW w:w="1800" w:type="dxa"/>
            <w:noWrap w:val="0"/>
            <w:vAlign w:val="top"/>
          </w:tcPr>
          <w:p>
            <w:pPr>
              <w:topLinePunct/>
              <w:spacing w:line="400" w:lineRule="atLeast"/>
              <w:jc w:val="center"/>
              <w:rPr>
                <w:szCs w:val="21"/>
                <w:highlight w:val="none"/>
              </w:rPr>
            </w:pPr>
            <w:r>
              <w:rPr>
                <w:rFonts w:hint="eastAsia"/>
                <w:szCs w:val="21"/>
                <w:highlight w:val="none"/>
              </w:rPr>
              <w:t>评价结果</w:t>
            </w:r>
          </w:p>
        </w:tc>
        <w:tc>
          <w:tcPr>
            <w:tcW w:w="1440" w:type="dxa"/>
            <w:noWrap w:val="0"/>
            <w:vAlign w:val="top"/>
          </w:tcPr>
          <w:p>
            <w:pPr>
              <w:topLinePunct/>
              <w:spacing w:line="400" w:lineRule="atLeast"/>
              <w:jc w:val="center"/>
              <w:rPr>
                <w:szCs w:val="21"/>
                <w:highlight w:val="none"/>
              </w:rPr>
            </w:pPr>
            <w:r>
              <w:rPr>
                <w:rFonts w:hint="eastAsia"/>
                <w:szCs w:val="21"/>
                <w:highlight w:val="none"/>
              </w:rPr>
              <w:t>评价日期</w:t>
            </w:r>
          </w:p>
        </w:tc>
        <w:tc>
          <w:tcPr>
            <w:tcW w:w="2160" w:type="dxa"/>
            <w:noWrap w:val="0"/>
            <w:vAlign w:val="top"/>
          </w:tcPr>
          <w:p>
            <w:pPr>
              <w:topLinePunct/>
              <w:spacing w:line="400" w:lineRule="atLeast"/>
              <w:jc w:val="center"/>
              <w:rPr>
                <w:szCs w:val="21"/>
                <w:highlight w:val="none"/>
              </w:rPr>
            </w:pPr>
            <w:r>
              <w:rPr>
                <w:rFonts w:hint="eastAsia"/>
                <w:szCs w:val="21"/>
                <w:highlight w:val="none"/>
              </w:rPr>
              <w:t>业主单位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2402" w:type="dxa"/>
            <w:noWrap w:val="0"/>
            <w:vAlign w:val="top"/>
          </w:tcPr>
          <w:p>
            <w:pPr>
              <w:topLinePunct/>
              <w:spacing w:line="400" w:lineRule="atLeast"/>
              <w:jc w:val="center"/>
              <w:rPr>
                <w:szCs w:val="21"/>
                <w:highlight w:val="none"/>
              </w:rPr>
            </w:pPr>
          </w:p>
        </w:tc>
        <w:tc>
          <w:tcPr>
            <w:tcW w:w="1800"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bl>
    <w:p>
      <w:pPr>
        <w:rPr>
          <w:rFonts w:eastAsia="黑体"/>
          <w:sz w:val="24"/>
          <w:highlight w:val="none"/>
        </w:rPr>
      </w:pPr>
    </w:p>
    <w:p>
      <w:pPr>
        <w:widowControl/>
        <w:spacing w:before="100" w:beforeAutospacing="1" w:after="100" w:afterAutospacing="1"/>
        <w:rPr>
          <w:rFonts w:hint="eastAsia" w:ascii="Arial" w:hAnsi="Arial" w:cs="Arial"/>
          <w:szCs w:val="21"/>
          <w:highlight w:val="none"/>
        </w:rPr>
      </w:pPr>
      <w:r>
        <w:rPr>
          <w:rFonts w:hint="eastAsia" w:ascii="Arial" w:hAnsi="Arial" w:cs="Arial"/>
          <w:szCs w:val="21"/>
          <w:highlight w:val="none"/>
        </w:rPr>
        <w:t>备注：</w:t>
      </w:r>
    </w:p>
    <w:p>
      <w:pPr>
        <w:widowControl/>
        <w:spacing w:before="100" w:beforeAutospacing="1" w:after="100" w:afterAutospacing="1"/>
        <w:rPr>
          <w:rFonts w:hint="eastAsia" w:ascii="Arial" w:hAnsi="Arial" w:cs="Arial"/>
          <w:szCs w:val="21"/>
          <w:highlight w:val="none"/>
        </w:rPr>
      </w:pPr>
      <w:r>
        <w:rPr>
          <w:rFonts w:hint="eastAsia" w:ascii="Arial" w:hAnsi="Arial" w:cs="Arial"/>
          <w:szCs w:val="21"/>
          <w:highlight w:val="none"/>
        </w:rPr>
        <w:t>1. 投标人应列出近3年（从招标公告发布之日起往前推算）获得业主优良评价的类似项目。</w:t>
      </w:r>
    </w:p>
    <w:p>
      <w:pPr>
        <w:widowControl/>
        <w:spacing w:before="100" w:beforeAutospacing="1" w:after="100" w:afterAutospacing="1"/>
        <w:rPr>
          <w:rFonts w:hint="eastAsia" w:ascii="Arial" w:hAnsi="Arial" w:cs="Arial"/>
          <w:szCs w:val="21"/>
          <w:highlight w:val="none"/>
        </w:rPr>
      </w:pPr>
      <w:r>
        <w:rPr>
          <w:rFonts w:hint="eastAsia" w:ascii="Arial" w:hAnsi="Arial" w:cs="Arial"/>
          <w:szCs w:val="21"/>
          <w:highlight w:val="none"/>
        </w:rPr>
        <w:t>2. 本表应附的相关证明材料包括但不限于：相应建设项目咨询合同书、发包人或政府造价咨询管理部门评价意见等证明材料；</w:t>
      </w:r>
    </w:p>
    <w:p>
      <w:pPr>
        <w:widowControl/>
        <w:spacing w:before="100" w:beforeAutospacing="1" w:after="100" w:afterAutospacing="1"/>
        <w:rPr>
          <w:rFonts w:hint="eastAsia" w:ascii="Arial" w:hAnsi="Arial" w:cs="Arial"/>
          <w:szCs w:val="21"/>
          <w:highlight w:val="none"/>
        </w:rPr>
      </w:pPr>
      <w:r>
        <w:rPr>
          <w:rFonts w:hint="eastAsia" w:ascii="Arial" w:hAnsi="Arial" w:cs="Arial"/>
          <w:szCs w:val="21"/>
          <w:highlight w:val="none"/>
        </w:rPr>
        <w:t>3. 本表应加盖投标人公章，所附证明材料也应盖章。</w:t>
      </w:r>
    </w:p>
    <w:p>
      <w:pPr>
        <w:spacing w:line="400" w:lineRule="atLeast"/>
        <w:rPr>
          <w:szCs w:val="21"/>
          <w:highlight w:val="none"/>
        </w:rPr>
      </w:pPr>
    </w:p>
    <w:p>
      <w:pPr>
        <w:spacing w:line="300" w:lineRule="auto"/>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szCs w:val="21"/>
          <w:highlight w:val="none"/>
          <w:u w:val="singl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pStyle w:val="2"/>
        <w:snapToGrid w:val="0"/>
        <w:spacing w:before="120" w:after="120" w:line="360" w:lineRule="auto"/>
        <w:rPr>
          <w:rFonts w:hint="eastAsia"/>
          <w:highlight w:val="none"/>
        </w:rPr>
      </w:pPr>
      <w:r>
        <w:rPr>
          <w:rFonts w:hint="eastAsia" w:cs="Arial"/>
          <w:bCs w:val="0"/>
          <w:highlight w:val="none"/>
        </w:rPr>
        <w:br w:type="page"/>
      </w:r>
      <w:bookmarkStart w:id="1121" w:name="_Toc32018"/>
      <w:bookmarkStart w:id="1122" w:name="_Toc1255"/>
      <w:r>
        <w:rPr>
          <w:rFonts w:hint="eastAsia" w:cs="Arial"/>
          <w:bCs w:val="0"/>
          <w:highlight w:val="none"/>
        </w:rPr>
        <w:t>（十）信誉、信用等证明文件</w:t>
      </w:r>
      <w:bookmarkEnd w:id="1119"/>
      <w:bookmarkEnd w:id="1120"/>
      <w:bookmarkEnd w:id="1121"/>
      <w:bookmarkEnd w:id="1122"/>
    </w:p>
    <w:p>
      <w:pPr>
        <w:spacing w:before="120" w:beforeLines="50" w:line="300" w:lineRule="auto"/>
        <w:jc w:val="center"/>
        <w:outlineLvl w:val="3"/>
        <w:rPr>
          <w:rFonts w:hint="eastAsia" w:ascii="Arial" w:hAnsi="Arial" w:cs="Arial"/>
          <w:b/>
          <w:sz w:val="30"/>
          <w:szCs w:val="30"/>
          <w:highlight w:val="none"/>
        </w:rPr>
      </w:pPr>
      <w:r>
        <w:rPr>
          <w:rFonts w:hint="eastAsia" w:ascii="Arial" w:hAnsi="Arial" w:cs="Arial"/>
          <w:b/>
          <w:sz w:val="30"/>
          <w:szCs w:val="30"/>
          <w:highlight w:val="none"/>
        </w:rPr>
        <w:t>10-1近3年投标人获奖情况表</w:t>
      </w:r>
    </w:p>
    <w:p>
      <w:pPr>
        <w:spacing w:line="400" w:lineRule="atLeast"/>
        <w:jc w:val="left"/>
        <w:rPr>
          <w:rFonts w:eastAsia="黑体"/>
          <w:sz w:val="24"/>
          <w:highlight w:val="none"/>
        </w:rPr>
      </w:pPr>
      <w:r>
        <w:rPr>
          <w:rFonts w:ascii="Arial" w:hAnsi="Arial" w:cs="Arial"/>
          <w:bCs/>
          <w:szCs w:val="21"/>
          <w:highlight w:val="none"/>
        </w:rPr>
        <w:fldChar w:fldCharType="begin"/>
      </w:r>
      <w:r>
        <w:rPr>
          <w:rFonts w:ascii="Arial" w:hAnsi="Arial" w:cs="Arial"/>
          <w:bCs/>
          <w:szCs w:val="21"/>
          <w:highlight w:val="none"/>
        </w:rPr>
        <w:instrText xml:space="preserve"> LINK Word.Document.8 "D:\\音乐厅\\4通用设备\\招标文件\\音乐厅空调设备招标文件v1.0.doc" "OLE_LINK8" \r  \* MERGEFORMAT </w:instrText>
      </w:r>
      <w:r>
        <w:rPr>
          <w:rFonts w:ascii="Arial" w:hAnsi="Arial" w:cs="Arial"/>
          <w:bCs/>
          <w:szCs w:val="21"/>
          <w:highlight w:val="none"/>
        </w:rPr>
        <w:fldChar w:fldCharType="separate"/>
      </w:r>
      <w:r>
        <w:rPr>
          <w:rFonts w:hint="eastAsia" w:ascii="Arial" w:hAnsi="Arial" w:cs="Arial"/>
          <w:bCs/>
          <w:szCs w:val="21"/>
          <w:highlight w:val="none"/>
        </w:rPr>
        <w:t>项目</w:t>
      </w:r>
      <w:r>
        <w:rPr>
          <w:rFonts w:ascii="Arial" w:hAnsi="Arial" w:cs="Arial"/>
          <w:bCs/>
          <w:szCs w:val="21"/>
          <w:highlight w:val="none"/>
        </w:rPr>
        <w:t>名称：</w:t>
      </w:r>
      <w:r>
        <w:rPr>
          <w:rFonts w:ascii="Arial" w:hAnsi="Arial" w:cs="Arial"/>
          <w:bCs/>
          <w:szCs w:val="21"/>
          <w:highlight w:val="none"/>
          <w:u w:val="single"/>
        </w:rPr>
        <w:t xml:space="preserve">            </w:t>
      </w:r>
      <w:r>
        <w:rPr>
          <w:rFonts w:ascii="Arial" w:hAnsi="Arial" w:cs="Arial"/>
          <w:bCs/>
          <w:szCs w:val="21"/>
          <w:highlight w:val="none"/>
        </w:rPr>
        <w:t xml:space="preserve">        </w:t>
      </w:r>
      <w:r>
        <w:rPr>
          <w:rFonts w:ascii="Arial" w:hAnsi="Arial" w:cs="Arial"/>
          <w:szCs w:val="21"/>
          <w:highlight w:val="none"/>
        </w:rPr>
        <w:t>项目编号</w:t>
      </w:r>
      <w:r>
        <w:rPr>
          <w:rFonts w:ascii="Arial" w:hAnsi="Arial" w:cs="Arial"/>
          <w:bCs/>
          <w:szCs w:val="21"/>
          <w:highlight w:val="none"/>
        </w:rPr>
        <w:t>：</w:t>
      </w:r>
      <w:r>
        <w:rPr>
          <w:rFonts w:ascii="Arial" w:hAnsi="Arial" w:cs="Arial"/>
          <w:bCs/>
          <w:szCs w:val="21"/>
          <w:highlight w:val="none"/>
          <w:u w:val="single"/>
        </w:rPr>
        <w:t xml:space="preserve">       </w:t>
      </w:r>
      <w:r>
        <w:rPr>
          <w:rFonts w:ascii="Arial" w:hAnsi="Arial" w:cs="Arial"/>
          <w:bCs/>
          <w:szCs w:val="21"/>
          <w:highlight w:val="none"/>
        </w:rPr>
        <w:t xml:space="preserve"> </w:t>
      </w:r>
      <w:r>
        <w:rPr>
          <w:rFonts w:hint="eastAsia" w:ascii="Arial" w:hAnsi="Arial" w:cs="Arial"/>
          <w:bCs/>
          <w:szCs w:val="21"/>
          <w:highlight w:val="none"/>
          <w:lang w:val="en-US" w:eastAsia="zh-CN"/>
        </w:rPr>
        <w:t xml:space="preserve"> </w:t>
      </w:r>
      <w:r>
        <w:rPr>
          <w:rFonts w:hint="eastAsia" w:ascii="Arial" w:hAnsi="Arial" w:cs="Arial"/>
          <w:szCs w:val="21"/>
          <w:highlight w:val="none"/>
        </w:rPr>
        <w:t xml:space="preserve"> </w:t>
      </w:r>
      <w:r>
        <w:rPr>
          <w:rFonts w:ascii="Arial" w:hAnsi="Arial" w:cs="Arial"/>
          <w:bCs/>
          <w:szCs w:val="21"/>
          <w:highlight w:val="none"/>
        </w:rPr>
        <w:fldChar w:fldCharType="end"/>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4202"/>
        <w:gridCol w:w="144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6" w:type="dxa"/>
            <w:noWrap w:val="0"/>
            <w:vAlign w:val="top"/>
          </w:tcPr>
          <w:p>
            <w:pPr>
              <w:topLinePunct/>
              <w:spacing w:line="400" w:lineRule="atLeast"/>
              <w:jc w:val="center"/>
              <w:rPr>
                <w:szCs w:val="21"/>
                <w:highlight w:val="none"/>
              </w:rPr>
            </w:pPr>
            <w:r>
              <w:rPr>
                <w:rFonts w:hint="eastAsia"/>
                <w:szCs w:val="21"/>
                <w:highlight w:val="none"/>
              </w:rPr>
              <w:t>序号</w:t>
            </w:r>
          </w:p>
        </w:tc>
        <w:tc>
          <w:tcPr>
            <w:tcW w:w="4202" w:type="dxa"/>
            <w:noWrap w:val="0"/>
            <w:vAlign w:val="top"/>
          </w:tcPr>
          <w:p>
            <w:pPr>
              <w:topLinePunct/>
              <w:spacing w:line="400" w:lineRule="atLeast"/>
              <w:jc w:val="center"/>
              <w:rPr>
                <w:szCs w:val="21"/>
                <w:highlight w:val="none"/>
              </w:rPr>
            </w:pPr>
            <w:r>
              <w:rPr>
                <w:rFonts w:hint="eastAsia"/>
                <w:szCs w:val="21"/>
                <w:highlight w:val="none"/>
              </w:rPr>
              <w:t>获奖名称</w:t>
            </w:r>
          </w:p>
        </w:tc>
        <w:tc>
          <w:tcPr>
            <w:tcW w:w="1440" w:type="dxa"/>
            <w:noWrap w:val="0"/>
            <w:vAlign w:val="top"/>
          </w:tcPr>
          <w:p>
            <w:pPr>
              <w:topLinePunct/>
              <w:spacing w:line="400" w:lineRule="atLeast"/>
              <w:jc w:val="center"/>
              <w:rPr>
                <w:szCs w:val="21"/>
                <w:highlight w:val="none"/>
              </w:rPr>
            </w:pPr>
            <w:r>
              <w:rPr>
                <w:rFonts w:hint="eastAsia"/>
                <w:szCs w:val="21"/>
                <w:highlight w:val="none"/>
              </w:rPr>
              <w:t>获奖日期</w:t>
            </w:r>
          </w:p>
        </w:tc>
        <w:tc>
          <w:tcPr>
            <w:tcW w:w="2160" w:type="dxa"/>
            <w:noWrap w:val="0"/>
            <w:vAlign w:val="top"/>
          </w:tcPr>
          <w:p>
            <w:pPr>
              <w:topLinePunct/>
              <w:spacing w:line="400" w:lineRule="atLeast"/>
              <w:jc w:val="center"/>
              <w:rPr>
                <w:szCs w:val="21"/>
                <w:highlight w:val="none"/>
              </w:rPr>
            </w:pPr>
            <w:r>
              <w:rPr>
                <w:rFonts w:hint="eastAsia"/>
                <w:szCs w:val="21"/>
                <w:highlight w:val="none"/>
              </w:rPr>
              <w:t>颁奖单位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66" w:type="dxa"/>
            <w:noWrap w:val="0"/>
            <w:vAlign w:val="top"/>
          </w:tcPr>
          <w:p>
            <w:pPr>
              <w:topLinePunct/>
              <w:spacing w:line="400" w:lineRule="atLeast"/>
              <w:jc w:val="center"/>
              <w:rPr>
                <w:szCs w:val="21"/>
                <w:highlight w:val="none"/>
              </w:rPr>
            </w:pPr>
          </w:p>
        </w:tc>
        <w:tc>
          <w:tcPr>
            <w:tcW w:w="4202" w:type="dxa"/>
            <w:noWrap w:val="0"/>
            <w:vAlign w:val="top"/>
          </w:tcPr>
          <w:p>
            <w:pPr>
              <w:topLinePunct/>
              <w:spacing w:line="400" w:lineRule="atLeast"/>
              <w:jc w:val="center"/>
              <w:rPr>
                <w:szCs w:val="21"/>
                <w:highlight w:val="none"/>
              </w:rPr>
            </w:pPr>
          </w:p>
        </w:tc>
        <w:tc>
          <w:tcPr>
            <w:tcW w:w="1440" w:type="dxa"/>
            <w:noWrap w:val="0"/>
            <w:vAlign w:val="top"/>
          </w:tcPr>
          <w:p>
            <w:pPr>
              <w:topLinePunct/>
              <w:spacing w:line="400" w:lineRule="atLeast"/>
              <w:jc w:val="center"/>
              <w:rPr>
                <w:szCs w:val="21"/>
                <w:highlight w:val="none"/>
              </w:rPr>
            </w:pPr>
          </w:p>
        </w:tc>
        <w:tc>
          <w:tcPr>
            <w:tcW w:w="2160" w:type="dxa"/>
            <w:noWrap w:val="0"/>
            <w:vAlign w:val="top"/>
          </w:tcPr>
          <w:p>
            <w:pPr>
              <w:topLinePunct/>
              <w:spacing w:line="400" w:lineRule="atLeast"/>
              <w:jc w:val="center"/>
              <w:rPr>
                <w:szCs w:val="21"/>
                <w:highlight w:val="none"/>
              </w:rPr>
            </w:pPr>
          </w:p>
        </w:tc>
      </w:tr>
    </w:tbl>
    <w:p>
      <w:pPr>
        <w:spacing w:line="400" w:lineRule="atLeast"/>
        <w:rPr>
          <w:rFonts w:eastAsia="黑体"/>
          <w:sz w:val="24"/>
          <w:highlight w:val="none"/>
        </w:rPr>
      </w:pPr>
    </w:p>
    <w:p>
      <w:pPr>
        <w:snapToGrid w:val="0"/>
        <w:spacing w:line="360" w:lineRule="auto"/>
        <w:ind w:firstLine="646"/>
        <w:rPr>
          <w:highlight w:val="none"/>
        </w:rPr>
      </w:pPr>
      <w:r>
        <w:rPr>
          <w:rFonts w:hint="eastAsia"/>
          <w:highlight w:val="none"/>
        </w:rPr>
        <w:t>备</w:t>
      </w:r>
      <w:r>
        <w:rPr>
          <w:highlight w:val="none"/>
        </w:rPr>
        <w:t>注：</w:t>
      </w:r>
    </w:p>
    <w:p>
      <w:pPr>
        <w:snapToGrid w:val="0"/>
        <w:spacing w:line="360" w:lineRule="auto"/>
        <w:ind w:firstLine="646"/>
        <w:rPr>
          <w:rFonts w:hint="eastAsia" w:ascii="宋体" w:hAnsi="宋体"/>
          <w:szCs w:val="21"/>
          <w:highlight w:val="none"/>
        </w:rPr>
      </w:pPr>
      <w:r>
        <w:rPr>
          <w:rFonts w:hint="eastAsia" w:ascii="宋体" w:hAnsi="宋体"/>
          <w:szCs w:val="21"/>
          <w:highlight w:val="none"/>
        </w:rPr>
        <w:t xml:space="preserve">1.投标人应列出近3年（从招标公告发布之日起往前推算）获得相关行政管理部门颁发的各类表彰和荣誉称号。 </w:t>
      </w:r>
    </w:p>
    <w:p>
      <w:pPr>
        <w:snapToGrid w:val="0"/>
        <w:spacing w:line="360" w:lineRule="auto"/>
        <w:ind w:firstLine="646"/>
        <w:rPr>
          <w:rFonts w:hint="eastAsia" w:ascii="宋体" w:hAnsi="宋体"/>
          <w:szCs w:val="21"/>
          <w:highlight w:val="none"/>
        </w:rPr>
      </w:pPr>
      <w:r>
        <w:rPr>
          <w:rFonts w:hint="eastAsia" w:ascii="宋体" w:hAnsi="宋体"/>
          <w:szCs w:val="21"/>
          <w:highlight w:val="none"/>
        </w:rPr>
        <w:t>2.本表应附的相关证明材料包括但不限于：表彰文件、颁奖机构颁发的获奖证书等。</w:t>
      </w:r>
    </w:p>
    <w:p>
      <w:pPr>
        <w:snapToGrid w:val="0"/>
        <w:spacing w:line="360" w:lineRule="auto"/>
        <w:ind w:firstLine="646"/>
        <w:rPr>
          <w:rFonts w:hint="eastAsia" w:ascii="宋体" w:hAnsi="宋体"/>
          <w:szCs w:val="21"/>
          <w:highlight w:val="none"/>
        </w:rPr>
      </w:pPr>
      <w:r>
        <w:rPr>
          <w:rFonts w:hint="eastAsia" w:ascii="宋体" w:hAnsi="宋体"/>
          <w:szCs w:val="21"/>
          <w:highlight w:val="none"/>
        </w:rPr>
        <w:t>3.本表应加盖投标人公章，所附证明材料也应盖章。</w:t>
      </w:r>
    </w:p>
    <w:p>
      <w:pPr>
        <w:spacing w:line="300" w:lineRule="auto"/>
        <w:rPr>
          <w:rFonts w:ascii="Arial" w:hAnsi="Arial" w:cs="Arial"/>
          <w:szCs w:val="21"/>
          <w:highlight w:val="none"/>
        </w:rPr>
      </w:pPr>
    </w:p>
    <w:p>
      <w:pPr>
        <w:spacing w:line="300" w:lineRule="auto"/>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widowControl/>
        <w:spacing w:before="100" w:beforeAutospacing="1" w:after="100" w:afterAutospacing="1"/>
        <w:rPr>
          <w:rFonts w:ascii="Arial" w:hAnsi="Arial" w:cs="Arial"/>
          <w:szCs w:val="21"/>
          <w:highlight w:val="none"/>
          <w:u w:val="singl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snapToGrid w:val="0"/>
        <w:spacing w:line="360" w:lineRule="auto"/>
        <w:rPr>
          <w:rFonts w:ascii="Arial" w:hAnsi="Arial" w:cs="Arial"/>
          <w:bCs/>
          <w:szCs w:val="21"/>
          <w:highlight w:val="none"/>
        </w:rPr>
      </w:pPr>
      <w:r>
        <w:rPr>
          <w:highlight w:val="none"/>
        </w:rPr>
        <w:br w:type="page"/>
      </w:r>
    </w:p>
    <w:p>
      <w:pPr>
        <w:pStyle w:val="2"/>
        <w:snapToGrid w:val="0"/>
        <w:spacing w:before="120" w:after="120" w:line="360" w:lineRule="auto"/>
        <w:rPr>
          <w:rFonts w:cs="Arial"/>
          <w:bCs w:val="0"/>
          <w:highlight w:val="none"/>
        </w:rPr>
      </w:pPr>
      <w:bookmarkStart w:id="1123" w:name="_Toc20502"/>
      <w:bookmarkStart w:id="1124" w:name="_Toc8445"/>
      <w:r>
        <w:rPr>
          <w:rFonts w:hint="eastAsia" w:cs="Arial"/>
          <w:bCs w:val="0"/>
          <w:highlight w:val="none"/>
        </w:rPr>
        <w:t>（十一）</w:t>
      </w:r>
      <w:r>
        <w:rPr>
          <w:rFonts w:cs="Arial"/>
          <w:bCs w:val="0"/>
          <w:highlight w:val="none"/>
        </w:rPr>
        <w:t>商务偏离表</w:t>
      </w:r>
      <w:bookmarkEnd w:id="1117"/>
      <w:bookmarkEnd w:id="1118"/>
      <w:bookmarkEnd w:id="1123"/>
      <w:bookmarkEnd w:id="1124"/>
    </w:p>
    <w:p>
      <w:pPr>
        <w:spacing w:line="360" w:lineRule="auto"/>
        <w:rPr>
          <w:rFonts w:ascii="Arial" w:hAnsi="Arial" w:cs="Arial"/>
          <w:highlight w:val="none"/>
        </w:rPr>
      </w:pPr>
      <w:r>
        <w:rPr>
          <w:rFonts w:ascii="Arial" w:hAnsi="Arial" w:cs="Arial"/>
          <w:bCs/>
          <w:szCs w:val="21"/>
          <w:highlight w:val="none"/>
        </w:rPr>
        <w:t>项目名称：</w:t>
      </w:r>
      <w:r>
        <w:rPr>
          <w:rFonts w:ascii="Arial" w:hAnsi="Arial" w:cs="Arial"/>
          <w:bCs/>
          <w:szCs w:val="21"/>
          <w:highlight w:val="none"/>
          <w:u w:val="single"/>
        </w:rPr>
        <w:t xml:space="preserve">            </w:t>
      </w:r>
      <w:r>
        <w:rPr>
          <w:rFonts w:ascii="Arial" w:hAnsi="Arial" w:cs="Arial"/>
          <w:bCs/>
          <w:szCs w:val="21"/>
          <w:highlight w:val="none"/>
        </w:rPr>
        <w:t xml:space="preserve">    </w:t>
      </w:r>
      <w:r>
        <w:rPr>
          <w:rFonts w:ascii="Arial" w:hAnsi="Arial" w:cs="Arial"/>
          <w:szCs w:val="21"/>
          <w:highlight w:val="none"/>
        </w:rPr>
        <w:t>项目编号</w:t>
      </w:r>
      <w:r>
        <w:rPr>
          <w:rFonts w:ascii="Arial" w:hAnsi="Arial" w:cs="Arial"/>
          <w:bCs/>
          <w:szCs w:val="21"/>
          <w:highlight w:val="none"/>
        </w:rPr>
        <w:t>：</w:t>
      </w:r>
      <w:r>
        <w:rPr>
          <w:rFonts w:ascii="Arial" w:hAnsi="Arial" w:cs="Arial"/>
          <w:bCs/>
          <w:szCs w:val="21"/>
          <w:highlight w:val="none"/>
          <w:u w:val="single"/>
        </w:rPr>
        <w:t xml:space="preserve">       </w:t>
      </w:r>
      <w:r>
        <w:rPr>
          <w:rFonts w:ascii="Arial" w:hAnsi="Arial" w:cs="Arial"/>
          <w:bCs/>
          <w:szCs w:val="21"/>
          <w:highlight w:val="none"/>
        </w:rPr>
        <w:t xml:space="preserve"> </w:t>
      </w:r>
      <w:r>
        <w:rPr>
          <w:rFonts w:hint="eastAsia" w:ascii="Arial" w:hAnsi="Arial" w:cs="Arial"/>
          <w:bCs/>
          <w:szCs w:val="21"/>
          <w:highlight w:val="none"/>
          <w:lang w:val="en-US" w:eastAsia="zh-CN"/>
        </w:rPr>
        <w:t xml:space="preserve"> </w:t>
      </w:r>
      <w:r>
        <w:rPr>
          <w:rFonts w:hint="eastAsia" w:ascii="Arial" w:hAnsi="Arial" w:cs="Arial"/>
          <w:szCs w:val="21"/>
          <w:highlight w:val="none"/>
        </w:rPr>
        <w:t xml:space="preserve"> </w:t>
      </w:r>
    </w:p>
    <w:tbl>
      <w:tblPr>
        <w:tblStyle w:val="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4"/>
        <w:gridCol w:w="1301"/>
        <w:gridCol w:w="2340"/>
        <w:gridCol w:w="2340"/>
        <w:gridCol w:w="2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r>
              <w:rPr>
                <w:rFonts w:ascii="Arial" w:hAnsi="Arial" w:cs="Arial"/>
                <w:highlight w:val="none"/>
              </w:rPr>
              <w:t>序号</w:t>
            </w:r>
          </w:p>
        </w:tc>
        <w:tc>
          <w:tcPr>
            <w:tcW w:w="1301" w:type="dxa"/>
            <w:noWrap w:val="0"/>
            <w:vAlign w:val="center"/>
          </w:tcPr>
          <w:p>
            <w:pPr>
              <w:spacing w:line="300" w:lineRule="auto"/>
              <w:jc w:val="center"/>
              <w:rPr>
                <w:rFonts w:ascii="Arial" w:hAnsi="Arial" w:cs="Arial"/>
                <w:highlight w:val="none"/>
              </w:rPr>
            </w:pPr>
            <w:r>
              <w:rPr>
                <w:rFonts w:ascii="Arial" w:hAnsi="Arial" w:cs="Arial"/>
                <w:highlight w:val="none"/>
              </w:rPr>
              <w:t>招标文件条款项</w:t>
            </w:r>
          </w:p>
        </w:tc>
        <w:tc>
          <w:tcPr>
            <w:tcW w:w="2340" w:type="dxa"/>
            <w:noWrap w:val="0"/>
            <w:vAlign w:val="center"/>
          </w:tcPr>
          <w:p>
            <w:pPr>
              <w:spacing w:line="300" w:lineRule="auto"/>
              <w:jc w:val="center"/>
              <w:rPr>
                <w:rFonts w:ascii="Arial" w:hAnsi="Arial" w:cs="Arial"/>
                <w:highlight w:val="none"/>
              </w:rPr>
            </w:pPr>
            <w:r>
              <w:rPr>
                <w:rFonts w:ascii="Arial" w:hAnsi="Arial" w:cs="Arial"/>
                <w:highlight w:val="none"/>
              </w:rPr>
              <w:t>招标文件的商务条款</w:t>
            </w:r>
          </w:p>
        </w:tc>
        <w:tc>
          <w:tcPr>
            <w:tcW w:w="2340" w:type="dxa"/>
            <w:noWrap w:val="0"/>
            <w:vAlign w:val="center"/>
          </w:tcPr>
          <w:p>
            <w:pPr>
              <w:spacing w:line="300" w:lineRule="auto"/>
              <w:jc w:val="center"/>
              <w:rPr>
                <w:rFonts w:ascii="Arial" w:hAnsi="Arial" w:cs="Arial"/>
                <w:highlight w:val="none"/>
              </w:rPr>
            </w:pPr>
            <w:r>
              <w:rPr>
                <w:rFonts w:hint="eastAsia" w:ascii="Arial" w:hAnsi="Arial" w:cs="Arial"/>
                <w:highlight w:val="none"/>
              </w:rPr>
              <w:t>投标文件</w:t>
            </w:r>
            <w:r>
              <w:rPr>
                <w:rFonts w:ascii="Arial" w:hAnsi="Arial" w:cs="Arial"/>
                <w:highlight w:val="none"/>
              </w:rPr>
              <w:t>的商务条款</w:t>
            </w:r>
          </w:p>
        </w:tc>
        <w:tc>
          <w:tcPr>
            <w:tcW w:w="2341" w:type="dxa"/>
            <w:noWrap w:val="0"/>
            <w:vAlign w:val="center"/>
          </w:tcPr>
          <w:p>
            <w:pPr>
              <w:spacing w:line="300" w:lineRule="auto"/>
              <w:jc w:val="center"/>
              <w:rPr>
                <w:rFonts w:hint="eastAsia" w:ascii="Arial" w:hAnsi="Arial" w:cs="Arial"/>
                <w:highlight w:val="none"/>
              </w:rPr>
            </w:pPr>
            <w:r>
              <w:rPr>
                <w:rFonts w:hint="eastAsia" w:ascii="Arial" w:hAnsi="Arial" w:cs="Arial"/>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r>
              <w:rPr>
                <w:rFonts w:hint="eastAsia" w:ascii="Arial" w:hAnsi="Arial" w:cs="Arial"/>
                <w:highlight w:val="none"/>
              </w:rPr>
              <w:t>1</w:t>
            </w:r>
          </w:p>
        </w:tc>
        <w:tc>
          <w:tcPr>
            <w:tcW w:w="1301" w:type="dxa"/>
            <w:noWrap w:val="0"/>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服务期</w:t>
            </w: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r>
              <w:rPr>
                <w:rFonts w:hint="eastAsia" w:ascii="Arial" w:hAnsi="Arial" w:cs="Arial"/>
                <w:highlight w:val="none"/>
              </w:rPr>
              <w:t>2</w:t>
            </w:r>
          </w:p>
        </w:tc>
        <w:tc>
          <w:tcPr>
            <w:tcW w:w="1301" w:type="dxa"/>
            <w:noWrap w:val="0"/>
            <w:vAlign w:val="center"/>
          </w:tcPr>
          <w:p>
            <w:pPr>
              <w:autoSpaceDE w:val="0"/>
              <w:autoSpaceDN w:val="0"/>
              <w:snapToGrid w:val="0"/>
              <w:spacing w:line="300" w:lineRule="auto"/>
              <w:jc w:val="center"/>
              <w:rPr>
                <w:rFonts w:ascii="宋体" w:hAnsi="宋体" w:cs="Arial"/>
                <w:szCs w:val="21"/>
                <w:highlight w:val="none"/>
              </w:rPr>
            </w:pPr>
            <w:r>
              <w:rPr>
                <w:rFonts w:hint="eastAsia" w:ascii="宋体" w:hAnsi="宋体" w:cs="Arial"/>
                <w:szCs w:val="21"/>
                <w:highlight w:val="none"/>
              </w:rPr>
              <w:t>付款方式</w:t>
            </w: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b/>
                <w:highlight w:val="none"/>
              </w:rPr>
            </w:pPr>
            <w:r>
              <w:rPr>
                <w:rFonts w:ascii="Arial" w:hAnsi="Arial" w:cs="Arial"/>
                <w:b/>
                <w:highlight w:val="none"/>
              </w:rPr>
              <w:t>……</w:t>
            </w: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24" w:type="dxa"/>
            <w:noWrap w:val="0"/>
            <w:vAlign w:val="center"/>
          </w:tcPr>
          <w:p>
            <w:pPr>
              <w:spacing w:line="300" w:lineRule="auto"/>
              <w:jc w:val="center"/>
              <w:rPr>
                <w:rFonts w:ascii="Arial" w:hAnsi="Arial" w:cs="Arial"/>
                <w:highlight w:val="none"/>
              </w:rPr>
            </w:pPr>
          </w:p>
        </w:tc>
        <w:tc>
          <w:tcPr>
            <w:tcW w:w="1301"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0" w:type="dxa"/>
            <w:noWrap w:val="0"/>
            <w:vAlign w:val="center"/>
          </w:tcPr>
          <w:p>
            <w:pPr>
              <w:spacing w:line="300" w:lineRule="auto"/>
              <w:jc w:val="center"/>
              <w:rPr>
                <w:rFonts w:ascii="Arial" w:hAnsi="Arial" w:cs="Arial"/>
                <w:highlight w:val="none"/>
              </w:rPr>
            </w:pPr>
          </w:p>
        </w:tc>
        <w:tc>
          <w:tcPr>
            <w:tcW w:w="2341" w:type="dxa"/>
            <w:noWrap w:val="0"/>
            <w:vAlign w:val="center"/>
          </w:tcPr>
          <w:p>
            <w:pPr>
              <w:spacing w:line="300" w:lineRule="auto"/>
              <w:jc w:val="center"/>
              <w:rPr>
                <w:rFonts w:ascii="Arial" w:hAnsi="Arial" w:cs="Arial"/>
                <w:highlight w:val="none"/>
              </w:rPr>
            </w:pPr>
          </w:p>
        </w:tc>
      </w:tr>
    </w:tbl>
    <w:p>
      <w:pPr>
        <w:spacing w:line="300" w:lineRule="auto"/>
        <w:rPr>
          <w:rFonts w:ascii="Arial" w:hAnsi="Arial" w:cs="Arial"/>
          <w:highlight w:val="none"/>
        </w:rPr>
      </w:pPr>
    </w:p>
    <w:p>
      <w:pPr>
        <w:spacing w:line="300" w:lineRule="auto"/>
        <w:rPr>
          <w:rFonts w:ascii="Arial" w:hAnsi="Arial" w:cs="Arial"/>
          <w:highlight w:val="none"/>
        </w:rPr>
      </w:pPr>
      <w:r>
        <w:rPr>
          <w:rFonts w:ascii="Arial" w:hAnsi="Arial" w:cs="Arial"/>
          <w:iCs/>
          <w:highlight w:val="none"/>
        </w:rPr>
        <w:t>遵守</w:t>
      </w:r>
      <w:r>
        <w:rPr>
          <w:rFonts w:ascii="Arial" w:hAnsi="Arial" w:cs="Arial"/>
          <w:highlight w:val="none"/>
        </w:rPr>
        <w:t>声明：</w:t>
      </w:r>
      <w:r>
        <w:rPr>
          <w:rFonts w:ascii="Arial" w:hAnsi="Arial" w:cs="Arial"/>
          <w:highlight w:val="none"/>
          <w:u w:val="single"/>
        </w:rPr>
        <w:t xml:space="preserve">                             </w:t>
      </w:r>
    </w:p>
    <w:p>
      <w:pPr>
        <w:spacing w:line="300" w:lineRule="auto"/>
        <w:rPr>
          <w:rFonts w:ascii="Arial" w:hAnsi="Arial" w:cs="Arial"/>
          <w:highlight w:val="none"/>
        </w:rPr>
      </w:pPr>
    </w:p>
    <w:p>
      <w:pPr>
        <w:spacing w:line="300" w:lineRule="auto"/>
        <w:rPr>
          <w:rFonts w:ascii="Arial" w:hAnsi="Arial" w:cs="Arial"/>
          <w:szCs w:val="21"/>
          <w:highlight w:val="none"/>
        </w:rPr>
      </w:pPr>
      <w:r>
        <w:rPr>
          <w:rFonts w:ascii="Arial" w:hAnsi="Arial" w:cs="Arial"/>
          <w:szCs w:val="21"/>
          <w:highlight w:val="none"/>
        </w:rPr>
        <w:t>投标人名称[盖章]：</w:t>
      </w:r>
      <w:r>
        <w:rPr>
          <w:rFonts w:ascii="Arial" w:hAnsi="Arial" w:cs="Arial"/>
          <w:szCs w:val="21"/>
          <w:highlight w:val="none"/>
          <w:u w:val="single"/>
        </w:rPr>
        <w:t xml:space="preserve">                              </w:t>
      </w:r>
      <w:r>
        <w:rPr>
          <w:rFonts w:ascii="Arial" w:hAnsi="Arial" w:cs="Arial"/>
          <w:szCs w:val="21"/>
          <w:highlight w:val="none"/>
        </w:rPr>
        <w:t xml:space="preserve"> </w:t>
      </w:r>
    </w:p>
    <w:p>
      <w:pPr>
        <w:spacing w:line="300" w:lineRule="auto"/>
        <w:rPr>
          <w:rFonts w:ascii="Arial" w:hAnsi="Arial" w:cs="Arial"/>
          <w:szCs w:val="21"/>
          <w:highlight w:val="none"/>
        </w:rPr>
      </w:pPr>
    </w:p>
    <w:p>
      <w:pPr>
        <w:spacing w:line="300" w:lineRule="auto"/>
        <w:rPr>
          <w:rFonts w:ascii="Arial" w:hAnsi="Arial" w:cs="Arial"/>
          <w:highlight w:val="none"/>
        </w:rPr>
      </w:pPr>
      <w:r>
        <w:rPr>
          <w:rFonts w:ascii="Arial" w:hAnsi="Arial" w:cs="Arial"/>
          <w:szCs w:val="21"/>
          <w:highlight w:val="none"/>
        </w:rPr>
        <w:t>投标人授权代表签字：</w:t>
      </w:r>
      <w:r>
        <w:rPr>
          <w:rFonts w:ascii="Arial" w:hAnsi="Arial" w:cs="Arial"/>
          <w:szCs w:val="21"/>
          <w:highlight w:val="none"/>
          <w:u w:val="single"/>
        </w:rPr>
        <w:t xml:space="preserve"> </w:t>
      </w:r>
      <w:r>
        <w:rPr>
          <w:rFonts w:hint="eastAsia" w:ascii="Arial" w:hAnsi="Arial" w:cs="Arial"/>
          <w:szCs w:val="21"/>
          <w:highlight w:val="none"/>
          <w:u w:val="single"/>
        </w:rPr>
        <w:t xml:space="preserve">                     </w:t>
      </w:r>
      <w:r>
        <w:rPr>
          <w:rFonts w:ascii="Arial" w:hAnsi="Arial" w:cs="Arial"/>
          <w:szCs w:val="21"/>
          <w:highlight w:val="none"/>
          <w:u w:val="single"/>
        </w:rPr>
        <w:t xml:space="preserve"> </w:t>
      </w:r>
      <w:r>
        <w:rPr>
          <w:rFonts w:ascii="Arial" w:hAnsi="Arial" w:cs="Arial"/>
          <w:szCs w:val="21"/>
          <w:highlight w:val="none"/>
        </w:rPr>
        <w:t xml:space="preserve">                   日期：</w:t>
      </w:r>
      <w:r>
        <w:rPr>
          <w:rFonts w:ascii="Arial" w:hAnsi="Arial" w:cs="Arial"/>
          <w:szCs w:val="21"/>
          <w:highlight w:val="none"/>
          <w:u w:val="single"/>
        </w:rPr>
        <w:t xml:space="preserve">                </w:t>
      </w:r>
    </w:p>
    <w:p>
      <w:pPr>
        <w:snapToGrid w:val="0"/>
        <w:spacing w:line="360" w:lineRule="auto"/>
        <w:rPr>
          <w:rFonts w:ascii="Arial" w:hAnsi="Arial" w:cs="Arial"/>
          <w:b/>
          <w:bCs/>
          <w:highlight w:val="none"/>
        </w:rPr>
      </w:pPr>
    </w:p>
    <w:p>
      <w:pPr>
        <w:snapToGrid w:val="0"/>
        <w:spacing w:line="360" w:lineRule="auto"/>
        <w:rPr>
          <w:rFonts w:ascii="Arial" w:hAnsi="Arial" w:cs="Arial"/>
          <w:b/>
          <w:bCs/>
          <w:iCs/>
          <w:highlight w:val="none"/>
        </w:rPr>
      </w:pPr>
      <w:r>
        <w:rPr>
          <w:rFonts w:ascii="Arial" w:hAnsi="Arial" w:cs="Arial"/>
          <w:iCs/>
          <w:highlight w:val="none"/>
        </w:rPr>
        <w:t>注：</w:t>
      </w:r>
    </w:p>
    <w:p>
      <w:pPr>
        <w:numPr>
          <w:ilvl w:val="0"/>
          <w:numId w:val="12"/>
        </w:numPr>
        <w:snapToGrid w:val="0"/>
        <w:spacing w:line="360" w:lineRule="auto"/>
        <w:rPr>
          <w:rFonts w:ascii="Arial" w:hAnsi="Arial" w:cs="Arial"/>
          <w:iCs/>
          <w:highlight w:val="none"/>
        </w:rPr>
      </w:pPr>
      <w:r>
        <w:rPr>
          <w:rFonts w:ascii="Arial" w:hAnsi="Arial" w:cs="Arial"/>
          <w:iCs/>
          <w:highlight w:val="none"/>
        </w:rPr>
        <w:t>投标人应对商务基本要求，提出遵守声明。</w:t>
      </w:r>
    </w:p>
    <w:p>
      <w:pPr>
        <w:numPr>
          <w:ilvl w:val="0"/>
          <w:numId w:val="12"/>
        </w:numPr>
        <w:snapToGrid w:val="0"/>
        <w:spacing w:line="360" w:lineRule="auto"/>
        <w:rPr>
          <w:rFonts w:ascii="Arial" w:hAnsi="Arial" w:cs="Arial"/>
          <w:iCs/>
          <w:highlight w:val="none"/>
        </w:rPr>
      </w:pPr>
      <w:r>
        <w:rPr>
          <w:rFonts w:ascii="Arial" w:hAnsi="Arial" w:cs="Arial"/>
          <w:iCs/>
          <w:highlight w:val="none"/>
        </w:rPr>
        <w:t>投标人须在本附件内，列出不能符合的有关段落，附件并举出原因，同时，投标人亦须提出解决偏离的详细方案。</w:t>
      </w:r>
    </w:p>
    <w:p>
      <w:pPr>
        <w:numPr>
          <w:ilvl w:val="0"/>
          <w:numId w:val="12"/>
        </w:numPr>
        <w:snapToGrid w:val="0"/>
        <w:spacing w:line="360" w:lineRule="auto"/>
        <w:rPr>
          <w:rFonts w:ascii="Arial" w:hAnsi="Arial" w:cs="Arial"/>
          <w:highlight w:val="none"/>
        </w:rPr>
      </w:pPr>
      <w:r>
        <w:rPr>
          <w:rFonts w:ascii="Arial" w:hAnsi="Arial" w:cs="Arial"/>
          <w:iCs/>
          <w:highlight w:val="none"/>
        </w:rPr>
        <w:t>除本附件列出的偏差获得采购人许可外，在合同签订后，所有不符合招标要求的项目，投标人必须加以纠正。</w:t>
      </w:r>
    </w:p>
    <w:p>
      <w:pPr>
        <w:pStyle w:val="2"/>
        <w:snapToGrid w:val="0"/>
        <w:spacing w:before="120" w:after="120" w:line="360" w:lineRule="auto"/>
        <w:rPr>
          <w:rFonts w:cs="Arial"/>
          <w:bCs w:val="0"/>
          <w:highlight w:val="none"/>
        </w:rPr>
      </w:pPr>
      <w:bookmarkStart w:id="1125" w:name="_Toc430813370"/>
      <w:bookmarkStart w:id="1126" w:name="_Toc432367438"/>
      <w:r>
        <w:rPr>
          <w:rFonts w:hint="eastAsia" w:cs="Arial"/>
          <w:bCs w:val="0"/>
          <w:highlight w:val="none"/>
        </w:rPr>
        <w:br w:type="page"/>
      </w:r>
      <w:bookmarkStart w:id="1127" w:name="_Toc29179"/>
      <w:bookmarkStart w:id="1128" w:name="_Toc3494"/>
      <w:r>
        <w:rPr>
          <w:rFonts w:hint="eastAsia" w:cs="Arial"/>
          <w:bCs w:val="0"/>
          <w:highlight w:val="none"/>
        </w:rPr>
        <w:t>（十二）</w:t>
      </w:r>
      <w:r>
        <w:rPr>
          <w:rFonts w:cs="Arial"/>
          <w:bCs w:val="0"/>
          <w:highlight w:val="none"/>
        </w:rPr>
        <w:t>其它</w:t>
      </w:r>
      <w:bookmarkEnd w:id="1125"/>
      <w:bookmarkEnd w:id="1126"/>
      <w:bookmarkEnd w:id="1127"/>
      <w:bookmarkEnd w:id="1128"/>
    </w:p>
    <w:p>
      <w:pPr>
        <w:spacing w:line="360" w:lineRule="auto"/>
        <w:rPr>
          <w:rFonts w:ascii="Arial" w:hAnsi="Arial" w:cs="Arial"/>
          <w:highlight w:val="none"/>
        </w:rPr>
      </w:pPr>
      <w:r>
        <w:rPr>
          <w:rFonts w:hint="eastAsia" w:ascii="Arial" w:hAnsi="Arial" w:cs="Arial"/>
          <w:highlight w:val="none"/>
        </w:rPr>
        <w:t>1、</w:t>
      </w:r>
      <w:r>
        <w:rPr>
          <w:rFonts w:ascii="Arial" w:hAnsi="Arial" w:cs="Arial"/>
          <w:highlight w:val="none"/>
        </w:rPr>
        <w:t>招标文件要求提供的资料和证明材料；</w:t>
      </w:r>
    </w:p>
    <w:p>
      <w:pPr>
        <w:spacing w:line="360" w:lineRule="auto"/>
        <w:rPr>
          <w:rFonts w:ascii="Arial" w:hAnsi="Arial" w:cs="Arial"/>
          <w:highlight w:val="none"/>
        </w:rPr>
      </w:pPr>
      <w:r>
        <w:rPr>
          <w:rFonts w:hint="eastAsia" w:ascii="Arial" w:hAnsi="Arial" w:cs="Arial"/>
          <w:highlight w:val="none"/>
        </w:rPr>
        <w:t>2、</w:t>
      </w:r>
      <w:r>
        <w:rPr>
          <w:rFonts w:ascii="Arial" w:hAnsi="Arial" w:cs="Arial"/>
          <w:highlight w:val="none"/>
        </w:rPr>
        <w:t>投标人认为需要提供的其它商务资料和说明。</w:t>
      </w:r>
      <w:r>
        <w:rPr>
          <w:rFonts w:ascii="Arial" w:hAnsi="Arial" w:cs="Arial"/>
          <w:highlight w:val="none"/>
        </w:rPr>
        <w:br w:type="page"/>
      </w:r>
    </w:p>
    <w:p>
      <w:pPr>
        <w:pStyle w:val="2"/>
        <w:rPr>
          <w:rFonts w:cs="Arial"/>
          <w:bCs w:val="0"/>
          <w:highlight w:val="none"/>
        </w:rPr>
      </w:pPr>
      <w:bookmarkStart w:id="1129" w:name="_Toc14581"/>
      <w:bookmarkStart w:id="1130" w:name="_Toc432367439"/>
      <w:bookmarkStart w:id="1131" w:name="_Toc29901"/>
      <w:bookmarkStart w:id="1132" w:name="_Toc430813371"/>
      <w:r>
        <w:rPr>
          <w:rFonts w:hint="eastAsia" w:cs="Arial"/>
          <w:bCs w:val="0"/>
          <w:highlight w:val="none"/>
        </w:rPr>
        <w:t>四、技术</w:t>
      </w:r>
      <w:r>
        <w:rPr>
          <w:rFonts w:cs="Arial"/>
          <w:bCs w:val="0"/>
          <w:highlight w:val="none"/>
        </w:rPr>
        <w:t>文件</w:t>
      </w:r>
      <w:bookmarkEnd w:id="1129"/>
      <w:bookmarkEnd w:id="1130"/>
      <w:bookmarkEnd w:id="1131"/>
      <w:bookmarkEnd w:id="1132"/>
    </w:p>
    <w:p>
      <w:pPr>
        <w:pStyle w:val="2"/>
        <w:snapToGrid w:val="0"/>
        <w:spacing w:before="120" w:after="120" w:line="360" w:lineRule="auto"/>
        <w:rPr>
          <w:rFonts w:hint="eastAsia" w:cs="Arial"/>
          <w:bCs w:val="0"/>
          <w:highlight w:val="none"/>
        </w:rPr>
      </w:pPr>
      <w:bookmarkStart w:id="1133" w:name="_Toc485936398"/>
      <w:bookmarkStart w:id="1134" w:name="_Toc431964667"/>
      <w:bookmarkStart w:id="1135" w:name="_Toc9624"/>
      <w:bookmarkStart w:id="1136" w:name="_Toc10305"/>
      <w:r>
        <w:rPr>
          <w:rFonts w:hint="eastAsia" w:cs="Arial"/>
          <w:bCs w:val="0"/>
          <w:highlight w:val="none"/>
        </w:rPr>
        <w:t>（一）项目实施方案</w:t>
      </w:r>
      <w:bookmarkEnd w:id="1133"/>
      <w:bookmarkEnd w:id="1134"/>
      <w:bookmarkEnd w:id="1135"/>
      <w:bookmarkEnd w:id="1136"/>
    </w:p>
    <w:p>
      <w:pPr>
        <w:spacing w:line="300" w:lineRule="auto"/>
        <w:rPr>
          <w:rFonts w:ascii="Arial" w:hAnsi="Arial" w:cs="Arial"/>
          <w:highlight w:val="none"/>
          <w:u w:val="single"/>
        </w:rPr>
      </w:pPr>
      <w:r>
        <w:rPr>
          <w:rFonts w:hint="eastAsia" w:ascii="Arial" w:hAnsi="Arial" w:cs="Arial"/>
          <w:highlight w:val="none"/>
          <w:lang w:val="en-US" w:eastAsia="zh-CN"/>
        </w:rPr>
        <w:t>针对评分办法格式自拟</w:t>
      </w:r>
      <w:r>
        <w:rPr>
          <w:rFonts w:ascii="Arial" w:hAnsi="Arial" w:cs="Arial"/>
          <w:highlight w:val="none"/>
        </w:rPr>
        <w:br w:type="page"/>
      </w:r>
    </w:p>
    <w:p>
      <w:pPr>
        <w:pStyle w:val="2"/>
        <w:snapToGrid w:val="0"/>
        <w:spacing w:before="120" w:after="120" w:line="360" w:lineRule="auto"/>
        <w:rPr>
          <w:rFonts w:hint="eastAsia" w:cs="Arial"/>
          <w:bCs w:val="0"/>
          <w:highlight w:val="none"/>
        </w:rPr>
      </w:pPr>
      <w:bookmarkStart w:id="1137" w:name="_Toc14809"/>
      <w:bookmarkStart w:id="1138" w:name="_Toc431964668"/>
      <w:bookmarkStart w:id="1139" w:name="_Toc485936399"/>
      <w:bookmarkStart w:id="1140" w:name="_Toc3245"/>
      <w:r>
        <w:rPr>
          <w:rFonts w:hint="eastAsia" w:cs="Arial"/>
          <w:bCs w:val="0"/>
          <w:highlight w:val="none"/>
        </w:rPr>
        <w:t>（二）拟投入人员情况</w:t>
      </w:r>
      <w:bookmarkEnd w:id="1137"/>
      <w:bookmarkEnd w:id="1138"/>
      <w:bookmarkEnd w:id="1139"/>
      <w:bookmarkEnd w:id="1140"/>
    </w:p>
    <w:p>
      <w:pPr>
        <w:adjustRightInd w:val="0"/>
        <w:snapToGrid w:val="0"/>
        <w:rPr>
          <w:rFonts w:hint="eastAsia" w:ascii="宋体" w:hAnsi="宋体" w:eastAsia="宋体"/>
          <w:color w:val="auto"/>
          <w:szCs w:val="21"/>
          <w:highlight w:val="none"/>
          <w:lang w:eastAsia="zh-CN"/>
        </w:rPr>
      </w:pPr>
      <w:r>
        <w:rPr>
          <w:rFonts w:ascii="宋体" w:hAnsi="宋体"/>
          <w:color w:val="auto"/>
          <w:szCs w:val="21"/>
          <w:highlight w:val="none"/>
        </w:rPr>
        <w:t>项</w:t>
      </w:r>
      <w:r>
        <w:rPr>
          <w:rFonts w:hint="eastAsia" w:ascii="宋体" w:hAnsi="宋体"/>
          <w:color w:val="auto"/>
          <w:szCs w:val="21"/>
          <w:highlight w:val="none"/>
        </w:rPr>
        <w:t>目名</w:t>
      </w:r>
      <w:r>
        <w:rPr>
          <w:rFonts w:ascii="宋体" w:hAnsi="宋体"/>
          <w:color w:val="auto"/>
          <w:szCs w:val="21"/>
          <w:highlight w:val="none"/>
        </w:rPr>
        <w:t>称</w:t>
      </w:r>
      <w:r>
        <w:rPr>
          <w:rFonts w:hint="eastAsia" w:ascii="宋体" w:hAnsi="宋体"/>
          <w:color w:val="auto"/>
          <w:szCs w:val="21"/>
          <w:highlight w:val="none"/>
        </w:rPr>
        <w:t xml:space="preserve">：                  </w:t>
      </w:r>
      <w:r>
        <w:rPr>
          <w:rFonts w:ascii="宋体" w:hAnsi="宋体"/>
          <w:color w:val="auto"/>
          <w:szCs w:val="21"/>
          <w:highlight w:val="none"/>
        </w:rPr>
        <w:t>项</w:t>
      </w:r>
      <w:r>
        <w:rPr>
          <w:rFonts w:hint="eastAsia" w:ascii="宋体" w:hAnsi="宋体"/>
          <w:color w:val="auto"/>
          <w:szCs w:val="21"/>
          <w:highlight w:val="none"/>
        </w:rPr>
        <w:t>目</w:t>
      </w:r>
      <w:r>
        <w:rPr>
          <w:rFonts w:ascii="宋体" w:hAnsi="宋体"/>
          <w:color w:val="auto"/>
          <w:szCs w:val="21"/>
          <w:highlight w:val="none"/>
        </w:rPr>
        <w:t>编号</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29"/>
        <w:gridCol w:w="1081"/>
        <w:gridCol w:w="850"/>
        <w:gridCol w:w="1381"/>
        <w:gridCol w:w="1764"/>
        <w:gridCol w:w="1177"/>
        <w:gridCol w:w="9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rPr>
                <w:rFonts w:hint="eastAsia" w:ascii="宋体" w:hAnsi="宋体"/>
                <w:color w:val="auto"/>
                <w:szCs w:val="21"/>
                <w:highlight w:val="none"/>
              </w:rPr>
            </w:pPr>
            <w:r>
              <w:rPr>
                <w:rFonts w:ascii="宋体" w:hAnsi="宋体"/>
                <w:color w:val="auto"/>
                <w:szCs w:val="21"/>
                <w:highlight w:val="none"/>
              </w:rPr>
              <w:t>序号</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color w:val="auto"/>
                <w:szCs w:val="21"/>
                <w:highlight w:val="none"/>
              </w:rPr>
            </w:pPr>
            <w:r>
              <w:rPr>
                <w:rFonts w:hint="eastAsia" w:ascii="宋体" w:hAnsi="宋体"/>
                <w:color w:val="auto"/>
                <w:szCs w:val="21"/>
                <w:highlight w:val="none"/>
              </w:rPr>
              <w:t>姓名</w:t>
            </w: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color w:val="auto"/>
                <w:szCs w:val="21"/>
                <w:highlight w:val="none"/>
              </w:rPr>
            </w:pPr>
            <w:r>
              <w:rPr>
                <w:rFonts w:ascii="宋体" w:hAnsi="宋体"/>
                <w:color w:val="auto"/>
                <w:szCs w:val="21"/>
                <w:highlight w:val="none"/>
              </w:rPr>
              <w:t>职务/</w:t>
            </w:r>
          </w:p>
          <w:p>
            <w:pPr>
              <w:snapToGrid w:val="0"/>
              <w:jc w:val="center"/>
              <w:rPr>
                <w:rFonts w:ascii="宋体" w:hAnsi="宋体"/>
                <w:color w:val="auto"/>
                <w:szCs w:val="21"/>
                <w:highlight w:val="none"/>
              </w:rPr>
            </w:pPr>
            <w:r>
              <w:rPr>
                <w:rFonts w:ascii="宋体" w:hAnsi="宋体"/>
                <w:color w:val="auto"/>
                <w:szCs w:val="21"/>
                <w:highlight w:val="none"/>
              </w:rPr>
              <w:t>职称</w:t>
            </w: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ascii="宋体" w:hAnsi="宋体"/>
                <w:color w:val="auto"/>
                <w:szCs w:val="21"/>
                <w:highlight w:val="none"/>
              </w:rPr>
            </w:pPr>
            <w:r>
              <w:rPr>
                <w:rFonts w:ascii="宋体" w:hAnsi="宋体"/>
                <w:color w:val="auto"/>
                <w:szCs w:val="21"/>
                <w:highlight w:val="none"/>
              </w:rPr>
              <w:t>学历</w:t>
            </w:r>
          </w:p>
        </w:tc>
        <w:tc>
          <w:tcPr>
            <w:tcW w:w="1381"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专业资</w:t>
            </w:r>
            <w:r>
              <w:rPr>
                <w:rFonts w:hint="eastAsia" w:ascii="宋体" w:hAnsi="宋体"/>
                <w:color w:val="auto"/>
                <w:szCs w:val="21"/>
                <w:highlight w:val="none"/>
              </w:rPr>
              <w:t>格</w:t>
            </w:r>
          </w:p>
        </w:tc>
        <w:tc>
          <w:tcPr>
            <w:tcW w:w="1764"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在本</w:t>
            </w:r>
            <w:r>
              <w:rPr>
                <w:rFonts w:ascii="宋体" w:hAnsi="宋体"/>
                <w:color w:val="auto"/>
                <w:szCs w:val="21"/>
                <w:highlight w:val="none"/>
              </w:rPr>
              <w:t>项目</w:t>
            </w:r>
            <w:r>
              <w:rPr>
                <w:rFonts w:hint="eastAsia" w:ascii="宋体" w:hAnsi="宋体"/>
                <w:color w:val="auto"/>
                <w:szCs w:val="21"/>
                <w:highlight w:val="none"/>
              </w:rPr>
              <w:t>中</w:t>
            </w:r>
            <w:r>
              <w:rPr>
                <w:rFonts w:ascii="宋体" w:hAnsi="宋体"/>
                <w:color w:val="auto"/>
                <w:szCs w:val="21"/>
                <w:highlight w:val="none"/>
              </w:rPr>
              <w:t>担</w:t>
            </w:r>
            <w:r>
              <w:rPr>
                <w:rFonts w:hint="eastAsia" w:ascii="宋体" w:hAnsi="宋体"/>
                <w:color w:val="auto"/>
                <w:szCs w:val="21"/>
                <w:highlight w:val="none"/>
              </w:rPr>
              <w:t>任的工作</w:t>
            </w: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hint="eastAsia" w:ascii="宋体" w:hAnsi="宋体"/>
                <w:color w:val="auto"/>
                <w:szCs w:val="21"/>
                <w:highlight w:val="none"/>
              </w:rPr>
              <w:t>工作</w:t>
            </w:r>
            <w:r>
              <w:rPr>
                <w:rFonts w:ascii="宋体" w:hAnsi="宋体"/>
                <w:color w:val="auto"/>
                <w:szCs w:val="21"/>
                <w:highlight w:val="none"/>
              </w:rPr>
              <w:t>经历</w:t>
            </w: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类</w:t>
            </w:r>
            <w:r>
              <w:rPr>
                <w:rFonts w:hint="eastAsia" w:ascii="宋体" w:hAnsi="宋体"/>
                <w:color w:val="auto"/>
                <w:szCs w:val="21"/>
                <w:highlight w:val="none"/>
              </w:rPr>
              <w:t>似</w:t>
            </w:r>
          </w:p>
          <w:p>
            <w:pPr>
              <w:snapToGrid w:val="0"/>
              <w:jc w:val="center"/>
              <w:rPr>
                <w:rFonts w:hint="eastAsia" w:ascii="宋体" w:hAnsi="宋体"/>
                <w:color w:val="auto"/>
                <w:szCs w:val="21"/>
                <w:highlight w:val="none"/>
              </w:rPr>
            </w:pPr>
            <w:r>
              <w:rPr>
                <w:rFonts w:ascii="宋体" w:hAnsi="宋体"/>
                <w:color w:val="auto"/>
                <w:szCs w:val="21"/>
                <w:highlight w:val="none"/>
              </w:rPr>
              <w:t>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1</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2</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3</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4</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5</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78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宋体" w:hAnsi="宋体"/>
                <w:color w:val="auto"/>
                <w:szCs w:val="21"/>
                <w:highlight w:val="none"/>
              </w:rPr>
            </w:pPr>
            <w:r>
              <w:rPr>
                <w:rFonts w:ascii="宋体" w:hAnsi="宋体"/>
                <w:color w:val="auto"/>
                <w:szCs w:val="21"/>
                <w:highlight w:val="none"/>
              </w:rPr>
              <w:t>…</w:t>
            </w:r>
          </w:p>
        </w:tc>
        <w:tc>
          <w:tcPr>
            <w:tcW w:w="92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081"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764" w:type="dxa"/>
            <w:tcBorders>
              <w:top w:val="single" w:color="auto" w:sz="4" w:space="0"/>
              <w:left w:val="single" w:color="auto" w:sz="4" w:space="0"/>
              <w:bottom w:val="single" w:color="auto" w:sz="4" w:space="0"/>
              <w:right w:val="single" w:color="auto" w:sz="4" w:space="0"/>
            </w:tcBorders>
            <w:noWrap w:val="0"/>
            <w:vAlign w:val="top"/>
          </w:tcPr>
          <w:p>
            <w:pPr>
              <w:snapToGrid w:val="0"/>
              <w:rPr>
                <w:rFonts w:ascii="宋体" w:hAnsi="宋体"/>
                <w:color w:val="auto"/>
                <w:szCs w:val="21"/>
                <w:highlight w:val="none"/>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c>
          <w:tcPr>
            <w:tcW w:w="979" w:type="dxa"/>
            <w:tcBorders>
              <w:top w:val="single" w:color="auto" w:sz="4" w:space="0"/>
              <w:left w:val="single" w:color="auto" w:sz="4" w:space="0"/>
              <w:bottom w:val="single" w:color="auto" w:sz="4" w:space="0"/>
              <w:right w:val="single" w:color="auto" w:sz="4" w:space="0"/>
            </w:tcBorders>
            <w:noWrap w:val="0"/>
            <w:vAlign w:val="center"/>
          </w:tcPr>
          <w:p>
            <w:pPr>
              <w:snapToGrid w:val="0"/>
              <w:rPr>
                <w:rFonts w:ascii="宋体" w:hAnsi="宋体"/>
                <w:color w:val="auto"/>
                <w:szCs w:val="21"/>
                <w:highlight w:val="none"/>
              </w:rPr>
            </w:pPr>
          </w:p>
        </w:tc>
      </w:tr>
    </w:tbl>
    <w:p>
      <w:pPr>
        <w:spacing w:before="120" w:beforeLines="50" w:after="120" w:afterLines="50" w:line="300" w:lineRule="auto"/>
        <w:ind w:left="420" w:hanging="420" w:hangingChars="200"/>
        <w:rPr>
          <w:rFonts w:hint="eastAsia" w:ascii="宋体" w:hAnsi="宋体"/>
          <w:bCs/>
          <w:color w:val="auto"/>
          <w:kern w:val="0"/>
          <w:szCs w:val="21"/>
          <w:highlight w:val="none"/>
        </w:rPr>
      </w:pPr>
      <w:r>
        <w:rPr>
          <w:rFonts w:hint="eastAsia" w:ascii="宋体" w:hAnsi="宋体"/>
          <w:color w:val="auto"/>
          <w:szCs w:val="21"/>
          <w:highlight w:val="none"/>
        </w:rPr>
        <w:t>注：表后</w:t>
      </w:r>
      <w:r>
        <w:rPr>
          <w:rFonts w:ascii="宋体" w:hAnsi="宋体"/>
          <w:color w:val="auto"/>
          <w:szCs w:val="21"/>
          <w:highlight w:val="none"/>
        </w:rPr>
        <w:t>须附拟</w:t>
      </w:r>
      <w:r>
        <w:rPr>
          <w:rFonts w:hint="eastAsia" w:ascii="宋体" w:hAnsi="宋体"/>
          <w:color w:val="auto"/>
          <w:szCs w:val="21"/>
          <w:highlight w:val="none"/>
        </w:rPr>
        <w:t>投入人</w:t>
      </w:r>
      <w:r>
        <w:rPr>
          <w:rFonts w:ascii="宋体" w:hAnsi="宋体"/>
          <w:color w:val="auto"/>
          <w:szCs w:val="21"/>
          <w:highlight w:val="none"/>
        </w:rPr>
        <w:t>员</w:t>
      </w:r>
      <w:r>
        <w:rPr>
          <w:rFonts w:hint="eastAsia" w:ascii="宋体" w:hAnsi="宋体"/>
          <w:color w:val="auto"/>
          <w:szCs w:val="21"/>
          <w:highlight w:val="none"/>
        </w:rPr>
        <w:t>的</w:t>
      </w:r>
      <w:r>
        <w:rPr>
          <w:rFonts w:ascii="宋体" w:hAnsi="宋体"/>
          <w:color w:val="auto"/>
          <w:szCs w:val="21"/>
          <w:highlight w:val="none"/>
        </w:rPr>
        <w:t>职称证书</w:t>
      </w:r>
      <w:r>
        <w:rPr>
          <w:rFonts w:hint="eastAsia" w:ascii="宋体" w:hAnsi="宋体"/>
          <w:color w:val="auto"/>
          <w:szCs w:val="21"/>
          <w:highlight w:val="none"/>
        </w:rPr>
        <w:t>、</w:t>
      </w:r>
      <w:r>
        <w:rPr>
          <w:rFonts w:ascii="宋体" w:hAnsi="宋体"/>
          <w:color w:val="auto"/>
          <w:szCs w:val="21"/>
          <w:highlight w:val="none"/>
        </w:rPr>
        <w:t>学历证书</w:t>
      </w:r>
      <w:r>
        <w:rPr>
          <w:rFonts w:hint="eastAsia" w:ascii="宋体" w:hAnsi="宋体"/>
          <w:color w:val="auto"/>
          <w:szCs w:val="21"/>
          <w:highlight w:val="none"/>
        </w:rPr>
        <w:t>、</w:t>
      </w:r>
      <w:r>
        <w:rPr>
          <w:rFonts w:ascii="宋体" w:hAnsi="宋体"/>
          <w:color w:val="auto"/>
          <w:szCs w:val="21"/>
          <w:highlight w:val="none"/>
        </w:rPr>
        <w:t>资质证书</w:t>
      </w:r>
      <w:r>
        <w:rPr>
          <w:rFonts w:hint="eastAsia" w:ascii="宋体" w:hAnsi="宋体"/>
          <w:color w:val="auto"/>
          <w:szCs w:val="21"/>
          <w:highlight w:val="none"/>
        </w:rPr>
        <w:t>、上</w:t>
      </w:r>
      <w:r>
        <w:rPr>
          <w:rFonts w:ascii="宋体" w:hAnsi="宋体"/>
          <w:color w:val="auto"/>
          <w:szCs w:val="21"/>
          <w:highlight w:val="none"/>
        </w:rPr>
        <w:t>岗证书</w:t>
      </w:r>
      <w:r>
        <w:rPr>
          <w:rFonts w:ascii="宋体" w:hAnsi="宋体"/>
          <w:bCs/>
          <w:color w:val="auto"/>
          <w:kern w:val="0"/>
          <w:szCs w:val="21"/>
          <w:highlight w:val="none"/>
        </w:rPr>
        <w:t>等证</w:t>
      </w:r>
      <w:r>
        <w:rPr>
          <w:rFonts w:hint="eastAsia" w:ascii="宋体" w:hAnsi="宋体"/>
          <w:bCs/>
          <w:color w:val="auto"/>
          <w:kern w:val="0"/>
          <w:szCs w:val="21"/>
          <w:highlight w:val="none"/>
        </w:rPr>
        <w:t>明文件和有</w:t>
      </w:r>
      <w:r>
        <w:rPr>
          <w:rFonts w:ascii="宋体" w:hAnsi="宋体"/>
          <w:bCs/>
          <w:color w:val="auto"/>
          <w:kern w:val="0"/>
          <w:szCs w:val="21"/>
          <w:highlight w:val="none"/>
        </w:rPr>
        <w:t>关证书</w:t>
      </w:r>
      <w:r>
        <w:rPr>
          <w:rFonts w:hint="eastAsia" w:ascii="宋体" w:hAnsi="宋体"/>
          <w:bCs/>
          <w:color w:val="auto"/>
          <w:kern w:val="0"/>
          <w:szCs w:val="21"/>
          <w:highlight w:val="none"/>
        </w:rPr>
        <w:t>复印件，</w:t>
      </w:r>
      <w:r>
        <w:rPr>
          <w:rFonts w:ascii="宋体" w:hAnsi="宋体"/>
          <w:bCs/>
          <w:color w:val="auto"/>
          <w:kern w:val="0"/>
          <w:szCs w:val="21"/>
          <w:highlight w:val="none"/>
        </w:rPr>
        <w:t>类</w:t>
      </w:r>
      <w:r>
        <w:rPr>
          <w:rFonts w:hint="eastAsia" w:ascii="宋体" w:hAnsi="宋体"/>
          <w:bCs/>
          <w:color w:val="auto"/>
          <w:kern w:val="0"/>
          <w:szCs w:val="21"/>
          <w:highlight w:val="none"/>
        </w:rPr>
        <w:t>似</w:t>
      </w:r>
      <w:r>
        <w:rPr>
          <w:rFonts w:ascii="宋体" w:hAnsi="宋体"/>
          <w:bCs/>
          <w:color w:val="auto"/>
          <w:kern w:val="0"/>
          <w:szCs w:val="21"/>
          <w:highlight w:val="none"/>
        </w:rPr>
        <w:t>经验应</w:t>
      </w:r>
      <w:r>
        <w:rPr>
          <w:rFonts w:hint="eastAsia" w:ascii="宋体" w:hAnsi="宋体"/>
          <w:bCs/>
          <w:color w:val="auto"/>
          <w:kern w:val="0"/>
          <w:szCs w:val="21"/>
          <w:highlight w:val="none"/>
        </w:rPr>
        <w:t>提供合同复印件等能</w:t>
      </w:r>
      <w:r>
        <w:rPr>
          <w:rFonts w:ascii="宋体" w:hAnsi="宋体"/>
          <w:bCs/>
          <w:color w:val="auto"/>
          <w:kern w:val="0"/>
          <w:szCs w:val="21"/>
          <w:highlight w:val="none"/>
        </w:rPr>
        <w:t>证</w:t>
      </w:r>
      <w:r>
        <w:rPr>
          <w:rFonts w:hint="eastAsia" w:ascii="宋体" w:hAnsi="宋体"/>
          <w:bCs/>
          <w:color w:val="auto"/>
          <w:kern w:val="0"/>
          <w:szCs w:val="21"/>
          <w:highlight w:val="none"/>
        </w:rPr>
        <w:t>明其真</w:t>
      </w:r>
      <w:r>
        <w:rPr>
          <w:rFonts w:ascii="宋体" w:hAnsi="宋体"/>
          <w:bCs/>
          <w:color w:val="auto"/>
          <w:kern w:val="0"/>
          <w:szCs w:val="21"/>
          <w:highlight w:val="none"/>
        </w:rPr>
        <w:t>实</w:t>
      </w:r>
      <w:r>
        <w:rPr>
          <w:rFonts w:hint="eastAsia" w:ascii="宋体" w:hAnsi="宋体"/>
          <w:bCs/>
          <w:color w:val="auto"/>
          <w:kern w:val="0"/>
          <w:szCs w:val="21"/>
          <w:highlight w:val="none"/>
        </w:rPr>
        <w:t>性的材料。</w:t>
      </w:r>
      <w:r>
        <w:rPr>
          <w:rFonts w:ascii="宋体" w:hAnsi="宋体"/>
          <w:color w:val="auto"/>
          <w:szCs w:val="21"/>
          <w:highlight w:val="none"/>
        </w:rPr>
        <w:t>无证</w:t>
      </w:r>
      <w:r>
        <w:rPr>
          <w:rFonts w:hint="eastAsia" w:ascii="宋体" w:hAnsi="宋体"/>
          <w:color w:val="auto"/>
          <w:szCs w:val="21"/>
          <w:highlight w:val="none"/>
        </w:rPr>
        <w:t>明材料的</w:t>
      </w:r>
      <w:r>
        <w:rPr>
          <w:rFonts w:ascii="宋体" w:hAnsi="宋体"/>
          <w:color w:val="auto"/>
          <w:szCs w:val="21"/>
          <w:highlight w:val="none"/>
        </w:rPr>
        <w:t>内</w:t>
      </w:r>
      <w:r>
        <w:rPr>
          <w:rFonts w:hint="eastAsia" w:ascii="宋体" w:hAnsi="宋体"/>
          <w:color w:val="auto"/>
          <w:szCs w:val="21"/>
          <w:highlight w:val="none"/>
        </w:rPr>
        <w:t>容</w:t>
      </w:r>
      <w:r>
        <w:rPr>
          <w:rFonts w:ascii="宋体" w:hAnsi="宋体"/>
          <w:color w:val="auto"/>
          <w:szCs w:val="21"/>
          <w:highlight w:val="none"/>
        </w:rPr>
        <w:t>专</w:t>
      </w:r>
      <w:r>
        <w:rPr>
          <w:rFonts w:hint="eastAsia" w:ascii="宋体" w:hAnsi="宋体"/>
          <w:color w:val="auto"/>
          <w:szCs w:val="21"/>
          <w:highlight w:val="none"/>
        </w:rPr>
        <w:t>家在</w:t>
      </w:r>
      <w:r>
        <w:rPr>
          <w:rFonts w:ascii="宋体" w:hAnsi="宋体"/>
          <w:color w:val="auto"/>
          <w:szCs w:val="21"/>
          <w:highlight w:val="none"/>
        </w:rPr>
        <w:t>评审时将</w:t>
      </w:r>
      <w:r>
        <w:rPr>
          <w:rFonts w:hint="eastAsia" w:ascii="宋体" w:hAnsi="宋体"/>
          <w:color w:val="auto"/>
          <w:szCs w:val="21"/>
          <w:highlight w:val="none"/>
        </w:rPr>
        <w:t>不予考</w:t>
      </w:r>
      <w:r>
        <w:rPr>
          <w:rFonts w:ascii="宋体" w:hAnsi="宋体"/>
          <w:color w:val="auto"/>
          <w:szCs w:val="21"/>
          <w:highlight w:val="none"/>
        </w:rPr>
        <w:t>虑</w:t>
      </w:r>
      <w:r>
        <w:rPr>
          <w:rFonts w:hint="eastAsia" w:ascii="宋体" w:hAnsi="宋体"/>
          <w:bCs/>
          <w:color w:val="auto"/>
          <w:kern w:val="0"/>
          <w:szCs w:val="21"/>
          <w:highlight w:val="none"/>
        </w:rPr>
        <w:t>。</w:t>
      </w:r>
    </w:p>
    <w:p>
      <w:pPr>
        <w:autoSpaceDE w:val="0"/>
        <w:autoSpaceDN w:val="0"/>
        <w:spacing w:before="120" w:beforeLines="50" w:after="120" w:afterLines="50" w:line="300" w:lineRule="auto"/>
        <w:rPr>
          <w:rFonts w:hint="eastAsia" w:ascii="宋体" w:hAnsi="宋体"/>
          <w:bCs/>
          <w:color w:val="auto"/>
          <w:kern w:val="0"/>
          <w:szCs w:val="21"/>
          <w:highlight w:val="none"/>
        </w:rPr>
      </w:pPr>
    </w:p>
    <w:p>
      <w:pPr>
        <w:autoSpaceDE w:val="0"/>
        <w:autoSpaceDN w:val="0"/>
        <w:spacing w:before="120" w:beforeLines="50" w:after="120" w:afterLines="50" w:line="300" w:lineRule="auto"/>
        <w:rPr>
          <w:rFonts w:hint="eastAsia" w:ascii="宋体" w:hAnsi="宋体"/>
          <w:bCs/>
          <w:color w:val="auto"/>
          <w:kern w:val="0"/>
          <w:sz w:val="24"/>
          <w:highlight w:val="none"/>
        </w:rPr>
      </w:pPr>
    </w:p>
    <w:p>
      <w:pPr>
        <w:rPr>
          <w:rFonts w:ascii="Arial" w:hAnsi="Arial" w:cs="Arial"/>
          <w:color w:val="auto"/>
          <w:highlight w:val="none"/>
          <w:u w:val="single"/>
        </w:rPr>
      </w:pPr>
      <w:r>
        <w:rPr>
          <w:rFonts w:ascii="Arial" w:hAnsi="Arial" w:cs="Arial"/>
          <w:color w:val="auto"/>
          <w:highlight w:val="none"/>
        </w:rPr>
        <w:t>投标人名称：（盖章）</w:t>
      </w:r>
      <w:r>
        <w:rPr>
          <w:rFonts w:ascii="Arial" w:hAnsi="Arial" w:cs="Arial"/>
          <w:color w:val="auto"/>
          <w:highlight w:val="none"/>
          <w:u w:val="single"/>
        </w:rPr>
        <w:t xml:space="preserve">                     </w:t>
      </w:r>
    </w:p>
    <w:p>
      <w:pPr>
        <w:spacing w:line="360" w:lineRule="auto"/>
        <w:ind w:firstLine="120"/>
        <w:jc w:val="center"/>
        <w:rPr>
          <w:rFonts w:ascii="Arial" w:hAnsi="Arial" w:cs="Arial"/>
          <w:b/>
          <w:bCs/>
          <w:color w:val="auto"/>
          <w:highlight w:val="none"/>
        </w:rPr>
      </w:pPr>
    </w:p>
    <w:p>
      <w:pPr>
        <w:pStyle w:val="34"/>
        <w:tabs>
          <w:tab w:val="left" w:pos="3075"/>
        </w:tabs>
        <w:spacing w:line="300" w:lineRule="auto"/>
        <w:rPr>
          <w:rFonts w:hint="eastAsia" w:ascii="Arial" w:hAnsi="Arial" w:cs="Arial"/>
          <w:color w:val="auto"/>
          <w:highlight w:val="none"/>
        </w:rPr>
      </w:pPr>
      <w:r>
        <w:rPr>
          <w:rFonts w:hint="eastAsia" w:ascii="Arial" w:hAnsi="Arial" w:cs="Arial"/>
          <w:color w:val="auto"/>
          <w:highlight w:val="none"/>
          <w:lang w:eastAsia="zh-CN"/>
        </w:rPr>
        <w:t>法定代表人或投标人授权代表</w:t>
      </w:r>
      <w:r>
        <w:rPr>
          <w:rFonts w:ascii="Arial" w:hAnsi="Arial" w:cs="Arial"/>
          <w:color w:val="auto"/>
          <w:highlight w:val="none"/>
        </w:rPr>
        <w:t>签字：</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 xml:space="preserve">        </w:t>
      </w:r>
      <w:r>
        <w:rPr>
          <w:rFonts w:hint="eastAsia" w:ascii="Arial" w:hAnsi="Arial" w:cs="Arial"/>
          <w:color w:val="auto"/>
          <w:highlight w:val="none"/>
        </w:rPr>
        <w:t xml:space="preserve">           </w:t>
      </w:r>
    </w:p>
    <w:p>
      <w:pPr>
        <w:pStyle w:val="34"/>
        <w:tabs>
          <w:tab w:val="left" w:pos="3075"/>
        </w:tabs>
        <w:spacing w:line="300" w:lineRule="auto"/>
        <w:rPr>
          <w:rFonts w:hint="eastAsia" w:ascii="Arial" w:hAnsi="Arial" w:cs="Arial"/>
          <w:color w:val="auto"/>
          <w:highlight w:val="none"/>
        </w:rPr>
      </w:pPr>
    </w:p>
    <w:p>
      <w:pPr>
        <w:pStyle w:val="34"/>
        <w:tabs>
          <w:tab w:val="left" w:pos="3075"/>
        </w:tabs>
        <w:spacing w:line="300" w:lineRule="auto"/>
        <w:rPr>
          <w:rFonts w:ascii="Arial" w:hAnsi="Arial" w:cs="Arial"/>
          <w:color w:val="auto"/>
          <w:highlight w:val="none"/>
        </w:rPr>
      </w:pPr>
      <w:r>
        <w:rPr>
          <w:rFonts w:ascii="Arial" w:hAnsi="Arial" w:cs="Arial"/>
          <w:color w:val="auto"/>
          <w:highlight w:val="none"/>
        </w:rPr>
        <w:t>日期：</w:t>
      </w:r>
      <w:r>
        <w:rPr>
          <w:rFonts w:ascii="Arial" w:hAnsi="Arial" w:cs="Arial"/>
          <w:color w:val="auto"/>
          <w:highlight w:val="none"/>
          <w:u w:val="single"/>
        </w:rPr>
        <w:t xml:space="preserve">             </w:t>
      </w:r>
    </w:p>
    <w:p>
      <w:pPr>
        <w:pStyle w:val="2"/>
        <w:snapToGrid w:val="0"/>
        <w:spacing w:before="120" w:after="120" w:line="360" w:lineRule="auto"/>
        <w:rPr>
          <w:rFonts w:hint="eastAsia" w:cs="Arial"/>
          <w:bCs w:val="0"/>
          <w:highlight w:val="none"/>
        </w:rPr>
      </w:pPr>
      <w:r>
        <w:rPr>
          <w:highlight w:val="none"/>
        </w:rPr>
        <w:br w:type="page"/>
      </w:r>
      <w:bookmarkStart w:id="1141" w:name="_Toc485936400"/>
      <w:bookmarkStart w:id="1142" w:name="_Toc22803"/>
      <w:bookmarkStart w:id="1143" w:name="_Toc15203"/>
      <w:bookmarkStart w:id="1144" w:name="_Toc431964669"/>
      <w:r>
        <w:rPr>
          <w:rFonts w:hint="eastAsia" w:cs="Arial"/>
          <w:bCs w:val="0"/>
          <w:highlight w:val="none"/>
        </w:rPr>
        <w:t>（三）拟投入设备、工具情况（如有）</w:t>
      </w:r>
      <w:bookmarkEnd w:id="1141"/>
      <w:bookmarkEnd w:id="1142"/>
      <w:bookmarkEnd w:id="1143"/>
      <w:bookmarkEnd w:id="1144"/>
    </w:p>
    <w:p>
      <w:pPr>
        <w:adjustRightInd w:val="0"/>
        <w:snapToGrid w:val="0"/>
        <w:rPr>
          <w:rFonts w:hint="eastAsia" w:ascii="宋体" w:hAnsi="宋体" w:eastAsia="宋体" w:cs="Times New Roman"/>
          <w:color w:val="auto"/>
          <w:szCs w:val="21"/>
          <w:highlight w:val="none"/>
        </w:rPr>
      </w:pP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目名</w:t>
      </w:r>
      <w:r>
        <w:rPr>
          <w:rFonts w:ascii="宋体" w:hAnsi="宋体" w:eastAsia="宋体" w:cs="Times New Roman"/>
          <w:color w:val="auto"/>
          <w:szCs w:val="21"/>
          <w:highlight w:val="none"/>
        </w:rPr>
        <w:t>称</w:t>
      </w:r>
      <w:r>
        <w:rPr>
          <w:rFonts w:hint="eastAsia" w:ascii="宋体" w:hAnsi="宋体" w:eastAsia="宋体" w:cs="Times New Roman"/>
          <w:color w:val="auto"/>
          <w:szCs w:val="21"/>
          <w:highlight w:val="none"/>
        </w:rPr>
        <w:t xml:space="preserve">：                  </w:t>
      </w:r>
      <w:r>
        <w:rPr>
          <w:rFonts w:ascii="宋体" w:hAnsi="宋体" w:eastAsia="宋体" w:cs="Times New Roman"/>
          <w:color w:val="auto"/>
          <w:szCs w:val="21"/>
          <w:highlight w:val="none"/>
        </w:rPr>
        <w:t>项</w:t>
      </w:r>
      <w:r>
        <w:rPr>
          <w:rFonts w:hint="eastAsia" w:ascii="宋体" w:hAnsi="宋体" w:eastAsia="宋体" w:cs="Times New Roman"/>
          <w:color w:val="auto"/>
          <w:szCs w:val="21"/>
          <w:highlight w:val="none"/>
        </w:rPr>
        <w:t>目</w:t>
      </w:r>
      <w:r>
        <w:rPr>
          <w:rFonts w:ascii="宋体" w:hAnsi="宋体" w:eastAsia="宋体" w:cs="Times New Roman"/>
          <w:color w:val="auto"/>
          <w:szCs w:val="21"/>
          <w:highlight w:val="none"/>
        </w:rPr>
        <w:t>编号</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val="en-US" w:eastAsia="zh-CN"/>
        </w:rPr>
        <w:t xml:space="preserve"> </w:t>
      </w:r>
      <w:r>
        <w:rPr>
          <w:rFonts w:hint="eastAsia" w:ascii="Arial" w:hAnsi="Arial" w:eastAsia="宋体" w:cs="Arial"/>
          <w:szCs w:val="21"/>
          <w:highlight w:val="none"/>
        </w:rPr>
        <w:t xml:space="preserve"> </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515"/>
        <w:gridCol w:w="1299"/>
        <w:gridCol w:w="1156"/>
        <w:gridCol w:w="1301"/>
        <w:gridCol w:w="1446"/>
        <w:gridCol w:w="1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序号</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hint="eastAsia" w:ascii="宋体" w:hAnsi="宋体"/>
                <w:szCs w:val="21"/>
                <w:highlight w:val="none"/>
              </w:rPr>
              <w:t>名</w:t>
            </w:r>
            <w:r>
              <w:rPr>
                <w:rFonts w:ascii="宋体" w:hAnsi="宋体"/>
                <w:szCs w:val="21"/>
                <w:highlight w:val="none"/>
              </w:rPr>
              <w:t xml:space="preserve">  称</w:t>
            </w: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规</w:t>
            </w:r>
            <w:r>
              <w:rPr>
                <w:rFonts w:hint="eastAsia" w:ascii="宋体" w:hAnsi="宋体"/>
                <w:szCs w:val="21"/>
                <w:highlight w:val="none"/>
              </w:rPr>
              <w:t>格型</w:t>
            </w:r>
            <w:r>
              <w:rPr>
                <w:rFonts w:ascii="宋体" w:hAnsi="宋体"/>
                <w:szCs w:val="21"/>
                <w:highlight w:val="none"/>
              </w:rPr>
              <w:t>号</w:t>
            </w: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 xml:space="preserve">单 </w:t>
            </w:r>
            <w:r>
              <w:rPr>
                <w:rFonts w:hint="eastAsia" w:ascii="宋体" w:hAnsi="宋体"/>
                <w:szCs w:val="21"/>
                <w:highlight w:val="none"/>
              </w:rPr>
              <w:t>位</w:t>
            </w: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 xml:space="preserve">数 </w:t>
            </w:r>
            <w:r>
              <w:rPr>
                <w:rFonts w:hint="eastAsia" w:ascii="宋体" w:hAnsi="宋体"/>
                <w:szCs w:val="21"/>
                <w:highlight w:val="none"/>
              </w:rPr>
              <w:t>量</w:t>
            </w:r>
          </w:p>
        </w:tc>
        <w:tc>
          <w:tcPr>
            <w:tcW w:w="144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国别/</w:t>
            </w:r>
            <w:r>
              <w:rPr>
                <w:rFonts w:hint="eastAsia" w:ascii="宋体" w:hAnsi="宋体"/>
                <w:szCs w:val="21"/>
                <w:highlight w:val="none"/>
              </w:rPr>
              <w:t>生</w:t>
            </w:r>
            <w:r>
              <w:rPr>
                <w:rFonts w:ascii="宋体" w:hAnsi="宋体"/>
                <w:szCs w:val="21"/>
                <w:highlight w:val="none"/>
              </w:rPr>
              <w:t>产</w:t>
            </w:r>
            <w:r>
              <w:rPr>
                <w:rFonts w:hint="eastAsia" w:ascii="宋体" w:hAnsi="宋体"/>
                <w:szCs w:val="21"/>
                <w:highlight w:val="none"/>
              </w:rPr>
              <w:t>企</w:t>
            </w:r>
            <w:r>
              <w:rPr>
                <w:rFonts w:ascii="宋体" w:hAnsi="宋体"/>
                <w:szCs w:val="21"/>
                <w:highlight w:val="none"/>
              </w:rPr>
              <w:t>业</w:t>
            </w:r>
          </w:p>
        </w:tc>
        <w:tc>
          <w:tcPr>
            <w:tcW w:w="1433"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 xml:space="preserve">备  </w:t>
            </w:r>
            <w:r>
              <w:rPr>
                <w:rFonts w:hint="eastAsia" w:ascii="宋体" w:hAnsi="宋体"/>
                <w:szCs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1</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2</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3</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4</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5</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jc w:val="center"/>
              <w:rPr>
                <w:rFonts w:hint="eastAsia" w:ascii="宋体" w:hAnsi="宋体"/>
                <w:szCs w:val="21"/>
                <w:highlight w:val="none"/>
              </w:rPr>
            </w:pPr>
            <w:r>
              <w:rPr>
                <w:rFonts w:ascii="宋体" w:hAnsi="宋体"/>
                <w:szCs w:val="21"/>
                <w:highlight w:val="none"/>
              </w:rPr>
              <w:t>…</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156"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301" w:type="dxa"/>
            <w:tcBorders>
              <w:top w:val="single" w:color="auto" w:sz="4" w:space="0"/>
              <w:left w:val="single" w:color="auto" w:sz="4" w:space="0"/>
              <w:bottom w:val="single" w:color="auto" w:sz="4" w:space="0"/>
              <w:right w:val="single" w:color="auto" w:sz="4" w:space="0"/>
            </w:tcBorders>
            <w:noWrap w:val="0"/>
            <w:vAlign w:val="center"/>
          </w:tcPr>
          <w:p>
            <w:pPr>
              <w:spacing w:before="120" w:beforeLines="50" w:after="120" w:afterLines="50" w:line="300" w:lineRule="auto"/>
              <w:rPr>
                <w:rFonts w:ascii="宋体" w:hAnsi="宋体"/>
                <w:szCs w:val="21"/>
                <w:highlight w:val="none"/>
              </w:rPr>
            </w:pPr>
          </w:p>
        </w:tc>
        <w:tc>
          <w:tcPr>
            <w:tcW w:w="1446"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c>
          <w:tcPr>
            <w:tcW w:w="1433" w:type="dxa"/>
            <w:tcBorders>
              <w:top w:val="single" w:color="auto" w:sz="4" w:space="0"/>
              <w:left w:val="single" w:color="auto" w:sz="4" w:space="0"/>
              <w:bottom w:val="single" w:color="auto" w:sz="4" w:space="0"/>
              <w:right w:val="single" w:color="auto" w:sz="4" w:space="0"/>
            </w:tcBorders>
            <w:noWrap w:val="0"/>
            <w:vAlign w:val="top"/>
          </w:tcPr>
          <w:p>
            <w:pPr>
              <w:spacing w:before="120" w:beforeLines="50" w:after="120" w:afterLines="50" w:line="300" w:lineRule="auto"/>
              <w:rPr>
                <w:rFonts w:ascii="宋体" w:hAnsi="宋体"/>
                <w:szCs w:val="21"/>
                <w:highlight w:val="none"/>
              </w:rPr>
            </w:pPr>
          </w:p>
        </w:tc>
      </w:tr>
    </w:tbl>
    <w:p>
      <w:pPr>
        <w:autoSpaceDE w:val="0"/>
        <w:autoSpaceDN w:val="0"/>
        <w:spacing w:before="120" w:beforeLines="50" w:after="120" w:afterLines="50" w:line="300" w:lineRule="auto"/>
        <w:ind w:left="420" w:hanging="420" w:hangingChars="200"/>
        <w:rPr>
          <w:rFonts w:hint="eastAsia" w:ascii="宋体" w:hAnsi="宋体"/>
          <w:bCs/>
          <w:kern w:val="0"/>
          <w:szCs w:val="21"/>
          <w:highlight w:val="none"/>
        </w:rPr>
      </w:pPr>
      <w:r>
        <w:rPr>
          <w:rFonts w:hint="eastAsia" w:ascii="宋体" w:hAnsi="宋体"/>
          <w:bCs/>
          <w:kern w:val="0"/>
          <w:szCs w:val="21"/>
          <w:highlight w:val="none"/>
        </w:rPr>
        <w:t>注：投标人</w:t>
      </w:r>
      <w:r>
        <w:rPr>
          <w:rFonts w:ascii="宋体" w:hAnsi="宋体"/>
          <w:bCs/>
          <w:kern w:val="0"/>
          <w:szCs w:val="21"/>
          <w:highlight w:val="none"/>
        </w:rPr>
        <w:t>为</w:t>
      </w:r>
      <w:r>
        <w:rPr>
          <w:rFonts w:hint="eastAsia" w:ascii="宋体" w:hAnsi="宋体"/>
          <w:bCs/>
          <w:kern w:val="0"/>
          <w:szCs w:val="21"/>
          <w:highlight w:val="none"/>
        </w:rPr>
        <w:t>本</w:t>
      </w:r>
      <w:r>
        <w:rPr>
          <w:rFonts w:ascii="宋体" w:hAnsi="宋体"/>
          <w:bCs/>
          <w:kern w:val="0"/>
          <w:szCs w:val="21"/>
          <w:highlight w:val="none"/>
        </w:rPr>
        <w:t>项目拟</w:t>
      </w:r>
      <w:r>
        <w:rPr>
          <w:rFonts w:hint="eastAsia" w:ascii="宋体" w:hAnsi="宋体"/>
          <w:bCs/>
          <w:kern w:val="0"/>
          <w:szCs w:val="21"/>
          <w:highlight w:val="none"/>
        </w:rPr>
        <w:t>配置的主要</w:t>
      </w:r>
      <w:r>
        <w:rPr>
          <w:rFonts w:ascii="宋体" w:hAnsi="宋体"/>
          <w:bCs/>
          <w:kern w:val="0"/>
          <w:szCs w:val="21"/>
          <w:highlight w:val="none"/>
        </w:rPr>
        <w:t>设备、</w:t>
      </w:r>
      <w:r>
        <w:rPr>
          <w:rFonts w:hint="eastAsia" w:ascii="宋体" w:hAnsi="宋体"/>
          <w:bCs/>
          <w:kern w:val="0"/>
          <w:szCs w:val="21"/>
          <w:highlight w:val="none"/>
        </w:rPr>
        <w:t>工具、材料</w:t>
      </w:r>
      <w:r>
        <w:rPr>
          <w:rFonts w:ascii="宋体" w:hAnsi="宋体"/>
          <w:bCs/>
          <w:kern w:val="0"/>
          <w:szCs w:val="21"/>
          <w:highlight w:val="none"/>
        </w:rPr>
        <w:t>请对</w:t>
      </w:r>
      <w:r>
        <w:rPr>
          <w:rFonts w:hint="eastAsia" w:ascii="宋体" w:hAnsi="宋体"/>
          <w:bCs/>
          <w:kern w:val="0"/>
          <w:szCs w:val="21"/>
          <w:highlight w:val="none"/>
        </w:rPr>
        <w:t>照招</w:t>
      </w:r>
      <w:r>
        <w:rPr>
          <w:rFonts w:ascii="宋体" w:hAnsi="宋体"/>
          <w:bCs/>
          <w:kern w:val="0"/>
          <w:szCs w:val="21"/>
          <w:highlight w:val="none"/>
        </w:rPr>
        <w:t>标</w:t>
      </w:r>
      <w:r>
        <w:rPr>
          <w:rFonts w:hint="eastAsia" w:ascii="宋体" w:hAnsi="宋体"/>
          <w:bCs/>
          <w:kern w:val="0"/>
          <w:szCs w:val="21"/>
          <w:highlight w:val="none"/>
        </w:rPr>
        <w:t>文件第三章</w:t>
      </w:r>
      <w:r>
        <w:rPr>
          <w:rFonts w:ascii="宋体" w:hAnsi="宋体"/>
          <w:bCs/>
          <w:kern w:val="0"/>
          <w:szCs w:val="21"/>
          <w:highlight w:val="none"/>
        </w:rPr>
        <w:t>项目</w:t>
      </w:r>
      <w:r>
        <w:rPr>
          <w:rFonts w:hint="eastAsia" w:ascii="宋体" w:hAnsi="宋体"/>
          <w:bCs/>
          <w:kern w:val="0"/>
          <w:szCs w:val="21"/>
          <w:highlight w:val="none"/>
        </w:rPr>
        <w:t>采</w:t>
      </w:r>
      <w:r>
        <w:rPr>
          <w:rFonts w:ascii="宋体" w:hAnsi="宋体"/>
          <w:bCs/>
          <w:kern w:val="0"/>
          <w:szCs w:val="21"/>
          <w:highlight w:val="none"/>
        </w:rPr>
        <w:t>购</w:t>
      </w:r>
      <w:r>
        <w:rPr>
          <w:rFonts w:hint="eastAsia" w:ascii="宋体" w:hAnsi="宋体"/>
          <w:bCs/>
          <w:kern w:val="0"/>
          <w:szCs w:val="21"/>
          <w:highlight w:val="none"/>
        </w:rPr>
        <w:t>需求中技</w:t>
      </w:r>
      <w:r>
        <w:rPr>
          <w:rFonts w:ascii="宋体" w:hAnsi="宋体"/>
          <w:bCs/>
          <w:kern w:val="0"/>
          <w:szCs w:val="21"/>
          <w:highlight w:val="none"/>
        </w:rPr>
        <w:t>术</w:t>
      </w:r>
      <w:r>
        <w:rPr>
          <w:rFonts w:hint="eastAsia" w:ascii="宋体" w:hAnsi="宋体"/>
          <w:bCs/>
          <w:kern w:val="0"/>
          <w:szCs w:val="21"/>
          <w:highlight w:val="none"/>
        </w:rPr>
        <w:t>要求的</w:t>
      </w:r>
      <w:r>
        <w:rPr>
          <w:rFonts w:ascii="宋体" w:hAnsi="宋体"/>
          <w:bCs/>
          <w:kern w:val="0"/>
          <w:szCs w:val="21"/>
          <w:highlight w:val="none"/>
        </w:rPr>
        <w:t>内</w:t>
      </w:r>
      <w:r>
        <w:rPr>
          <w:rFonts w:hint="eastAsia" w:ascii="宋体" w:hAnsi="宋体"/>
          <w:bCs/>
          <w:kern w:val="0"/>
          <w:szCs w:val="21"/>
          <w:highlight w:val="none"/>
        </w:rPr>
        <w:t>容</w:t>
      </w:r>
      <w:r>
        <w:rPr>
          <w:rFonts w:ascii="宋体" w:hAnsi="宋体"/>
          <w:bCs/>
          <w:kern w:val="0"/>
          <w:szCs w:val="21"/>
          <w:highlight w:val="none"/>
        </w:rPr>
        <w:t>详细说</w:t>
      </w:r>
      <w:r>
        <w:rPr>
          <w:rFonts w:hint="eastAsia" w:ascii="宋体" w:hAnsi="宋体"/>
          <w:bCs/>
          <w:kern w:val="0"/>
          <w:szCs w:val="21"/>
          <w:highlight w:val="none"/>
        </w:rPr>
        <w:t>明</w:t>
      </w:r>
    </w:p>
    <w:p>
      <w:pPr>
        <w:autoSpaceDE w:val="0"/>
        <w:autoSpaceDN w:val="0"/>
        <w:spacing w:before="120" w:beforeLines="50" w:after="120" w:afterLines="50" w:line="300" w:lineRule="auto"/>
        <w:rPr>
          <w:rFonts w:hint="eastAsia" w:ascii="宋体" w:hAnsi="宋体"/>
          <w:bCs/>
          <w:kern w:val="0"/>
          <w:sz w:val="24"/>
          <w:highlight w:val="none"/>
        </w:rPr>
      </w:pPr>
    </w:p>
    <w:p>
      <w:pPr>
        <w:rPr>
          <w:rFonts w:ascii="Arial" w:hAnsi="Arial" w:cs="Arial"/>
          <w:highlight w:val="none"/>
          <w:u w:val="single"/>
        </w:rPr>
      </w:pPr>
      <w:r>
        <w:rPr>
          <w:rFonts w:ascii="Arial" w:hAnsi="Arial" w:cs="Arial"/>
          <w:highlight w:val="none"/>
        </w:rPr>
        <w:t>投标人名称：（盖章）</w:t>
      </w:r>
      <w:r>
        <w:rPr>
          <w:rFonts w:ascii="Arial" w:hAnsi="Arial" w:cs="Arial"/>
          <w:highlight w:val="none"/>
          <w:u w:val="single"/>
        </w:rPr>
        <w:t xml:space="preserve">                     </w:t>
      </w:r>
    </w:p>
    <w:p>
      <w:pPr>
        <w:spacing w:line="360" w:lineRule="auto"/>
        <w:ind w:firstLine="120"/>
        <w:jc w:val="center"/>
        <w:rPr>
          <w:rFonts w:ascii="Arial" w:hAnsi="Arial" w:cs="Arial"/>
          <w:b/>
          <w:bCs/>
          <w:highlight w:val="none"/>
        </w:rPr>
      </w:pPr>
    </w:p>
    <w:p>
      <w:pPr>
        <w:tabs>
          <w:tab w:val="left" w:pos="3075"/>
        </w:tabs>
        <w:spacing w:line="300" w:lineRule="auto"/>
        <w:rPr>
          <w:rFonts w:ascii="Arial" w:hAnsi="Arial" w:cs="Arial"/>
          <w:sz w:val="24"/>
          <w:highlight w:val="none"/>
        </w:rPr>
      </w:pPr>
      <w:r>
        <w:rPr>
          <w:rFonts w:ascii="Arial" w:hAnsi="Arial" w:cs="Arial"/>
          <w:highlight w:val="none"/>
        </w:rPr>
        <w:t>投标人授权代表签字：</w:t>
      </w:r>
      <w:r>
        <w:rPr>
          <w:rFonts w:ascii="Arial" w:hAnsi="Arial" w:cs="Arial"/>
          <w:highlight w:val="none"/>
          <w:u w:val="single"/>
        </w:rPr>
        <w:t xml:space="preserve">                  </w:t>
      </w:r>
      <w:r>
        <w:rPr>
          <w:rFonts w:hint="eastAsia" w:ascii="Arial" w:hAnsi="Arial" w:cs="Arial"/>
          <w:highlight w:val="none"/>
          <w:u w:val="single"/>
        </w:rPr>
        <w:t xml:space="preserve"> </w:t>
      </w:r>
      <w:r>
        <w:rPr>
          <w:rFonts w:ascii="Arial" w:hAnsi="Arial" w:cs="Arial"/>
          <w:highlight w:val="none"/>
          <w:u w:val="single"/>
        </w:rPr>
        <w:t xml:space="preserve">     </w:t>
      </w:r>
      <w:r>
        <w:rPr>
          <w:rFonts w:ascii="Arial" w:hAnsi="Arial" w:cs="Arial"/>
          <w:highlight w:val="none"/>
        </w:rPr>
        <w:t xml:space="preserve">        </w:t>
      </w:r>
      <w:r>
        <w:rPr>
          <w:rFonts w:hint="eastAsia" w:ascii="Arial" w:hAnsi="Arial" w:cs="Arial"/>
          <w:highlight w:val="none"/>
        </w:rPr>
        <w:t xml:space="preserve">           </w:t>
      </w:r>
      <w:r>
        <w:rPr>
          <w:rFonts w:ascii="Arial" w:hAnsi="Arial" w:cs="Arial"/>
          <w:highlight w:val="none"/>
        </w:rPr>
        <w:t>日期：</w:t>
      </w:r>
      <w:r>
        <w:rPr>
          <w:rFonts w:ascii="Arial" w:hAnsi="Arial" w:cs="Arial"/>
          <w:highlight w:val="none"/>
          <w:u w:val="single"/>
        </w:rPr>
        <w:t xml:space="preserve">             </w:t>
      </w:r>
    </w:p>
    <w:p>
      <w:pPr>
        <w:tabs>
          <w:tab w:val="left" w:pos="3075"/>
        </w:tabs>
        <w:spacing w:line="300" w:lineRule="auto"/>
        <w:jc w:val="center"/>
        <w:rPr>
          <w:rFonts w:ascii="Arial" w:hAnsi="Arial" w:cs="Arial"/>
          <w:sz w:val="24"/>
          <w:highlight w:val="none"/>
        </w:rPr>
      </w:pPr>
    </w:p>
    <w:p>
      <w:pPr>
        <w:spacing w:line="360" w:lineRule="auto"/>
        <w:rPr>
          <w:rFonts w:hint="eastAsia" w:ascii="Arial" w:hAnsi="Arial" w:cs="Arial"/>
          <w:highlight w:val="none"/>
        </w:rPr>
      </w:pPr>
    </w:p>
    <w:p>
      <w:pPr>
        <w:spacing w:line="300" w:lineRule="auto"/>
        <w:rPr>
          <w:rFonts w:ascii="Arial" w:hAnsi="Arial" w:cs="Arial"/>
          <w:highlight w:val="none"/>
          <w:u w:val="single"/>
        </w:rPr>
      </w:pPr>
    </w:p>
    <w:p>
      <w:pPr>
        <w:pStyle w:val="2"/>
        <w:snapToGrid w:val="0"/>
        <w:spacing w:before="120" w:after="120" w:line="360" w:lineRule="auto"/>
        <w:rPr>
          <w:rFonts w:hint="eastAsia" w:cs="Arial"/>
          <w:bCs w:val="0"/>
          <w:color w:val="auto"/>
          <w:highlight w:val="none"/>
        </w:rPr>
      </w:pPr>
      <w:bookmarkStart w:id="1145" w:name="_Toc485936401"/>
      <w:bookmarkStart w:id="1146" w:name="_Toc431964670"/>
      <w:r>
        <w:rPr>
          <w:rFonts w:cs="Arial"/>
          <w:bCs w:val="0"/>
          <w:highlight w:val="none"/>
        </w:rPr>
        <w:br w:type="page"/>
      </w:r>
      <w:bookmarkEnd w:id="1145"/>
      <w:bookmarkEnd w:id="1146"/>
      <w:bookmarkStart w:id="1147" w:name="_Toc18184"/>
      <w:bookmarkStart w:id="1148" w:name="_Toc15745"/>
      <w:bookmarkStart w:id="1149" w:name="_Toc656"/>
      <w:r>
        <w:rPr>
          <w:rFonts w:hint="eastAsia" w:cs="Arial"/>
          <w:bCs w:val="0"/>
          <w:color w:val="auto"/>
          <w:highlight w:val="none"/>
        </w:rPr>
        <w:t>（四）质量保证计划</w:t>
      </w:r>
      <w:bookmarkEnd w:id="1147"/>
      <w:bookmarkEnd w:id="1148"/>
      <w:bookmarkEnd w:id="1149"/>
    </w:p>
    <w:p>
      <w:pPr>
        <w:tabs>
          <w:tab w:val="left" w:pos="3075"/>
        </w:tabs>
        <w:spacing w:before="120" w:beforeLines="50" w:after="120" w:afterLines="50" w:line="300" w:lineRule="auto"/>
        <w:ind w:firstLine="540" w:firstLineChars="225"/>
        <w:rPr>
          <w:rFonts w:hint="eastAsia" w:ascii="宋体" w:hAnsi="宋体"/>
          <w:color w:val="auto"/>
          <w:sz w:val="24"/>
          <w:highlight w:val="none"/>
        </w:rPr>
      </w:pPr>
    </w:p>
    <w:p>
      <w:pPr>
        <w:tabs>
          <w:tab w:val="left" w:pos="3075"/>
        </w:tabs>
        <w:spacing w:before="120" w:beforeLines="50" w:after="120" w:afterLines="50" w:line="300" w:lineRule="auto"/>
        <w:ind w:firstLine="577" w:firstLineChars="275"/>
        <w:rPr>
          <w:rFonts w:hint="eastAsia" w:ascii="宋体" w:hAnsi="宋体"/>
          <w:color w:val="auto"/>
          <w:szCs w:val="21"/>
          <w:highlight w:val="none"/>
        </w:rPr>
      </w:pPr>
      <w:r>
        <w:rPr>
          <w:rFonts w:hint="eastAsia" w:ascii="宋体" w:hAnsi="宋体"/>
          <w:color w:val="auto"/>
          <w:szCs w:val="21"/>
          <w:highlight w:val="none"/>
        </w:rPr>
        <w:t>1、投标人应按照招标文件的要求，提出详尽的服务质量保证计划和措施。</w:t>
      </w:r>
    </w:p>
    <w:p>
      <w:pPr>
        <w:tabs>
          <w:tab w:val="left" w:pos="3075"/>
        </w:tabs>
        <w:spacing w:before="120" w:beforeLines="50" w:after="120" w:afterLines="50" w:line="300" w:lineRule="auto"/>
        <w:ind w:firstLine="472" w:firstLineChars="225"/>
        <w:rPr>
          <w:rFonts w:hint="eastAsia" w:ascii="宋体" w:hAnsi="宋体"/>
          <w:color w:val="auto"/>
          <w:szCs w:val="21"/>
          <w:highlight w:val="none"/>
        </w:rPr>
      </w:pPr>
      <w:r>
        <w:rPr>
          <w:rFonts w:hint="eastAsia" w:ascii="宋体" w:hAnsi="宋体"/>
          <w:color w:val="auto"/>
          <w:szCs w:val="21"/>
          <w:highlight w:val="none"/>
        </w:rPr>
        <w:t xml:space="preserve"> 2、</w:t>
      </w:r>
      <w:r>
        <w:rPr>
          <w:rFonts w:ascii="宋体" w:hAnsi="宋体"/>
          <w:color w:val="auto"/>
          <w:szCs w:val="21"/>
          <w:highlight w:val="none"/>
        </w:rPr>
        <w:t>保证</w:t>
      </w:r>
      <w:r>
        <w:rPr>
          <w:rFonts w:hint="eastAsia" w:ascii="宋体" w:hAnsi="宋体"/>
          <w:color w:val="auto"/>
          <w:szCs w:val="21"/>
          <w:highlight w:val="none"/>
        </w:rPr>
        <w:t>服务质量</w:t>
      </w:r>
      <w:r>
        <w:rPr>
          <w:rFonts w:ascii="宋体" w:hAnsi="宋体"/>
          <w:color w:val="auto"/>
          <w:szCs w:val="21"/>
          <w:highlight w:val="none"/>
        </w:rPr>
        <w:t>的措施</w:t>
      </w:r>
      <w:r>
        <w:rPr>
          <w:rFonts w:hint="eastAsia" w:ascii="宋体" w:hAnsi="宋体"/>
          <w:color w:val="auto"/>
          <w:szCs w:val="21"/>
          <w:highlight w:val="none"/>
        </w:rPr>
        <w:t>及处罚细则</w:t>
      </w:r>
      <w:r>
        <w:rPr>
          <w:rFonts w:ascii="宋体" w:hAnsi="宋体"/>
          <w:color w:val="auto"/>
          <w:szCs w:val="21"/>
          <w:highlight w:val="none"/>
        </w:rPr>
        <w:t>。</w:t>
      </w:r>
    </w:p>
    <w:p>
      <w:pPr>
        <w:rPr>
          <w:color w:val="auto"/>
          <w:szCs w:val="21"/>
          <w:highlight w:val="none"/>
        </w:rPr>
      </w:pPr>
    </w:p>
    <w:p>
      <w:pPr>
        <w:tabs>
          <w:tab w:val="left" w:pos="3075"/>
        </w:tabs>
        <w:spacing w:line="360" w:lineRule="auto"/>
        <w:jc w:val="center"/>
        <w:rPr>
          <w:rFonts w:ascii="Arial" w:hAnsi="Arial" w:cs="Arial"/>
          <w:color w:val="auto"/>
          <w:szCs w:val="21"/>
          <w:highlight w:val="none"/>
        </w:rPr>
      </w:pPr>
    </w:p>
    <w:p>
      <w:pPr>
        <w:rPr>
          <w:rFonts w:ascii="Arial" w:hAnsi="Arial" w:cs="Arial"/>
          <w:color w:val="auto"/>
          <w:szCs w:val="21"/>
          <w:highlight w:val="none"/>
        </w:rPr>
      </w:pPr>
    </w:p>
    <w:p>
      <w:pPr>
        <w:rPr>
          <w:rFonts w:ascii="Arial" w:hAnsi="Arial" w:cs="Arial"/>
          <w:color w:val="auto"/>
          <w:szCs w:val="21"/>
          <w:highlight w:val="none"/>
        </w:rPr>
      </w:pPr>
    </w:p>
    <w:p>
      <w:pPr>
        <w:rPr>
          <w:rFonts w:ascii="Arial" w:hAnsi="Arial" w:cs="Arial"/>
          <w:color w:val="auto"/>
          <w:szCs w:val="21"/>
          <w:highlight w:val="none"/>
        </w:rPr>
      </w:pPr>
    </w:p>
    <w:p>
      <w:pPr>
        <w:rPr>
          <w:rFonts w:ascii="Arial" w:hAnsi="Arial" w:cs="Arial"/>
          <w:color w:val="auto"/>
          <w:sz w:val="24"/>
          <w:highlight w:val="none"/>
        </w:rPr>
      </w:pPr>
    </w:p>
    <w:p>
      <w:pPr>
        <w:rPr>
          <w:rFonts w:ascii="Arial" w:hAnsi="Arial" w:cs="Arial"/>
          <w:color w:val="auto"/>
          <w:sz w:val="24"/>
          <w:highlight w:val="none"/>
        </w:rPr>
      </w:pPr>
    </w:p>
    <w:p>
      <w:pPr>
        <w:rPr>
          <w:rFonts w:ascii="Arial" w:hAnsi="Arial" w:cs="Arial"/>
          <w:color w:val="auto"/>
          <w:sz w:val="24"/>
          <w:highlight w:val="none"/>
        </w:rPr>
      </w:pPr>
    </w:p>
    <w:p>
      <w:pPr>
        <w:rPr>
          <w:rFonts w:ascii="Arial" w:hAnsi="Arial" w:cs="Arial"/>
          <w:color w:val="auto"/>
          <w:sz w:val="24"/>
          <w:highlight w:val="none"/>
        </w:rPr>
      </w:pPr>
    </w:p>
    <w:p>
      <w:pPr>
        <w:rPr>
          <w:rFonts w:ascii="Arial" w:hAnsi="Arial" w:cs="Arial"/>
          <w:color w:val="auto"/>
          <w:sz w:val="24"/>
          <w:highlight w:val="none"/>
        </w:rPr>
      </w:pPr>
    </w:p>
    <w:p>
      <w:pPr>
        <w:rPr>
          <w:rFonts w:ascii="Arial" w:hAnsi="Arial" w:cs="Arial"/>
          <w:color w:val="auto"/>
          <w:sz w:val="24"/>
          <w:highlight w:val="none"/>
        </w:rPr>
      </w:pPr>
    </w:p>
    <w:p>
      <w:pPr>
        <w:rPr>
          <w:rFonts w:ascii="Arial" w:hAnsi="Arial" w:cs="Arial"/>
          <w:color w:val="auto"/>
          <w:sz w:val="24"/>
          <w:highlight w:val="none"/>
        </w:rPr>
      </w:pPr>
      <w:bookmarkStart w:id="1150" w:name="OLE_LINK33"/>
    </w:p>
    <w:p>
      <w:pPr>
        <w:rPr>
          <w:rFonts w:ascii="Arial" w:hAnsi="Arial" w:cs="Arial"/>
          <w:color w:val="auto"/>
          <w:highlight w:val="none"/>
          <w:u w:val="single"/>
        </w:rPr>
      </w:pPr>
      <w:r>
        <w:rPr>
          <w:rFonts w:ascii="Arial" w:hAnsi="Arial" w:cs="Arial"/>
          <w:color w:val="auto"/>
          <w:highlight w:val="none"/>
        </w:rPr>
        <w:t>投标人名称：（盖章）</w:t>
      </w:r>
      <w:r>
        <w:rPr>
          <w:rFonts w:ascii="Arial" w:hAnsi="Arial" w:cs="Arial"/>
          <w:color w:val="auto"/>
          <w:highlight w:val="none"/>
          <w:u w:val="single"/>
        </w:rPr>
        <w:t xml:space="preserve">                     </w:t>
      </w:r>
    </w:p>
    <w:p>
      <w:pPr>
        <w:spacing w:line="360" w:lineRule="auto"/>
        <w:ind w:firstLine="120"/>
        <w:jc w:val="center"/>
        <w:rPr>
          <w:rFonts w:ascii="Arial" w:hAnsi="Arial" w:cs="Arial"/>
          <w:b/>
          <w:bCs/>
          <w:color w:val="auto"/>
          <w:highlight w:val="none"/>
        </w:rPr>
      </w:pPr>
    </w:p>
    <w:p>
      <w:pPr>
        <w:spacing w:line="360" w:lineRule="auto"/>
        <w:rPr>
          <w:rFonts w:hint="eastAsia" w:ascii="Arial" w:hAnsi="Arial" w:cs="Arial"/>
          <w:color w:val="auto"/>
          <w:highlight w:val="none"/>
        </w:rPr>
      </w:pPr>
      <w:r>
        <w:rPr>
          <w:rFonts w:hint="eastAsia" w:ascii="Arial" w:hAnsi="Arial" w:cs="Arial"/>
          <w:color w:val="auto"/>
          <w:highlight w:val="none"/>
          <w:lang w:eastAsia="zh-CN"/>
        </w:rPr>
        <w:t>法定代表人或投标人授权代表</w:t>
      </w:r>
      <w:r>
        <w:rPr>
          <w:rFonts w:ascii="Arial" w:hAnsi="Arial" w:cs="Arial"/>
          <w:color w:val="auto"/>
          <w:highlight w:val="none"/>
        </w:rPr>
        <w:t>签字：</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 xml:space="preserve">        </w:t>
      </w:r>
      <w:r>
        <w:rPr>
          <w:rFonts w:hint="eastAsia" w:ascii="Arial" w:hAnsi="Arial" w:cs="Arial"/>
          <w:color w:val="auto"/>
          <w:highlight w:val="none"/>
        </w:rPr>
        <w:t xml:space="preserve">           </w:t>
      </w:r>
    </w:p>
    <w:p>
      <w:pPr>
        <w:spacing w:line="360" w:lineRule="auto"/>
        <w:rPr>
          <w:rFonts w:hint="eastAsia" w:ascii="Arial" w:hAnsi="Arial" w:cs="Arial"/>
          <w:color w:val="auto"/>
          <w:highlight w:val="none"/>
        </w:rPr>
      </w:pPr>
    </w:p>
    <w:p>
      <w:pPr>
        <w:spacing w:line="360" w:lineRule="auto"/>
        <w:rPr>
          <w:rFonts w:ascii="Arial" w:hAnsi="Arial" w:cs="Arial"/>
          <w:color w:val="auto"/>
          <w:highlight w:val="none"/>
          <w:u w:val="single"/>
        </w:rPr>
      </w:pPr>
      <w:r>
        <w:rPr>
          <w:rFonts w:ascii="Arial" w:hAnsi="Arial" w:cs="Arial"/>
          <w:color w:val="auto"/>
          <w:highlight w:val="none"/>
        </w:rPr>
        <w:t>日期：</w:t>
      </w:r>
      <w:r>
        <w:rPr>
          <w:rFonts w:ascii="Arial" w:hAnsi="Arial" w:cs="Arial"/>
          <w:color w:val="auto"/>
          <w:highlight w:val="none"/>
          <w:u w:val="single"/>
        </w:rPr>
        <w:t xml:space="preserve">              </w:t>
      </w:r>
    </w:p>
    <w:bookmarkEnd w:id="1150"/>
    <w:p>
      <w:pPr>
        <w:spacing w:line="360" w:lineRule="auto"/>
        <w:rPr>
          <w:rFonts w:ascii="Arial" w:hAnsi="Arial" w:cs="Arial"/>
          <w:highlight w:val="none"/>
          <w:u w:val="single"/>
        </w:rPr>
      </w:pPr>
    </w:p>
    <w:p>
      <w:pPr>
        <w:pStyle w:val="2"/>
        <w:numPr>
          <w:ilvl w:val="0"/>
          <w:numId w:val="13"/>
        </w:numPr>
        <w:snapToGrid w:val="0"/>
        <w:spacing w:before="120" w:after="120" w:line="360" w:lineRule="auto"/>
        <w:rPr>
          <w:rFonts w:hint="eastAsia" w:cs="Arial"/>
          <w:bCs w:val="0"/>
          <w:highlight w:val="none"/>
        </w:rPr>
      </w:pPr>
      <w:r>
        <w:rPr>
          <w:rFonts w:cs="Arial"/>
          <w:highlight w:val="none"/>
          <w:u w:val="single"/>
        </w:rPr>
        <w:br w:type="page"/>
      </w:r>
      <w:bookmarkStart w:id="1151" w:name="_Toc21478"/>
      <w:bookmarkStart w:id="1152" w:name="_Toc30094"/>
      <w:bookmarkStart w:id="1153" w:name="_Toc415646555"/>
      <w:bookmarkStart w:id="1154" w:name="_Toc138838485"/>
      <w:bookmarkStart w:id="1155" w:name="_Toc260903011"/>
      <w:bookmarkStart w:id="1156" w:name="_Toc428651630"/>
      <w:bookmarkStart w:id="1157" w:name="_Toc431940821"/>
      <w:bookmarkStart w:id="1158" w:name="_Toc485936403"/>
      <w:bookmarkStart w:id="1159" w:name="_Toc431964672"/>
      <w:r>
        <w:rPr>
          <w:rFonts w:hint="eastAsia" w:cs="Arial"/>
          <w:bCs w:val="0"/>
          <w:highlight w:val="none"/>
        </w:rPr>
        <w:t>标注“★”的条款的响应情况</w:t>
      </w:r>
      <w:bookmarkEnd w:id="1151"/>
      <w:bookmarkEnd w:id="1152"/>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宋体" w:hAnsi="宋体" w:eastAsia="宋体" w:cs="宋体"/>
          <w:b/>
          <w:bCs/>
          <w:color w:val="auto"/>
          <w:kern w:val="0"/>
          <w:sz w:val="24"/>
          <w:szCs w:val="24"/>
          <w:highlight w:val="none"/>
          <w:u w:val="none"/>
          <w:lang w:val="en-US" w:eastAsia="zh-CN"/>
        </w:rPr>
      </w:pPr>
      <w:r>
        <w:rPr>
          <w:rFonts w:hint="eastAsia" w:ascii="宋体" w:hAnsi="宋体" w:eastAsia="宋体" w:cs="宋体"/>
          <w:b/>
          <w:bCs/>
          <w:color w:val="auto"/>
          <w:kern w:val="0"/>
          <w:sz w:val="24"/>
          <w:szCs w:val="24"/>
          <w:highlight w:val="none"/>
          <w:u w:val="none"/>
          <w:lang w:val="en-US" w:eastAsia="zh-CN"/>
        </w:rPr>
        <w:t>中南民族大学</w:t>
      </w:r>
      <w:r>
        <w:rPr>
          <w:rFonts w:hint="eastAsia" w:ascii="宋体" w:hAnsi="宋体" w:cs="宋体"/>
          <w:b/>
          <w:bCs/>
          <w:color w:val="auto"/>
          <w:kern w:val="0"/>
          <w:sz w:val="24"/>
          <w:szCs w:val="24"/>
          <w:highlight w:val="none"/>
          <w:u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我方承诺如下：</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★1、合同履约期限（服务期）：合同签订后三年；合同期限截止日一个月前，中南民族大学对受托管理人进行考核，考核合格后可续签下一年的合同，最多续签两次。</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★2、报价要求：根据《企业年金基金管理办法》第七章收益分配及费用“第五十五条”、“ 第五十六条”、“ 第五十七条”、“ 第五十八条” 的规定，本项目须提供受托人、账户管理人、托管人、投资管理人四项管理费的报价。根据中南民族大学企业年金年缴费额（包含前期补缴）约为8000万元，年金参加人员约600人进行测算。</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★3、项目最高限价：企业年金受托人和托管人提取的管理费均不得高于企业年金基金净值的1.5‰，投资管理人提取的管理费不得高于企业年金基金净值的6‰，账户管理费每户每月不超过1.5元</w:t>
      </w:r>
      <w:r>
        <w:rPr>
          <w:rFonts w:hint="eastAsia"/>
          <w:lang w:eastAsia="zh-CN"/>
        </w:rPr>
        <w:t>（</w:t>
      </w:r>
      <w:r>
        <w:rPr>
          <w:rFonts w:hint="eastAsia"/>
          <w:lang w:val="en-US" w:eastAsia="zh-CN"/>
        </w:rPr>
        <w:t>不得0元报价</w:t>
      </w:r>
      <w:r>
        <w:rPr>
          <w:rFonts w:hint="eastAsia"/>
          <w:lang w:eastAsia="zh-CN"/>
        </w:rPr>
        <w:t>）</w:t>
      </w:r>
      <w:r>
        <w:rPr>
          <w:rFonts w:hint="eastAsia"/>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★4、投标人报价须符合《企业年金基金管理办法》与《企业年金基金管理机构基本服务和收费标准行业自律公约》规定。（提供承诺函，未提供视为无效响应）。</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lang w:val="en-US" w:eastAsia="zh-CN"/>
        </w:rPr>
      </w:pPr>
      <w:r>
        <w:rPr>
          <w:rFonts w:hint="eastAsia"/>
          <w:lang w:val="en-US" w:eastAsia="zh-CN"/>
        </w:rPr>
        <w:t>★5、投资管理人年度管理费应按权益类组合报价。</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lang w:val="en-US" w:eastAsia="zh-CN"/>
        </w:rPr>
      </w:pPr>
      <w:r>
        <w:rPr>
          <w:rFonts w:hint="eastAsia"/>
          <w:lang w:val="en-US" w:eastAsia="zh-CN"/>
        </w:rPr>
        <w:t>★6、付款方式：根据《企业年金基金管理办法》第七章收益分配及费用的规定，按照投标人投标报价的中标费率或金额进行管理费支付。（提供承诺函，未提供视为无效响应）。</w:t>
      </w: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rPr>
      </w:pPr>
    </w:p>
    <w:p>
      <w:pPr>
        <w:rPr>
          <w:rFonts w:ascii="Arial" w:hAnsi="Arial" w:cs="Arial"/>
          <w:color w:val="auto"/>
          <w:highlight w:val="none"/>
          <w:u w:val="single"/>
        </w:rPr>
      </w:pPr>
      <w:r>
        <w:rPr>
          <w:rFonts w:ascii="Arial" w:hAnsi="Arial" w:cs="Arial"/>
          <w:color w:val="auto"/>
          <w:highlight w:val="none"/>
        </w:rPr>
        <w:t>投标人名称：（盖章）</w:t>
      </w:r>
      <w:r>
        <w:rPr>
          <w:rFonts w:ascii="Arial" w:hAnsi="Arial" w:cs="Arial"/>
          <w:color w:val="auto"/>
          <w:highlight w:val="none"/>
          <w:u w:val="single"/>
        </w:rPr>
        <w:t xml:space="preserve">                     </w:t>
      </w:r>
    </w:p>
    <w:p>
      <w:pPr>
        <w:spacing w:line="360" w:lineRule="auto"/>
        <w:ind w:firstLine="120"/>
        <w:jc w:val="center"/>
        <w:rPr>
          <w:rFonts w:ascii="Arial" w:hAnsi="Arial" w:cs="Arial"/>
          <w:b/>
          <w:bCs/>
          <w:color w:val="auto"/>
          <w:highlight w:val="none"/>
        </w:rPr>
      </w:pPr>
    </w:p>
    <w:p>
      <w:pPr>
        <w:spacing w:line="360" w:lineRule="auto"/>
        <w:rPr>
          <w:rFonts w:hint="eastAsia" w:ascii="Arial" w:hAnsi="Arial" w:cs="Arial"/>
          <w:color w:val="auto"/>
          <w:highlight w:val="none"/>
        </w:rPr>
      </w:pPr>
      <w:r>
        <w:rPr>
          <w:rFonts w:hint="eastAsia" w:ascii="Arial" w:hAnsi="Arial" w:cs="Arial"/>
          <w:color w:val="auto"/>
          <w:highlight w:val="none"/>
          <w:lang w:eastAsia="zh-CN"/>
        </w:rPr>
        <w:t>法定代表人或投标人授权代表</w:t>
      </w:r>
      <w:r>
        <w:rPr>
          <w:rFonts w:ascii="Arial" w:hAnsi="Arial" w:cs="Arial"/>
          <w:color w:val="auto"/>
          <w:highlight w:val="none"/>
        </w:rPr>
        <w:t>签字：</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 xml:space="preserve">        </w:t>
      </w:r>
      <w:r>
        <w:rPr>
          <w:rFonts w:hint="eastAsia" w:ascii="Arial" w:hAnsi="Arial" w:cs="Arial"/>
          <w:color w:val="auto"/>
          <w:highlight w:val="none"/>
        </w:rPr>
        <w:t xml:space="preserve">           </w:t>
      </w:r>
    </w:p>
    <w:p>
      <w:pPr>
        <w:spacing w:line="360" w:lineRule="auto"/>
        <w:rPr>
          <w:rFonts w:hint="eastAsia" w:ascii="Arial" w:hAnsi="Arial" w:cs="Arial"/>
          <w:color w:val="auto"/>
          <w:highlight w:val="none"/>
        </w:rPr>
      </w:pPr>
    </w:p>
    <w:p>
      <w:pPr>
        <w:spacing w:line="360" w:lineRule="auto"/>
        <w:rPr>
          <w:rFonts w:ascii="Arial" w:hAnsi="Arial" w:cs="Arial"/>
          <w:color w:val="auto"/>
          <w:highlight w:val="none"/>
          <w:u w:val="single"/>
        </w:rPr>
      </w:pPr>
      <w:r>
        <w:rPr>
          <w:rFonts w:ascii="Arial" w:hAnsi="Arial" w:cs="Arial"/>
          <w:color w:val="auto"/>
          <w:highlight w:val="none"/>
        </w:rPr>
        <w:t>日期：</w:t>
      </w:r>
      <w:r>
        <w:rPr>
          <w:rFonts w:ascii="Arial" w:hAnsi="Arial" w:cs="Arial"/>
          <w:color w:val="auto"/>
          <w:highlight w:val="none"/>
          <w:u w:val="single"/>
        </w:rPr>
        <w:t xml:space="preserve">              </w:t>
      </w:r>
    </w:p>
    <w:p>
      <w:pPr>
        <w:spacing w:line="360" w:lineRule="auto"/>
        <w:ind w:firstLine="525" w:firstLineChars="250"/>
        <w:jc w:val="left"/>
        <w:rPr>
          <w:rFonts w:hint="eastAsia"/>
          <w:highlight w:val="none"/>
        </w:rPr>
      </w:pPr>
    </w:p>
    <w:p>
      <w:pPr>
        <w:pStyle w:val="2"/>
        <w:snapToGrid w:val="0"/>
        <w:spacing w:before="120" w:after="120" w:line="360" w:lineRule="auto"/>
        <w:rPr>
          <w:rFonts w:hint="eastAsia" w:cs="Arial"/>
          <w:bCs w:val="0"/>
          <w:highlight w:val="none"/>
        </w:rPr>
      </w:pPr>
      <w:r>
        <w:rPr>
          <w:rFonts w:hint="eastAsia" w:cs="Arial"/>
          <w:bCs w:val="0"/>
          <w:highlight w:val="none"/>
        </w:rPr>
        <w:br w:type="page"/>
      </w:r>
      <w:bookmarkStart w:id="1160" w:name="_Toc5311"/>
      <w:bookmarkStart w:id="1161" w:name="_Toc15283"/>
      <w:bookmarkStart w:id="1162" w:name="OLE_LINK12"/>
      <w:r>
        <w:rPr>
          <w:rFonts w:hint="eastAsia" w:cs="Arial"/>
          <w:bCs w:val="0"/>
          <w:highlight w:val="none"/>
        </w:rPr>
        <w:t>（六）</w:t>
      </w:r>
      <w:bookmarkEnd w:id="1153"/>
      <w:bookmarkEnd w:id="1154"/>
      <w:bookmarkEnd w:id="1155"/>
      <w:bookmarkEnd w:id="1156"/>
      <w:bookmarkEnd w:id="1157"/>
      <w:bookmarkEnd w:id="1158"/>
      <w:bookmarkEnd w:id="1159"/>
      <w:bookmarkEnd w:id="1160"/>
      <w:r>
        <w:rPr>
          <w:rFonts w:hint="eastAsia" w:cs="Arial"/>
          <w:bCs w:val="0"/>
          <w:highlight w:val="none"/>
        </w:rPr>
        <w:t>受托管理集合计划收益情况</w:t>
      </w:r>
      <w:bookmarkEnd w:id="1161"/>
      <w:bookmarkEnd w:id="1162"/>
    </w:p>
    <w:p>
      <w:pPr>
        <w:bidi w:val="0"/>
        <w:jc w:val="center"/>
        <w:rPr>
          <w:rFonts w:hint="eastAsia"/>
          <w:b/>
          <w:bCs/>
          <w:sz w:val="28"/>
          <w:szCs w:val="28"/>
          <w:highlight w:val="none"/>
          <w:lang w:val="en-US" w:eastAsia="zh-CN"/>
        </w:rPr>
      </w:pPr>
      <w:bookmarkStart w:id="1163" w:name="OLE_LINK31"/>
      <w:r>
        <w:rPr>
          <w:rFonts w:hint="eastAsia"/>
          <w:b/>
          <w:bCs/>
          <w:sz w:val="28"/>
          <w:szCs w:val="28"/>
          <w:highlight w:val="none"/>
          <w:lang w:val="en-US" w:eastAsia="zh-CN"/>
        </w:rPr>
        <w:t>1、</w:t>
      </w:r>
      <w:r>
        <w:rPr>
          <w:rFonts w:hint="eastAsia"/>
          <w:b/>
          <w:bCs/>
          <w:sz w:val="28"/>
          <w:szCs w:val="28"/>
          <w:highlight w:val="none"/>
        </w:rPr>
        <w:t>年均综合收益率计算表</w:t>
      </w:r>
    </w:p>
    <w:bookmarkEnd w:id="1163"/>
    <w:tbl>
      <w:tblPr>
        <w:tblStyle w:val="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3"/>
        <w:gridCol w:w="4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lang w:val="en-US" w:eastAsia="zh-CN"/>
              </w:rPr>
            </w:pPr>
            <w:r>
              <w:rPr>
                <w:rFonts w:hint="eastAsia" w:ascii="宋体" w:hAnsi="宋体" w:eastAsia="宋体" w:cs="宋体"/>
                <w:sz w:val="24"/>
                <w:szCs w:val="32"/>
                <w:highlight w:val="none"/>
                <w:vertAlign w:val="baseline"/>
                <w:lang w:val="en-US" w:eastAsia="zh-CN"/>
              </w:rPr>
              <w:t>年份</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Times New Roman" w:hAnsi="Times New Roman" w:eastAsia="宋体" w:cs="Times New Roman"/>
                <w:kern w:val="0"/>
                <w:sz w:val="24"/>
                <w:szCs w:val="24"/>
                <w:highlight w:val="none"/>
              </w:rPr>
              <w:t>有效年度加权</w:t>
            </w:r>
            <w:r>
              <w:rPr>
                <w:rFonts w:hint="eastAsia" w:cs="Times New Roman"/>
                <w:kern w:val="0"/>
                <w:sz w:val="24"/>
                <w:szCs w:val="24"/>
                <w:highlight w:val="none"/>
                <w:lang w:val="en-US" w:eastAsia="zh-CN"/>
              </w:rPr>
              <w:t>综合收益率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lang w:val="en-US" w:eastAsia="zh-CN"/>
              </w:rPr>
            </w:pPr>
            <w:r>
              <w:rPr>
                <w:rFonts w:hint="eastAsia" w:ascii="宋体" w:hAnsi="宋体" w:eastAsia="宋体" w:cs="宋体"/>
                <w:i w:val="0"/>
                <w:iCs w:val="0"/>
                <w:color w:val="000000"/>
                <w:kern w:val="0"/>
                <w:sz w:val="24"/>
                <w:szCs w:val="24"/>
                <w:highlight w:val="none"/>
                <w:u w:val="none"/>
                <w:lang w:val="en-US" w:eastAsia="zh-CN" w:bidi="ar"/>
              </w:rPr>
              <w:t>2013</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2014</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2015</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2016</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2017</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2018</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2019</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2020</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2021</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2022</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2023</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r>
              <w:rPr>
                <w:rFonts w:hint="eastAsia" w:ascii="宋体" w:hAnsi="宋体" w:eastAsia="宋体" w:cs="宋体"/>
                <w:i w:val="0"/>
                <w:iCs w:val="0"/>
                <w:color w:val="000000"/>
                <w:kern w:val="0"/>
                <w:sz w:val="24"/>
                <w:szCs w:val="24"/>
                <w:highlight w:val="none"/>
                <w:u w:val="none"/>
                <w:lang w:val="en-US" w:eastAsia="zh-CN" w:bidi="ar"/>
              </w:rPr>
              <w:t>2024</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00"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年均</w:t>
            </w:r>
            <w:r>
              <w:rPr>
                <w:rFonts w:hint="eastAsia" w:ascii="宋体" w:hAnsi="宋体" w:eastAsia="宋体" w:cs="宋体"/>
                <w:sz w:val="24"/>
                <w:szCs w:val="32"/>
                <w:highlight w:val="none"/>
                <w:lang w:val="en-US" w:eastAsia="zh-CN"/>
              </w:rPr>
              <w:t>综合收益率</w:t>
            </w:r>
          </w:p>
        </w:tc>
        <w:tc>
          <w:tcPr>
            <w:tcW w:w="2500" w:type="pc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4"/>
                <w:szCs w:val="32"/>
                <w:highlight w:val="none"/>
                <w:vertAlign w:val="baseline"/>
              </w:rPr>
            </w:pPr>
          </w:p>
        </w:tc>
      </w:tr>
    </w:tbl>
    <w:p>
      <w:pPr>
        <w:rPr>
          <w:rFonts w:ascii="Arial" w:hAnsi="Arial" w:cs="Arial"/>
          <w:highlight w:val="none"/>
        </w:rPr>
      </w:pPr>
    </w:p>
    <w:p>
      <w:pPr>
        <w:rPr>
          <w:rFonts w:ascii="Arial" w:hAnsi="Arial" w:cs="Arial"/>
          <w:highlight w:val="none"/>
        </w:rPr>
      </w:pPr>
    </w:p>
    <w:p>
      <w:pPr>
        <w:rPr>
          <w:rFonts w:ascii="Arial" w:hAnsi="Arial" w:cs="Arial"/>
          <w:color w:val="auto"/>
          <w:sz w:val="24"/>
          <w:highlight w:val="none"/>
        </w:rPr>
      </w:pPr>
    </w:p>
    <w:p>
      <w:pPr>
        <w:rPr>
          <w:rFonts w:ascii="Arial" w:hAnsi="Arial" w:cs="Arial"/>
          <w:color w:val="auto"/>
          <w:highlight w:val="none"/>
          <w:u w:val="single"/>
        </w:rPr>
      </w:pPr>
      <w:r>
        <w:rPr>
          <w:rFonts w:ascii="Arial" w:hAnsi="Arial" w:cs="Arial"/>
          <w:color w:val="auto"/>
          <w:highlight w:val="none"/>
        </w:rPr>
        <w:t>投标人名称：（盖章）</w:t>
      </w:r>
      <w:r>
        <w:rPr>
          <w:rFonts w:ascii="Arial" w:hAnsi="Arial" w:cs="Arial"/>
          <w:color w:val="auto"/>
          <w:highlight w:val="none"/>
          <w:u w:val="single"/>
        </w:rPr>
        <w:t xml:space="preserve">                     </w:t>
      </w:r>
    </w:p>
    <w:p>
      <w:pPr>
        <w:spacing w:line="360" w:lineRule="auto"/>
        <w:ind w:firstLine="120"/>
        <w:jc w:val="center"/>
        <w:rPr>
          <w:rFonts w:ascii="Arial" w:hAnsi="Arial" w:cs="Arial"/>
          <w:b/>
          <w:bCs/>
          <w:color w:val="auto"/>
          <w:highlight w:val="none"/>
        </w:rPr>
      </w:pPr>
    </w:p>
    <w:p>
      <w:pPr>
        <w:spacing w:line="360" w:lineRule="auto"/>
        <w:rPr>
          <w:rFonts w:hint="eastAsia" w:ascii="Arial" w:hAnsi="Arial" w:cs="Arial"/>
          <w:color w:val="auto"/>
          <w:highlight w:val="none"/>
        </w:rPr>
      </w:pPr>
      <w:r>
        <w:rPr>
          <w:rFonts w:hint="eastAsia" w:ascii="Arial" w:hAnsi="Arial" w:cs="Arial"/>
          <w:color w:val="auto"/>
          <w:highlight w:val="none"/>
          <w:lang w:eastAsia="zh-CN"/>
        </w:rPr>
        <w:t>法定代表人或投标人授权代表</w:t>
      </w:r>
      <w:r>
        <w:rPr>
          <w:rFonts w:ascii="Arial" w:hAnsi="Arial" w:cs="Arial"/>
          <w:color w:val="auto"/>
          <w:highlight w:val="none"/>
        </w:rPr>
        <w:t>签字：</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ascii="Arial" w:hAnsi="Arial" w:cs="Arial"/>
          <w:color w:val="auto"/>
          <w:highlight w:val="none"/>
        </w:rPr>
        <w:t xml:space="preserve"> </w:t>
      </w:r>
    </w:p>
    <w:p>
      <w:pPr>
        <w:spacing w:line="360" w:lineRule="auto"/>
        <w:rPr>
          <w:rFonts w:hint="eastAsia" w:ascii="Arial" w:hAnsi="Arial" w:cs="Arial"/>
          <w:color w:val="auto"/>
          <w:highlight w:val="none"/>
        </w:rPr>
      </w:pPr>
    </w:p>
    <w:p>
      <w:pPr>
        <w:spacing w:line="360" w:lineRule="auto"/>
        <w:rPr>
          <w:rFonts w:ascii="Arial" w:hAnsi="Arial" w:cs="Arial"/>
          <w:color w:val="auto"/>
          <w:highlight w:val="none"/>
          <w:u w:val="single"/>
        </w:rPr>
      </w:pPr>
      <w:r>
        <w:rPr>
          <w:rFonts w:ascii="Arial" w:hAnsi="Arial" w:cs="Arial"/>
          <w:color w:val="auto"/>
          <w:highlight w:val="none"/>
        </w:rPr>
        <w:t>日期：</w:t>
      </w:r>
      <w:r>
        <w:rPr>
          <w:rFonts w:ascii="Arial" w:hAnsi="Arial" w:cs="Arial"/>
          <w:color w:val="auto"/>
          <w:highlight w:val="none"/>
          <w:u w:val="single"/>
        </w:rPr>
        <w:t xml:space="preserve">              </w:t>
      </w:r>
    </w:p>
    <w:p>
      <w:pPr>
        <w:rPr>
          <w:rFonts w:ascii="Arial" w:hAnsi="Arial" w:cs="Arial"/>
          <w:highlight w:val="none"/>
        </w:rPr>
      </w:pPr>
    </w:p>
    <w:p>
      <w:pPr>
        <w:bidi w:val="0"/>
        <w:jc w:val="center"/>
        <w:rPr>
          <w:rFonts w:hint="eastAsia" w:ascii="Times New Roman" w:hAnsi="Times New Roman" w:eastAsia="宋体" w:cs="Times New Roman"/>
          <w:kern w:val="0"/>
          <w:sz w:val="21"/>
          <w:szCs w:val="21"/>
          <w:highlight w:val="none"/>
          <w:lang w:val="en-US" w:eastAsia="zh-CN"/>
        </w:rPr>
      </w:pPr>
      <w:r>
        <w:rPr>
          <w:rFonts w:ascii="Arial" w:hAnsi="Arial" w:cs="Arial"/>
          <w:highlight w:val="none"/>
        </w:rPr>
        <w:br w:type="page"/>
      </w:r>
      <w:bookmarkStart w:id="1164" w:name="OLE_LINK18"/>
      <w:r>
        <w:rPr>
          <w:rFonts w:hint="eastAsia"/>
          <w:b/>
          <w:bCs/>
          <w:sz w:val="28"/>
          <w:szCs w:val="28"/>
          <w:highlight w:val="none"/>
          <w:lang w:val="en-US" w:eastAsia="zh-CN"/>
        </w:rPr>
        <w:t>2、提供人社部 2013-2024年度《全国企业年金基金业务数据摘要》截图作为数据支撑来源</w:t>
      </w:r>
    </w:p>
    <w:p>
      <w:pPr>
        <w:spacing w:line="360" w:lineRule="auto"/>
        <w:ind w:firstLine="525" w:firstLineChars="250"/>
        <w:jc w:val="left"/>
        <w:rPr>
          <w:rFonts w:hint="eastAsia" w:ascii="Arial" w:hAnsi="Arial" w:cs="Arial"/>
          <w:highlight w:val="none"/>
          <w:lang w:val="en-US" w:eastAsia="zh-CN"/>
        </w:rPr>
      </w:pPr>
    </w:p>
    <w:p>
      <w:pPr>
        <w:spacing w:line="360" w:lineRule="auto"/>
        <w:ind w:firstLine="525" w:firstLineChars="250"/>
        <w:jc w:val="left"/>
        <w:rPr>
          <w:rFonts w:hint="eastAsia" w:ascii="Arial" w:hAnsi="Arial" w:cs="Arial"/>
          <w:highlight w:val="none"/>
          <w:lang w:val="en-US" w:eastAsia="zh-CN"/>
        </w:rPr>
      </w:pPr>
    </w:p>
    <w:p>
      <w:pPr>
        <w:rPr>
          <w:rFonts w:hint="eastAsia"/>
          <w:b/>
          <w:bCs/>
          <w:sz w:val="28"/>
          <w:szCs w:val="28"/>
          <w:highlight w:val="none"/>
          <w:lang w:val="en-US" w:eastAsia="zh-CN"/>
        </w:rPr>
      </w:pPr>
      <w:r>
        <w:rPr>
          <w:rFonts w:hint="eastAsia" w:ascii="Arial" w:hAnsi="Arial" w:cs="Arial"/>
          <w:highlight w:val="none"/>
          <w:lang w:val="en-US" w:eastAsia="zh-CN"/>
        </w:rPr>
        <w:br w:type="page"/>
      </w:r>
      <w:r>
        <w:rPr>
          <w:rFonts w:hint="eastAsia"/>
          <w:b/>
          <w:bCs/>
          <w:sz w:val="28"/>
          <w:szCs w:val="28"/>
          <w:highlight w:val="none"/>
          <w:lang w:val="en-US" w:eastAsia="zh-CN"/>
        </w:rPr>
        <w:t>3、计算过程</w:t>
      </w:r>
    </w:p>
    <w:p>
      <w:pPr>
        <w:bidi w:val="0"/>
        <w:jc w:val="cente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r>
        <w:rPr>
          <w:rFonts w:ascii="Arial" w:hAnsi="Arial" w:cs="Arial"/>
          <w:highlight w:val="none"/>
        </w:rPr>
        <w:br w:type="page"/>
      </w:r>
    </w:p>
    <w:bookmarkEnd w:id="1164"/>
    <w:p>
      <w:pPr>
        <w:pStyle w:val="2"/>
        <w:rPr>
          <w:rFonts w:hint="eastAsia" w:eastAsia="黑体"/>
          <w:highlight w:val="none"/>
          <w:lang w:val="en-US" w:eastAsia="zh-CN"/>
        </w:rPr>
      </w:pPr>
      <w:bookmarkStart w:id="1165" w:name="_Toc25054"/>
      <w:r>
        <w:rPr>
          <w:rFonts w:hint="eastAsia" w:cs="Arial"/>
          <w:bCs w:val="0"/>
          <w:highlight w:val="none"/>
        </w:rPr>
        <w:t>（</w:t>
      </w:r>
      <w:r>
        <w:rPr>
          <w:rFonts w:hint="eastAsia" w:cs="Arial"/>
          <w:bCs w:val="0"/>
          <w:highlight w:val="none"/>
          <w:lang w:val="en-US" w:eastAsia="zh-CN"/>
        </w:rPr>
        <w:t>七</w:t>
      </w:r>
      <w:r>
        <w:rPr>
          <w:rFonts w:hint="eastAsia" w:cs="Arial"/>
          <w:bCs w:val="0"/>
          <w:highlight w:val="none"/>
        </w:rPr>
        <w:t>）近三年累积收益率（综合）数值承诺函</w:t>
      </w:r>
      <w:r>
        <w:rPr>
          <w:rFonts w:hint="eastAsia" w:cs="Arial"/>
          <w:bCs w:val="0"/>
          <w:highlight w:val="none"/>
          <w:lang w:eastAsia="zh-CN"/>
        </w:rPr>
        <w:t>（</w:t>
      </w:r>
      <w:r>
        <w:rPr>
          <w:rFonts w:hint="eastAsia" w:cs="Arial"/>
          <w:bCs w:val="0"/>
          <w:highlight w:val="none"/>
          <w:lang w:val="en-US" w:eastAsia="zh-CN"/>
        </w:rPr>
        <w:t>格式自拟</w:t>
      </w:r>
      <w:r>
        <w:rPr>
          <w:rFonts w:hint="eastAsia" w:cs="Arial"/>
          <w:bCs w:val="0"/>
          <w:highlight w:val="none"/>
          <w:lang w:eastAsia="zh-CN"/>
        </w:rPr>
        <w:t>）</w:t>
      </w:r>
      <w:bookmarkEnd w:id="1165"/>
    </w:p>
    <w:p>
      <w:pPr>
        <w:rPr>
          <w:rFonts w:hint="eastAsia" w:ascii="Arial" w:hAnsi="Arial" w:cs="Arial"/>
          <w:highlight w:val="none"/>
          <w:lang w:val="en-US" w:eastAsia="zh-CN"/>
        </w:rPr>
      </w:pPr>
    </w:p>
    <w:p>
      <w:pPr>
        <w:rPr>
          <w:rFonts w:hint="eastAsia" w:ascii="Arial" w:hAnsi="Arial" w:cs="Arial"/>
          <w:highlight w:val="none"/>
          <w:lang w:val="en-US" w:eastAsia="zh-CN"/>
        </w:rPr>
      </w:pPr>
    </w:p>
    <w:p>
      <w:pPr>
        <w:rPr>
          <w:rFonts w:hint="eastAsia" w:ascii="Arial" w:hAnsi="Arial" w:cs="Arial"/>
          <w:highlight w:val="none"/>
          <w:lang w:val="en-US" w:eastAsia="zh-CN"/>
        </w:rPr>
      </w:pPr>
    </w:p>
    <w:p>
      <w:pPr>
        <w:bidi w:val="0"/>
        <w:jc w:val="center"/>
        <w:rPr>
          <w:rFonts w:hint="eastAsia"/>
          <w:b/>
          <w:bCs/>
          <w:sz w:val="28"/>
          <w:szCs w:val="28"/>
          <w:highlight w:val="none"/>
          <w:lang w:val="en-US" w:eastAsia="zh-CN"/>
        </w:rPr>
      </w:pPr>
      <w:r>
        <w:rPr>
          <w:rFonts w:hint="eastAsia"/>
          <w:highlight w:val="none"/>
          <w:lang w:val="en-US" w:eastAsia="zh-CN"/>
        </w:rPr>
        <w:br w:type="page"/>
      </w:r>
      <w:r>
        <w:rPr>
          <w:rFonts w:hint="eastAsia"/>
          <w:b/>
          <w:bCs/>
          <w:sz w:val="28"/>
          <w:szCs w:val="28"/>
          <w:highlight w:val="none"/>
          <w:lang w:val="en-US" w:eastAsia="zh-CN"/>
        </w:rPr>
        <w:t>1、提供人社部 2025年度《全国企业年金基金业务数据摘要》截图作为作为数据支撑来源</w:t>
      </w:r>
    </w:p>
    <w:p>
      <w:pPr>
        <w:bidi w:val="0"/>
        <w:jc w:val="center"/>
        <w:rPr>
          <w:rFonts w:hint="eastAsia"/>
          <w:b/>
          <w:bCs/>
          <w:sz w:val="28"/>
          <w:szCs w:val="28"/>
          <w:highlight w:val="none"/>
          <w:lang w:val="en-US" w:eastAsia="zh-CN"/>
        </w:rPr>
      </w:pPr>
    </w:p>
    <w:p>
      <w:pPr>
        <w:spacing w:line="360" w:lineRule="auto"/>
        <w:ind w:firstLine="525" w:firstLineChars="250"/>
        <w:jc w:val="left"/>
        <w:rPr>
          <w:rFonts w:hint="eastAsia" w:ascii="Arial" w:hAnsi="Arial" w:cs="Arial"/>
          <w:highlight w:val="none"/>
          <w:lang w:val="en-US" w:eastAsia="zh-CN"/>
        </w:rPr>
      </w:pPr>
    </w:p>
    <w:p>
      <w:pPr>
        <w:rPr>
          <w:rFonts w:hint="eastAsia" w:ascii="Arial" w:hAnsi="Arial" w:cs="Arial"/>
          <w:highlight w:val="none"/>
          <w:lang w:val="en-US" w:eastAsia="zh-CN"/>
        </w:rPr>
      </w:pPr>
      <w:r>
        <w:rPr>
          <w:rFonts w:hint="eastAsia" w:ascii="Arial" w:hAnsi="Arial" w:cs="Arial"/>
          <w:highlight w:val="none"/>
          <w:lang w:val="en-US" w:eastAsia="zh-CN"/>
        </w:rPr>
        <w:br w:type="page"/>
      </w:r>
    </w:p>
    <w:p>
      <w:pPr>
        <w:bidi w:val="0"/>
        <w:jc w:val="center"/>
        <w:rPr>
          <w:rFonts w:hint="eastAsia"/>
          <w:b/>
          <w:bCs/>
          <w:sz w:val="28"/>
          <w:szCs w:val="28"/>
          <w:highlight w:val="none"/>
          <w:lang w:val="en-US" w:eastAsia="zh-CN"/>
        </w:rPr>
      </w:pPr>
      <w:r>
        <w:rPr>
          <w:rFonts w:hint="eastAsia"/>
          <w:b/>
          <w:bCs/>
          <w:sz w:val="28"/>
          <w:szCs w:val="28"/>
          <w:highlight w:val="none"/>
          <w:lang w:val="en-US" w:eastAsia="zh-CN"/>
        </w:rPr>
        <w:t>2、计算过程</w:t>
      </w:r>
    </w:p>
    <w:p>
      <w:pPr>
        <w:bidi w:val="0"/>
        <w:jc w:val="center"/>
        <w:rPr>
          <w:rFonts w:hint="eastAsia"/>
          <w:b/>
          <w:bCs/>
          <w:sz w:val="28"/>
          <w:szCs w:val="28"/>
          <w:highlight w:val="none"/>
          <w:lang w:val="en-US" w:eastAsia="zh-CN"/>
        </w:rPr>
      </w:pPr>
    </w:p>
    <w:p>
      <w:pPr>
        <w:bidi w:val="0"/>
        <w:jc w:val="center"/>
        <w:rPr>
          <w:rFonts w:hint="eastAsia"/>
          <w:b/>
          <w:bCs/>
          <w:sz w:val="28"/>
          <w:szCs w:val="28"/>
          <w:highlight w:val="none"/>
          <w:lang w:val="en-US" w:eastAsia="zh-CN"/>
        </w:rPr>
      </w:pPr>
    </w:p>
    <w:p>
      <w:pPr>
        <w:bidi w:val="0"/>
        <w:jc w:val="cente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p>
    <w:p>
      <w:pPr>
        <w:rPr>
          <w:rFonts w:ascii="Arial" w:hAnsi="Arial" w:cs="Arial"/>
          <w:highlight w:val="none"/>
        </w:rPr>
      </w:pPr>
      <w:r>
        <w:rPr>
          <w:rFonts w:ascii="Arial" w:hAnsi="Arial" w:cs="Arial"/>
          <w:highlight w:val="none"/>
        </w:rPr>
        <w:br w:type="page"/>
      </w:r>
    </w:p>
    <w:p>
      <w:pPr>
        <w:pStyle w:val="2"/>
        <w:rPr>
          <w:rFonts w:hint="eastAsia" w:eastAsia="黑体"/>
          <w:highlight w:val="none"/>
          <w:lang w:val="en-US" w:eastAsia="zh-CN"/>
        </w:rPr>
      </w:pPr>
      <w:bookmarkStart w:id="1166" w:name="_Toc17343"/>
      <w:r>
        <w:rPr>
          <w:rFonts w:hint="eastAsia"/>
          <w:highlight w:val="none"/>
          <w:lang w:val="en-US" w:eastAsia="zh-CN"/>
        </w:rPr>
        <w:t>（八）其他</w:t>
      </w:r>
      <w:bookmarkEnd w:id="1166"/>
    </w:p>
    <w:p>
      <w:pPr>
        <w:spacing w:line="360" w:lineRule="auto"/>
        <w:ind w:firstLine="525" w:firstLineChars="250"/>
        <w:jc w:val="left"/>
        <w:rPr>
          <w:rFonts w:ascii="Arial" w:hAnsi="Arial" w:cs="Arial"/>
          <w:highlight w:val="none"/>
        </w:rPr>
      </w:pPr>
      <w:r>
        <w:rPr>
          <w:rFonts w:ascii="Arial" w:hAnsi="Arial" w:cs="Arial"/>
          <w:highlight w:val="none"/>
        </w:rPr>
        <w:t>本文件应包括如下内容：</w:t>
      </w:r>
    </w:p>
    <w:p>
      <w:pPr>
        <w:spacing w:line="360" w:lineRule="auto"/>
        <w:ind w:firstLine="525" w:firstLineChars="250"/>
        <w:jc w:val="left"/>
        <w:rPr>
          <w:rFonts w:ascii="Arial" w:hAnsi="Arial" w:cs="Arial"/>
          <w:highlight w:val="none"/>
        </w:rPr>
      </w:pPr>
      <w:r>
        <w:rPr>
          <w:rFonts w:hint="eastAsia" w:ascii="Arial" w:hAnsi="Arial" w:cs="Arial"/>
          <w:highlight w:val="none"/>
        </w:rPr>
        <w:t>1、</w:t>
      </w:r>
      <w:r>
        <w:rPr>
          <w:rFonts w:ascii="Arial" w:hAnsi="Arial" w:cs="Arial"/>
          <w:highlight w:val="none"/>
        </w:rPr>
        <w:t>招标文件要求投标人须提交的其它技术资料；</w:t>
      </w:r>
    </w:p>
    <w:p>
      <w:pPr>
        <w:spacing w:line="360" w:lineRule="auto"/>
        <w:ind w:firstLine="525" w:firstLineChars="250"/>
        <w:jc w:val="left"/>
        <w:rPr>
          <w:rFonts w:ascii="Arial" w:hAnsi="Arial" w:cs="Arial"/>
          <w:highlight w:val="none"/>
        </w:rPr>
      </w:pPr>
      <w:r>
        <w:rPr>
          <w:rFonts w:hint="eastAsia" w:ascii="Arial" w:hAnsi="Arial" w:cs="Arial"/>
          <w:highlight w:val="none"/>
        </w:rPr>
        <w:t>2、</w:t>
      </w:r>
      <w:r>
        <w:rPr>
          <w:rFonts w:ascii="Arial" w:hAnsi="Arial" w:cs="Arial"/>
          <w:highlight w:val="none"/>
        </w:rPr>
        <w:t>投标人认为需加以说明的其它内容。</w:t>
      </w: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spacing w:line="360" w:lineRule="auto"/>
        <w:ind w:firstLine="120"/>
        <w:jc w:val="center"/>
        <w:rPr>
          <w:rFonts w:ascii="Arial" w:hAnsi="Arial" w:cs="Arial"/>
          <w:b/>
          <w:bCs/>
          <w:sz w:val="24"/>
          <w:highlight w:val="none"/>
        </w:rPr>
      </w:pPr>
    </w:p>
    <w:p>
      <w:pPr>
        <w:rPr>
          <w:rFonts w:ascii="Arial" w:hAnsi="Arial" w:cs="Arial"/>
          <w:highlight w:val="none"/>
          <w:u w:val="single"/>
        </w:rPr>
      </w:pPr>
      <w:r>
        <w:rPr>
          <w:rFonts w:ascii="Arial" w:hAnsi="Arial" w:cs="Arial"/>
          <w:highlight w:val="none"/>
        </w:rPr>
        <w:t>投标人名称：（盖章）</w:t>
      </w:r>
      <w:r>
        <w:rPr>
          <w:rFonts w:ascii="Arial" w:hAnsi="Arial" w:cs="Arial"/>
          <w:highlight w:val="none"/>
          <w:u w:val="single"/>
        </w:rPr>
        <w:t xml:space="preserve">                     </w:t>
      </w:r>
    </w:p>
    <w:p>
      <w:pPr>
        <w:spacing w:line="360" w:lineRule="auto"/>
        <w:ind w:firstLine="120"/>
        <w:jc w:val="center"/>
        <w:rPr>
          <w:rFonts w:ascii="Arial" w:hAnsi="Arial" w:cs="Arial"/>
          <w:b/>
          <w:bCs/>
          <w:highlight w:val="none"/>
        </w:rPr>
      </w:pPr>
    </w:p>
    <w:p>
      <w:pPr>
        <w:spacing w:line="360" w:lineRule="auto"/>
        <w:rPr>
          <w:rFonts w:ascii="Arial" w:hAnsi="Arial" w:cs="Arial"/>
          <w:b/>
          <w:bCs/>
          <w:highlight w:val="none"/>
        </w:rPr>
      </w:pPr>
      <w:r>
        <w:rPr>
          <w:rFonts w:ascii="Arial" w:hAnsi="Arial" w:cs="Arial"/>
          <w:highlight w:val="none"/>
        </w:rPr>
        <w:t>投标人授权代表签字：</w:t>
      </w:r>
      <w:r>
        <w:rPr>
          <w:rFonts w:ascii="Arial" w:hAnsi="Arial" w:cs="Arial"/>
          <w:highlight w:val="none"/>
          <w:u w:val="single"/>
        </w:rPr>
        <w:t xml:space="preserve">                  </w:t>
      </w:r>
      <w:r>
        <w:rPr>
          <w:rFonts w:hint="eastAsia" w:ascii="Arial" w:hAnsi="Arial" w:cs="Arial"/>
          <w:highlight w:val="none"/>
          <w:u w:val="single"/>
        </w:rPr>
        <w:t xml:space="preserve"> </w:t>
      </w:r>
      <w:r>
        <w:rPr>
          <w:rFonts w:ascii="Arial" w:hAnsi="Arial" w:cs="Arial"/>
          <w:highlight w:val="none"/>
          <w:u w:val="single"/>
        </w:rPr>
        <w:t xml:space="preserve">     </w:t>
      </w:r>
      <w:r>
        <w:rPr>
          <w:rFonts w:ascii="Arial" w:hAnsi="Arial" w:cs="Arial"/>
          <w:highlight w:val="none"/>
        </w:rPr>
        <w:t xml:space="preserve">        </w:t>
      </w:r>
      <w:r>
        <w:rPr>
          <w:rFonts w:hint="eastAsia" w:ascii="Arial" w:hAnsi="Arial" w:cs="Arial"/>
          <w:highlight w:val="none"/>
        </w:rPr>
        <w:t xml:space="preserve">           </w:t>
      </w:r>
      <w:r>
        <w:rPr>
          <w:rFonts w:ascii="Arial" w:hAnsi="Arial" w:cs="Arial"/>
          <w:highlight w:val="none"/>
        </w:rPr>
        <w:t>日期：</w:t>
      </w:r>
      <w:r>
        <w:rPr>
          <w:rFonts w:ascii="Arial" w:hAnsi="Arial" w:cs="Arial"/>
          <w:highlight w:val="none"/>
          <w:u w:val="single"/>
        </w:rPr>
        <w:t xml:space="preserve">              </w:t>
      </w:r>
    </w:p>
    <w:p>
      <w:pPr>
        <w:spacing w:line="360" w:lineRule="auto"/>
        <w:rPr>
          <w:rFonts w:ascii="Arial" w:hAnsi="Arial" w:cs="Arial"/>
          <w:b/>
          <w:bCs/>
          <w:highlight w:val="none"/>
        </w:rPr>
      </w:pPr>
    </w:p>
    <w:p>
      <w:pPr>
        <w:spacing w:line="360" w:lineRule="auto"/>
        <w:rPr>
          <w:rFonts w:ascii="Arial" w:hAnsi="Arial" w:cs="Arial"/>
          <w:b/>
          <w:bCs/>
          <w:highlight w:val="none"/>
        </w:rPr>
      </w:pPr>
      <w:bookmarkStart w:id="1167" w:name="_Toc468910952"/>
      <w:r>
        <w:rPr>
          <w:highlight w:val="none"/>
        </w:rPr>
        <w:t xml:space="preserve"> </w:t>
      </w:r>
    </w:p>
    <w:p>
      <w:pPr>
        <w:pStyle w:val="2"/>
        <w:rPr>
          <w:rFonts w:cs="Arial"/>
          <w:bCs w:val="0"/>
          <w:highlight w:val="none"/>
        </w:rPr>
      </w:pPr>
      <w:r>
        <w:rPr>
          <w:rFonts w:cs="Arial"/>
          <w:b w:val="0"/>
          <w:bCs w:val="0"/>
          <w:highlight w:val="none"/>
        </w:rPr>
        <w:br w:type="page"/>
      </w:r>
      <w:bookmarkStart w:id="1168" w:name="_Toc6365"/>
      <w:bookmarkStart w:id="1169" w:name="_Toc9827"/>
      <w:r>
        <w:rPr>
          <w:rFonts w:hint="eastAsia" w:cs="Arial"/>
          <w:bCs w:val="0"/>
          <w:highlight w:val="none"/>
        </w:rPr>
        <w:t>附件：</w:t>
      </w:r>
      <w:r>
        <w:rPr>
          <w:rFonts w:cs="Arial"/>
          <w:b w:val="0"/>
          <w:highlight w:val="none"/>
        </w:rPr>
        <w:t>关于印发中小企业划型标准规定的通知</w:t>
      </w:r>
      <w:bookmarkEnd w:id="1168"/>
      <w:bookmarkEnd w:id="1169"/>
    </w:p>
    <w:p>
      <w:pPr>
        <w:jc w:val="center"/>
        <w:rPr>
          <w:szCs w:val="21"/>
          <w:highlight w:val="none"/>
        </w:rPr>
      </w:pPr>
      <w:r>
        <w:rPr>
          <w:rStyle w:val="91"/>
          <w:szCs w:val="21"/>
          <w:highlight w:val="none"/>
        </w:rPr>
        <w:t>关于印发中小企业划型标准规定的通知</w:t>
      </w:r>
      <w:r>
        <w:rPr>
          <w:b/>
          <w:bCs/>
          <w:szCs w:val="21"/>
          <w:highlight w:val="none"/>
        </w:rPr>
        <w:br w:type="textWrapping"/>
      </w:r>
      <w:r>
        <w:rPr>
          <w:szCs w:val="21"/>
          <w:highlight w:val="none"/>
        </w:rPr>
        <w:t>　　</w:t>
      </w:r>
    </w:p>
    <w:p>
      <w:pPr>
        <w:ind w:firstLine="2940" w:firstLineChars="1400"/>
        <w:jc w:val="left"/>
        <w:rPr>
          <w:rFonts w:hint="eastAsia"/>
          <w:highlight w:val="none"/>
        </w:rPr>
      </w:pPr>
      <w:r>
        <w:rPr>
          <w:szCs w:val="21"/>
          <w:highlight w:val="none"/>
        </w:rPr>
        <w:t>工信部联企业[2011]300号</w:t>
      </w:r>
      <w:r>
        <w:rPr>
          <w:szCs w:val="21"/>
          <w:highlight w:val="none"/>
        </w:rPr>
        <w:br w:type="textWrapping"/>
      </w:r>
      <w:r>
        <w:rPr>
          <w:szCs w:val="21"/>
          <w:highlight w:val="none"/>
        </w:rPr>
        <w:t>　　</w:t>
      </w:r>
      <w:r>
        <w:rPr>
          <w:szCs w:val="21"/>
          <w:highlight w:val="none"/>
        </w:rPr>
        <w:br w:type="textWrapping"/>
      </w:r>
      <w:r>
        <w:rPr>
          <w:szCs w:val="21"/>
          <w:highlight w:val="none"/>
        </w:rPr>
        <w:t>　　各省、自治区、直辖市人民政府，国务院各部委、各直属机构及有关单位：</w:t>
      </w:r>
      <w:r>
        <w:rPr>
          <w:szCs w:val="21"/>
          <w:highlight w:val="none"/>
        </w:rPr>
        <w:br w:type="textWrapping"/>
      </w:r>
      <w:r>
        <w:rPr>
          <w:szCs w:val="21"/>
          <w:highlight w:val="none"/>
        </w:rPr>
        <w:t>　　</w:t>
      </w:r>
      <w:r>
        <w:rPr>
          <w:szCs w:val="21"/>
          <w:highlight w:val="none"/>
        </w:rPr>
        <w:br w:type="textWrapping"/>
      </w:r>
      <w:r>
        <w:rPr>
          <w:szCs w:val="21"/>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szCs w:val="21"/>
          <w:highlight w:val="none"/>
        </w:rPr>
        <w:br w:type="textWrapping"/>
      </w:r>
      <w:r>
        <w:rPr>
          <w:szCs w:val="21"/>
          <w:highlight w:val="none"/>
        </w:rPr>
        <w:t>　　</w:t>
      </w:r>
      <w:r>
        <w:rPr>
          <w:szCs w:val="21"/>
          <w:highlight w:val="none"/>
        </w:rPr>
        <w:br w:type="textWrapping"/>
      </w:r>
      <w:r>
        <w:rPr>
          <w:szCs w:val="21"/>
          <w:highlight w:val="none"/>
        </w:rPr>
        <w:t>　　</w:t>
      </w:r>
      <w:r>
        <w:rPr>
          <w:szCs w:val="21"/>
          <w:highlight w:val="none"/>
        </w:rPr>
        <w:br w:type="textWrapping"/>
      </w:r>
      <w:r>
        <w:rPr>
          <w:szCs w:val="21"/>
          <w:highlight w:val="none"/>
        </w:rPr>
        <w:t>　　                                                                                           工业和信息化部          国家统计局</w:t>
      </w:r>
      <w:r>
        <w:rPr>
          <w:szCs w:val="21"/>
          <w:highlight w:val="none"/>
        </w:rPr>
        <w:br w:type="textWrapping"/>
      </w:r>
      <w:r>
        <w:rPr>
          <w:szCs w:val="21"/>
          <w:highlight w:val="none"/>
        </w:rPr>
        <w:t>　　                                                                                       国家发展和改革委员会       财政部</w:t>
      </w:r>
      <w:r>
        <w:rPr>
          <w:szCs w:val="21"/>
          <w:highlight w:val="none"/>
        </w:rPr>
        <w:br w:type="textWrapping"/>
      </w:r>
      <w:r>
        <w:rPr>
          <w:szCs w:val="21"/>
          <w:highlight w:val="none"/>
        </w:rPr>
        <w:t>　　                                                                                                  二○一一年六月十八日</w:t>
      </w:r>
      <w:r>
        <w:rPr>
          <w:szCs w:val="21"/>
          <w:highlight w:val="none"/>
        </w:rPr>
        <w:br w:type="textWrapping"/>
      </w:r>
      <w:r>
        <w:rPr>
          <w:szCs w:val="21"/>
          <w:highlight w:val="none"/>
        </w:rPr>
        <w:t>　　</w:t>
      </w:r>
      <w:r>
        <w:rPr>
          <w:szCs w:val="21"/>
          <w:highlight w:val="none"/>
        </w:rPr>
        <w:br w:type="textWrapping"/>
      </w:r>
      <w:r>
        <w:rPr>
          <w:szCs w:val="21"/>
          <w:highlight w:val="none"/>
        </w:rPr>
        <w:t>　　</w:t>
      </w:r>
      <w:r>
        <w:rPr>
          <w:szCs w:val="21"/>
          <w:highlight w:val="none"/>
        </w:rPr>
        <w:br w:type="textWrapping"/>
      </w:r>
      <w:r>
        <w:rPr>
          <w:szCs w:val="21"/>
          <w:highlight w:val="none"/>
        </w:rPr>
        <w:t xml:space="preserve">　　                                                            </w:t>
      </w:r>
      <w:r>
        <w:rPr>
          <w:rStyle w:val="91"/>
          <w:szCs w:val="21"/>
          <w:highlight w:val="none"/>
        </w:rPr>
        <w:t>中小企业划型标准规定</w:t>
      </w:r>
      <w:r>
        <w:rPr>
          <w:b/>
          <w:bCs/>
          <w:szCs w:val="21"/>
          <w:highlight w:val="none"/>
        </w:rPr>
        <w:br w:type="textWrapping"/>
      </w:r>
      <w:r>
        <w:rPr>
          <w:b/>
          <w:bCs/>
          <w:szCs w:val="21"/>
          <w:highlight w:val="none"/>
        </w:rPr>
        <w:br w:type="textWrapping"/>
      </w:r>
      <w:r>
        <w:rPr>
          <w:szCs w:val="21"/>
          <w:highlight w:val="none"/>
        </w:rPr>
        <w:t>　　一、根据《中华人民共和国中小企业促进法》和《国务院关于进一步促进中小企业发展的若干意见》(国发[2009]36号)，制定本规定。</w:t>
      </w:r>
      <w:r>
        <w:rPr>
          <w:szCs w:val="21"/>
          <w:highlight w:val="none"/>
        </w:rPr>
        <w:br w:type="textWrapping"/>
      </w:r>
      <w:r>
        <w:rPr>
          <w:szCs w:val="21"/>
          <w:highlight w:val="none"/>
        </w:rPr>
        <w:br w:type="textWrapping"/>
      </w:r>
      <w:r>
        <w:rPr>
          <w:szCs w:val="21"/>
          <w:highlight w:val="none"/>
        </w:rPr>
        <w:t>　　二、中小企业划分为中型、小型、微型三种类型，具体标准根据企业从业人员、营业收入、资产总额等指标，结合行业特点制定。</w:t>
      </w:r>
      <w:r>
        <w:rPr>
          <w:szCs w:val="21"/>
          <w:highlight w:val="none"/>
        </w:rPr>
        <w:br w:type="textWrapping"/>
      </w:r>
      <w:r>
        <w:rPr>
          <w:szCs w:val="21"/>
          <w:highlight w:val="none"/>
        </w:rPr>
        <w:br w:type="textWrapping"/>
      </w:r>
      <w:r>
        <w:rPr>
          <w:szCs w:val="21"/>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highlight w:val="none"/>
        </w:rPr>
        <w:br w:type="textWrapping"/>
      </w:r>
      <w:r>
        <w:rPr>
          <w:szCs w:val="21"/>
          <w:highlight w:val="none"/>
        </w:rPr>
        <w:br w:type="textWrapping"/>
      </w:r>
      <w:r>
        <w:rPr>
          <w:szCs w:val="21"/>
          <w:highlight w:val="none"/>
        </w:rPr>
        <w:t>　　四、各行业划型标准为：</w:t>
      </w:r>
      <w:r>
        <w:rPr>
          <w:szCs w:val="21"/>
          <w:highlight w:val="none"/>
        </w:rPr>
        <w:br w:type="textWrapping"/>
      </w:r>
      <w:r>
        <w:rPr>
          <w:szCs w:val="21"/>
          <w:highlight w:val="none"/>
        </w:rPr>
        <w:br w:type="textWrapping"/>
      </w:r>
      <w:r>
        <w:rPr>
          <w:szCs w:val="21"/>
          <w:highlight w:val="none"/>
        </w:rPr>
        <w:t>　　（一）农、林、牧、渔业。营业收入20000万元以下的为中小微型企业。其中，营业收入500万元及以上的为中型企业，营业收入50万元及以上的为小型企业，营业收入50万元以下的为微型企业。</w:t>
      </w:r>
      <w:r>
        <w:rPr>
          <w:szCs w:val="21"/>
          <w:highlight w:val="none"/>
        </w:rPr>
        <w:br w:type="textWrapping"/>
      </w:r>
      <w:r>
        <w:rPr>
          <w:szCs w:val="21"/>
          <w:highlight w:val="none"/>
        </w:rPr>
        <w:br w:type="textWrapping"/>
      </w:r>
      <w:r>
        <w:rPr>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highlight w:val="none"/>
        </w:rPr>
        <w:br w:type="textWrapping"/>
      </w:r>
      <w:r>
        <w:rPr>
          <w:szCs w:val="21"/>
          <w:highlight w:val="none"/>
        </w:rPr>
        <w:br w:type="textWrapping"/>
      </w:r>
      <w:r>
        <w:rPr>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highlight w:val="none"/>
        </w:rPr>
        <w:br w:type="textWrapping"/>
      </w:r>
      <w:r>
        <w:rPr>
          <w:szCs w:val="21"/>
          <w:highlight w:val="none"/>
        </w:rPr>
        <w:br w:type="textWrapping"/>
      </w:r>
      <w:r>
        <w:rPr>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highlight w:val="none"/>
        </w:rPr>
        <w:br w:type="textWrapping"/>
      </w:r>
      <w:r>
        <w:rPr>
          <w:szCs w:val="21"/>
          <w:highlight w:val="none"/>
        </w:rPr>
        <w:br w:type="textWrapping"/>
      </w:r>
      <w:r>
        <w:rPr>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highlight w:val="none"/>
        </w:rPr>
        <w:br w:type="textWrapping"/>
      </w:r>
      <w:r>
        <w:rPr>
          <w:szCs w:val="21"/>
          <w:highlight w:val="none"/>
        </w:rPr>
        <w:br w:type="textWrapping"/>
      </w:r>
      <w:r>
        <w:rPr>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highlight w:val="none"/>
        </w:rPr>
        <w:br w:type="textWrapping"/>
      </w:r>
      <w:r>
        <w:rPr>
          <w:szCs w:val="21"/>
          <w:highlight w:val="none"/>
        </w:rPr>
        <w:br w:type="textWrapping"/>
      </w:r>
      <w:r>
        <w:rPr>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highlight w:val="none"/>
        </w:rPr>
        <w:br w:type="textWrapping"/>
      </w:r>
      <w:r>
        <w:rPr>
          <w:szCs w:val="21"/>
          <w:highlight w:val="none"/>
        </w:rPr>
        <w:br w:type="textWrapping"/>
      </w:r>
      <w:r>
        <w:rPr>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highlight w:val="none"/>
        </w:rPr>
        <w:br w:type="textWrapping"/>
      </w:r>
      <w:r>
        <w:rPr>
          <w:szCs w:val="21"/>
          <w:highlight w:val="none"/>
        </w:rPr>
        <w:br w:type="textWrapping"/>
      </w:r>
      <w:r>
        <w:rPr>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highlight w:val="none"/>
        </w:rPr>
        <w:br w:type="textWrapping"/>
      </w:r>
      <w:r>
        <w:rPr>
          <w:szCs w:val="21"/>
          <w:highlight w:val="none"/>
        </w:rPr>
        <w:br w:type="textWrapping"/>
      </w:r>
      <w:r>
        <w:rPr>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highlight w:val="none"/>
        </w:rPr>
        <w:br w:type="textWrapping"/>
      </w:r>
      <w:r>
        <w:rPr>
          <w:szCs w:val="21"/>
          <w:highlight w:val="none"/>
        </w:rPr>
        <w:br w:type="textWrapping"/>
      </w:r>
      <w:r>
        <w:rPr>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highlight w:val="none"/>
        </w:rPr>
        <w:br w:type="textWrapping"/>
      </w:r>
      <w:r>
        <w:rPr>
          <w:szCs w:val="21"/>
          <w:highlight w:val="none"/>
        </w:rPr>
        <w:br w:type="textWrapping"/>
      </w:r>
      <w:r>
        <w:rPr>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highlight w:val="none"/>
        </w:rPr>
        <w:br w:type="textWrapping"/>
      </w:r>
      <w:r>
        <w:rPr>
          <w:szCs w:val="21"/>
          <w:highlight w:val="none"/>
        </w:rPr>
        <w:br w:type="textWrapping"/>
      </w:r>
      <w:r>
        <w:rPr>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highlight w:val="none"/>
        </w:rPr>
        <w:br w:type="textWrapping"/>
      </w:r>
      <w:r>
        <w:rPr>
          <w:szCs w:val="21"/>
          <w:highlight w:val="none"/>
        </w:rPr>
        <w:br w:type="textWrapping"/>
      </w:r>
      <w:r>
        <w:rPr>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highlight w:val="none"/>
        </w:rPr>
        <w:br w:type="textWrapping"/>
      </w:r>
      <w:r>
        <w:rPr>
          <w:szCs w:val="21"/>
          <w:highlight w:val="none"/>
        </w:rPr>
        <w:br w:type="textWrapping"/>
      </w:r>
      <w:r>
        <w:rPr>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highlight w:val="none"/>
        </w:rPr>
        <w:br w:type="textWrapping"/>
      </w:r>
      <w:r>
        <w:rPr>
          <w:szCs w:val="21"/>
          <w:highlight w:val="none"/>
        </w:rPr>
        <w:br w:type="textWrapping"/>
      </w:r>
      <w:r>
        <w:rPr>
          <w:szCs w:val="21"/>
          <w:highlight w:val="none"/>
        </w:rPr>
        <w:t>　　（十六）其他未列明行业。从业人员300人以下的为中小微型企业。其中，从业人员100人及以上的为中型企业；从业人员10人及以上的为小型企业；从业人员10人以下的为微型企业。</w:t>
      </w:r>
      <w:r>
        <w:rPr>
          <w:szCs w:val="21"/>
          <w:highlight w:val="none"/>
        </w:rPr>
        <w:br w:type="textWrapping"/>
      </w:r>
      <w:r>
        <w:rPr>
          <w:szCs w:val="21"/>
          <w:highlight w:val="none"/>
        </w:rPr>
        <w:br w:type="textWrapping"/>
      </w:r>
      <w:r>
        <w:rPr>
          <w:szCs w:val="21"/>
          <w:highlight w:val="none"/>
        </w:rPr>
        <w:t>　　五、企业类型的划分以统计部门的统计数据为依据。</w:t>
      </w:r>
      <w:r>
        <w:rPr>
          <w:szCs w:val="21"/>
          <w:highlight w:val="none"/>
        </w:rPr>
        <w:br w:type="textWrapping"/>
      </w:r>
      <w:r>
        <w:rPr>
          <w:szCs w:val="21"/>
          <w:highlight w:val="none"/>
        </w:rPr>
        <w:br w:type="textWrapping"/>
      </w:r>
      <w:r>
        <w:rPr>
          <w:szCs w:val="21"/>
          <w:highlight w:val="none"/>
        </w:rPr>
        <w:t>　　六、本规定适用于在中华人民共和国境内依法设立的各类所有制和各种组织形式的企业。个体工商户和本规定以外的行业，参照本规定进行划型。</w:t>
      </w:r>
      <w:r>
        <w:rPr>
          <w:szCs w:val="21"/>
          <w:highlight w:val="none"/>
        </w:rPr>
        <w:br w:type="textWrapping"/>
      </w:r>
      <w:r>
        <w:rPr>
          <w:szCs w:val="21"/>
          <w:highlight w:val="none"/>
        </w:rPr>
        <w:br w:type="textWrapping"/>
      </w:r>
      <w:r>
        <w:rPr>
          <w:szCs w:val="21"/>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szCs w:val="21"/>
          <w:highlight w:val="none"/>
        </w:rPr>
        <w:br w:type="textWrapping"/>
      </w:r>
      <w:r>
        <w:rPr>
          <w:szCs w:val="21"/>
          <w:highlight w:val="none"/>
        </w:rPr>
        <w:br w:type="textWrapping"/>
      </w:r>
      <w:r>
        <w:rPr>
          <w:szCs w:val="21"/>
          <w:highlight w:val="none"/>
        </w:rPr>
        <w:t>　　八、本规定由工业和信息化部、国家统计局会同有关部门根据《国民经济行业分类》修订情况和企业发展变化情况适时修订。</w:t>
      </w:r>
      <w:r>
        <w:rPr>
          <w:szCs w:val="21"/>
          <w:highlight w:val="none"/>
        </w:rPr>
        <w:br w:type="textWrapping"/>
      </w:r>
      <w:r>
        <w:rPr>
          <w:szCs w:val="21"/>
          <w:highlight w:val="none"/>
        </w:rPr>
        <w:br w:type="textWrapping"/>
      </w:r>
      <w:r>
        <w:rPr>
          <w:szCs w:val="21"/>
          <w:highlight w:val="none"/>
        </w:rPr>
        <w:t>　　九、本规定由工业和信息化部、国家统计局会同有关部门负责解释。</w:t>
      </w:r>
      <w:r>
        <w:rPr>
          <w:szCs w:val="21"/>
          <w:highlight w:val="none"/>
        </w:rPr>
        <w:br w:type="textWrapping"/>
      </w:r>
      <w:r>
        <w:rPr>
          <w:szCs w:val="21"/>
          <w:highlight w:val="none"/>
        </w:rPr>
        <w:br w:type="textWrapping"/>
      </w:r>
      <w:r>
        <w:rPr>
          <w:szCs w:val="21"/>
          <w:highlight w:val="none"/>
        </w:rPr>
        <w:t>　　十、本规定自发布之日起执行，原国家经贸委、原国家计委、财政部和国家统计局2003年颁布的《中小企业标准暂行规定》同时废止。</w:t>
      </w:r>
    </w:p>
    <w:bookmarkEnd w:id="1167"/>
    <w:p>
      <w:pPr>
        <w:rPr>
          <w:rFonts w:hint="eastAsia"/>
          <w:highlight w:val="none"/>
        </w:rPr>
      </w:pPr>
    </w:p>
    <w:p>
      <w:pPr>
        <w:spacing w:line="360" w:lineRule="auto"/>
        <w:ind w:firstLine="120"/>
        <w:jc w:val="center"/>
        <w:rPr>
          <w:rFonts w:ascii="宋体" w:hAnsi="宋体" w:cs="宋体"/>
          <w:b/>
          <w:bCs/>
          <w:highlight w:val="none"/>
        </w:rPr>
      </w:pPr>
    </w:p>
    <w:p>
      <w:pPr>
        <w:rPr>
          <w:rFonts w:ascii="宋体" w:hAnsi="宋体" w:cs="宋体"/>
          <w:highlight w:val="none"/>
        </w:rPr>
      </w:pPr>
    </w:p>
    <w:sectPr>
      <w:type w:val="nextColumn"/>
      <w:pgSz w:w="11906" w:h="16838"/>
      <w:pgMar w:top="1247" w:right="1588" w:bottom="1418" w:left="1588" w:header="851" w:footer="992" w:gutter="0"/>
      <w:pgNumType w:fmt="decimal"/>
      <w:cols w:space="720" w:num="1"/>
      <w:docGrid w:linePitch="312" w:charSpace="0"/>
    </w:sectPr>
  </w:body>
</w:document>
</file>

<file path=word/customizations.xml><?xml version="1.0" encoding="utf-8"?>
<wne:tcg xmlns:r="http://schemas.openxmlformats.org/officeDocument/2006/relationships" xmlns:wne="http://schemas.microsoft.com/office/word/2006/wordml">
  <wne:keymaps>
    <wne:keymap wne:kcmPrimary="0250" wne:mask="1"/>
    <wne:keymap wne:kcmPrimary="0253" wne:mask="1"/>
  </wne:keymaps>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00000" w:csb1="00000000"/>
  </w:font>
  <w:font w:name="StarSymbol">
    <w:altName w:val="微软雅黑"/>
    <w:panose1 w:val="00000000000000000000"/>
    <w:charset w:val="02"/>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 PL ShanHeiSun Uni">
    <w:altName w:val="Arial"/>
    <w:panose1 w:val="00000000000000000000"/>
    <w:charset w:val="00"/>
    <w:family w:val="swiss"/>
    <w:pitch w:val="default"/>
    <w:sig w:usb0="00000000" w:usb1="00000000" w:usb2="00000000" w:usb3="00000000" w:csb0="00040001" w:csb1="00000000"/>
  </w:font>
  <w:font w:name="..">
    <w:altName w:val="宋体"/>
    <w:panose1 w:val="00000000000000000000"/>
    <w:charset w:val="86"/>
    <w:family w:val="auto"/>
    <w:pitch w:val="default"/>
    <w:sig w:usb0="00000000" w:usb1="00000000" w:usb2="00000010" w:usb3="00000000" w:csb0="00040000" w:csb1="00000000"/>
  </w:font>
  <w:font w:name="Helvetica-Condensed-Bold">
    <w:altName w:val="黑体"/>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2"/>
      </w:rPr>
    </w:pPr>
    <w:r>
      <w:fldChar w:fldCharType="begin"/>
    </w:r>
    <w:r>
      <w:rPr>
        <w:rStyle w:val="92"/>
      </w:rPr>
      <w:instrText xml:space="preserve">PAGE  </w:instrText>
    </w:r>
    <w:r>
      <w:fldChar w:fldCharType="end"/>
    </w:r>
  </w:p>
  <w:p>
    <w:pPr>
      <w:pStyle w:val="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adjustRightInd w:val="0"/>
      <w:snapToGrid w:val="0"/>
      <w:rPr>
        <w:rFonts w:ascii="宋体" w:hAnsi="宋体"/>
        <w:sz w:val="18"/>
        <w:szCs w:val="18"/>
      </w:rPr>
    </w:pPr>
    <w:r>
      <w:rPr>
        <w:rFonts w:hint="eastAsia" w:ascii="宋体" w:hAnsi="宋体"/>
        <w:sz w:val="18"/>
        <w:szCs w:val="18"/>
        <w:lang w:eastAsia="zh-CN"/>
      </w:rPr>
      <w:t>中南民族大学</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rPr>
      <w:t>4</w:t>
    </w:r>
    <w:r>
      <w:rPr>
        <w:rFonts w:ascii="宋体" w:hAnsi="宋体"/>
        <w:sz w:val="18"/>
        <w:szCs w:val="18"/>
      </w:rPr>
      <w:fldChar w:fldCharType="end"/>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湖北省招标股份有限公司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360"/>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widowControl w:val="0"/>
      <w:snapToGrid w:val="0"/>
      <w:jc w:val="left"/>
      <w:rPr>
        <w:rStyle w:val="92"/>
        <w:rFonts w:ascii="Times New Roman" w:hAnsi="Times New Roman" w:eastAsia="宋体" w:cs="Times New Roman"/>
        <w:kern w:val="2"/>
        <w:sz w:val="18"/>
        <w:szCs w:val="18"/>
        <w:lang w:val="en-US" w:eastAsia="zh-CN" w:bidi="ar-SA"/>
      </w:rPr>
    </w:pPr>
    <w:r>
      <w:rPr>
        <w:rStyle w:val="92"/>
        <w:rFonts w:ascii="Times New Roman" w:hAnsi="Times New Roman" w:eastAsia="宋体" w:cs="Times New Roman"/>
        <w:kern w:val="2"/>
        <w:sz w:val="18"/>
        <w:szCs w:val="18"/>
        <w:lang w:val="en-US" w:eastAsia="zh-CN" w:bidi="ar-SA"/>
      </w:rPr>
      <w:fldChar w:fldCharType="begin"/>
    </w:r>
    <w:r>
      <w:rPr>
        <w:rStyle w:val="92"/>
        <w:rFonts w:ascii="Times New Roman" w:hAnsi="Times New Roman" w:eastAsia="宋体" w:cs="Times New Roman"/>
        <w:kern w:val="2"/>
        <w:sz w:val="18"/>
        <w:szCs w:val="18"/>
        <w:lang w:val="en-US" w:eastAsia="zh-CN" w:bidi="ar-SA"/>
      </w:rPr>
      <w:instrText xml:space="preserve">PAGE  </w:instrText>
    </w:r>
    <w:r>
      <w:rPr>
        <w:rStyle w:val="92"/>
        <w:rFonts w:ascii="Times New Roman" w:hAnsi="Times New Roman" w:eastAsia="宋体" w:cs="Times New Roman"/>
        <w:kern w:val="2"/>
        <w:sz w:val="18"/>
        <w:szCs w:val="18"/>
        <w:lang w:val="en-US" w:eastAsia="zh-CN" w:bidi="ar-SA"/>
      </w:rPr>
      <w:fldChar w:fldCharType="end"/>
    </w:r>
  </w:p>
  <w:p>
    <w:pPr>
      <w:widowControl w:val="0"/>
      <w:snapToGrid w:val="0"/>
      <w:ind w:right="36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1</w:t>
                    </w:r>
                    <w:r>
                      <w:fldChar w:fldCharType="end"/>
                    </w:r>
                  </w:p>
                </w:txbxContent>
              </v:textbox>
            </v:shape>
          </w:pict>
        </mc:Fallback>
      </mc:AlternateContent>
    </w:r>
  </w:p>
  <w:p>
    <w:pPr>
      <w:widowControl w:val="0"/>
      <w:snapToGrid w:val="0"/>
      <w:jc w:val="left"/>
      <w:rPr>
        <w:rFonts w:ascii="Times New Roman" w:hAnsi="Times New Roman"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framePr w:wrap="around" w:vAnchor="text" w:hAnchor="margin" w:xAlign="center" w:y="1"/>
      <w:rPr>
        <w:rStyle w:val="92"/>
      </w:rPr>
    </w:pPr>
    <w:r>
      <w:fldChar w:fldCharType="begin"/>
    </w:r>
    <w:r>
      <w:rPr>
        <w:rStyle w:val="92"/>
      </w:rPr>
      <w:instrText xml:space="preserve">PAGE  </w:instrText>
    </w:r>
    <w:r>
      <w:fldChar w:fldCharType="end"/>
    </w:r>
  </w:p>
  <w:p>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adjustRightIn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ascii="宋体" w:hAnsi="宋体"/>
        <w:sz w:val="18"/>
        <w:szCs w:val="18"/>
        <w:u w:val="single"/>
      </w:rPr>
    </w:pPr>
    <w:r>
      <w:rPr>
        <w:rFonts w:hint="eastAsia" w:ascii="宋体" w:hAnsi="宋体"/>
        <w:color w:val="000000"/>
        <w:sz w:val="18"/>
        <w:szCs w:val="18"/>
        <w:u w:val="single"/>
        <w:lang w:val="en-US" w:eastAsia="zh-CN"/>
      </w:rPr>
      <w:t xml:space="preserve">                              </w:t>
    </w:r>
    <w:r>
      <w:rPr>
        <w:rFonts w:hint="eastAsia" w:ascii="宋体" w:hAnsi="宋体"/>
        <w:color w:val="000000"/>
        <w:sz w:val="18"/>
        <w:szCs w:val="18"/>
        <w:u w:val="single"/>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B6E2EF"/>
    <w:multiLevelType w:val="singleLevel"/>
    <w:tmpl w:val="F3B6E2EF"/>
    <w:lvl w:ilvl="0" w:tentative="0">
      <w:start w:val="5"/>
      <w:numFmt w:val="chineseCounting"/>
      <w:suff w:val="nothing"/>
      <w:lvlText w:val="（%1）"/>
      <w:lvlJc w:val="left"/>
      <w:rPr>
        <w:rFonts w:hint="eastAsia"/>
      </w:rPr>
    </w:lvl>
  </w:abstractNum>
  <w:abstractNum w:abstractNumId="1">
    <w:nsid w:val="0000000A"/>
    <w:multiLevelType w:val="multilevel"/>
    <w:tmpl w:val="0000000A"/>
    <w:lvl w:ilvl="0" w:tentative="0">
      <w:start w:val="1"/>
      <w:numFmt w:val="japaneseCounting"/>
      <w:lvlText w:val="第%1章"/>
      <w:lvlJc w:val="left"/>
      <w:pPr>
        <w:tabs>
          <w:tab w:val="left" w:pos="0"/>
        </w:tabs>
        <w:ind w:left="0" w:firstLine="0"/>
      </w:pPr>
      <w:rPr>
        <w:rFonts w:hint="eastAsia" w:ascii="宋体" w:hAnsi="宋体" w:eastAsia="宋体"/>
        <w:b/>
        <w:i w:val="0"/>
        <w:sz w:val="32"/>
        <w:szCs w:val="32"/>
      </w:rPr>
    </w:lvl>
    <w:lvl w:ilvl="1" w:tentative="0">
      <w:start w:val="1"/>
      <w:numFmt w:val="chineseCountingThousand"/>
      <w:lvlText w:val="%2、"/>
      <w:lvlJc w:val="left"/>
      <w:pPr>
        <w:tabs>
          <w:tab w:val="left" w:pos="680"/>
        </w:tabs>
        <w:ind w:left="680" w:hanging="680"/>
      </w:pPr>
      <w:rPr>
        <w:rFonts w:hint="eastAsia" w:ascii="宋体" w:eastAsia="宋体"/>
        <w:b/>
        <w:i w:val="0"/>
        <w:sz w:val="24"/>
        <w:szCs w:val="24"/>
      </w:rPr>
    </w:lvl>
    <w:lvl w:ilvl="2" w:tentative="0">
      <w:start w:val="1"/>
      <w:numFmt w:val="decimal"/>
      <w:lvlText w:val="（%3）"/>
      <w:lvlJc w:val="left"/>
      <w:pPr>
        <w:tabs>
          <w:tab w:val="left" w:pos="1560"/>
        </w:tabs>
        <w:ind w:left="1560" w:hanging="720"/>
      </w:pPr>
      <w:rPr>
        <w:rFonts w:hint="default"/>
      </w:rPr>
    </w:lvl>
    <w:lvl w:ilvl="3" w:tentative="0">
      <w:start w:val="1"/>
      <w:numFmt w:val="decimal"/>
      <w:lvlText w:val="%4."/>
      <w:lvlJc w:val="left"/>
      <w:pPr>
        <w:tabs>
          <w:tab w:val="left" w:pos="874"/>
        </w:tabs>
        <w:ind w:left="874" w:hanging="420"/>
      </w:pPr>
      <w:rPr>
        <w:rFonts w:hint="eastAsia"/>
        <w:b/>
        <w:i w:val="0"/>
        <w:sz w:val="32"/>
        <w:szCs w:val="32"/>
      </w:rPr>
    </w:lvl>
    <w:lvl w:ilvl="4" w:tentative="0">
      <w:start w:val="1"/>
      <w:numFmt w:val="decimal"/>
      <w:lvlText w:val="%5）"/>
      <w:lvlJc w:val="left"/>
      <w:pPr>
        <w:tabs>
          <w:tab w:val="left" w:pos="851"/>
        </w:tabs>
        <w:ind w:left="964" w:hanging="284"/>
      </w:pPr>
      <w:rPr>
        <w:rFonts w:hint="default"/>
        <w:b w:val="0"/>
        <w:i w:val="0"/>
        <w:sz w:val="24"/>
        <w:szCs w:val="24"/>
      </w:rPr>
    </w:lvl>
    <w:lvl w:ilvl="5" w:tentative="0">
      <w:start w:val="1"/>
      <w:numFmt w:val="lowerLetter"/>
      <w:lvlText w:val="%6、"/>
      <w:lvlJc w:val="left"/>
      <w:pPr>
        <w:tabs>
          <w:tab w:val="left" w:pos="2460"/>
        </w:tabs>
        <w:ind w:left="2460" w:hanging="360"/>
      </w:pPr>
      <w:rPr>
        <w:rFonts w:hint="default"/>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11"/>
    <w:multiLevelType w:val="multilevel"/>
    <w:tmpl w:val="00000011"/>
    <w:lvl w:ilvl="0" w:tentative="0">
      <w:start w:val="1"/>
      <w:numFmt w:val="decimal"/>
      <w:pStyle w:val="287"/>
      <w:lvlText w:val="%1."/>
      <w:lvlJc w:val="left"/>
      <w:pPr>
        <w:tabs>
          <w:tab w:val="left" w:pos="420"/>
        </w:tabs>
        <w:ind w:left="430" w:hanging="430"/>
      </w:pPr>
      <w:rPr>
        <w:rFonts w:hint="eastAsia"/>
      </w:rPr>
    </w:lvl>
    <w:lvl w:ilvl="1" w:tentative="0">
      <w:start w:val="1"/>
      <w:numFmt w:val="decimal"/>
      <w:lvlText w:val="%1.%2"/>
      <w:lvlJc w:val="left"/>
      <w:pPr>
        <w:tabs>
          <w:tab w:val="left" w:pos="700"/>
        </w:tabs>
        <w:ind w:left="700" w:hanging="700"/>
      </w:pPr>
      <w:rPr>
        <w:rFonts w:hint="eastAsia"/>
        <w:lang w:val="en-GB"/>
      </w:rPr>
    </w:lvl>
    <w:lvl w:ilvl="2" w:tentative="0">
      <w:start w:val="1"/>
      <w:numFmt w:val="decimal"/>
      <w:pStyle w:val="320"/>
      <w:lvlText w:val="%1.%2.%3"/>
      <w:lvlJc w:val="left"/>
      <w:pPr>
        <w:tabs>
          <w:tab w:val="left" w:pos="1000"/>
        </w:tabs>
        <w:ind w:left="1000" w:hanging="1000"/>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13"/>
    <w:multiLevelType w:val="multilevel"/>
    <w:tmpl w:val="00000013"/>
    <w:lvl w:ilvl="0" w:tentative="0">
      <w:start w:val="1"/>
      <w:numFmt w:val="ideographDigital"/>
      <w:pStyle w:val="21"/>
      <w:suff w:val="space"/>
      <w:lvlText w:val="第%1章 "/>
      <w:lvlJc w:val="left"/>
      <w:pPr>
        <w:ind w:left="0" w:firstLine="0"/>
      </w:pPr>
      <w:rPr>
        <w:rFonts w:hint="eastAsia"/>
        <w:b/>
      </w:rPr>
    </w:lvl>
    <w:lvl w:ilvl="1" w:tentative="0">
      <w:start w:val="1"/>
      <w:numFmt w:val="decimal"/>
      <w:isLgl/>
      <w:suff w:val="space"/>
      <w:lvlText w:val="%1.%2 "/>
      <w:lvlJc w:val="left"/>
      <w:pPr>
        <w:ind w:left="567" w:hanging="567"/>
      </w:pPr>
      <w:rPr>
        <w:rFonts w:hint="default" w:ascii="Times New Roman" w:hAnsi="Times New Roman"/>
      </w:rPr>
    </w:lvl>
    <w:lvl w:ilvl="2" w:tentative="0">
      <w:start w:val="1"/>
      <w:numFmt w:val="decimal"/>
      <w:isLgl/>
      <w:suff w:val="space"/>
      <w:lvlText w:val="%1.%2.%3 "/>
      <w:lvlJc w:val="left"/>
      <w:pPr>
        <w:ind w:left="567" w:hanging="567"/>
      </w:pPr>
      <w:rPr>
        <w:rFonts w:hint="eastAsia"/>
      </w:rPr>
    </w:lvl>
    <w:lvl w:ilvl="3" w:tentative="0">
      <w:start w:val="1"/>
      <w:numFmt w:val="decimal"/>
      <w:isLgl/>
      <w:lvlText w:val="%1.%2.%3.%4 "/>
      <w:lvlJc w:val="left"/>
      <w:rPr>
        <w:rFonts w:hint="eastAsia" w:ascii="Times New Roman" w:hAnsi="Times New Roman" w:cs="Times New Roman"/>
        <w:b w:val="0"/>
        <w:i w:val="0"/>
        <w:iCs w:val="0"/>
        <w:caps w:val="0"/>
        <w:smallCaps w:val="0"/>
        <w:strike w:val="0"/>
        <w:dstrike w:val="0"/>
        <w:vanish w:val="0"/>
        <w:spacing w:val="0"/>
        <w:position w:val="0"/>
        <w:u w:val="none"/>
        <w:vertAlign w:val="baseline"/>
      </w:rPr>
    </w:lvl>
    <w:lvl w:ilvl="4" w:tentative="0">
      <w:start w:val="1"/>
      <w:numFmt w:val="decimal"/>
      <w:isLgl/>
      <w:suff w:val="space"/>
      <w:lvlText w:val="%1.%2.%3.%4.%5 "/>
      <w:lvlJc w:val="left"/>
      <w:pPr>
        <w:ind w:left="567" w:hanging="567"/>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0C2D483C"/>
    <w:multiLevelType w:val="multilevel"/>
    <w:tmpl w:val="0C2D483C"/>
    <w:lvl w:ilvl="0" w:tentative="0">
      <w:start w:val="1"/>
      <w:numFmt w:val="decimal"/>
      <w:lvlText w:val="%1."/>
      <w:lvlJc w:val="left"/>
      <w:pPr>
        <w:tabs>
          <w:tab w:val="left" w:pos="720"/>
        </w:tabs>
        <w:ind w:left="720" w:hanging="360"/>
      </w:pPr>
      <w:rPr>
        <w:rFonts w:hint="eastAsia"/>
      </w:rPr>
    </w:lvl>
    <w:lvl w:ilvl="1" w:tentative="0">
      <w:start w:val="1"/>
      <w:numFmt w:val="decimal"/>
      <w:lvlText w:val="%2."/>
      <w:lvlJc w:val="left"/>
      <w:pPr>
        <w:tabs>
          <w:tab w:val="left" w:pos="1140"/>
        </w:tabs>
        <w:ind w:left="1140" w:hanging="360"/>
      </w:pPr>
      <w:rPr>
        <w:rFonts w:hint="eastAsia"/>
      </w:rPr>
    </w:lvl>
    <w:lvl w:ilvl="2" w:tentative="0">
      <w:start w:val="1"/>
      <w:numFmt w:val="japaneseCounting"/>
      <w:lvlText w:val="%3、"/>
      <w:lvlJc w:val="left"/>
      <w:pPr>
        <w:tabs>
          <w:tab w:val="left" w:pos="1560"/>
        </w:tabs>
        <w:ind w:left="1560" w:hanging="360"/>
      </w:pPr>
      <w:rPr>
        <w:rFonts w:hint="eastAsia"/>
      </w:rPr>
    </w:lvl>
    <w:lvl w:ilvl="3" w:tentative="0">
      <w:start w:val="1"/>
      <w:numFmt w:val="decimal"/>
      <w:lvlText w:val="%4."/>
      <w:lvlJc w:val="left"/>
      <w:pPr>
        <w:tabs>
          <w:tab w:val="left" w:pos="2040"/>
        </w:tabs>
        <w:ind w:left="2040" w:hanging="420"/>
      </w:pPr>
    </w:lvl>
    <w:lvl w:ilvl="4" w:tentative="0">
      <w:start w:val="1"/>
      <w:numFmt w:val="decimal"/>
      <w:lvlText w:val="（%5）"/>
      <w:lvlJc w:val="left"/>
      <w:pPr>
        <w:tabs>
          <w:tab w:val="left" w:pos="2760"/>
        </w:tabs>
        <w:ind w:left="2760" w:hanging="720"/>
      </w:pPr>
      <w:rPr>
        <w:rFonts w:hint="eastAsia"/>
      </w:r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5">
    <w:nsid w:val="1DCF3670"/>
    <w:multiLevelType w:val="multilevel"/>
    <w:tmpl w:val="1DCF367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2793F4C"/>
    <w:multiLevelType w:val="multilevel"/>
    <w:tmpl w:val="22793F4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BB1521E"/>
    <w:multiLevelType w:val="multilevel"/>
    <w:tmpl w:val="2BB1521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DCE7DB6"/>
    <w:multiLevelType w:val="singleLevel"/>
    <w:tmpl w:val="2DCE7DB6"/>
    <w:lvl w:ilvl="0" w:tentative="0">
      <w:start w:val="3"/>
      <w:numFmt w:val="decimal"/>
      <w:suff w:val="nothing"/>
      <w:lvlText w:val="（%1）"/>
      <w:lvlJc w:val="left"/>
    </w:lvl>
  </w:abstractNum>
  <w:abstractNum w:abstractNumId="9">
    <w:nsid w:val="3A0105B5"/>
    <w:multiLevelType w:val="multilevel"/>
    <w:tmpl w:val="3A0105B5"/>
    <w:lvl w:ilvl="0" w:tentative="0">
      <w:start w:val="1"/>
      <w:numFmt w:val="decimal"/>
      <w:lvlText w:val="%1."/>
      <w:lvlJc w:val="left"/>
      <w:pPr>
        <w:tabs>
          <w:tab w:val="left" w:pos="720"/>
        </w:tabs>
        <w:ind w:left="720" w:hanging="360"/>
      </w:pPr>
      <w:rPr>
        <w:rFonts w:hint="eastAsia"/>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10">
    <w:nsid w:val="4FE36F1A"/>
    <w:multiLevelType w:val="multilevel"/>
    <w:tmpl w:val="4FE36F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74872D77"/>
    <w:multiLevelType w:val="multilevel"/>
    <w:tmpl w:val="74872D77"/>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7D1B59F0"/>
    <w:multiLevelType w:val="multilevel"/>
    <w:tmpl w:val="7D1B59F0"/>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3"/>
  </w:num>
  <w:num w:numId="2">
    <w:abstractNumId w:val="2"/>
  </w:num>
  <w:num w:numId="3">
    <w:abstractNumId w:val="1"/>
  </w:num>
  <w:num w:numId="4">
    <w:abstractNumId w:val="12"/>
  </w:num>
  <w:num w:numId="5">
    <w:abstractNumId w:val="8"/>
  </w:num>
  <w:num w:numId="6">
    <w:abstractNumId w:val="10"/>
  </w:num>
  <w:num w:numId="7">
    <w:abstractNumId w:val="5"/>
  </w:num>
  <w:num w:numId="8">
    <w:abstractNumId w:val="6"/>
  </w:num>
  <w:num w:numId="9">
    <w:abstractNumId w:val="7"/>
  </w:num>
  <w:num w:numId="10">
    <w:abstractNumId w:val="4"/>
  </w:num>
  <w:num w:numId="11">
    <w:abstractNumId w:val="9"/>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bordersDoNotSurroundHeader w:val="0"/>
  <w:bordersDoNotSurroundFooter w:val="0"/>
  <w:gutterAtTop/>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JhZDNiNDVlNzcxZWZhODYyNGVjZjE1YTNhYjI1MjUifQ=="/>
    <w:docVar w:name="KSO_WPS_MARK_KEY" w:val="b062da0d-97e0-499d-a315-7b2841500da2"/>
  </w:docVars>
  <w:rsids>
    <w:rsidRoot w:val="00172A27"/>
    <w:rsid w:val="00001188"/>
    <w:rsid w:val="00001E51"/>
    <w:rsid w:val="00001E7B"/>
    <w:rsid w:val="00002603"/>
    <w:rsid w:val="00003654"/>
    <w:rsid w:val="00004CB1"/>
    <w:rsid w:val="00005C15"/>
    <w:rsid w:val="00006AB9"/>
    <w:rsid w:val="00007A5F"/>
    <w:rsid w:val="00010555"/>
    <w:rsid w:val="00011264"/>
    <w:rsid w:val="00012964"/>
    <w:rsid w:val="00012F13"/>
    <w:rsid w:val="0001387A"/>
    <w:rsid w:val="0001391A"/>
    <w:rsid w:val="00014AE8"/>
    <w:rsid w:val="00015086"/>
    <w:rsid w:val="00016A92"/>
    <w:rsid w:val="00020C9A"/>
    <w:rsid w:val="00021531"/>
    <w:rsid w:val="00022CC4"/>
    <w:rsid w:val="00022CC7"/>
    <w:rsid w:val="00023B7A"/>
    <w:rsid w:val="00023DA6"/>
    <w:rsid w:val="00025098"/>
    <w:rsid w:val="000260A7"/>
    <w:rsid w:val="00026AE7"/>
    <w:rsid w:val="00026E62"/>
    <w:rsid w:val="00030AE0"/>
    <w:rsid w:val="00032747"/>
    <w:rsid w:val="00033457"/>
    <w:rsid w:val="0003551E"/>
    <w:rsid w:val="00036CF1"/>
    <w:rsid w:val="000372C8"/>
    <w:rsid w:val="00037389"/>
    <w:rsid w:val="00037DC4"/>
    <w:rsid w:val="00041387"/>
    <w:rsid w:val="00041B4F"/>
    <w:rsid w:val="00042266"/>
    <w:rsid w:val="00042E83"/>
    <w:rsid w:val="00043206"/>
    <w:rsid w:val="00044019"/>
    <w:rsid w:val="00045AFA"/>
    <w:rsid w:val="000463E3"/>
    <w:rsid w:val="0004662A"/>
    <w:rsid w:val="00046EB4"/>
    <w:rsid w:val="0004798E"/>
    <w:rsid w:val="000479AD"/>
    <w:rsid w:val="00047F58"/>
    <w:rsid w:val="000515A0"/>
    <w:rsid w:val="00051FB6"/>
    <w:rsid w:val="000536AF"/>
    <w:rsid w:val="00053923"/>
    <w:rsid w:val="000542A1"/>
    <w:rsid w:val="00055E9E"/>
    <w:rsid w:val="000560A4"/>
    <w:rsid w:val="00057912"/>
    <w:rsid w:val="00057C54"/>
    <w:rsid w:val="00057E8F"/>
    <w:rsid w:val="0006266E"/>
    <w:rsid w:val="00062841"/>
    <w:rsid w:val="000629B9"/>
    <w:rsid w:val="00062CE5"/>
    <w:rsid w:val="00064534"/>
    <w:rsid w:val="00064936"/>
    <w:rsid w:val="00066081"/>
    <w:rsid w:val="000660C1"/>
    <w:rsid w:val="000675DF"/>
    <w:rsid w:val="00067C4D"/>
    <w:rsid w:val="00067EC3"/>
    <w:rsid w:val="00070A71"/>
    <w:rsid w:val="000723D6"/>
    <w:rsid w:val="00072DA5"/>
    <w:rsid w:val="00072F4C"/>
    <w:rsid w:val="00074F41"/>
    <w:rsid w:val="00075117"/>
    <w:rsid w:val="000809EB"/>
    <w:rsid w:val="00083949"/>
    <w:rsid w:val="00084FEA"/>
    <w:rsid w:val="0008634A"/>
    <w:rsid w:val="00086CF1"/>
    <w:rsid w:val="000875D1"/>
    <w:rsid w:val="0009110F"/>
    <w:rsid w:val="0009260C"/>
    <w:rsid w:val="00094033"/>
    <w:rsid w:val="00094160"/>
    <w:rsid w:val="00095D99"/>
    <w:rsid w:val="00097010"/>
    <w:rsid w:val="000A342E"/>
    <w:rsid w:val="000A3C8F"/>
    <w:rsid w:val="000A3E8B"/>
    <w:rsid w:val="000A49E7"/>
    <w:rsid w:val="000A554F"/>
    <w:rsid w:val="000A5B3D"/>
    <w:rsid w:val="000A5CD3"/>
    <w:rsid w:val="000B198A"/>
    <w:rsid w:val="000B2139"/>
    <w:rsid w:val="000B2E2B"/>
    <w:rsid w:val="000B4897"/>
    <w:rsid w:val="000B493B"/>
    <w:rsid w:val="000B4D06"/>
    <w:rsid w:val="000B5B64"/>
    <w:rsid w:val="000B6A4D"/>
    <w:rsid w:val="000B6D74"/>
    <w:rsid w:val="000B7348"/>
    <w:rsid w:val="000C03AB"/>
    <w:rsid w:val="000C1B33"/>
    <w:rsid w:val="000C257B"/>
    <w:rsid w:val="000C29BE"/>
    <w:rsid w:val="000C2C6F"/>
    <w:rsid w:val="000C6384"/>
    <w:rsid w:val="000C6D53"/>
    <w:rsid w:val="000C70FE"/>
    <w:rsid w:val="000D0EA9"/>
    <w:rsid w:val="000D1116"/>
    <w:rsid w:val="000D1D0C"/>
    <w:rsid w:val="000D2157"/>
    <w:rsid w:val="000D3312"/>
    <w:rsid w:val="000D3AE1"/>
    <w:rsid w:val="000D59F4"/>
    <w:rsid w:val="000D65A7"/>
    <w:rsid w:val="000D755E"/>
    <w:rsid w:val="000E10FE"/>
    <w:rsid w:val="000E3004"/>
    <w:rsid w:val="000E4727"/>
    <w:rsid w:val="000E55BC"/>
    <w:rsid w:val="000E6C22"/>
    <w:rsid w:val="000E771A"/>
    <w:rsid w:val="000F05A0"/>
    <w:rsid w:val="000F085A"/>
    <w:rsid w:val="000F1102"/>
    <w:rsid w:val="000F35F8"/>
    <w:rsid w:val="000F5456"/>
    <w:rsid w:val="000F5457"/>
    <w:rsid w:val="000F7FF3"/>
    <w:rsid w:val="00100EA6"/>
    <w:rsid w:val="0010137D"/>
    <w:rsid w:val="0010227A"/>
    <w:rsid w:val="00102D7D"/>
    <w:rsid w:val="00105CF0"/>
    <w:rsid w:val="00105EEE"/>
    <w:rsid w:val="00105F08"/>
    <w:rsid w:val="00106986"/>
    <w:rsid w:val="0010698B"/>
    <w:rsid w:val="00106E26"/>
    <w:rsid w:val="00110D8B"/>
    <w:rsid w:val="00111954"/>
    <w:rsid w:val="00113641"/>
    <w:rsid w:val="0011449C"/>
    <w:rsid w:val="00114CDB"/>
    <w:rsid w:val="00114EE8"/>
    <w:rsid w:val="00117475"/>
    <w:rsid w:val="00117859"/>
    <w:rsid w:val="001206AA"/>
    <w:rsid w:val="0012087D"/>
    <w:rsid w:val="001215F2"/>
    <w:rsid w:val="00121F72"/>
    <w:rsid w:val="001223A6"/>
    <w:rsid w:val="00122BF5"/>
    <w:rsid w:val="00122D41"/>
    <w:rsid w:val="00124238"/>
    <w:rsid w:val="0012438A"/>
    <w:rsid w:val="00124AFB"/>
    <w:rsid w:val="00125B86"/>
    <w:rsid w:val="00126135"/>
    <w:rsid w:val="00127F35"/>
    <w:rsid w:val="00130F7C"/>
    <w:rsid w:val="0013152C"/>
    <w:rsid w:val="0013386B"/>
    <w:rsid w:val="00135085"/>
    <w:rsid w:val="001354F4"/>
    <w:rsid w:val="00141781"/>
    <w:rsid w:val="00142988"/>
    <w:rsid w:val="00142EC0"/>
    <w:rsid w:val="00143501"/>
    <w:rsid w:val="001452FF"/>
    <w:rsid w:val="00146392"/>
    <w:rsid w:val="001479D6"/>
    <w:rsid w:val="001521CB"/>
    <w:rsid w:val="00152832"/>
    <w:rsid w:val="00153A55"/>
    <w:rsid w:val="00154483"/>
    <w:rsid w:val="00154544"/>
    <w:rsid w:val="00154E3E"/>
    <w:rsid w:val="00155C1D"/>
    <w:rsid w:val="00156048"/>
    <w:rsid w:val="00160079"/>
    <w:rsid w:val="00161EF2"/>
    <w:rsid w:val="0016253C"/>
    <w:rsid w:val="00162840"/>
    <w:rsid w:val="001648F4"/>
    <w:rsid w:val="001651F6"/>
    <w:rsid w:val="00166BC7"/>
    <w:rsid w:val="00170113"/>
    <w:rsid w:val="00171BD1"/>
    <w:rsid w:val="00172A27"/>
    <w:rsid w:val="001734D8"/>
    <w:rsid w:val="0017432D"/>
    <w:rsid w:val="001748D3"/>
    <w:rsid w:val="00174E86"/>
    <w:rsid w:val="00176A16"/>
    <w:rsid w:val="001775C1"/>
    <w:rsid w:val="0018274C"/>
    <w:rsid w:val="0018432B"/>
    <w:rsid w:val="00185870"/>
    <w:rsid w:val="00186AEB"/>
    <w:rsid w:val="0019070F"/>
    <w:rsid w:val="00190CA7"/>
    <w:rsid w:val="001926D0"/>
    <w:rsid w:val="001926FF"/>
    <w:rsid w:val="00192E57"/>
    <w:rsid w:val="001938F2"/>
    <w:rsid w:val="00194841"/>
    <w:rsid w:val="00194F6B"/>
    <w:rsid w:val="001958D7"/>
    <w:rsid w:val="001974F1"/>
    <w:rsid w:val="00197892"/>
    <w:rsid w:val="001A06D4"/>
    <w:rsid w:val="001A6576"/>
    <w:rsid w:val="001A68FA"/>
    <w:rsid w:val="001A6AE4"/>
    <w:rsid w:val="001A6E3A"/>
    <w:rsid w:val="001A7093"/>
    <w:rsid w:val="001A70B8"/>
    <w:rsid w:val="001A7566"/>
    <w:rsid w:val="001A7613"/>
    <w:rsid w:val="001A7D36"/>
    <w:rsid w:val="001B3993"/>
    <w:rsid w:val="001B4E3A"/>
    <w:rsid w:val="001B54CC"/>
    <w:rsid w:val="001B6D7A"/>
    <w:rsid w:val="001C38A5"/>
    <w:rsid w:val="001C4CEC"/>
    <w:rsid w:val="001C507E"/>
    <w:rsid w:val="001C5AC1"/>
    <w:rsid w:val="001C6CB8"/>
    <w:rsid w:val="001D2758"/>
    <w:rsid w:val="001D30E2"/>
    <w:rsid w:val="001D50EC"/>
    <w:rsid w:val="001D632D"/>
    <w:rsid w:val="001D6A95"/>
    <w:rsid w:val="001D7880"/>
    <w:rsid w:val="001E0089"/>
    <w:rsid w:val="001E2235"/>
    <w:rsid w:val="001E2729"/>
    <w:rsid w:val="001E31ED"/>
    <w:rsid w:val="001E3A6E"/>
    <w:rsid w:val="001E40B3"/>
    <w:rsid w:val="001E433B"/>
    <w:rsid w:val="001E455D"/>
    <w:rsid w:val="001E49EB"/>
    <w:rsid w:val="001E61A2"/>
    <w:rsid w:val="001E6CFC"/>
    <w:rsid w:val="001E73C5"/>
    <w:rsid w:val="001E7CBE"/>
    <w:rsid w:val="001F00F5"/>
    <w:rsid w:val="001F07F6"/>
    <w:rsid w:val="001F136A"/>
    <w:rsid w:val="001F3ADA"/>
    <w:rsid w:val="001F453A"/>
    <w:rsid w:val="001F4AFD"/>
    <w:rsid w:val="001F747D"/>
    <w:rsid w:val="001F79EE"/>
    <w:rsid w:val="002017DB"/>
    <w:rsid w:val="00201AB9"/>
    <w:rsid w:val="002024D4"/>
    <w:rsid w:val="00203966"/>
    <w:rsid w:val="00203B3B"/>
    <w:rsid w:val="002045E5"/>
    <w:rsid w:val="002048FF"/>
    <w:rsid w:val="00204994"/>
    <w:rsid w:val="00204BC6"/>
    <w:rsid w:val="0020548C"/>
    <w:rsid w:val="002062B3"/>
    <w:rsid w:val="00206902"/>
    <w:rsid w:val="00207EF6"/>
    <w:rsid w:val="002105A2"/>
    <w:rsid w:val="00210CBB"/>
    <w:rsid w:val="0021143E"/>
    <w:rsid w:val="00212295"/>
    <w:rsid w:val="00212973"/>
    <w:rsid w:val="0021457D"/>
    <w:rsid w:val="00214BC1"/>
    <w:rsid w:val="00215281"/>
    <w:rsid w:val="00215DC6"/>
    <w:rsid w:val="002162A8"/>
    <w:rsid w:val="002165FF"/>
    <w:rsid w:val="002167F3"/>
    <w:rsid w:val="00217552"/>
    <w:rsid w:val="00217560"/>
    <w:rsid w:val="00217BCC"/>
    <w:rsid w:val="00217FF5"/>
    <w:rsid w:val="00221B05"/>
    <w:rsid w:val="002232DB"/>
    <w:rsid w:val="002239ED"/>
    <w:rsid w:val="00223DB1"/>
    <w:rsid w:val="00225662"/>
    <w:rsid w:val="00226250"/>
    <w:rsid w:val="00226967"/>
    <w:rsid w:val="00230054"/>
    <w:rsid w:val="00230E39"/>
    <w:rsid w:val="00232FDF"/>
    <w:rsid w:val="00234398"/>
    <w:rsid w:val="00234DE0"/>
    <w:rsid w:val="002351AA"/>
    <w:rsid w:val="00235270"/>
    <w:rsid w:val="0023541D"/>
    <w:rsid w:val="00236836"/>
    <w:rsid w:val="00236917"/>
    <w:rsid w:val="00236E5E"/>
    <w:rsid w:val="00237E83"/>
    <w:rsid w:val="00237FA5"/>
    <w:rsid w:val="00237FF5"/>
    <w:rsid w:val="00241A31"/>
    <w:rsid w:val="00242F79"/>
    <w:rsid w:val="0024371B"/>
    <w:rsid w:val="0024647F"/>
    <w:rsid w:val="002478B7"/>
    <w:rsid w:val="002478D2"/>
    <w:rsid w:val="002479EF"/>
    <w:rsid w:val="00247D1C"/>
    <w:rsid w:val="002505EF"/>
    <w:rsid w:val="00250B11"/>
    <w:rsid w:val="00251443"/>
    <w:rsid w:val="00251F79"/>
    <w:rsid w:val="002532D7"/>
    <w:rsid w:val="00255ADA"/>
    <w:rsid w:val="00257CB3"/>
    <w:rsid w:val="00260517"/>
    <w:rsid w:val="002624A9"/>
    <w:rsid w:val="002647EA"/>
    <w:rsid w:val="002648B6"/>
    <w:rsid w:val="00264A6B"/>
    <w:rsid w:val="00265E8B"/>
    <w:rsid w:val="00267134"/>
    <w:rsid w:val="00267B68"/>
    <w:rsid w:val="002715D2"/>
    <w:rsid w:val="00271B01"/>
    <w:rsid w:val="00272A61"/>
    <w:rsid w:val="00273D83"/>
    <w:rsid w:val="00275B17"/>
    <w:rsid w:val="00277317"/>
    <w:rsid w:val="00277902"/>
    <w:rsid w:val="0028044D"/>
    <w:rsid w:val="0028065C"/>
    <w:rsid w:val="00282A95"/>
    <w:rsid w:val="00283574"/>
    <w:rsid w:val="0028394E"/>
    <w:rsid w:val="00286550"/>
    <w:rsid w:val="00286B39"/>
    <w:rsid w:val="00287205"/>
    <w:rsid w:val="00291374"/>
    <w:rsid w:val="0029145F"/>
    <w:rsid w:val="002959CB"/>
    <w:rsid w:val="00297CDD"/>
    <w:rsid w:val="002A089C"/>
    <w:rsid w:val="002A0F10"/>
    <w:rsid w:val="002A0F86"/>
    <w:rsid w:val="002A1466"/>
    <w:rsid w:val="002A1645"/>
    <w:rsid w:val="002A18E7"/>
    <w:rsid w:val="002A1F6F"/>
    <w:rsid w:val="002A3C40"/>
    <w:rsid w:val="002A5951"/>
    <w:rsid w:val="002A59AF"/>
    <w:rsid w:val="002A5FAD"/>
    <w:rsid w:val="002B0737"/>
    <w:rsid w:val="002B0FFD"/>
    <w:rsid w:val="002B11BA"/>
    <w:rsid w:val="002B323C"/>
    <w:rsid w:val="002B36C5"/>
    <w:rsid w:val="002B3C5F"/>
    <w:rsid w:val="002B432E"/>
    <w:rsid w:val="002B4597"/>
    <w:rsid w:val="002B469E"/>
    <w:rsid w:val="002B4E46"/>
    <w:rsid w:val="002B5D26"/>
    <w:rsid w:val="002B7551"/>
    <w:rsid w:val="002C0E6C"/>
    <w:rsid w:val="002C0EB3"/>
    <w:rsid w:val="002C24D2"/>
    <w:rsid w:val="002C311F"/>
    <w:rsid w:val="002C60D3"/>
    <w:rsid w:val="002C65AC"/>
    <w:rsid w:val="002D190F"/>
    <w:rsid w:val="002D1FBE"/>
    <w:rsid w:val="002D280F"/>
    <w:rsid w:val="002D2B2E"/>
    <w:rsid w:val="002D3E75"/>
    <w:rsid w:val="002D54B4"/>
    <w:rsid w:val="002D6671"/>
    <w:rsid w:val="002E00E7"/>
    <w:rsid w:val="002E07C8"/>
    <w:rsid w:val="002E15D7"/>
    <w:rsid w:val="002E2B79"/>
    <w:rsid w:val="002E302A"/>
    <w:rsid w:val="002E438E"/>
    <w:rsid w:val="002E51EB"/>
    <w:rsid w:val="002E6B75"/>
    <w:rsid w:val="002E7A84"/>
    <w:rsid w:val="002E7B50"/>
    <w:rsid w:val="002F0DA8"/>
    <w:rsid w:val="002F19D2"/>
    <w:rsid w:val="002F73C2"/>
    <w:rsid w:val="00301040"/>
    <w:rsid w:val="00301E52"/>
    <w:rsid w:val="00301F15"/>
    <w:rsid w:val="003025E2"/>
    <w:rsid w:val="00302B9A"/>
    <w:rsid w:val="00303148"/>
    <w:rsid w:val="003053D4"/>
    <w:rsid w:val="00306116"/>
    <w:rsid w:val="003065E8"/>
    <w:rsid w:val="003069B7"/>
    <w:rsid w:val="00306B04"/>
    <w:rsid w:val="00307523"/>
    <w:rsid w:val="00310528"/>
    <w:rsid w:val="00310F9A"/>
    <w:rsid w:val="003128CD"/>
    <w:rsid w:val="00312D0A"/>
    <w:rsid w:val="00312D79"/>
    <w:rsid w:val="00312F15"/>
    <w:rsid w:val="00313560"/>
    <w:rsid w:val="00313D21"/>
    <w:rsid w:val="0032084D"/>
    <w:rsid w:val="00320D65"/>
    <w:rsid w:val="00322941"/>
    <w:rsid w:val="00323508"/>
    <w:rsid w:val="003246BD"/>
    <w:rsid w:val="00325693"/>
    <w:rsid w:val="00325742"/>
    <w:rsid w:val="003268EB"/>
    <w:rsid w:val="00326F8D"/>
    <w:rsid w:val="00331AC7"/>
    <w:rsid w:val="00332ECA"/>
    <w:rsid w:val="003349D4"/>
    <w:rsid w:val="00336268"/>
    <w:rsid w:val="00340330"/>
    <w:rsid w:val="003443AD"/>
    <w:rsid w:val="00345B41"/>
    <w:rsid w:val="00345C9C"/>
    <w:rsid w:val="00345D2D"/>
    <w:rsid w:val="003479CE"/>
    <w:rsid w:val="00347F46"/>
    <w:rsid w:val="0035054D"/>
    <w:rsid w:val="00350F26"/>
    <w:rsid w:val="00351126"/>
    <w:rsid w:val="003531A9"/>
    <w:rsid w:val="00353F00"/>
    <w:rsid w:val="0035485E"/>
    <w:rsid w:val="0036137A"/>
    <w:rsid w:val="00361399"/>
    <w:rsid w:val="00362360"/>
    <w:rsid w:val="00363D03"/>
    <w:rsid w:val="00363E35"/>
    <w:rsid w:val="003648E5"/>
    <w:rsid w:val="00364A7D"/>
    <w:rsid w:val="00364C89"/>
    <w:rsid w:val="00365A0D"/>
    <w:rsid w:val="003673AA"/>
    <w:rsid w:val="003677D7"/>
    <w:rsid w:val="00370C6B"/>
    <w:rsid w:val="00371734"/>
    <w:rsid w:val="0037279B"/>
    <w:rsid w:val="00372C3F"/>
    <w:rsid w:val="003770A3"/>
    <w:rsid w:val="003774CE"/>
    <w:rsid w:val="00380970"/>
    <w:rsid w:val="003810F8"/>
    <w:rsid w:val="00381C4F"/>
    <w:rsid w:val="00381D11"/>
    <w:rsid w:val="0038231D"/>
    <w:rsid w:val="0038276E"/>
    <w:rsid w:val="00382BB3"/>
    <w:rsid w:val="00382FC1"/>
    <w:rsid w:val="00383853"/>
    <w:rsid w:val="00383F87"/>
    <w:rsid w:val="00386D93"/>
    <w:rsid w:val="00387B82"/>
    <w:rsid w:val="00387CFD"/>
    <w:rsid w:val="0039039A"/>
    <w:rsid w:val="003904B6"/>
    <w:rsid w:val="00390E3E"/>
    <w:rsid w:val="0039412A"/>
    <w:rsid w:val="00394526"/>
    <w:rsid w:val="003945B9"/>
    <w:rsid w:val="0039480B"/>
    <w:rsid w:val="00394D09"/>
    <w:rsid w:val="00395865"/>
    <w:rsid w:val="00395CA6"/>
    <w:rsid w:val="00395E83"/>
    <w:rsid w:val="00396803"/>
    <w:rsid w:val="00397FEA"/>
    <w:rsid w:val="003A0F7F"/>
    <w:rsid w:val="003A176D"/>
    <w:rsid w:val="003A23D8"/>
    <w:rsid w:val="003A24A7"/>
    <w:rsid w:val="003A40FE"/>
    <w:rsid w:val="003A5BCF"/>
    <w:rsid w:val="003A5BDB"/>
    <w:rsid w:val="003A613D"/>
    <w:rsid w:val="003A6665"/>
    <w:rsid w:val="003A676C"/>
    <w:rsid w:val="003A7069"/>
    <w:rsid w:val="003A7A46"/>
    <w:rsid w:val="003A7AFA"/>
    <w:rsid w:val="003B00BE"/>
    <w:rsid w:val="003B461D"/>
    <w:rsid w:val="003B60D4"/>
    <w:rsid w:val="003B6907"/>
    <w:rsid w:val="003B7179"/>
    <w:rsid w:val="003B71A1"/>
    <w:rsid w:val="003B72B7"/>
    <w:rsid w:val="003B7FDF"/>
    <w:rsid w:val="003C0D4E"/>
    <w:rsid w:val="003C108D"/>
    <w:rsid w:val="003C1217"/>
    <w:rsid w:val="003C16C8"/>
    <w:rsid w:val="003C2576"/>
    <w:rsid w:val="003C2E85"/>
    <w:rsid w:val="003C3816"/>
    <w:rsid w:val="003C633D"/>
    <w:rsid w:val="003C7623"/>
    <w:rsid w:val="003D1031"/>
    <w:rsid w:val="003D209F"/>
    <w:rsid w:val="003D3354"/>
    <w:rsid w:val="003D3CB3"/>
    <w:rsid w:val="003D4044"/>
    <w:rsid w:val="003D4F85"/>
    <w:rsid w:val="003D56F4"/>
    <w:rsid w:val="003E3E31"/>
    <w:rsid w:val="003E4BE1"/>
    <w:rsid w:val="003E5C76"/>
    <w:rsid w:val="003E6B40"/>
    <w:rsid w:val="003E7AD8"/>
    <w:rsid w:val="003F0AB1"/>
    <w:rsid w:val="003F3A6E"/>
    <w:rsid w:val="003F497F"/>
    <w:rsid w:val="003F57E8"/>
    <w:rsid w:val="003F5CEB"/>
    <w:rsid w:val="003F6056"/>
    <w:rsid w:val="003F6273"/>
    <w:rsid w:val="003F7FF7"/>
    <w:rsid w:val="00400485"/>
    <w:rsid w:val="0040194E"/>
    <w:rsid w:val="004019C4"/>
    <w:rsid w:val="00402D94"/>
    <w:rsid w:val="00403200"/>
    <w:rsid w:val="00403684"/>
    <w:rsid w:val="004060B7"/>
    <w:rsid w:val="00406B1D"/>
    <w:rsid w:val="0040722C"/>
    <w:rsid w:val="00407405"/>
    <w:rsid w:val="00407C1C"/>
    <w:rsid w:val="004127B9"/>
    <w:rsid w:val="00412A0A"/>
    <w:rsid w:val="00414EB2"/>
    <w:rsid w:val="00414F15"/>
    <w:rsid w:val="00417076"/>
    <w:rsid w:val="00417089"/>
    <w:rsid w:val="00417BA1"/>
    <w:rsid w:val="00417D43"/>
    <w:rsid w:val="00417F88"/>
    <w:rsid w:val="00420E6C"/>
    <w:rsid w:val="00422BF5"/>
    <w:rsid w:val="004248FE"/>
    <w:rsid w:val="00427475"/>
    <w:rsid w:val="00427889"/>
    <w:rsid w:val="00430C8E"/>
    <w:rsid w:val="00433B11"/>
    <w:rsid w:val="00433DF1"/>
    <w:rsid w:val="00434082"/>
    <w:rsid w:val="00434158"/>
    <w:rsid w:val="00434758"/>
    <w:rsid w:val="0043490F"/>
    <w:rsid w:val="0043500F"/>
    <w:rsid w:val="004351FD"/>
    <w:rsid w:val="0043533A"/>
    <w:rsid w:val="0043556F"/>
    <w:rsid w:val="00435C0C"/>
    <w:rsid w:val="00436478"/>
    <w:rsid w:val="0044107E"/>
    <w:rsid w:val="00441352"/>
    <w:rsid w:val="00441518"/>
    <w:rsid w:val="004416B9"/>
    <w:rsid w:val="004479E5"/>
    <w:rsid w:val="0045057A"/>
    <w:rsid w:val="004518FA"/>
    <w:rsid w:val="00451BD4"/>
    <w:rsid w:val="00451FDE"/>
    <w:rsid w:val="0045266F"/>
    <w:rsid w:val="00453058"/>
    <w:rsid w:val="004530FB"/>
    <w:rsid w:val="004550D2"/>
    <w:rsid w:val="00455E9F"/>
    <w:rsid w:val="00461330"/>
    <w:rsid w:val="0046294E"/>
    <w:rsid w:val="00462F1D"/>
    <w:rsid w:val="00463E24"/>
    <w:rsid w:val="00464C88"/>
    <w:rsid w:val="004661B6"/>
    <w:rsid w:val="004679B2"/>
    <w:rsid w:val="00467EC0"/>
    <w:rsid w:val="00467F31"/>
    <w:rsid w:val="004703FD"/>
    <w:rsid w:val="00472BF2"/>
    <w:rsid w:val="0047404E"/>
    <w:rsid w:val="0047616C"/>
    <w:rsid w:val="00476218"/>
    <w:rsid w:val="00476AFE"/>
    <w:rsid w:val="004810A2"/>
    <w:rsid w:val="00481700"/>
    <w:rsid w:val="00481738"/>
    <w:rsid w:val="00483270"/>
    <w:rsid w:val="00484DBC"/>
    <w:rsid w:val="004854A3"/>
    <w:rsid w:val="00487ACA"/>
    <w:rsid w:val="00490D9E"/>
    <w:rsid w:val="004924DD"/>
    <w:rsid w:val="00492D14"/>
    <w:rsid w:val="0049441E"/>
    <w:rsid w:val="0049479A"/>
    <w:rsid w:val="004950DE"/>
    <w:rsid w:val="00497781"/>
    <w:rsid w:val="004A1314"/>
    <w:rsid w:val="004A1573"/>
    <w:rsid w:val="004A2CBE"/>
    <w:rsid w:val="004A3F01"/>
    <w:rsid w:val="004A4353"/>
    <w:rsid w:val="004A6639"/>
    <w:rsid w:val="004B0D05"/>
    <w:rsid w:val="004B166C"/>
    <w:rsid w:val="004B21E7"/>
    <w:rsid w:val="004B41B2"/>
    <w:rsid w:val="004B5EF3"/>
    <w:rsid w:val="004B7914"/>
    <w:rsid w:val="004C0EF8"/>
    <w:rsid w:val="004C1463"/>
    <w:rsid w:val="004C16A2"/>
    <w:rsid w:val="004C1C0E"/>
    <w:rsid w:val="004C1F50"/>
    <w:rsid w:val="004C3289"/>
    <w:rsid w:val="004C45A5"/>
    <w:rsid w:val="004C49EB"/>
    <w:rsid w:val="004C4E6D"/>
    <w:rsid w:val="004C5B57"/>
    <w:rsid w:val="004C5D47"/>
    <w:rsid w:val="004C767B"/>
    <w:rsid w:val="004C7843"/>
    <w:rsid w:val="004C78CE"/>
    <w:rsid w:val="004D1A41"/>
    <w:rsid w:val="004D2146"/>
    <w:rsid w:val="004D5F0A"/>
    <w:rsid w:val="004D74DD"/>
    <w:rsid w:val="004D7513"/>
    <w:rsid w:val="004E0CA3"/>
    <w:rsid w:val="004E2B44"/>
    <w:rsid w:val="004E397F"/>
    <w:rsid w:val="004E3A6D"/>
    <w:rsid w:val="004E3BEA"/>
    <w:rsid w:val="004E6251"/>
    <w:rsid w:val="004E6E69"/>
    <w:rsid w:val="004E7B40"/>
    <w:rsid w:val="004F0112"/>
    <w:rsid w:val="004F0227"/>
    <w:rsid w:val="004F0E66"/>
    <w:rsid w:val="004F1FC8"/>
    <w:rsid w:val="004F2689"/>
    <w:rsid w:val="004F26E1"/>
    <w:rsid w:val="004F275B"/>
    <w:rsid w:val="004F38E2"/>
    <w:rsid w:val="004F45C7"/>
    <w:rsid w:val="004F5A6E"/>
    <w:rsid w:val="004F66F7"/>
    <w:rsid w:val="004F698B"/>
    <w:rsid w:val="004F709A"/>
    <w:rsid w:val="0050022C"/>
    <w:rsid w:val="0050073F"/>
    <w:rsid w:val="00501973"/>
    <w:rsid w:val="00501F82"/>
    <w:rsid w:val="00504158"/>
    <w:rsid w:val="005043C1"/>
    <w:rsid w:val="005049DE"/>
    <w:rsid w:val="00510361"/>
    <w:rsid w:val="00510C65"/>
    <w:rsid w:val="005133D8"/>
    <w:rsid w:val="00513D63"/>
    <w:rsid w:val="00513F90"/>
    <w:rsid w:val="00514C37"/>
    <w:rsid w:val="0051538C"/>
    <w:rsid w:val="00515E4C"/>
    <w:rsid w:val="00516305"/>
    <w:rsid w:val="00517243"/>
    <w:rsid w:val="00520A72"/>
    <w:rsid w:val="0052165D"/>
    <w:rsid w:val="00521C94"/>
    <w:rsid w:val="005224C8"/>
    <w:rsid w:val="005249B1"/>
    <w:rsid w:val="005278FC"/>
    <w:rsid w:val="00530F0E"/>
    <w:rsid w:val="005319B9"/>
    <w:rsid w:val="00532334"/>
    <w:rsid w:val="0053383A"/>
    <w:rsid w:val="005342A1"/>
    <w:rsid w:val="005372C7"/>
    <w:rsid w:val="0054043E"/>
    <w:rsid w:val="005432C5"/>
    <w:rsid w:val="00543B0D"/>
    <w:rsid w:val="00543B3B"/>
    <w:rsid w:val="00544946"/>
    <w:rsid w:val="005455AA"/>
    <w:rsid w:val="00545F4C"/>
    <w:rsid w:val="00546C5A"/>
    <w:rsid w:val="00547078"/>
    <w:rsid w:val="005520FB"/>
    <w:rsid w:val="005523BA"/>
    <w:rsid w:val="0055473D"/>
    <w:rsid w:val="00555504"/>
    <w:rsid w:val="00556349"/>
    <w:rsid w:val="0055666A"/>
    <w:rsid w:val="00557401"/>
    <w:rsid w:val="005579FF"/>
    <w:rsid w:val="005621BD"/>
    <w:rsid w:val="005623D3"/>
    <w:rsid w:val="005635C7"/>
    <w:rsid w:val="005637A5"/>
    <w:rsid w:val="00565FD9"/>
    <w:rsid w:val="0056620B"/>
    <w:rsid w:val="00566726"/>
    <w:rsid w:val="005765DA"/>
    <w:rsid w:val="0057673C"/>
    <w:rsid w:val="005815C2"/>
    <w:rsid w:val="00581BA1"/>
    <w:rsid w:val="00581FD1"/>
    <w:rsid w:val="005837CF"/>
    <w:rsid w:val="00585000"/>
    <w:rsid w:val="00586D44"/>
    <w:rsid w:val="00586E55"/>
    <w:rsid w:val="0058780B"/>
    <w:rsid w:val="00587942"/>
    <w:rsid w:val="00587D7A"/>
    <w:rsid w:val="00591447"/>
    <w:rsid w:val="00591924"/>
    <w:rsid w:val="00591E93"/>
    <w:rsid w:val="005929DD"/>
    <w:rsid w:val="00592FA1"/>
    <w:rsid w:val="005934B1"/>
    <w:rsid w:val="00597921"/>
    <w:rsid w:val="005A041B"/>
    <w:rsid w:val="005A3021"/>
    <w:rsid w:val="005A5C20"/>
    <w:rsid w:val="005A63DE"/>
    <w:rsid w:val="005A6E73"/>
    <w:rsid w:val="005A7B35"/>
    <w:rsid w:val="005B01C9"/>
    <w:rsid w:val="005B06EC"/>
    <w:rsid w:val="005B0F6C"/>
    <w:rsid w:val="005B1F4A"/>
    <w:rsid w:val="005B43AE"/>
    <w:rsid w:val="005B6527"/>
    <w:rsid w:val="005C0209"/>
    <w:rsid w:val="005C112C"/>
    <w:rsid w:val="005C4F55"/>
    <w:rsid w:val="005C54C0"/>
    <w:rsid w:val="005C5F52"/>
    <w:rsid w:val="005C6ADC"/>
    <w:rsid w:val="005D0001"/>
    <w:rsid w:val="005D1F14"/>
    <w:rsid w:val="005D230A"/>
    <w:rsid w:val="005D29F5"/>
    <w:rsid w:val="005D3553"/>
    <w:rsid w:val="005D594E"/>
    <w:rsid w:val="005D5A8F"/>
    <w:rsid w:val="005D5EE9"/>
    <w:rsid w:val="005D6610"/>
    <w:rsid w:val="005D6890"/>
    <w:rsid w:val="005E1190"/>
    <w:rsid w:val="005E132A"/>
    <w:rsid w:val="005E13A8"/>
    <w:rsid w:val="005E2073"/>
    <w:rsid w:val="005E20BD"/>
    <w:rsid w:val="005E26FE"/>
    <w:rsid w:val="005E359C"/>
    <w:rsid w:val="005E3AF1"/>
    <w:rsid w:val="005E7F45"/>
    <w:rsid w:val="005F04BA"/>
    <w:rsid w:val="005F1049"/>
    <w:rsid w:val="005F4952"/>
    <w:rsid w:val="005F49EA"/>
    <w:rsid w:val="005F52BC"/>
    <w:rsid w:val="005F5939"/>
    <w:rsid w:val="005F7259"/>
    <w:rsid w:val="00600661"/>
    <w:rsid w:val="00600D5F"/>
    <w:rsid w:val="00600DAD"/>
    <w:rsid w:val="006014ED"/>
    <w:rsid w:val="00602881"/>
    <w:rsid w:val="00602BF6"/>
    <w:rsid w:val="006062F8"/>
    <w:rsid w:val="00606F53"/>
    <w:rsid w:val="006071A5"/>
    <w:rsid w:val="0060796E"/>
    <w:rsid w:val="006079C4"/>
    <w:rsid w:val="006101A4"/>
    <w:rsid w:val="00610796"/>
    <w:rsid w:val="00611685"/>
    <w:rsid w:val="00612090"/>
    <w:rsid w:val="006122BE"/>
    <w:rsid w:val="00615664"/>
    <w:rsid w:val="00616651"/>
    <w:rsid w:val="006166EE"/>
    <w:rsid w:val="00616C73"/>
    <w:rsid w:val="006174F1"/>
    <w:rsid w:val="006219E1"/>
    <w:rsid w:val="00621AD9"/>
    <w:rsid w:val="006221E9"/>
    <w:rsid w:val="0062320B"/>
    <w:rsid w:val="00624932"/>
    <w:rsid w:val="006267E1"/>
    <w:rsid w:val="006279EC"/>
    <w:rsid w:val="00630088"/>
    <w:rsid w:val="00630A09"/>
    <w:rsid w:val="00631408"/>
    <w:rsid w:val="0063561D"/>
    <w:rsid w:val="00635C24"/>
    <w:rsid w:val="00635E47"/>
    <w:rsid w:val="00637333"/>
    <w:rsid w:val="00637440"/>
    <w:rsid w:val="0063786C"/>
    <w:rsid w:val="00641045"/>
    <w:rsid w:val="00641789"/>
    <w:rsid w:val="006418E6"/>
    <w:rsid w:val="0064375F"/>
    <w:rsid w:val="00645807"/>
    <w:rsid w:val="00646172"/>
    <w:rsid w:val="00646430"/>
    <w:rsid w:val="00646B32"/>
    <w:rsid w:val="00646D76"/>
    <w:rsid w:val="0064788A"/>
    <w:rsid w:val="00647FDD"/>
    <w:rsid w:val="00650FF9"/>
    <w:rsid w:val="00651095"/>
    <w:rsid w:val="00652797"/>
    <w:rsid w:val="00653762"/>
    <w:rsid w:val="0065420E"/>
    <w:rsid w:val="0065489F"/>
    <w:rsid w:val="0065594C"/>
    <w:rsid w:val="00656023"/>
    <w:rsid w:val="00656332"/>
    <w:rsid w:val="006566F8"/>
    <w:rsid w:val="00660108"/>
    <w:rsid w:val="00661858"/>
    <w:rsid w:val="006639B1"/>
    <w:rsid w:val="00663B27"/>
    <w:rsid w:val="006650F8"/>
    <w:rsid w:val="00667591"/>
    <w:rsid w:val="00670FC6"/>
    <w:rsid w:val="006727DD"/>
    <w:rsid w:val="006740F9"/>
    <w:rsid w:val="00674E91"/>
    <w:rsid w:val="006779A5"/>
    <w:rsid w:val="00680DDD"/>
    <w:rsid w:val="006818D5"/>
    <w:rsid w:val="00681988"/>
    <w:rsid w:val="00681D90"/>
    <w:rsid w:val="006840FC"/>
    <w:rsid w:val="00684374"/>
    <w:rsid w:val="006848A9"/>
    <w:rsid w:val="006863EE"/>
    <w:rsid w:val="00686C31"/>
    <w:rsid w:val="00687926"/>
    <w:rsid w:val="00693577"/>
    <w:rsid w:val="00696326"/>
    <w:rsid w:val="006968F5"/>
    <w:rsid w:val="00696D54"/>
    <w:rsid w:val="006970E3"/>
    <w:rsid w:val="00697E9A"/>
    <w:rsid w:val="006A2277"/>
    <w:rsid w:val="006A3291"/>
    <w:rsid w:val="006A580E"/>
    <w:rsid w:val="006A6620"/>
    <w:rsid w:val="006B1561"/>
    <w:rsid w:val="006B2389"/>
    <w:rsid w:val="006B2F11"/>
    <w:rsid w:val="006B311B"/>
    <w:rsid w:val="006B377F"/>
    <w:rsid w:val="006B5234"/>
    <w:rsid w:val="006B5479"/>
    <w:rsid w:val="006B5BFC"/>
    <w:rsid w:val="006C0056"/>
    <w:rsid w:val="006C4AC2"/>
    <w:rsid w:val="006C4FA6"/>
    <w:rsid w:val="006C5091"/>
    <w:rsid w:val="006C6FDD"/>
    <w:rsid w:val="006C7231"/>
    <w:rsid w:val="006C7905"/>
    <w:rsid w:val="006D006F"/>
    <w:rsid w:val="006D17AA"/>
    <w:rsid w:val="006D245E"/>
    <w:rsid w:val="006D347A"/>
    <w:rsid w:val="006D3F53"/>
    <w:rsid w:val="006D551F"/>
    <w:rsid w:val="006D6AA1"/>
    <w:rsid w:val="006E0CDD"/>
    <w:rsid w:val="006E2BFE"/>
    <w:rsid w:val="006E2DCA"/>
    <w:rsid w:val="006E3680"/>
    <w:rsid w:val="006E3A86"/>
    <w:rsid w:val="006E5344"/>
    <w:rsid w:val="006E70DE"/>
    <w:rsid w:val="006E7B66"/>
    <w:rsid w:val="006F0AD2"/>
    <w:rsid w:val="006F0D46"/>
    <w:rsid w:val="006F1509"/>
    <w:rsid w:val="006F2977"/>
    <w:rsid w:val="006F2B77"/>
    <w:rsid w:val="006F2E10"/>
    <w:rsid w:val="006F3563"/>
    <w:rsid w:val="006F3915"/>
    <w:rsid w:val="006F3AF4"/>
    <w:rsid w:val="006F41FD"/>
    <w:rsid w:val="006F58F6"/>
    <w:rsid w:val="006F708A"/>
    <w:rsid w:val="00702EF4"/>
    <w:rsid w:val="007073E0"/>
    <w:rsid w:val="00707F5C"/>
    <w:rsid w:val="00711072"/>
    <w:rsid w:val="007110BE"/>
    <w:rsid w:val="00712069"/>
    <w:rsid w:val="0071268D"/>
    <w:rsid w:val="0071349D"/>
    <w:rsid w:val="00715EC2"/>
    <w:rsid w:val="00716309"/>
    <w:rsid w:val="00716AE3"/>
    <w:rsid w:val="007170D5"/>
    <w:rsid w:val="0072010E"/>
    <w:rsid w:val="00720381"/>
    <w:rsid w:val="007207A5"/>
    <w:rsid w:val="0072133F"/>
    <w:rsid w:val="00721F78"/>
    <w:rsid w:val="00722251"/>
    <w:rsid w:val="007231C7"/>
    <w:rsid w:val="00724CA0"/>
    <w:rsid w:val="00724F20"/>
    <w:rsid w:val="00724F9F"/>
    <w:rsid w:val="00725C92"/>
    <w:rsid w:val="00726689"/>
    <w:rsid w:val="00726B72"/>
    <w:rsid w:val="00734B0F"/>
    <w:rsid w:val="00734D6F"/>
    <w:rsid w:val="00734EBE"/>
    <w:rsid w:val="00737709"/>
    <w:rsid w:val="00740361"/>
    <w:rsid w:val="00741B80"/>
    <w:rsid w:val="00742D09"/>
    <w:rsid w:val="007430D7"/>
    <w:rsid w:val="007436CE"/>
    <w:rsid w:val="00745E6D"/>
    <w:rsid w:val="0074782D"/>
    <w:rsid w:val="007515F8"/>
    <w:rsid w:val="00751BF3"/>
    <w:rsid w:val="007521FD"/>
    <w:rsid w:val="007526D2"/>
    <w:rsid w:val="007544E3"/>
    <w:rsid w:val="00754B49"/>
    <w:rsid w:val="00755DEF"/>
    <w:rsid w:val="00756B7D"/>
    <w:rsid w:val="00756F8D"/>
    <w:rsid w:val="00756FCA"/>
    <w:rsid w:val="00757CD9"/>
    <w:rsid w:val="00757F4C"/>
    <w:rsid w:val="00760763"/>
    <w:rsid w:val="007610BD"/>
    <w:rsid w:val="00762368"/>
    <w:rsid w:val="007623E2"/>
    <w:rsid w:val="0076255F"/>
    <w:rsid w:val="007625EB"/>
    <w:rsid w:val="0076286D"/>
    <w:rsid w:val="00763125"/>
    <w:rsid w:val="00764E32"/>
    <w:rsid w:val="00770AF2"/>
    <w:rsid w:val="00773916"/>
    <w:rsid w:val="00774925"/>
    <w:rsid w:val="00775D7E"/>
    <w:rsid w:val="00776F25"/>
    <w:rsid w:val="00777E57"/>
    <w:rsid w:val="007839E7"/>
    <w:rsid w:val="00786567"/>
    <w:rsid w:val="00786F40"/>
    <w:rsid w:val="007872B8"/>
    <w:rsid w:val="0078749B"/>
    <w:rsid w:val="00791407"/>
    <w:rsid w:val="00794A84"/>
    <w:rsid w:val="00794C2E"/>
    <w:rsid w:val="00794CC5"/>
    <w:rsid w:val="00795281"/>
    <w:rsid w:val="00795C80"/>
    <w:rsid w:val="0079615C"/>
    <w:rsid w:val="00797321"/>
    <w:rsid w:val="00797B07"/>
    <w:rsid w:val="007A057D"/>
    <w:rsid w:val="007A1B8E"/>
    <w:rsid w:val="007A2651"/>
    <w:rsid w:val="007A267B"/>
    <w:rsid w:val="007A67EA"/>
    <w:rsid w:val="007A7D50"/>
    <w:rsid w:val="007B1716"/>
    <w:rsid w:val="007B1EEF"/>
    <w:rsid w:val="007B578D"/>
    <w:rsid w:val="007B6801"/>
    <w:rsid w:val="007B7087"/>
    <w:rsid w:val="007C03D2"/>
    <w:rsid w:val="007C149D"/>
    <w:rsid w:val="007C24F0"/>
    <w:rsid w:val="007C3751"/>
    <w:rsid w:val="007C38B8"/>
    <w:rsid w:val="007C5AC2"/>
    <w:rsid w:val="007C5E30"/>
    <w:rsid w:val="007D03F6"/>
    <w:rsid w:val="007D1E83"/>
    <w:rsid w:val="007D5289"/>
    <w:rsid w:val="007D760F"/>
    <w:rsid w:val="007D7BB3"/>
    <w:rsid w:val="007D7BD3"/>
    <w:rsid w:val="007E0B04"/>
    <w:rsid w:val="007E0F6C"/>
    <w:rsid w:val="007E29C8"/>
    <w:rsid w:val="007E2A6D"/>
    <w:rsid w:val="007E3B9F"/>
    <w:rsid w:val="007E4DD7"/>
    <w:rsid w:val="007E5E3B"/>
    <w:rsid w:val="007E6225"/>
    <w:rsid w:val="007E7356"/>
    <w:rsid w:val="007F14C0"/>
    <w:rsid w:val="007F14CA"/>
    <w:rsid w:val="007F5225"/>
    <w:rsid w:val="007F5B38"/>
    <w:rsid w:val="007F5CD7"/>
    <w:rsid w:val="007F7669"/>
    <w:rsid w:val="007F7E92"/>
    <w:rsid w:val="007F7F50"/>
    <w:rsid w:val="00800372"/>
    <w:rsid w:val="0080158E"/>
    <w:rsid w:val="00801C20"/>
    <w:rsid w:val="00801CE8"/>
    <w:rsid w:val="00801FE5"/>
    <w:rsid w:val="00802429"/>
    <w:rsid w:val="00802E86"/>
    <w:rsid w:val="008030F8"/>
    <w:rsid w:val="0080344A"/>
    <w:rsid w:val="008039AE"/>
    <w:rsid w:val="00804297"/>
    <w:rsid w:val="0080664C"/>
    <w:rsid w:val="008115D7"/>
    <w:rsid w:val="00812115"/>
    <w:rsid w:val="00812207"/>
    <w:rsid w:val="00812CF4"/>
    <w:rsid w:val="00812FB3"/>
    <w:rsid w:val="00813A91"/>
    <w:rsid w:val="00814661"/>
    <w:rsid w:val="00815856"/>
    <w:rsid w:val="00815ACD"/>
    <w:rsid w:val="0081678E"/>
    <w:rsid w:val="00820438"/>
    <w:rsid w:val="00820D09"/>
    <w:rsid w:val="00822142"/>
    <w:rsid w:val="00822395"/>
    <w:rsid w:val="008242AB"/>
    <w:rsid w:val="008242F4"/>
    <w:rsid w:val="00824AF3"/>
    <w:rsid w:val="00827672"/>
    <w:rsid w:val="00827715"/>
    <w:rsid w:val="008320C5"/>
    <w:rsid w:val="00832688"/>
    <w:rsid w:val="00834054"/>
    <w:rsid w:val="00834A61"/>
    <w:rsid w:val="00834BF2"/>
    <w:rsid w:val="0083606E"/>
    <w:rsid w:val="00836AAF"/>
    <w:rsid w:val="00837910"/>
    <w:rsid w:val="00837E95"/>
    <w:rsid w:val="00837F72"/>
    <w:rsid w:val="008422D9"/>
    <w:rsid w:val="008453E7"/>
    <w:rsid w:val="008456D9"/>
    <w:rsid w:val="00845BE0"/>
    <w:rsid w:val="008465C6"/>
    <w:rsid w:val="00850604"/>
    <w:rsid w:val="00850E80"/>
    <w:rsid w:val="008512A2"/>
    <w:rsid w:val="00851B5F"/>
    <w:rsid w:val="0085231D"/>
    <w:rsid w:val="00853A92"/>
    <w:rsid w:val="00856021"/>
    <w:rsid w:val="0085640F"/>
    <w:rsid w:val="008627D8"/>
    <w:rsid w:val="00862983"/>
    <w:rsid w:val="00863358"/>
    <w:rsid w:val="00863D7D"/>
    <w:rsid w:val="00864D43"/>
    <w:rsid w:val="00867061"/>
    <w:rsid w:val="00867F76"/>
    <w:rsid w:val="008713E6"/>
    <w:rsid w:val="00872552"/>
    <w:rsid w:val="00872AB6"/>
    <w:rsid w:val="00872EA9"/>
    <w:rsid w:val="00874540"/>
    <w:rsid w:val="00875855"/>
    <w:rsid w:val="00876081"/>
    <w:rsid w:val="008762C7"/>
    <w:rsid w:val="0087630D"/>
    <w:rsid w:val="00876413"/>
    <w:rsid w:val="00876853"/>
    <w:rsid w:val="00876867"/>
    <w:rsid w:val="008776A3"/>
    <w:rsid w:val="00877F9E"/>
    <w:rsid w:val="0088069D"/>
    <w:rsid w:val="00883283"/>
    <w:rsid w:val="00884E0F"/>
    <w:rsid w:val="00886ED9"/>
    <w:rsid w:val="00887022"/>
    <w:rsid w:val="00887B8E"/>
    <w:rsid w:val="00892087"/>
    <w:rsid w:val="0089253E"/>
    <w:rsid w:val="00894074"/>
    <w:rsid w:val="008952DE"/>
    <w:rsid w:val="0089582B"/>
    <w:rsid w:val="00896583"/>
    <w:rsid w:val="008A0F5D"/>
    <w:rsid w:val="008A1F17"/>
    <w:rsid w:val="008A3C7A"/>
    <w:rsid w:val="008A41FF"/>
    <w:rsid w:val="008A54F9"/>
    <w:rsid w:val="008A5C60"/>
    <w:rsid w:val="008A6229"/>
    <w:rsid w:val="008A65BD"/>
    <w:rsid w:val="008A7881"/>
    <w:rsid w:val="008A7DA0"/>
    <w:rsid w:val="008B1BC0"/>
    <w:rsid w:val="008B3029"/>
    <w:rsid w:val="008B3D36"/>
    <w:rsid w:val="008B3E88"/>
    <w:rsid w:val="008B443E"/>
    <w:rsid w:val="008B461E"/>
    <w:rsid w:val="008B6598"/>
    <w:rsid w:val="008B7784"/>
    <w:rsid w:val="008C0289"/>
    <w:rsid w:val="008C1D9E"/>
    <w:rsid w:val="008C3AAE"/>
    <w:rsid w:val="008C3DE1"/>
    <w:rsid w:val="008C41A9"/>
    <w:rsid w:val="008C4635"/>
    <w:rsid w:val="008C507B"/>
    <w:rsid w:val="008C5E9D"/>
    <w:rsid w:val="008C6195"/>
    <w:rsid w:val="008C67C7"/>
    <w:rsid w:val="008C6CE0"/>
    <w:rsid w:val="008C6E03"/>
    <w:rsid w:val="008C70B2"/>
    <w:rsid w:val="008C757D"/>
    <w:rsid w:val="008C7C68"/>
    <w:rsid w:val="008D0DB7"/>
    <w:rsid w:val="008D523A"/>
    <w:rsid w:val="008D5D10"/>
    <w:rsid w:val="008D5ECE"/>
    <w:rsid w:val="008D72E1"/>
    <w:rsid w:val="008E0E4D"/>
    <w:rsid w:val="008E10B9"/>
    <w:rsid w:val="008E2C03"/>
    <w:rsid w:val="008E3E54"/>
    <w:rsid w:val="008E5820"/>
    <w:rsid w:val="008E6933"/>
    <w:rsid w:val="008E6B55"/>
    <w:rsid w:val="008E7A26"/>
    <w:rsid w:val="008F01CB"/>
    <w:rsid w:val="008F2E22"/>
    <w:rsid w:val="008F460A"/>
    <w:rsid w:val="008F7968"/>
    <w:rsid w:val="0090092C"/>
    <w:rsid w:val="00900999"/>
    <w:rsid w:val="00900BA7"/>
    <w:rsid w:val="00901528"/>
    <w:rsid w:val="00904023"/>
    <w:rsid w:val="0090445D"/>
    <w:rsid w:val="0090463C"/>
    <w:rsid w:val="00904756"/>
    <w:rsid w:val="00904863"/>
    <w:rsid w:val="00904BC3"/>
    <w:rsid w:val="00906571"/>
    <w:rsid w:val="00910C9F"/>
    <w:rsid w:val="009124B8"/>
    <w:rsid w:val="00912AB6"/>
    <w:rsid w:val="00912E31"/>
    <w:rsid w:val="009138E9"/>
    <w:rsid w:val="00913D80"/>
    <w:rsid w:val="00914E95"/>
    <w:rsid w:val="0091552A"/>
    <w:rsid w:val="0091561C"/>
    <w:rsid w:val="009163AE"/>
    <w:rsid w:val="009201A3"/>
    <w:rsid w:val="00920D58"/>
    <w:rsid w:val="00922062"/>
    <w:rsid w:val="0092391D"/>
    <w:rsid w:val="0092442F"/>
    <w:rsid w:val="009254FC"/>
    <w:rsid w:val="00925661"/>
    <w:rsid w:val="009262B4"/>
    <w:rsid w:val="0092633F"/>
    <w:rsid w:val="009265AF"/>
    <w:rsid w:val="009318A8"/>
    <w:rsid w:val="009325BB"/>
    <w:rsid w:val="00934717"/>
    <w:rsid w:val="00935CA2"/>
    <w:rsid w:val="00936D6A"/>
    <w:rsid w:val="0093708C"/>
    <w:rsid w:val="00937A7F"/>
    <w:rsid w:val="00941501"/>
    <w:rsid w:val="009423F1"/>
    <w:rsid w:val="0094360A"/>
    <w:rsid w:val="00943965"/>
    <w:rsid w:val="00945959"/>
    <w:rsid w:val="00947088"/>
    <w:rsid w:val="0095057B"/>
    <w:rsid w:val="00950EF8"/>
    <w:rsid w:val="00952410"/>
    <w:rsid w:val="00952556"/>
    <w:rsid w:val="00953B4B"/>
    <w:rsid w:val="00953CEC"/>
    <w:rsid w:val="00955407"/>
    <w:rsid w:val="00955D0D"/>
    <w:rsid w:val="00955F49"/>
    <w:rsid w:val="0095629C"/>
    <w:rsid w:val="00956D25"/>
    <w:rsid w:val="00957238"/>
    <w:rsid w:val="00957328"/>
    <w:rsid w:val="0096153C"/>
    <w:rsid w:val="00961763"/>
    <w:rsid w:val="009619AF"/>
    <w:rsid w:val="00961DDE"/>
    <w:rsid w:val="0096304E"/>
    <w:rsid w:val="009633C7"/>
    <w:rsid w:val="009654B6"/>
    <w:rsid w:val="009663D7"/>
    <w:rsid w:val="009678E8"/>
    <w:rsid w:val="00970181"/>
    <w:rsid w:val="00970DA7"/>
    <w:rsid w:val="00970ED7"/>
    <w:rsid w:val="00971A27"/>
    <w:rsid w:val="009735C1"/>
    <w:rsid w:val="00973FB8"/>
    <w:rsid w:val="00973FC3"/>
    <w:rsid w:val="00974E97"/>
    <w:rsid w:val="009757C2"/>
    <w:rsid w:val="009766B8"/>
    <w:rsid w:val="00981238"/>
    <w:rsid w:val="00981C09"/>
    <w:rsid w:val="0098421E"/>
    <w:rsid w:val="00986DA6"/>
    <w:rsid w:val="00987612"/>
    <w:rsid w:val="00987AC3"/>
    <w:rsid w:val="009902EE"/>
    <w:rsid w:val="00990A3D"/>
    <w:rsid w:val="00991283"/>
    <w:rsid w:val="0099220E"/>
    <w:rsid w:val="009923FD"/>
    <w:rsid w:val="00992A11"/>
    <w:rsid w:val="00992E46"/>
    <w:rsid w:val="00993282"/>
    <w:rsid w:val="00995F86"/>
    <w:rsid w:val="009979C7"/>
    <w:rsid w:val="009A0227"/>
    <w:rsid w:val="009A128F"/>
    <w:rsid w:val="009A2665"/>
    <w:rsid w:val="009A32D8"/>
    <w:rsid w:val="009A47D5"/>
    <w:rsid w:val="009A4AE0"/>
    <w:rsid w:val="009A554B"/>
    <w:rsid w:val="009A7A1F"/>
    <w:rsid w:val="009B05D1"/>
    <w:rsid w:val="009B061F"/>
    <w:rsid w:val="009B2426"/>
    <w:rsid w:val="009B25E1"/>
    <w:rsid w:val="009B279B"/>
    <w:rsid w:val="009B35B5"/>
    <w:rsid w:val="009B3926"/>
    <w:rsid w:val="009B3D1E"/>
    <w:rsid w:val="009B3E06"/>
    <w:rsid w:val="009B4315"/>
    <w:rsid w:val="009B4D06"/>
    <w:rsid w:val="009B72CE"/>
    <w:rsid w:val="009B7CE6"/>
    <w:rsid w:val="009C418A"/>
    <w:rsid w:val="009C42A2"/>
    <w:rsid w:val="009C4464"/>
    <w:rsid w:val="009C4B21"/>
    <w:rsid w:val="009C5515"/>
    <w:rsid w:val="009C6073"/>
    <w:rsid w:val="009C6C07"/>
    <w:rsid w:val="009C7C7F"/>
    <w:rsid w:val="009D01EB"/>
    <w:rsid w:val="009D2618"/>
    <w:rsid w:val="009D2BE0"/>
    <w:rsid w:val="009D2F3A"/>
    <w:rsid w:val="009D3217"/>
    <w:rsid w:val="009D4CD0"/>
    <w:rsid w:val="009D5CA5"/>
    <w:rsid w:val="009D5DCF"/>
    <w:rsid w:val="009D5FAF"/>
    <w:rsid w:val="009D6DA2"/>
    <w:rsid w:val="009D764F"/>
    <w:rsid w:val="009E060E"/>
    <w:rsid w:val="009E15A8"/>
    <w:rsid w:val="009E1FE1"/>
    <w:rsid w:val="009E2DD8"/>
    <w:rsid w:val="009E6064"/>
    <w:rsid w:val="009E6418"/>
    <w:rsid w:val="009F0650"/>
    <w:rsid w:val="009F20F7"/>
    <w:rsid w:val="009F2D60"/>
    <w:rsid w:val="009F3A9B"/>
    <w:rsid w:val="009F3FCA"/>
    <w:rsid w:val="009F7800"/>
    <w:rsid w:val="00A01565"/>
    <w:rsid w:val="00A01831"/>
    <w:rsid w:val="00A05E6C"/>
    <w:rsid w:val="00A07B67"/>
    <w:rsid w:val="00A07BA7"/>
    <w:rsid w:val="00A12043"/>
    <w:rsid w:val="00A126A2"/>
    <w:rsid w:val="00A139B4"/>
    <w:rsid w:val="00A14122"/>
    <w:rsid w:val="00A1534A"/>
    <w:rsid w:val="00A1651C"/>
    <w:rsid w:val="00A1673C"/>
    <w:rsid w:val="00A21D70"/>
    <w:rsid w:val="00A2231F"/>
    <w:rsid w:val="00A225C2"/>
    <w:rsid w:val="00A22676"/>
    <w:rsid w:val="00A2363E"/>
    <w:rsid w:val="00A24DF0"/>
    <w:rsid w:val="00A25032"/>
    <w:rsid w:val="00A2676B"/>
    <w:rsid w:val="00A27633"/>
    <w:rsid w:val="00A3000F"/>
    <w:rsid w:val="00A30B4E"/>
    <w:rsid w:val="00A31247"/>
    <w:rsid w:val="00A3185B"/>
    <w:rsid w:val="00A32C30"/>
    <w:rsid w:val="00A33463"/>
    <w:rsid w:val="00A33A02"/>
    <w:rsid w:val="00A35D74"/>
    <w:rsid w:val="00A37694"/>
    <w:rsid w:val="00A413DE"/>
    <w:rsid w:val="00A44658"/>
    <w:rsid w:val="00A451BF"/>
    <w:rsid w:val="00A460A7"/>
    <w:rsid w:val="00A46A48"/>
    <w:rsid w:val="00A4710F"/>
    <w:rsid w:val="00A501AB"/>
    <w:rsid w:val="00A51A8A"/>
    <w:rsid w:val="00A53896"/>
    <w:rsid w:val="00A53A18"/>
    <w:rsid w:val="00A54765"/>
    <w:rsid w:val="00A55921"/>
    <w:rsid w:val="00A56698"/>
    <w:rsid w:val="00A56B7B"/>
    <w:rsid w:val="00A56DFC"/>
    <w:rsid w:val="00A5701D"/>
    <w:rsid w:val="00A57482"/>
    <w:rsid w:val="00A574FE"/>
    <w:rsid w:val="00A57F62"/>
    <w:rsid w:val="00A6090D"/>
    <w:rsid w:val="00A61AFA"/>
    <w:rsid w:val="00A65349"/>
    <w:rsid w:val="00A65F33"/>
    <w:rsid w:val="00A67062"/>
    <w:rsid w:val="00A67280"/>
    <w:rsid w:val="00A6749B"/>
    <w:rsid w:val="00A7043F"/>
    <w:rsid w:val="00A7317D"/>
    <w:rsid w:val="00A74553"/>
    <w:rsid w:val="00A751E7"/>
    <w:rsid w:val="00A77079"/>
    <w:rsid w:val="00A80491"/>
    <w:rsid w:val="00A814B4"/>
    <w:rsid w:val="00A81F0E"/>
    <w:rsid w:val="00A8204E"/>
    <w:rsid w:val="00A82145"/>
    <w:rsid w:val="00A84A35"/>
    <w:rsid w:val="00A84EDC"/>
    <w:rsid w:val="00A854D5"/>
    <w:rsid w:val="00A85A5F"/>
    <w:rsid w:val="00A8617F"/>
    <w:rsid w:val="00A865DA"/>
    <w:rsid w:val="00A86D92"/>
    <w:rsid w:val="00A90A6A"/>
    <w:rsid w:val="00A90D33"/>
    <w:rsid w:val="00A90E4C"/>
    <w:rsid w:val="00A9298F"/>
    <w:rsid w:val="00A92D85"/>
    <w:rsid w:val="00A93D73"/>
    <w:rsid w:val="00A94AF7"/>
    <w:rsid w:val="00A95AE3"/>
    <w:rsid w:val="00A96016"/>
    <w:rsid w:val="00A96E8A"/>
    <w:rsid w:val="00A96F37"/>
    <w:rsid w:val="00A975D4"/>
    <w:rsid w:val="00A97978"/>
    <w:rsid w:val="00AA08E4"/>
    <w:rsid w:val="00AA0980"/>
    <w:rsid w:val="00AA2E13"/>
    <w:rsid w:val="00AA4312"/>
    <w:rsid w:val="00AA4FF8"/>
    <w:rsid w:val="00AA5DE5"/>
    <w:rsid w:val="00AA725E"/>
    <w:rsid w:val="00AA7335"/>
    <w:rsid w:val="00AA74EF"/>
    <w:rsid w:val="00AB361C"/>
    <w:rsid w:val="00AB3C68"/>
    <w:rsid w:val="00AB3DD7"/>
    <w:rsid w:val="00AB4690"/>
    <w:rsid w:val="00AB54B7"/>
    <w:rsid w:val="00AC0D09"/>
    <w:rsid w:val="00AC0DEF"/>
    <w:rsid w:val="00AC22B6"/>
    <w:rsid w:val="00AC2962"/>
    <w:rsid w:val="00AC309F"/>
    <w:rsid w:val="00AC3833"/>
    <w:rsid w:val="00AC38BE"/>
    <w:rsid w:val="00AC43A6"/>
    <w:rsid w:val="00AC4AD5"/>
    <w:rsid w:val="00AC5287"/>
    <w:rsid w:val="00AC6D17"/>
    <w:rsid w:val="00AC7118"/>
    <w:rsid w:val="00AD1077"/>
    <w:rsid w:val="00AD1109"/>
    <w:rsid w:val="00AD1741"/>
    <w:rsid w:val="00AD1745"/>
    <w:rsid w:val="00AD32A9"/>
    <w:rsid w:val="00AD3394"/>
    <w:rsid w:val="00AD4BE5"/>
    <w:rsid w:val="00AD4DBC"/>
    <w:rsid w:val="00AD5764"/>
    <w:rsid w:val="00AD5ADA"/>
    <w:rsid w:val="00AD5F6F"/>
    <w:rsid w:val="00AD625A"/>
    <w:rsid w:val="00AD628F"/>
    <w:rsid w:val="00AD77D2"/>
    <w:rsid w:val="00AE0275"/>
    <w:rsid w:val="00AE05A6"/>
    <w:rsid w:val="00AE16A3"/>
    <w:rsid w:val="00AE2E62"/>
    <w:rsid w:val="00AE52BD"/>
    <w:rsid w:val="00AE6C96"/>
    <w:rsid w:val="00AE76E9"/>
    <w:rsid w:val="00AF0566"/>
    <w:rsid w:val="00AF0A31"/>
    <w:rsid w:val="00AF3322"/>
    <w:rsid w:val="00AF3A27"/>
    <w:rsid w:val="00AF3F6A"/>
    <w:rsid w:val="00AF4D48"/>
    <w:rsid w:val="00AF526A"/>
    <w:rsid w:val="00AF5343"/>
    <w:rsid w:val="00AF548A"/>
    <w:rsid w:val="00AF63FE"/>
    <w:rsid w:val="00AF6AED"/>
    <w:rsid w:val="00AF73C0"/>
    <w:rsid w:val="00B002A2"/>
    <w:rsid w:val="00B00F82"/>
    <w:rsid w:val="00B015EC"/>
    <w:rsid w:val="00B01F7F"/>
    <w:rsid w:val="00B023A7"/>
    <w:rsid w:val="00B02D9E"/>
    <w:rsid w:val="00B03333"/>
    <w:rsid w:val="00B03E2E"/>
    <w:rsid w:val="00B03F40"/>
    <w:rsid w:val="00B04690"/>
    <w:rsid w:val="00B048A5"/>
    <w:rsid w:val="00B058CD"/>
    <w:rsid w:val="00B05C1C"/>
    <w:rsid w:val="00B05FCE"/>
    <w:rsid w:val="00B06B26"/>
    <w:rsid w:val="00B0738E"/>
    <w:rsid w:val="00B1052C"/>
    <w:rsid w:val="00B1266D"/>
    <w:rsid w:val="00B1285C"/>
    <w:rsid w:val="00B12AAD"/>
    <w:rsid w:val="00B17052"/>
    <w:rsid w:val="00B17814"/>
    <w:rsid w:val="00B21B93"/>
    <w:rsid w:val="00B21D80"/>
    <w:rsid w:val="00B22095"/>
    <w:rsid w:val="00B23F55"/>
    <w:rsid w:val="00B25B96"/>
    <w:rsid w:val="00B26493"/>
    <w:rsid w:val="00B2706E"/>
    <w:rsid w:val="00B31CC5"/>
    <w:rsid w:val="00B33000"/>
    <w:rsid w:val="00B3310C"/>
    <w:rsid w:val="00B349D3"/>
    <w:rsid w:val="00B367E7"/>
    <w:rsid w:val="00B37192"/>
    <w:rsid w:val="00B37C8B"/>
    <w:rsid w:val="00B40344"/>
    <w:rsid w:val="00B413BA"/>
    <w:rsid w:val="00B42F10"/>
    <w:rsid w:val="00B42F24"/>
    <w:rsid w:val="00B43D51"/>
    <w:rsid w:val="00B44E04"/>
    <w:rsid w:val="00B45A01"/>
    <w:rsid w:val="00B46F00"/>
    <w:rsid w:val="00B470DB"/>
    <w:rsid w:val="00B50637"/>
    <w:rsid w:val="00B525D9"/>
    <w:rsid w:val="00B52BE8"/>
    <w:rsid w:val="00B5398D"/>
    <w:rsid w:val="00B53EED"/>
    <w:rsid w:val="00B53FB0"/>
    <w:rsid w:val="00B54A2A"/>
    <w:rsid w:val="00B54ACD"/>
    <w:rsid w:val="00B54DFD"/>
    <w:rsid w:val="00B551B9"/>
    <w:rsid w:val="00B55282"/>
    <w:rsid w:val="00B554FA"/>
    <w:rsid w:val="00B55C68"/>
    <w:rsid w:val="00B57803"/>
    <w:rsid w:val="00B57881"/>
    <w:rsid w:val="00B609AE"/>
    <w:rsid w:val="00B60B82"/>
    <w:rsid w:val="00B61940"/>
    <w:rsid w:val="00B64CFA"/>
    <w:rsid w:val="00B72C74"/>
    <w:rsid w:val="00B73C69"/>
    <w:rsid w:val="00B741DF"/>
    <w:rsid w:val="00B74455"/>
    <w:rsid w:val="00B7570A"/>
    <w:rsid w:val="00B75F6D"/>
    <w:rsid w:val="00B76110"/>
    <w:rsid w:val="00B763F1"/>
    <w:rsid w:val="00B76E07"/>
    <w:rsid w:val="00B770E4"/>
    <w:rsid w:val="00B77A6B"/>
    <w:rsid w:val="00B83DCB"/>
    <w:rsid w:val="00B85B8F"/>
    <w:rsid w:val="00B8677C"/>
    <w:rsid w:val="00B8700B"/>
    <w:rsid w:val="00B9136F"/>
    <w:rsid w:val="00B91FD1"/>
    <w:rsid w:val="00B94E68"/>
    <w:rsid w:val="00B950CF"/>
    <w:rsid w:val="00B96118"/>
    <w:rsid w:val="00B97118"/>
    <w:rsid w:val="00B97A9B"/>
    <w:rsid w:val="00BA1316"/>
    <w:rsid w:val="00BA21F9"/>
    <w:rsid w:val="00BA4058"/>
    <w:rsid w:val="00BA4552"/>
    <w:rsid w:val="00BA54E6"/>
    <w:rsid w:val="00BA5687"/>
    <w:rsid w:val="00BA614F"/>
    <w:rsid w:val="00BA6AC3"/>
    <w:rsid w:val="00BA7212"/>
    <w:rsid w:val="00BB0C4B"/>
    <w:rsid w:val="00BB0F1C"/>
    <w:rsid w:val="00BB2827"/>
    <w:rsid w:val="00BB2AAD"/>
    <w:rsid w:val="00BB3D93"/>
    <w:rsid w:val="00BB4AA8"/>
    <w:rsid w:val="00BB4B55"/>
    <w:rsid w:val="00BB6894"/>
    <w:rsid w:val="00BB79D4"/>
    <w:rsid w:val="00BB7BBB"/>
    <w:rsid w:val="00BC1050"/>
    <w:rsid w:val="00BC160A"/>
    <w:rsid w:val="00BC2D83"/>
    <w:rsid w:val="00BC3485"/>
    <w:rsid w:val="00BC3E84"/>
    <w:rsid w:val="00BC407D"/>
    <w:rsid w:val="00BC4D11"/>
    <w:rsid w:val="00BC4F05"/>
    <w:rsid w:val="00BC5945"/>
    <w:rsid w:val="00BC6187"/>
    <w:rsid w:val="00BC65C9"/>
    <w:rsid w:val="00BD0318"/>
    <w:rsid w:val="00BD1AB9"/>
    <w:rsid w:val="00BD2514"/>
    <w:rsid w:val="00BD3530"/>
    <w:rsid w:val="00BD47C3"/>
    <w:rsid w:val="00BD5350"/>
    <w:rsid w:val="00BD55F1"/>
    <w:rsid w:val="00BD6C7A"/>
    <w:rsid w:val="00BE0BC7"/>
    <w:rsid w:val="00BE0DFA"/>
    <w:rsid w:val="00BE1BEC"/>
    <w:rsid w:val="00BE25F7"/>
    <w:rsid w:val="00BE298E"/>
    <w:rsid w:val="00BE31A9"/>
    <w:rsid w:val="00BE36AE"/>
    <w:rsid w:val="00BE55DE"/>
    <w:rsid w:val="00BE66CA"/>
    <w:rsid w:val="00BF0DC6"/>
    <w:rsid w:val="00BF2FE1"/>
    <w:rsid w:val="00BF557F"/>
    <w:rsid w:val="00BF5892"/>
    <w:rsid w:val="00BF5994"/>
    <w:rsid w:val="00BF65DE"/>
    <w:rsid w:val="00BF6E06"/>
    <w:rsid w:val="00BF7353"/>
    <w:rsid w:val="00C0048F"/>
    <w:rsid w:val="00C005DE"/>
    <w:rsid w:val="00C00C21"/>
    <w:rsid w:val="00C03C88"/>
    <w:rsid w:val="00C0536E"/>
    <w:rsid w:val="00C0749E"/>
    <w:rsid w:val="00C1016E"/>
    <w:rsid w:val="00C11CDE"/>
    <w:rsid w:val="00C120E4"/>
    <w:rsid w:val="00C1258C"/>
    <w:rsid w:val="00C12666"/>
    <w:rsid w:val="00C127F0"/>
    <w:rsid w:val="00C12ED5"/>
    <w:rsid w:val="00C13406"/>
    <w:rsid w:val="00C14B91"/>
    <w:rsid w:val="00C2173A"/>
    <w:rsid w:val="00C21C84"/>
    <w:rsid w:val="00C22919"/>
    <w:rsid w:val="00C22B10"/>
    <w:rsid w:val="00C2385F"/>
    <w:rsid w:val="00C2460D"/>
    <w:rsid w:val="00C25F98"/>
    <w:rsid w:val="00C25FFF"/>
    <w:rsid w:val="00C263F0"/>
    <w:rsid w:val="00C27CBA"/>
    <w:rsid w:val="00C31697"/>
    <w:rsid w:val="00C324E6"/>
    <w:rsid w:val="00C32BE9"/>
    <w:rsid w:val="00C351C7"/>
    <w:rsid w:val="00C364A7"/>
    <w:rsid w:val="00C37179"/>
    <w:rsid w:val="00C41C76"/>
    <w:rsid w:val="00C424A4"/>
    <w:rsid w:val="00C42BBB"/>
    <w:rsid w:val="00C4402D"/>
    <w:rsid w:val="00C455B5"/>
    <w:rsid w:val="00C46215"/>
    <w:rsid w:val="00C50754"/>
    <w:rsid w:val="00C50C68"/>
    <w:rsid w:val="00C50EAC"/>
    <w:rsid w:val="00C51384"/>
    <w:rsid w:val="00C5151F"/>
    <w:rsid w:val="00C51D96"/>
    <w:rsid w:val="00C528D4"/>
    <w:rsid w:val="00C53A68"/>
    <w:rsid w:val="00C5403F"/>
    <w:rsid w:val="00C54B40"/>
    <w:rsid w:val="00C55FED"/>
    <w:rsid w:val="00C5725A"/>
    <w:rsid w:val="00C5728F"/>
    <w:rsid w:val="00C57A58"/>
    <w:rsid w:val="00C57B4D"/>
    <w:rsid w:val="00C63306"/>
    <w:rsid w:val="00C6356B"/>
    <w:rsid w:val="00C64D5D"/>
    <w:rsid w:val="00C65C0A"/>
    <w:rsid w:val="00C66B37"/>
    <w:rsid w:val="00C66B72"/>
    <w:rsid w:val="00C723D4"/>
    <w:rsid w:val="00C729BF"/>
    <w:rsid w:val="00C73BAF"/>
    <w:rsid w:val="00C75C6E"/>
    <w:rsid w:val="00C76CE1"/>
    <w:rsid w:val="00C779DE"/>
    <w:rsid w:val="00C8011E"/>
    <w:rsid w:val="00C80E1F"/>
    <w:rsid w:val="00C81E02"/>
    <w:rsid w:val="00C8281F"/>
    <w:rsid w:val="00C82AAE"/>
    <w:rsid w:val="00C8503D"/>
    <w:rsid w:val="00C85F3C"/>
    <w:rsid w:val="00C86FBB"/>
    <w:rsid w:val="00C8766E"/>
    <w:rsid w:val="00C90EA2"/>
    <w:rsid w:val="00C91C17"/>
    <w:rsid w:val="00C920E2"/>
    <w:rsid w:val="00C9278A"/>
    <w:rsid w:val="00C93569"/>
    <w:rsid w:val="00C94384"/>
    <w:rsid w:val="00C94EC8"/>
    <w:rsid w:val="00C956D5"/>
    <w:rsid w:val="00CA3733"/>
    <w:rsid w:val="00CA388A"/>
    <w:rsid w:val="00CA4725"/>
    <w:rsid w:val="00CA58C2"/>
    <w:rsid w:val="00CA6BAE"/>
    <w:rsid w:val="00CA6CFC"/>
    <w:rsid w:val="00CB155A"/>
    <w:rsid w:val="00CB1ADC"/>
    <w:rsid w:val="00CB22F5"/>
    <w:rsid w:val="00CB2658"/>
    <w:rsid w:val="00CB362B"/>
    <w:rsid w:val="00CB46C2"/>
    <w:rsid w:val="00CB4CED"/>
    <w:rsid w:val="00CB5714"/>
    <w:rsid w:val="00CB65F4"/>
    <w:rsid w:val="00CB7086"/>
    <w:rsid w:val="00CC00EB"/>
    <w:rsid w:val="00CC1DE3"/>
    <w:rsid w:val="00CC2A3B"/>
    <w:rsid w:val="00CC34B8"/>
    <w:rsid w:val="00CC3C49"/>
    <w:rsid w:val="00CC4035"/>
    <w:rsid w:val="00CC41A1"/>
    <w:rsid w:val="00CC4750"/>
    <w:rsid w:val="00CC4AE2"/>
    <w:rsid w:val="00CC5268"/>
    <w:rsid w:val="00CC6607"/>
    <w:rsid w:val="00CD0AE0"/>
    <w:rsid w:val="00CD20D6"/>
    <w:rsid w:val="00CD2DBD"/>
    <w:rsid w:val="00CD666D"/>
    <w:rsid w:val="00CD68F9"/>
    <w:rsid w:val="00CD715B"/>
    <w:rsid w:val="00CD787C"/>
    <w:rsid w:val="00CD7AC5"/>
    <w:rsid w:val="00CE0D1F"/>
    <w:rsid w:val="00CE1078"/>
    <w:rsid w:val="00CE1DE6"/>
    <w:rsid w:val="00CE2CC8"/>
    <w:rsid w:val="00CE2D91"/>
    <w:rsid w:val="00CE5480"/>
    <w:rsid w:val="00CE55DE"/>
    <w:rsid w:val="00CF02DF"/>
    <w:rsid w:val="00CF11EA"/>
    <w:rsid w:val="00CF362E"/>
    <w:rsid w:val="00CF4C6E"/>
    <w:rsid w:val="00D00135"/>
    <w:rsid w:val="00D01C2F"/>
    <w:rsid w:val="00D026EE"/>
    <w:rsid w:val="00D02921"/>
    <w:rsid w:val="00D032BF"/>
    <w:rsid w:val="00D05320"/>
    <w:rsid w:val="00D05A47"/>
    <w:rsid w:val="00D06B6C"/>
    <w:rsid w:val="00D11663"/>
    <w:rsid w:val="00D13F45"/>
    <w:rsid w:val="00D15359"/>
    <w:rsid w:val="00D16434"/>
    <w:rsid w:val="00D1667D"/>
    <w:rsid w:val="00D1744E"/>
    <w:rsid w:val="00D17A20"/>
    <w:rsid w:val="00D211E4"/>
    <w:rsid w:val="00D2250D"/>
    <w:rsid w:val="00D22770"/>
    <w:rsid w:val="00D23367"/>
    <w:rsid w:val="00D2736F"/>
    <w:rsid w:val="00D30CBC"/>
    <w:rsid w:val="00D30FAB"/>
    <w:rsid w:val="00D31F30"/>
    <w:rsid w:val="00D329E8"/>
    <w:rsid w:val="00D33009"/>
    <w:rsid w:val="00D331F2"/>
    <w:rsid w:val="00D34794"/>
    <w:rsid w:val="00D34D50"/>
    <w:rsid w:val="00D34D7F"/>
    <w:rsid w:val="00D35210"/>
    <w:rsid w:val="00D36275"/>
    <w:rsid w:val="00D376DA"/>
    <w:rsid w:val="00D37E80"/>
    <w:rsid w:val="00D40D1C"/>
    <w:rsid w:val="00D41F5D"/>
    <w:rsid w:val="00D42023"/>
    <w:rsid w:val="00D422EE"/>
    <w:rsid w:val="00D430F9"/>
    <w:rsid w:val="00D434EB"/>
    <w:rsid w:val="00D43A8D"/>
    <w:rsid w:val="00D441F8"/>
    <w:rsid w:val="00D44387"/>
    <w:rsid w:val="00D46840"/>
    <w:rsid w:val="00D51635"/>
    <w:rsid w:val="00D51989"/>
    <w:rsid w:val="00D52027"/>
    <w:rsid w:val="00D52D0F"/>
    <w:rsid w:val="00D53242"/>
    <w:rsid w:val="00D539E1"/>
    <w:rsid w:val="00D54392"/>
    <w:rsid w:val="00D54716"/>
    <w:rsid w:val="00D54EAB"/>
    <w:rsid w:val="00D551C9"/>
    <w:rsid w:val="00D56435"/>
    <w:rsid w:val="00D568E8"/>
    <w:rsid w:val="00D57532"/>
    <w:rsid w:val="00D60CD7"/>
    <w:rsid w:val="00D62209"/>
    <w:rsid w:val="00D6268C"/>
    <w:rsid w:val="00D62929"/>
    <w:rsid w:val="00D62E8D"/>
    <w:rsid w:val="00D63360"/>
    <w:rsid w:val="00D633C7"/>
    <w:rsid w:val="00D64CF2"/>
    <w:rsid w:val="00D65116"/>
    <w:rsid w:val="00D65BB7"/>
    <w:rsid w:val="00D6741A"/>
    <w:rsid w:val="00D67DD1"/>
    <w:rsid w:val="00D704BB"/>
    <w:rsid w:val="00D70E1C"/>
    <w:rsid w:val="00D725AD"/>
    <w:rsid w:val="00D72696"/>
    <w:rsid w:val="00D72E88"/>
    <w:rsid w:val="00D73910"/>
    <w:rsid w:val="00D8218F"/>
    <w:rsid w:val="00D8438A"/>
    <w:rsid w:val="00D84A0B"/>
    <w:rsid w:val="00D8654C"/>
    <w:rsid w:val="00D874BB"/>
    <w:rsid w:val="00D91A71"/>
    <w:rsid w:val="00D91DCE"/>
    <w:rsid w:val="00D9294A"/>
    <w:rsid w:val="00D9309F"/>
    <w:rsid w:val="00D9366B"/>
    <w:rsid w:val="00D94734"/>
    <w:rsid w:val="00D952E8"/>
    <w:rsid w:val="00D9535D"/>
    <w:rsid w:val="00D9650A"/>
    <w:rsid w:val="00D971B9"/>
    <w:rsid w:val="00D97FB9"/>
    <w:rsid w:val="00DA26C8"/>
    <w:rsid w:val="00DA37B7"/>
    <w:rsid w:val="00DA42EE"/>
    <w:rsid w:val="00DA7025"/>
    <w:rsid w:val="00DB0089"/>
    <w:rsid w:val="00DB0984"/>
    <w:rsid w:val="00DB194A"/>
    <w:rsid w:val="00DB1B76"/>
    <w:rsid w:val="00DB2754"/>
    <w:rsid w:val="00DB31F5"/>
    <w:rsid w:val="00DB3A0E"/>
    <w:rsid w:val="00DB3D65"/>
    <w:rsid w:val="00DB3E60"/>
    <w:rsid w:val="00DB481C"/>
    <w:rsid w:val="00DB4821"/>
    <w:rsid w:val="00DB7CDA"/>
    <w:rsid w:val="00DC0164"/>
    <w:rsid w:val="00DC0CDC"/>
    <w:rsid w:val="00DC0F07"/>
    <w:rsid w:val="00DC140D"/>
    <w:rsid w:val="00DC1CC5"/>
    <w:rsid w:val="00DC23FD"/>
    <w:rsid w:val="00DC25E2"/>
    <w:rsid w:val="00DC3CF5"/>
    <w:rsid w:val="00DC42D2"/>
    <w:rsid w:val="00DC6410"/>
    <w:rsid w:val="00DC764F"/>
    <w:rsid w:val="00DC7DDA"/>
    <w:rsid w:val="00DC7DFB"/>
    <w:rsid w:val="00DD066E"/>
    <w:rsid w:val="00DD07A4"/>
    <w:rsid w:val="00DD1A48"/>
    <w:rsid w:val="00DD1AA1"/>
    <w:rsid w:val="00DD4218"/>
    <w:rsid w:val="00DD4C66"/>
    <w:rsid w:val="00DD5A12"/>
    <w:rsid w:val="00DD5A60"/>
    <w:rsid w:val="00DD61EB"/>
    <w:rsid w:val="00DD799B"/>
    <w:rsid w:val="00DD7C36"/>
    <w:rsid w:val="00DE1A01"/>
    <w:rsid w:val="00DE2239"/>
    <w:rsid w:val="00DE3A4E"/>
    <w:rsid w:val="00DE3B26"/>
    <w:rsid w:val="00DE4341"/>
    <w:rsid w:val="00DE4E12"/>
    <w:rsid w:val="00DE5437"/>
    <w:rsid w:val="00DE6ED5"/>
    <w:rsid w:val="00DF159F"/>
    <w:rsid w:val="00DF25FD"/>
    <w:rsid w:val="00DF2D77"/>
    <w:rsid w:val="00DF3FDE"/>
    <w:rsid w:val="00DF6045"/>
    <w:rsid w:val="00E011BD"/>
    <w:rsid w:val="00E0120A"/>
    <w:rsid w:val="00E02066"/>
    <w:rsid w:val="00E0292D"/>
    <w:rsid w:val="00E03558"/>
    <w:rsid w:val="00E04DDA"/>
    <w:rsid w:val="00E0589B"/>
    <w:rsid w:val="00E06FC7"/>
    <w:rsid w:val="00E10263"/>
    <w:rsid w:val="00E12F83"/>
    <w:rsid w:val="00E139B7"/>
    <w:rsid w:val="00E13B80"/>
    <w:rsid w:val="00E15C28"/>
    <w:rsid w:val="00E1643F"/>
    <w:rsid w:val="00E1677F"/>
    <w:rsid w:val="00E17B83"/>
    <w:rsid w:val="00E17F0D"/>
    <w:rsid w:val="00E200AE"/>
    <w:rsid w:val="00E21057"/>
    <w:rsid w:val="00E23482"/>
    <w:rsid w:val="00E23731"/>
    <w:rsid w:val="00E2433A"/>
    <w:rsid w:val="00E243A6"/>
    <w:rsid w:val="00E24ACE"/>
    <w:rsid w:val="00E2780A"/>
    <w:rsid w:val="00E311E3"/>
    <w:rsid w:val="00E3229A"/>
    <w:rsid w:val="00E350B0"/>
    <w:rsid w:val="00E35A22"/>
    <w:rsid w:val="00E35C39"/>
    <w:rsid w:val="00E4081D"/>
    <w:rsid w:val="00E42403"/>
    <w:rsid w:val="00E44EEC"/>
    <w:rsid w:val="00E456E7"/>
    <w:rsid w:val="00E45DD4"/>
    <w:rsid w:val="00E4710D"/>
    <w:rsid w:val="00E504B2"/>
    <w:rsid w:val="00E5080C"/>
    <w:rsid w:val="00E50A14"/>
    <w:rsid w:val="00E51591"/>
    <w:rsid w:val="00E53455"/>
    <w:rsid w:val="00E56630"/>
    <w:rsid w:val="00E56993"/>
    <w:rsid w:val="00E57949"/>
    <w:rsid w:val="00E6143B"/>
    <w:rsid w:val="00E6278A"/>
    <w:rsid w:val="00E6279C"/>
    <w:rsid w:val="00E63224"/>
    <w:rsid w:val="00E6448E"/>
    <w:rsid w:val="00E659B9"/>
    <w:rsid w:val="00E65EEA"/>
    <w:rsid w:val="00E667F4"/>
    <w:rsid w:val="00E67C97"/>
    <w:rsid w:val="00E70733"/>
    <w:rsid w:val="00E73099"/>
    <w:rsid w:val="00E7356C"/>
    <w:rsid w:val="00E7381B"/>
    <w:rsid w:val="00E73A01"/>
    <w:rsid w:val="00E73E61"/>
    <w:rsid w:val="00E7468F"/>
    <w:rsid w:val="00E7538A"/>
    <w:rsid w:val="00E759D9"/>
    <w:rsid w:val="00E75E1E"/>
    <w:rsid w:val="00E77C24"/>
    <w:rsid w:val="00E81D86"/>
    <w:rsid w:val="00E826F2"/>
    <w:rsid w:val="00E834FC"/>
    <w:rsid w:val="00E83B17"/>
    <w:rsid w:val="00E915CA"/>
    <w:rsid w:val="00E9278F"/>
    <w:rsid w:val="00E941F8"/>
    <w:rsid w:val="00E9424B"/>
    <w:rsid w:val="00E95680"/>
    <w:rsid w:val="00E957D8"/>
    <w:rsid w:val="00E97E6A"/>
    <w:rsid w:val="00EA2228"/>
    <w:rsid w:val="00EA2578"/>
    <w:rsid w:val="00EA4AC8"/>
    <w:rsid w:val="00EA5309"/>
    <w:rsid w:val="00EA58FD"/>
    <w:rsid w:val="00EA73CB"/>
    <w:rsid w:val="00EA7B4C"/>
    <w:rsid w:val="00EA7CB8"/>
    <w:rsid w:val="00EB02AB"/>
    <w:rsid w:val="00EB10C5"/>
    <w:rsid w:val="00EB337B"/>
    <w:rsid w:val="00EB58C5"/>
    <w:rsid w:val="00EB61AD"/>
    <w:rsid w:val="00EB706B"/>
    <w:rsid w:val="00EB720A"/>
    <w:rsid w:val="00EB7214"/>
    <w:rsid w:val="00EB7751"/>
    <w:rsid w:val="00EC0058"/>
    <w:rsid w:val="00EC0A9E"/>
    <w:rsid w:val="00EC0E4C"/>
    <w:rsid w:val="00EC264C"/>
    <w:rsid w:val="00EC3401"/>
    <w:rsid w:val="00EC494C"/>
    <w:rsid w:val="00EC51B4"/>
    <w:rsid w:val="00EC5461"/>
    <w:rsid w:val="00EC5BDE"/>
    <w:rsid w:val="00EC788B"/>
    <w:rsid w:val="00EC79E7"/>
    <w:rsid w:val="00ED1319"/>
    <w:rsid w:val="00ED376B"/>
    <w:rsid w:val="00ED3A39"/>
    <w:rsid w:val="00ED52D7"/>
    <w:rsid w:val="00ED5A42"/>
    <w:rsid w:val="00ED5BFA"/>
    <w:rsid w:val="00ED601E"/>
    <w:rsid w:val="00ED6D42"/>
    <w:rsid w:val="00ED6E4B"/>
    <w:rsid w:val="00EE0424"/>
    <w:rsid w:val="00EE0817"/>
    <w:rsid w:val="00EE0B8F"/>
    <w:rsid w:val="00EE1EFD"/>
    <w:rsid w:val="00EE5D74"/>
    <w:rsid w:val="00EE748A"/>
    <w:rsid w:val="00EF03B9"/>
    <w:rsid w:val="00EF0BCB"/>
    <w:rsid w:val="00EF12E2"/>
    <w:rsid w:val="00EF2060"/>
    <w:rsid w:val="00EF3C11"/>
    <w:rsid w:val="00EF454E"/>
    <w:rsid w:val="00EF4848"/>
    <w:rsid w:val="00F032D7"/>
    <w:rsid w:val="00F04E3A"/>
    <w:rsid w:val="00F0663A"/>
    <w:rsid w:val="00F06807"/>
    <w:rsid w:val="00F06D20"/>
    <w:rsid w:val="00F076F9"/>
    <w:rsid w:val="00F10484"/>
    <w:rsid w:val="00F1052E"/>
    <w:rsid w:val="00F1140F"/>
    <w:rsid w:val="00F12961"/>
    <w:rsid w:val="00F12998"/>
    <w:rsid w:val="00F13310"/>
    <w:rsid w:val="00F143F3"/>
    <w:rsid w:val="00F15E60"/>
    <w:rsid w:val="00F16BBB"/>
    <w:rsid w:val="00F172FC"/>
    <w:rsid w:val="00F2047D"/>
    <w:rsid w:val="00F20CB9"/>
    <w:rsid w:val="00F230FA"/>
    <w:rsid w:val="00F2310A"/>
    <w:rsid w:val="00F23D48"/>
    <w:rsid w:val="00F23FAB"/>
    <w:rsid w:val="00F24442"/>
    <w:rsid w:val="00F31FA7"/>
    <w:rsid w:val="00F326CC"/>
    <w:rsid w:val="00F3282A"/>
    <w:rsid w:val="00F345CA"/>
    <w:rsid w:val="00F3528B"/>
    <w:rsid w:val="00F359BE"/>
    <w:rsid w:val="00F35CC9"/>
    <w:rsid w:val="00F35DE4"/>
    <w:rsid w:val="00F3771A"/>
    <w:rsid w:val="00F40AE1"/>
    <w:rsid w:val="00F431F0"/>
    <w:rsid w:val="00F43AFE"/>
    <w:rsid w:val="00F46A63"/>
    <w:rsid w:val="00F46F56"/>
    <w:rsid w:val="00F4732C"/>
    <w:rsid w:val="00F503C2"/>
    <w:rsid w:val="00F50A1B"/>
    <w:rsid w:val="00F522BC"/>
    <w:rsid w:val="00F52757"/>
    <w:rsid w:val="00F529E0"/>
    <w:rsid w:val="00F52E1B"/>
    <w:rsid w:val="00F53A6B"/>
    <w:rsid w:val="00F543E1"/>
    <w:rsid w:val="00F555A5"/>
    <w:rsid w:val="00F55942"/>
    <w:rsid w:val="00F55ABC"/>
    <w:rsid w:val="00F603AD"/>
    <w:rsid w:val="00F61BAC"/>
    <w:rsid w:val="00F624FA"/>
    <w:rsid w:val="00F63760"/>
    <w:rsid w:val="00F64695"/>
    <w:rsid w:val="00F64AD6"/>
    <w:rsid w:val="00F67BD7"/>
    <w:rsid w:val="00F67F71"/>
    <w:rsid w:val="00F71302"/>
    <w:rsid w:val="00F71B50"/>
    <w:rsid w:val="00F71C88"/>
    <w:rsid w:val="00F72D0B"/>
    <w:rsid w:val="00F72D68"/>
    <w:rsid w:val="00F74D5F"/>
    <w:rsid w:val="00F77BC0"/>
    <w:rsid w:val="00F77D3D"/>
    <w:rsid w:val="00F80229"/>
    <w:rsid w:val="00F806B7"/>
    <w:rsid w:val="00F80FD3"/>
    <w:rsid w:val="00F82287"/>
    <w:rsid w:val="00F82D59"/>
    <w:rsid w:val="00F82D5B"/>
    <w:rsid w:val="00F83287"/>
    <w:rsid w:val="00F83E40"/>
    <w:rsid w:val="00F84B7B"/>
    <w:rsid w:val="00F914E5"/>
    <w:rsid w:val="00F91E0C"/>
    <w:rsid w:val="00F92B62"/>
    <w:rsid w:val="00F92C71"/>
    <w:rsid w:val="00F92DAB"/>
    <w:rsid w:val="00F93BA0"/>
    <w:rsid w:val="00F93C32"/>
    <w:rsid w:val="00F945E3"/>
    <w:rsid w:val="00F94BF0"/>
    <w:rsid w:val="00F95924"/>
    <w:rsid w:val="00F96232"/>
    <w:rsid w:val="00F969FF"/>
    <w:rsid w:val="00FA1FF0"/>
    <w:rsid w:val="00FA3391"/>
    <w:rsid w:val="00FA490D"/>
    <w:rsid w:val="00FA60D3"/>
    <w:rsid w:val="00FB00F1"/>
    <w:rsid w:val="00FB0304"/>
    <w:rsid w:val="00FB072B"/>
    <w:rsid w:val="00FB1A51"/>
    <w:rsid w:val="00FB1C9A"/>
    <w:rsid w:val="00FC1888"/>
    <w:rsid w:val="00FC1D5F"/>
    <w:rsid w:val="00FC2072"/>
    <w:rsid w:val="00FC2439"/>
    <w:rsid w:val="00FC2E91"/>
    <w:rsid w:val="00FC4772"/>
    <w:rsid w:val="00FC5537"/>
    <w:rsid w:val="00FC5E70"/>
    <w:rsid w:val="00FC6F52"/>
    <w:rsid w:val="00FC7296"/>
    <w:rsid w:val="00FD0886"/>
    <w:rsid w:val="00FD0A48"/>
    <w:rsid w:val="00FD6D5A"/>
    <w:rsid w:val="00FD71EF"/>
    <w:rsid w:val="00FE0ED4"/>
    <w:rsid w:val="00FE1050"/>
    <w:rsid w:val="00FE1C24"/>
    <w:rsid w:val="00FE23AC"/>
    <w:rsid w:val="00FE2D92"/>
    <w:rsid w:val="00FE33ED"/>
    <w:rsid w:val="00FE5372"/>
    <w:rsid w:val="00FF1182"/>
    <w:rsid w:val="00FF1F30"/>
    <w:rsid w:val="00FF2ACE"/>
    <w:rsid w:val="00FF35B8"/>
    <w:rsid w:val="00FF35C0"/>
    <w:rsid w:val="00FF4255"/>
    <w:rsid w:val="00FF4500"/>
    <w:rsid w:val="00FF4D8A"/>
    <w:rsid w:val="00FF75E7"/>
    <w:rsid w:val="01121891"/>
    <w:rsid w:val="01182C38"/>
    <w:rsid w:val="011B0745"/>
    <w:rsid w:val="01695955"/>
    <w:rsid w:val="01960061"/>
    <w:rsid w:val="01993D60"/>
    <w:rsid w:val="01A52705"/>
    <w:rsid w:val="01CB62D1"/>
    <w:rsid w:val="01EB45BC"/>
    <w:rsid w:val="0216715F"/>
    <w:rsid w:val="023B4C75"/>
    <w:rsid w:val="024E06A7"/>
    <w:rsid w:val="0258704E"/>
    <w:rsid w:val="02A46519"/>
    <w:rsid w:val="02B02539"/>
    <w:rsid w:val="02B349AE"/>
    <w:rsid w:val="02CB1CF7"/>
    <w:rsid w:val="02D52B76"/>
    <w:rsid w:val="02E132C9"/>
    <w:rsid w:val="02EF0084"/>
    <w:rsid w:val="02EF1DAA"/>
    <w:rsid w:val="02F91D73"/>
    <w:rsid w:val="030B6598"/>
    <w:rsid w:val="030C34AA"/>
    <w:rsid w:val="031A67DB"/>
    <w:rsid w:val="031C69F7"/>
    <w:rsid w:val="03373831"/>
    <w:rsid w:val="034F0B7A"/>
    <w:rsid w:val="035267A2"/>
    <w:rsid w:val="0371289F"/>
    <w:rsid w:val="03A644DC"/>
    <w:rsid w:val="03AD3817"/>
    <w:rsid w:val="04043713"/>
    <w:rsid w:val="04155920"/>
    <w:rsid w:val="041A2F36"/>
    <w:rsid w:val="04221DEB"/>
    <w:rsid w:val="04370025"/>
    <w:rsid w:val="044730A1"/>
    <w:rsid w:val="04577756"/>
    <w:rsid w:val="04780BCB"/>
    <w:rsid w:val="04B907F2"/>
    <w:rsid w:val="04E3348B"/>
    <w:rsid w:val="04E377CC"/>
    <w:rsid w:val="04FC088E"/>
    <w:rsid w:val="051931EE"/>
    <w:rsid w:val="052252C1"/>
    <w:rsid w:val="05281683"/>
    <w:rsid w:val="05353DA0"/>
    <w:rsid w:val="05365E90"/>
    <w:rsid w:val="054022C8"/>
    <w:rsid w:val="0551465B"/>
    <w:rsid w:val="05595CE0"/>
    <w:rsid w:val="056D178C"/>
    <w:rsid w:val="05704DD8"/>
    <w:rsid w:val="05934824"/>
    <w:rsid w:val="0596645B"/>
    <w:rsid w:val="0599221B"/>
    <w:rsid w:val="059F1B18"/>
    <w:rsid w:val="05A30D0A"/>
    <w:rsid w:val="05C173E2"/>
    <w:rsid w:val="05E80E12"/>
    <w:rsid w:val="062A688C"/>
    <w:rsid w:val="066433D1"/>
    <w:rsid w:val="06B01930"/>
    <w:rsid w:val="06C61153"/>
    <w:rsid w:val="06C76C7A"/>
    <w:rsid w:val="06D4212C"/>
    <w:rsid w:val="06E53B5E"/>
    <w:rsid w:val="06EF12AA"/>
    <w:rsid w:val="0709503F"/>
    <w:rsid w:val="07177C01"/>
    <w:rsid w:val="0722517C"/>
    <w:rsid w:val="073C4824"/>
    <w:rsid w:val="074D3623"/>
    <w:rsid w:val="07637F0B"/>
    <w:rsid w:val="0764271A"/>
    <w:rsid w:val="07BB058C"/>
    <w:rsid w:val="07BE62CF"/>
    <w:rsid w:val="07D258D6"/>
    <w:rsid w:val="07D53E7E"/>
    <w:rsid w:val="0811309B"/>
    <w:rsid w:val="081A4A27"/>
    <w:rsid w:val="081B102B"/>
    <w:rsid w:val="08275C22"/>
    <w:rsid w:val="08412F4D"/>
    <w:rsid w:val="08440841"/>
    <w:rsid w:val="08597DA5"/>
    <w:rsid w:val="086F75C9"/>
    <w:rsid w:val="08803584"/>
    <w:rsid w:val="08BB636A"/>
    <w:rsid w:val="08C93E15"/>
    <w:rsid w:val="08E27D9B"/>
    <w:rsid w:val="09246605"/>
    <w:rsid w:val="09416A07"/>
    <w:rsid w:val="09424B8B"/>
    <w:rsid w:val="094445B2"/>
    <w:rsid w:val="094E3682"/>
    <w:rsid w:val="095E1B17"/>
    <w:rsid w:val="09865938"/>
    <w:rsid w:val="09C851E3"/>
    <w:rsid w:val="09C97B58"/>
    <w:rsid w:val="09ED35DB"/>
    <w:rsid w:val="09F14739"/>
    <w:rsid w:val="0A660225"/>
    <w:rsid w:val="0A7113D6"/>
    <w:rsid w:val="0A742C74"/>
    <w:rsid w:val="0A747118"/>
    <w:rsid w:val="0A7711DE"/>
    <w:rsid w:val="0A80786B"/>
    <w:rsid w:val="0A903AF3"/>
    <w:rsid w:val="0AAE277D"/>
    <w:rsid w:val="0AB07190"/>
    <w:rsid w:val="0ABE2142"/>
    <w:rsid w:val="0AC05ACE"/>
    <w:rsid w:val="0AD1446F"/>
    <w:rsid w:val="0AD21C13"/>
    <w:rsid w:val="0AD33E3F"/>
    <w:rsid w:val="0AFA761E"/>
    <w:rsid w:val="0AFB2C3F"/>
    <w:rsid w:val="0B005CD4"/>
    <w:rsid w:val="0B116715"/>
    <w:rsid w:val="0B6B2AB0"/>
    <w:rsid w:val="0B6E5916"/>
    <w:rsid w:val="0BB14CDC"/>
    <w:rsid w:val="0BC62CE6"/>
    <w:rsid w:val="0BD165F1"/>
    <w:rsid w:val="0BD92D22"/>
    <w:rsid w:val="0BDA2FAB"/>
    <w:rsid w:val="0C22507E"/>
    <w:rsid w:val="0C493709"/>
    <w:rsid w:val="0C525237"/>
    <w:rsid w:val="0C8F3D96"/>
    <w:rsid w:val="0CA23AC9"/>
    <w:rsid w:val="0CAB55AE"/>
    <w:rsid w:val="0CAD6B6C"/>
    <w:rsid w:val="0CE2480D"/>
    <w:rsid w:val="0CE265BB"/>
    <w:rsid w:val="0CEE31B2"/>
    <w:rsid w:val="0CFF0F1B"/>
    <w:rsid w:val="0D094C2E"/>
    <w:rsid w:val="0D19309C"/>
    <w:rsid w:val="0D3021CC"/>
    <w:rsid w:val="0D3631A6"/>
    <w:rsid w:val="0D3A01A5"/>
    <w:rsid w:val="0D471D94"/>
    <w:rsid w:val="0D4B2102"/>
    <w:rsid w:val="0D4C612B"/>
    <w:rsid w:val="0D531267"/>
    <w:rsid w:val="0D696CDD"/>
    <w:rsid w:val="0D6C54A3"/>
    <w:rsid w:val="0D6F3031"/>
    <w:rsid w:val="0D801C4C"/>
    <w:rsid w:val="0D870F11"/>
    <w:rsid w:val="0D9B76E8"/>
    <w:rsid w:val="0DB5782C"/>
    <w:rsid w:val="0DE40111"/>
    <w:rsid w:val="0E06452B"/>
    <w:rsid w:val="0E1529C0"/>
    <w:rsid w:val="0E2C21E4"/>
    <w:rsid w:val="0E2C5319"/>
    <w:rsid w:val="0E344BF5"/>
    <w:rsid w:val="0E372937"/>
    <w:rsid w:val="0E4A08BC"/>
    <w:rsid w:val="0E611762"/>
    <w:rsid w:val="0ED06C84"/>
    <w:rsid w:val="0EF232D3"/>
    <w:rsid w:val="0EFD148A"/>
    <w:rsid w:val="0F07055B"/>
    <w:rsid w:val="0F16254C"/>
    <w:rsid w:val="0F362BEE"/>
    <w:rsid w:val="0F36499C"/>
    <w:rsid w:val="0F580DB7"/>
    <w:rsid w:val="0F5965E2"/>
    <w:rsid w:val="0F6E265A"/>
    <w:rsid w:val="0F8A6A96"/>
    <w:rsid w:val="0F9022FF"/>
    <w:rsid w:val="0F9B1A44"/>
    <w:rsid w:val="0FC25C7D"/>
    <w:rsid w:val="0FD072B6"/>
    <w:rsid w:val="0FDF5034"/>
    <w:rsid w:val="0FF72EFB"/>
    <w:rsid w:val="10190546"/>
    <w:rsid w:val="10280789"/>
    <w:rsid w:val="105E6B9C"/>
    <w:rsid w:val="106926DB"/>
    <w:rsid w:val="10732F09"/>
    <w:rsid w:val="1079156B"/>
    <w:rsid w:val="10862CCF"/>
    <w:rsid w:val="108C2ADB"/>
    <w:rsid w:val="10B12CBB"/>
    <w:rsid w:val="10BC7123"/>
    <w:rsid w:val="10C375FF"/>
    <w:rsid w:val="10CA1840"/>
    <w:rsid w:val="11002D55"/>
    <w:rsid w:val="111F7DDE"/>
    <w:rsid w:val="115B7645"/>
    <w:rsid w:val="11652253"/>
    <w:rsid w:val="11671785"/>
    <w:rsid w:val="11872EC4"/>
    <w:rsid w:val="118F1F82"/>
    <w:rsid w:val="11A227BD"/>
    <w:rsid w:val="11B81FE1"/>
    <w:rsid w:val="11C426CE"/>
    <w:rsid w:val="11D16BFE"/>
    <w:rsid w:val="11D45E81"/>
    <w:rsid w:val="11DB4B8D"/>
    <w:rsid w:val="11F1104F"/>
    <w:rsid w:val="120F69BB"/>
    <w:rsid w:val="12134480"/>
    <w:rsid w:val="12235399"/>
    <w:rsid w:val="122F5FD6"/>
    <w:rsid w:val="12337F00"/>
    <w:rsid w:val="12750005"/>
    <w:rsid w:val="127C4DBC"/>
    <w:rsid w:val="12A5482A"/>
    <w:rsid w:val="12BB3B36"/>
    <w:rsid w:val="12BC5481"/>
    <w:rsid w:val="12CD6737"/>
    <w:rsid w:val="12D4494D"/>
    <w:rsid w:val="12E56E05"/>
    <w:rsid w:val="12EF558E"/>
    <w:rsid w:val="13054DB2"/>
    <w:rsid w:val="130A23C8"/>
    <w:rsid w:val="132A2A6A"/>
    <w:rsid w:val="133236CD"/>
    <w:rsid w:val="133E02C4"/>
    <w:rsid w:val="13433B2C"/>
    <w:rsid w:val="136715C8"/>
    <w:rsid w:val="139369B0"/>
    <w:rsid w:val="139D148E"/>
    <w:rsid w:val="13B62550"/>
    <w:rsid w:val="13BC37B1"/>
    <w:rsid w:val="13C609E5"/>
    <w:rsid w:val="13F56435"/>
    <w:rsid w:val="13FC4407"/>
    <w:rsid w:val="1402229E"/>
    <w:rsid w:val="140A0F23"/>
    <w:rsid w:val="14117786"/>
    <w:rsid w:val="14171240"/>
    <w:rsid w:val="14215C1B"/>
    <w:rsid w:val="142A0701"/>
    <w:rsid w:val="14411E19"/>
    <w:rsid w:val="14434830"/>
    <w:rsid w:val="144B2C98"/>
    <w:rsid w:val="145204CA"/>
    <w:rsid w:val="14586B3F"/>
    <w:rsid w:val="14771904"/>
    <w:rsid w:val="14952165"/>
    <w:rsid w:val="14B00D4D"/>
    <w:rsid w:val="14BA4EEA"/>
    <w:rsid w:val="14BC3B96"/>
    <w:rsid w:val="14D26F15"/>
    <w:rsid w:val="150B756B"/>
    <w:rsid w:val="1513675D"/>
    <w:rsid w:val="15164DFE"/>
    <w:rsid w:val="15282FD9"/>
    <w:rsid w:val="15323E58"/>
    <w:rsid w:val="153E64E5"/>
    <w:rsid w:val="154C5AEB"/>
    <w:rsid w:val="156277E8"/>
    <w:rsid w:val="15693513"/>
    <w:rsid w:val="156A35F2"/>
    <w:rsid w:val="15A5287C"/>
    <w:rsid w:val="15C42D02"/>
    <w:rsid w:val="15C54CCC"/>
    <w:rsid w:val="15CE592F"/>
    <w:rsid w:val="15D36E91"/>
    <w:rsid w:val="15DF7B3C"/>
    <w:rsid w:val="15E05662"/>
    <w:rsid w:val="15F4675A"/>
    <w:rsid w:val="15FF1F8C"/>
    <w:rsid w:val="160C0A32"/>
    <w:rsid w:val="165F4CB9"/>
    <w:rsid w:val="16873D30"/>
    <w:rsid w:val="16925429"/>
    <w:rsid w:val="16A1080D"/>
    <w:rsid w:val="16C531D6"/>
    <w:rsid w:val="16CB56F4"/>
    <w:rsid w:val="16D3576A"/>
    <w:rsid w:val="16E178E4"/>
    <w:rsid w:val="170110A3"/>
    <w:rsid w:val="172E7FFF"/>
    <w:rsid w:val="17343EB7"/>
    <w:rsid w:val="173739A8"/>
    <w:rsid w:val="17753C5F"/>
    <w:rsid w:val="17824C23"/>
    <w:rsid w:val="17B9616B"/>
    <w:rsid w:val="17E21B65"/>
    <w:rsid w:val="17F44CBB"/>
    <w:rsid w:val="18154D0C"/>
    <w:rsid w:val="18187335"/>
    <w:rsid w:val="181A13D3"/>
    <w:rsid w:val="182313BA"/>
    <w:rsid w:val="18354804"/>
    <w:rsid w:val="185041F0"/>
    <w:rsid w:val="18597DC9"/>
    <w:rsid w:val="186C142F"/>
    <w:rsid w:val="188034A7"/>
    <w:rsid w:val="18B0756E"/>
    <w:rsid w:val="18DA4A28"/>
    <w:rsid w:val="18E216F1"/>
    <w:rsid w:val="18F27B86"/>
    <w:rsid w:val="192561AE"/>
    <w:rsid w:val="19266D72"/>
    <w:rsid w:val="19393A2E"/>
    <w:rsid w:val="19486114"/>
    <w:rsid w:val="194A1770"/>
    <w:rsid w:val="19595E57"/>
    <w:rsid w:val="197A66F1"/>
    <w:rsid w:val="198331C0"/>
    <w:rsid w:val="19BE1D02"/>
    <w:rsid w:val="19D70E32"/>
    <w:rsid w:val="19EA4D01"/>
    <w:rsid w:val="19FD4A34"/>
    <w:rsid w:val="1A044015"/>
    <w:rsid w:val="1A0A0EFF"/>
    <w:rsid w:val="1A0C38BE"/>
    <w:rsid w:val="1A1F2BFD"/>
    <w:rsid w:val="1A2521DD"/>
    <w:rsid w:val="1A2828E7"/>
    <w:rsid w:val="1A3B730B"/>
    <w:rsid w:val="1A3F53E4"/>
    <w:rsid w:val="1A530AF8"/>
    <w:rsid w:val="1A766595"/>
    <w:rsid w:val="1A8F7DFD"/>
    <w:rsid w:val="1A983C64"/>
    <w:rsid w:val="1AAE6D1A"/>
    <w:rsid w:val="1AB83204"/>
    <w:rsid w:val="1ABD41C4"/>
    <w:rsid w:val="1AC11F06"/>
    <w:rsid w:val="1AD0039B"/>
    <w:rsid w:val="1AEF6A73"/>
    <w:rsid w:val="1AF22F3B"/>
    <w:rsid w:val="1B3C333B"/>
    <w:rsid w:val="1B4B5C73"/>
    <w:rsid w:val="1B5A1A13"/>
    <w:rsid w:val="1BA500C9"/>
    <w:rsid w:val="1BB235FD"/>
    <w:rsid w:val="1BB5039E"/>
    <w:rsid w:val="1BBB6955"/>
    <w:rsid w:val="1BCA6B98"/>
    <w:rsid w:val="1BD712B5"/>
    <w:rsid w:val="1BFB4FA4"/>
    <w:rsid w:val="1C1A2809"/>
    <w:rsid w:val="1C2564C4"/>
    <w:rsid w:val="1C361CB5"/>
    <w:rsid w:val="1C3861F8"/>
    <w:rsid w:val="1C4A1A87"/>
    <w:rsid w:val="1C597F1C"/>
    <w:rsid w:val="1C5F1E0A"/>
    <w:rsid w:val="1C6A25B6"/>
    <w:rsid w:val="1C9378D2"/>
    <w:rsid w:val="1CAC610C"/>
    <w:rsid w:val="1CB769D3"/>
    <w:rsid w:val="1CBA215E"/>
    <w:rsid w:val="1CBF5FD1"/>
    <w:rsid w:val="1CC23D13"/>
    <w:rsid w:val="1D0205B4"/>
    <w:rsid w:val="1D0647FA"/>
    <w:rsid w:val="1D1722B1"/>
    <w:rsid w:val="1D1F2F14"/>
    <w:rsid w:val="1D436C02"/>
    <w:rsid w:val="1D497F91"/>
    <w:rsid w:val="1D5706DC"/>
    <w:rsid w:val="1D970CFC"/>
    <w:rsid w:val="1D9751A0"/>
    <w:rsid w:val="1DE32193"/>
    <w:rsid w:val="1DE5415D"/>
    <w:rsid w:val="1DED2DA5"/>
    <w:rsid w:val="1DED4DC0"/>
    <w:rsid w:val="1E110AAE"/>
    <w:rsid w:val="1E126D87"/>
    <w:rsid w:val="1E262080"/>
    <w:rsid w:val="1E2D340E"/>
    <w:rsid w:val="1E442E2D"/>
    <w:rsid w:val="1E450758"/>
    <w:rsid w:val="1E594203"/>
    <w:rsid w:val="1E7B3501"/>
    <w:rsid w:val="1E802283"/>
    <w:rsid w:val="1E875215"/>
    <w:rsid w:val="1EC975DB"/>
    <w:rsid w:val="1ED146E2"/>
    <w:rsid w:val="1F2160AC"/>
    <w:rsid w:val="1F327347"/>
    <w:rsid w:val="1F422EEA"/>
    <w:rsid w:val="1F66307C"/>
    <w:rsid w:val="1F8132D9"/>
    <w:rsid w:val="1F8B2AE2"/>
    <w:rsid w:val="1FAC1358"/>
    <w:rsid w:val="1FAD36D5"/>
    <w:rsid w:val="1FCB7B15"/>
    <w:rsid w:val="1FCD30FB"/>
    <w:rsid w:val="1FCE3F40"/>
    <w:rsid w:val="20085EE1"/>
    <w:rsid w:val="20214290"/>
    <w:rsid w:val="20390790"/>
    <w:rsid w:val="203E3909"/>
    <w:rsid w:val="20495B8C"/>
    <w:rsid w:val="206E043A"/>
    <w:rsid w:val="20773711"/>
    <w:rsid w:val="208F1E39"/>
    <w:rsid w:val="209A7A85"/>
    <w:rsid w:val="20A16631"/>
    <w:rsid w:val="20AC4ABE"/>
    <w:rsid w:val="20B971DB"/>
    <w:rsid w:val="20F82FD5"/>
    <w:rsid w:val="210668C5"/>
    <w:rsid w:val="210A7821"/>
    <w:rsid w:val="210C1A01"/>
    <w:rsid w:val="212D20A3"/>
    <w:rsid w:val="21677A63"/>
    <w:rsid w:val="217318DF"/>
    <w:rsid w:val="2197751D"/>
    <w:rsid w:val="21BC51D5"/>
    <w:rsid w:val="21F26E49"/>
    <w:rsid w:val="21F93F4C"/>
    <w:rsid w:val="220340B2"/>
    <w:rsid w:val="221A1EFC"/>
    <w:rsid w:val="221E7C1C"/>
    <w:rsid w:val="2221328A"/>
    <w:rsid w:val="228966EE"/>
    <w:rsid w:val="22AA3280"/>
    <w:rsid w:val="22C252A7"/>
    <w:rsid w:val="22CA1B74"/>
    <w:rsid w:val="22CD6F6E"/>
    <w:rsid w:val="22CF0F38"/>
    <w:rsid w:val="22DF73CD"/>
    <w:rsid w:val="23005590"/>
    <w:rsid w:val="230505A1"/>
    <w:rsid w:val="23113150"/>
    <w:rsid w:val="231828DF"/>
    <w:rsid w:val="231F5CFA"/>
    <w:rsid w:val="23243032"/>
    <w:rsid w:val="23244DE0"/>
    <w:rsid w:val="234E6301"/>
    <w:rsid w:val="23581DF3"/>
    <w:rsid w:val="23681034"/>
    <w:rsid w:val="23706277"/>
    <w:rsid w:val="238E0DF3"/>
    <w:rsid w:val="23985EE5"/>
    <w:rsid w:val="239E6EE4"/>
    <w:rsid w:val="23A423C5"/>
    <w:rsid w:val="23B73EA6"/>
    <w:rsid w:val="23BD61E6"/>
    <w:rsid w:val="23D41D37"/>
    <w:rsid w:val="23D83E1C"/>
    <w:rsid w:val="23F15571"/>
    <w:rsid w:val="24024DB5"/>
    <w:rsid w:val="240E5241"/>
    <w:rsid w:val="242B219E"/>
    <w:rsid w:val="242F7EE0"/>
    <w:rsid w:val="245513DF"/>
    <w:rsid w:val="24703C5D"/>
    <w:rsid w:val="247A404C"/>
    <w:rsid w:val="247F7868"/>
    <w:rsid w:val="24906052"/>
    <w:rsid w:val="249C2E52"/>
    <w:rsid w:val="24ED38F7"/>
    <w:rsid w:val="24F0344F"/>
    <w:rsid w:val="250A4358"/>
    <w:rsid w:val="253E0477"/>
    <w:rsid w:val="253F0E87"/>
    <w:rsid w:val="253F4469"/>
    <w:rsid w:val="25585215"/>
    <w:rsid w:val="255874B6"/>
    <w:rsid w:val="256C0CC0"/>
    <w:rsid w:val="25846352"/>
    <w:rsid w:val="25902C01"/>
    <w:rsid w:val="25A0096A"/>
    <w:rsid w:val="25A327A2"/>
    <w:rsid w:val="25AE12D9"/>
    <w:rsid w:val="25B3203A"/>
    <w:rsid w:val="25CD79B1"/>
    <w:rsid w:val="25D16D75"/>
    <w:rsid w:val="25D53C51"/>
    <w:rsid w:val="25F52A64"/>
    <w:rsid w:val="260B672B"/>
    <w:rsid w:val="260E1D77"/>
    <w:rsid w:val="26121ABE"/>
    <w:rsid w:val="26125071"/>
    <w:rsid w:val="26404627"/>
    <w:rsid w:val="264A7253"/>
    <w:rsid w:val="264B2FCC"/>
    <w:rsid w:val="26655E3B"/>
    <w:rsid w:val="266876DA"/>
    <w:rsid w:val="26E87A63"/>
    <w:rsid w:val="26F356A8"/>
    <w:rsid w:val="2730575B"/>
    <w:rsid w:val="27400656"/>
    <w:rsid w:val="274078D1"/>
    <w:rsid w:val="274A5031"/>
    <w:rsid w:val="275F5FB9"/>
    <w:rsid w:val="27A52B35"/>
    <w:rsid w:val="27DE7487"/>
    <w:rsid w:val="28237D5C"/>
    <w:rsid w:val="28285372"/>
    <w:rsid w:val="283C7070"/>
    <w:rsid w:val="283F201D"/>
    <w:rsid w:val="28445F24"/>
    <w:rsid w:val="284D5A9D"/>
    <w:rsid w:val="2859377E"/>
    <w:rsid w:val="285C14C0"/>
    <w:rsid w:val="285E0D94"/>
    <w:rsid w:val="2867051D"/>
    <w:rsid w:val="286943E5"/>
    <w:rsid w:val="28A30FB2"/>
    <w:rsid w:val="28AB15F7"/>
    <w:rsid w:val="28BE626C"/>
    <w:rsid w:val="28C76B60"/>
    <w:rsid w:val="28C8445F"/>
    <w:rsid w:val="28D663D3"/>
    <w:rsid w:val="28F540B7"/>
    <w:rsid w:val="29192F0D"/>
    <w:rsid w:val="293D19A5"/>
    <w:rsid w:val="293D24FB"/>
    <w:rsid w:val="296D3483"/>
    <w:rsid w:val="2976210D"/>
    <w:rsid w:val="297C4C64"/>
    <w:rsid w:val="29CF4681"/>
    <w:rsid w:val="29DB4666"/>
    <w:rsid w:val="29F3375E"/>
    <w:rsid w:val="2A144611"/>
    <w:rsid w:val="2A217AE0"/>
    <w:rsid w:val="2A347B14"/>
    <w:rsid w:val="2A3B4B92"/>
    <w:rsid w:val="2A4E4E38"/>
    <w:rsid w:val="2A6F3191"/>
    <w:rsid w:val="2A706EC2"/>
    <w:rsid w:val="2A742AF1"/>
    <w:rsid w:val="2AAD1B5F"/>
    <w:rsid w:val="2AE13EFE"/>
    <w:rsid w:val="2B1E2F97"/>
    <w:rsid w:val="2B304296"/>
    <w:rsid w:val="2B33475A"/>
    <w:rsid w:val="2B40509D"/>
    <w:rsid w:val="2B6A5C7C"/>
    <w:rsid w:val="2B70182D"/>
    <w:rsid w:val="2B8C5C18"/>
    <w:rsid w:val="2B9D1BD3"/>
    <w:rsid w:val="2B9E76FA"/>
    <w:rsid w:val="2BA56CDA"/>
    <w:rsid w:val="2BC96AFA"/>
    <w:rsid w:val="2BD53024"/>
    <w:rsid w:val="2BEC283D"/>
    <w:rsid w:val="2C532BDA"/>
    <w:rsid w:val="2C5B2E4D"/>
    <w:rsid w:val="2C701096"/>
    <w:rsid w:val="2C792640"/>
    <w:rsid w:val="2C7C50B3"/>
    <w:rsid w:val="2C884632"/>
    <w:rsid w:val="2C910172"/>
    <w:rsid w:val="2C9A6113"/>
    <w:rsid w:val="2C9F197B"/>
    <w:rsid w:val="2CA3587A"/>
    <w:rsid w:val="2CBE62A5"/>
    <w:rsid w:val="2CC26C89"/>
    <w:rsid w:val="2CCE2260"/>
    <w:rsid w:val="2CF606A0"/>
    <w:rsid w:val="2D2B2945"/>
    <w:rsid w:val="2D79041E"/>
    <w:rsid w:val="2D795FEF"/>
    <w:rsid w:val="2D8E0BAB"/>
    <w:rsid w:val="2DAB7EBB"/>
    <w:rsid w:val="2DBA0B17"/>
    <w:rsid w:val="2DE754AE"/>
    <w:rsid w:val="2E110657"/>
    <w:rsid w:val="2E187C37"/>
    <w:rsid w:val="2E2E1209"/>
    <w:rsid w:val="2E2E745B"/>
    <w:rsid w:val="2E4427DA"/>
    <w:rsid w:val="2E522BCA"/>
    <w:rsid w:val="2E5A3DAC"/>
    <w:rsid w:val="2E6A204B"/>
    <w:rsid w:val="2E6E5AA9"/>
    <w:rsid w:val="2E89643F"/>
    <w:rsid w:val="2E8B665B"/>
    <w:rsid w:val="2E8C3807"/>
    <w:rsid w:val="2EA339A5"/>
    <w:rsid w:val="2EAC037F"/>
    <w:rsid w:val="2EBE6C6C"/>
    <w:rsid w:val="2F0B154A"/>
    <w:rsid w:val="2F0E5872"/>
    <w:rsid w:val="2F1A178D"/>
    <w:rsid w:val="2F3B1E2F"/>
    <w:rsid w:val="2F5F04B7"/>
    <w:rsid w:val="2F662C24"/>
    <w:rsid w:val="2F6F7D2B"/>
    <w:rsid w:val="2F762E67"/>
    <w:rsid w:val="2F8530AA"/>
    <w:rsid w:val="2F947791"/>
    <w:rsid w:val="2FBC5793"/>
    <w:rsid w:val="2FF124EE"/>
    <w:rsid w:val="300A6B1E"/>
    <w:rsid w:val="30216B85"/>
    <w:rsid w:val="30380553"/>
    <w:rsid w:val="30386F50"/>
    <w:rsid w:val="303A0CA6"/>
    <w:rsid w:val="304F1DBB"/>
    <w:rsid w:val="30675D48"/>
    <w:rsid w:val="307849BD"/>
    <w:rsid w:val="3078676B"/>
    <w:rsid w:val="30986E0D"/>
    <w:rsid w:val="309A2B85"/>
    <w:rsid w:val="30A13F14"/>
    <w:rsid w:val="30A612CD"/>
    <w:rsid w:val="30C41882"/>
    <w:rsid w:val="30CB71E3"/>
    <w:rsid w:val="30F10937"/>
    <w:rsid w:val="30F623DC"/>
    <w:rsid w:val="31210BB1"/>
    <w:rsid w:val="313D1CA2"/>
    <w:rsid w:val="313E5C07"/>
    <w:rsid w:val="31462116"/>
    <w:rsid w:val="317C228B"/>
    <w:rsid w:val="318178A1"/>
    <w:rsid w:val="31A67907"/>
    <w:rsid w:val="31C003CA"/>
    <w:rsid w:val="31C376AE"/>
    <w:rsid w:val="31C81974"/>
    <w:rsid w:val="31E22A36"/>
    <w:rsid w:val="31EB3AD4"/>
    <w:rsid w:val="320209E2"/>
    <w:rsid w:val="321E0BC9"/>
    <w:rsid w:val="321E67EA"/>
    <w:rsid w:val="3220355E"/>
    <w:rsid w:val="32221084"/>
    <w:rsid w:val="32284E39"/>
    <w:rsid w:val="327E05EA"/>
    <w:rsid w:val="32997B4B"/>
    <w:rsid w:val="32A53B87"/>
    <w:rsid w:val="32B21002"/>
    <w:rsid w:val="32E751E1"/>
    <w:rsid w:val="32E97DF4"/>
    <w:rsid w:val="33000B3F"/>
    <w:rsid w:val="331F746E"/>
    <w:rsid w:val="333A4A60"/>
    <w:rsid w:val="33463EDE"/>
    <w:rsid w:val="335A2AA0"/>
    <w:rsid w:val="337D7031"/>
    <w:rsid w:val="338B4A07"/>
    <w:rsid w:val="33AD09DB"/>
    <w:rsid w:val="33B0446E"/>
    <w:rsid w:val="33B2645F"/>
    <w:rsid w:val="33B713F6"/>
    <w:rsid w:val="33BF5BAD"/>
    <w:rsid w:val="33D15AD5"/>
    <w:rsid w:val="33D91C17"/>
    <w:rsid w:val="33EF31E8"/>
    <w:rsid w:val="33F374E1"/>
    <w:rsid w:val="33F702EF"/>
    <w:rsid w:val="340E6053"/>
    <w:rsid w:val="3421711A"/>
    <w:rsid w:val="342F7A89"/>
    <w:rsid w:val="343D03F7"/>
    <w:rsid w:val="346911EC"/>
    <w:rsid w:val="347C1CAD"/>
    <w:rsid w:val="34802092"/>
    <w:rsid w:val="34807EFB"/>
    <w:rsid w:val="3487303E"/>
    <w:rsid w:val="348A2F11"/>
    <w:rsid w:val="3491429F"/>
    <w:rsid w:val="34A46F60"/>
    <w:rsid w:val="34E96505"/>
    <w:rsid w:val="35220D97"/>
    <w:rsid w:val="3547648D"/>
    <w:rsid w:val="354C4FE6"/>
    <w:rsid w:val="355552CD"/>
    <w:rsid w:val="355869ED"/>
    <w:rsid w:val="355E2212"/>
    <w:rsid w:val="35691B2B"/>
    <w:rsid w:val="358F4C83"/>
    <w:rsid w:val="35A22080"/>
    <w:rsid w:val="35A90BDC"/>
    <w:rsid w:val="35C8288F"/>
    <w:rsid w:val="35E36D7D"/>
    <w:rsid w:val="36086E75"/>
    <w:rsid w:val="36102A0C"/>
    <w:rsid w:val="361A5EDF"/>
    <w:rsid w:val="3659703F"/>
    <w:rsid w:val="366F23BE"/>
    <w:rsid w:val="36910096"/>
    <w:rsid w:val="36A758C1"/>
    <w:rsid w:val="36B91AF8"/>
    <w:rsid w:val="36CE5337"/>
    <w:rsid w:val="36E42DAC"/>
    <w:rsid w:val="36E56DF5"/>
    <w:rsid w:val="36E763F9"/>
    <w:rsid w:val="36F154B4"/>
    <w:rsid w:val="37021484"/>
    <w:rsid w:val="37025991"/>
    <w:rsid w:val="37035B21"/>
    <w:rsid w:val="371812F1"/>
    <w:rsid w:val="371C37DC"/>
    <w:rsid w:val="373F7FE3"/>
    <w:rsid w:val="37642A9A"/>
    <w:rsid w:val="379F757E"/>
    <w:rsid w:val="37A05D52"/>
    <w:rsid w:val="37DC1CD5"/>
    <w:rsid w:val="38090DC9"/>
    <w:rsid w:val="380A6843"/>
    <w:rsid w:val="380B6117"/>
    <w:rsid w:val="384B416A"/>
    <w:rsid w:val="384B5809"/>
    <w:rsid w:val="385B52F0"/>
    <w:rsid w:val="387D3C7B"/>
    <w:rsid w:val="3881104A"/>
    <w:rsid w:val="38A26B77"/>
    <w:rsid w:val="391C0362"/>
    <w:rsid w:val="39243934"/>
    <w:rsid w:val="393A114C"/>
    <w:rsid w:val="39561B76"/>
    <w:rsid w:val="39602492"/>
    <w:rsid w:val="39657AA9"/>
    <w:rsid w:val="396C52DB"/>
    <w:rsid w:val="397321C6"/>
    <w:rsid w:val="39893797"/>
    <w:rsid w:val="399A721B"/>
    <w:rsid w:val="399C1EB5"/>
    <w:rsid w:val="39BE6CB4"/>
    <w:rsid w:val="39CD2AE4"/>
    <w:rsid w:val="39F85BED"/>
    <w:rsid w:val="39FA6443"/>
    <w:rsid w:val="3A540249"/>
    <w:rsid w:val="3A7E4A8C"/>
    <w:rsid w:val="3A8D72B7"/>
    <w:rsid w:val="3A9218E6"/>
    <w:rsid w:val="3A991BBE"/>
    <w:rsid w:val="3AC21168"/>
    <w:rsid w:val="3AC23405"/>
    <w:rsid w:val="3ADF1B1C"/>
    <w:rsid w:val="3AFB06C4"/>
    <w:rsid w:val="3B0C4680"/>
    <w:rsid w:val="3B0E4A17"/>
    <w:rsid w:val="3B1E43B3"/>
    <w:rsid w:val="3B385475"/>
    <w:rsid w:val="3B3C60A5"/>
    <w:rsid w:val="3B7D61A1"/>
    <w:rsid w:val="3B8A5C21"/>
    <w:rsid w:val="3BBD1E1E"/>
    <w:rsid w:val="3BBF5B96"/>
    <w:rsid w:val="3BC81471"/>
    <w:rsid w:val="3BED2703"/>
    <w:rsid w:val="3BF770DE"/>
    <w:rsid w:val="3BFB239C"/>
    <w:rsid w:val="3BFF5F92"/>
    <w:rsid w:val="3C292C78"/>
    <w:rsid w:val="3C2974B3"/>
    <w:rsid w:val="3C326368"/>
    <w:rsid w:val="3C485B8B"/>
    <w:rsid w:val="3C577B7C"/>
    <w:rsid w:val="3C700C3E"/>
    <w:rsid w:val="3C917532"/>
    <w:rsid w:val="3C9506A5"/>
    <w:rsid w:val="3CC77524"/>
    <w:rsid w:val="3CD64F45"/>
    <w:rsid w:val="3CE753A4"/>
    <w:rsid w:val="3D31435C"/>
    <w:rsid w:val="3D4445A5"/>
    <w:rsid w:val="3D542066"/>
    <w:rsid w:val="3D567E34"/>
    <w:rsid w:val="3D5D6062"/>
    <w:rsid w:val="3D605157"/>
    <w:rsid w:val="3D8449A1"/>
    <w:rsid w:val="3D98669F"/>
    <w:rsid w:val="3DBD4546"/>
    <w:rsid w:val="3DFF227A"/>
    <w:rsid w:val="3E2609B2"/>
    <w:rsid w:val="3E2E2AE2"/>
    <w:rsid w:val="3E2F331B"/>
    <w:rsid w:val="3E481508"/>
    <w:rsid w:val="3E557779"/>
    <w:rsid w:val="3E5F0F6A"/>
    <w:rsid w:val="3E742C68"/>
    <w:rsid w:val="3E861193"/>
    <w:rsid w:val="3EA01CAF"/>
    <w:rsid w:val="3ECA0ADA"/>
    <w:rsid w:val="3EF402E4"/>
    <w:rsid w:val="3EF773F5"/>
    <w:rsid w:val="3F0B0FB8"/>
    <w:rsid w:val="3F0F473E"/>
    <w:rsid w:val="3F4940F4"/>
    <w:rsid w:val="3F7F7B16"/>
    <w:rsid w:val="3F8073EA"/>
    <w:rsid w:val="3FBE60F5"/>
    <w:rsid w:val="3FC25C55"/>
    <w:rsid w:val="3FC74EAA"/>
    <w:rsid w:val="3FD85478"/>
    <w:rsid w:val="3FE77469"/>
    <w:rsid w:val="3FF327A1"/>
    <w:rsid w:val="40076B24"/>
    <w:rsid w:val="40280651"/>
    <w:rsid w:val="40307062"/>
    <w:rsid w:val="404B5C4A"/>
    <w:rsid w:val="404E68BB"/>
    <w:rsid w:val="405D054A"/>
    <w:rsid w:val="4069110A"/>
    <w:rsid w:val="40AC61A6"/>
    <w:rsid w:val="40C31C84"/>
    <w:rsid w:val="40CA3013"/>
    <w:rsid w:val="40F16B34"/>
    <w:rsid w:val="40FA6626"/>
    <w:rsid w:val="41005D58"/>
    <w:rsid w:val="410A1661"/>
    <w:rsid w:val="410A3974"/>
    <w:rsid w:val="41334BB6"/>
    <w:rsid w:val="41356DFC"/>
    <w:rsid w:val="413E755D"/>
    <w:rsid w:val="4141465F"/>
    <w:rsid w:val="41571FCA"/>
    <w:rsid w:val="4165066A"/>
    <w:rsid w:val="418F1B67"/>
    <w:rsid w:val="41D0525D"/>
    <w:rsid w:val="41D50BF9"/>
    <w:rsid w:val="41EA1401"/>
    <w:rsid w:val="41FF4F3E"/>
    <w:rsid w:val="422229DB"/>
    <w:rsid w:val="423F533B"/>
    <w:rsid w:val="425E7594"/>
    <w:rsid w:val="42664FBD"/>
    <w:rsid w:val="42667DD4"/>
    <w:rsid w:val="426B25D4"/>
    <w:rsid w:val="426D7DE0"/>
    <w:rsid w:val="428B2CF1"/>
    <w:rsid w:val="429733C9"/>
    <w:rsid w:val="42B31885"/>
    <w:rsid w:val="42D31F27"/>
    <w:rsid w:val="42E93EC4"/>
    <w:rsid w:val="42FF4ACA"/>
    <w:rsid w:val="430D71E7"/>
    <w:rsid w:val="431F1109"/>
    <w:rsid w:val="435E2CA3"/>
    <w:rsid w:val="43682A8A"/>
    <w:rsid w:val="436D237B"/>
    <w:rsid w:val="438C7084"/>
    <w:rsid w:val="43AC4C52"/>
    <w:rsid w:val="43BC2914"/>
    <w:rsid w:val="43D21AB6"/>
    <w:rsid w:val="43E65D02"/>
    <w:rsid w:val="43E919DC"/>
    <w:rsid w:val="4414290E"/>
    <w:rsid w:val="441A7E0D"/>
    <w:rsid w:val="441D16AC"/>
    <w:rsid w:val="446C5795"/>
    <w:rsid w:val="449556E6"/>
    <w:rsid w:val="44985E20"/>
    <w:rsid w:val="44BC6AA8"/>
    <w:rsid w:val="44D0720B"/>
    <w:rsid w:val="44E54A5F"/>
    <w:rsid w:val="45250C01"/>
    <w:rsid w:val="454A4722"/>
    <w:rsid w:val="45604B00"/>
    <w:rsid w:val="457572C5"/>
    <w:rsid w:val="457A4B71"/>
    <w:rsid w:val="45BE6EBE"/>
    <w:rsid w:val="45CD7101"/>
    <w:rsid w:val="45D872AB"/>
    <w:rsid w:val="45F97EF6"/>
    <w:rsid w:val="45FC3543"/>
    <w:rsid w:val="46024FFD"/>
    <w:rsid w:val="46115240"/>
    <w:rsid w:val="461D5993"/>
    <w:rsid w:val="4642189D"/>
    <w:rsid w:val="464F7B16"/>
    <w:rsid w:val="46576B48"/>
    <w:rsid w:val="467D4684"/>
    <w:rsid w:val="467F4B50"/>
    <w:rsid w:val="46984955"/>
    <w:rsid w:val="46BB51AC"/>
    <w:rsid w:val="46EF7152"/>
    <w:rsid w:val="46F74436"/>
    <w:rsid w:val="470907F8"/>
    <w:rsid w:val="470E1780"/>
    <w:rsid w:val="47267356"/>
    <w:rsid w:val="4737190F"/>
    <w:rsid w:val="47375C19"/>
    <w:rsid w:val="473867FC"/>
    <w:rsid w:val="473C009B"/>
    <w:rsid w:val="47543636"/>
    <w:rsid w:val="47562215"/>
    <w:rsid w:val="476F66C2"/>
    <w:rsid w:val="477041E8"/>
    <w:rsid w:val="477063E4"/>
    <w:rsid w:val="477334C4"/>
    <w:rsid w:val="478D68F9"/>
    <w:rsid w:val="478D6B48"/>
    <w:rsid w:val="47A3636C"/>
    <w:rsid w:val="47BC742D"/>
    <w:rsid w:val="47BE75C1"/>
    <w:rsid w:val="480856C1"/>
    <w:rsid w:val="48147269"/>
    <w:rsid w:val="482079BC"/>
    <w:rsid w:val="483E64CB"/>
    <w:rsid w:val="487877F8"/>
    <w:rsid w:val="48A24875"/>
    <w:rsid w:val="48BB4F33"/>
    <w:rsid w:val="48BD345D"/>
    <w:rsid w:val="48CF0379"/>
    <w:rsid w:val="491350FB"/>
    <w:rsid w:val="4922204C"/>
    <w:rsid w:val="49227764"/>
    <w:rsid w:val="49301F00"/>
    <w:rsid w:val="49407CA0"/>
    <w:rsid w:val="494B7199"/>
    <w:rsid w:val="495711BC"/>
    <w:rsid w:val="495A17FC"/>
    <w:rsid w:val="495A6EFE"/>
    <w:rsid w:val="496043CA"/>
    <w:rsid w:val="496D4E83"/>
    <w:rsid w:val="496F29A9"/>
    <w:rsid w:val="498D1615"/>
    <w:rsid w:val="498D2E30"/>
    <w:rsid w:val="49913AED"/>
    <w:rsid w:val="49AF0B34"/>
    <w:rsid w:val="49B06B1E"/>
    <w:rsid w:val="49B22896"/>
    <w:rsid w:val="49B74C47"/>
    <w:rsid w:val="49C50944"/>
    <w:rsid w:val="4A58168F"/>
    <w:rsid w:val="4A6077D1"/>
    <w:rsid w:val="4A68541B"/>
    <w:rsid w:val="4A6F554D"/>
    <w:rsid w:val="4A8A55C1"/>
    <w:rsid w:val="4A934997"/>
    <w:rsid w:val="4ABC2256"/>
    <w:rsid w:val="4B2F1345"/>
    <w:rsid w:val="4B4A7644"/>
    <w:rsid w:val="4B6D7487"/>
    <w:rsid w:val="4B7047B7"/>
    <w:rsid w:val="4B7324F9"/>
    <w:rsid w:val="4B8742E0"/>
    <w:rsid w:val="4B9D7131"/>
    <w:rsid w:val="4BB84501"/>
    <w:rsid w:val="4BBA1ED6"/>
    <w:rsid w:val="4BBD5522"/>
    <w:rsid w:val="4BD33047"/>
    <w:rsid w:val="4C07336D"/>
    <w:rsid w:val="4C2E681A"/>
    <w:rsid w:val="4C467DE6"/>
    <w:rsid w:val="4C4D3D9C"/>
    <w:rsid w:val="4C5256D4"/>
    <w:rsid w:val="4CAC181F"/>
    <w:rsid w:val="4CEC2728"/>
    <w:rsid w:val="4CF277EC"/>
    <w:rsid w:val="4CF930A2"/>
    <w:rsid w:val="4D0253C0"/>
    <w:rsid w:val="4D1E764A"/>
    <w:rsid w:val="4D5679DC"/>
    <w:rsid w:val="4D590A95"/>
    <w:rsid w:val="4D6640C3"/>
    <w:rsid w:val="4D987FF5"/>
    <w:rsid w:val="4DA24F22"/>
    <w:rsid w:val="4DA42E3E"/>
    <w:rsid w:val="4DBE1B3C"/>
    <w:rsid w:val="4DC14227"/>
    <w:rsid w:val="4DF01BDF"/>
    <w:rsid w:val="4E09339F"/>
    <w:rsid w:val="4E21448E"/>
    <w:rsid w:val="4E370E29"/>
    <w:rsid w:val="4E3A59BC"/>
    <w:rsid w:val="4E4837C9"/>
    <w:rsid w:val="4E6671DB"/>
    <w:rsid w:val="4E6D76D3"/>
    <w:rsid w:val="4E97716B"/>
    <w:rsid w:val="4E990E3C"/>
    <w:rsid w:val="4EAA7FE0"/>
    <w:rsid w:val="4EB64BD7"/>
    <w:rsid w:val="4EBB3AF4"/>
    <w:rsid w:val="4F2F6737"/>
    <w:rsid w:val="4F471CD3"/>
    <w:rsid w:val="4F474C2A"/>
    <w:rsid w:val="4F58096F"/>
    <w:rsid w:val="4F626B0C"/>
    <w:rsid w:val="4F675ED1"/>
    <w:rsid w:val="4F6D7B78"/>
    <w:rsid w:val="4F844CD5"/>
    <w:rsid w:val="4FEB08B0"/>
    <w:rsid w:val="4FEB6B02"/>
    <w:rsid w:val="50444D71"/>
    <w:rsid w:val="505A06D8"/>
    <w:rsid w:val="5067715E"/>
    <w:rsid w:val="5079251F"/>
    <w:rsid w:val="509727E6"/>
    <w:rsid w:val="50CB10B9"/>
    <w:rsid w:val="50D77086"/>
    <w:rsid w:val="50EE4AFC"/>
    <w:rsid w:val="50F43794"/>
    <w:rsid w:val="50F56352"/>
    <w:rsid w:val="512F6EC2"/>
    <w:rsid w:val="51375723"/>
    <w:rsid w:val="51427588"/>
    <w:rsid w:val="514911AD"/>
    <w:rsid w:val="51493AE0"/>
    <w:rsid w:val="51600E2A"/>
    <w:rsid w:val="5167040A"/>
    <w:rsid w:val="517700C8"/>
    <w:rsid w:val="517D5E7F"/>
    <w:rsid w:val="51844B18"/>
    <w:rsid w:val="518A5EA7"/>
    <w:rsid w:val="51B7529F"/>
    <w:rsid w:val="51DB7231"/>
    <w:rsid w:val="52056F14"/>
    <w:rsid w:val="52065E75"/>
    <w:rsid w:val="52100AA2"/>
    <w:rsid w:val="52392202"/>
    <w:rsid w:val="524644C3"/>
    <w:rsid w:val="526F3A1A"/>
    <w:rsid w:val="527C7EE5"/>
    <w:rsid w:val="52990A97"/>
    <w:rsid w:val="52C076E1"/>
    <w:rsid w:val="52C5188C"/>
    <w:rsid w:val="52CC238B"/>
    <w:rsid w:val="52FC4B82"/>
    <w:rsid w:val="52FE4928"/>
    <w:rsid w:val="5302488E"/>
    <w:rsid w:val="531D4437"/>
    <w:rsid w:val="53204D14"/>
    <w:rsid w:val="533B0E8C"/>
    <w:rsid w:val="53422EDD"/>
    <w:rsid w:val="53513120"/>
    <w:rsid w:val="53514ECE"/>
    <w:rsid w:val="5358625C"/>
    <w:rsid w:val="537D7950"/>
    <w:rsid w:val="53D224B3"/>
    <w:rsid w:val="53D75D0A"/>
    <w:rsid w:val="53D8617A"/>
    <w:rsid w:val="53E53868"/>
    <w:rsid w:val="54091C4C"/>
    <w:rsid w:val="5411465D"/>
    <w:rsid w:val="54372316"/>
    <w:rsid w:val="54556C40"/>
    <w:rsid w:val="54576514"/>
    <w:rsid w:val="5458228C"/>
    <w:rsid w:val="54620EFE"/>
    <w:rsid w:val="5463310B"/>
    <w:rsid w:val="5479292E"/>
    <w:rsid w:val="5483555B"/>
    <w:rsid w:val="549A1A09"/>
    <w:rsid w:val="54AF6350"/>
    <w:rsid w:val="54BB2F47"/>
    <w:rsid w:val="54CE369C"/>
    <w:rsid w:val="54D5124F"/>
    <w:rsid w:val="54D933CD"/>
    <w:rsid w:val="54E409C5"/>
    <w:rsid w:val="55102B67"/>
    <w:rsid w:val="5512068D"/>
    <w:rsid w:val="55123095"/>
    <w:rsid w:val="55141860"/>
    <w:rsid w:val="55356592"/>
    <w:rsid w:val="55376345"/>
    <w:rsid w:val="5591789E"/>
    <w:rsid w:val="5595630F"/>
    <w:rsid w:val="559A4014"/>
    <w:rsid w:val="55B42053"/>
    <w:rsid w:val="55C951EF"/>
    <w:rsid w:val="55D12672"/>
    <w:rsid w:val="55D83684"/>
    <w:rsid w:val="55D87B28"/>
    <w:rsid w:val="56114282"/>
    <w:rsid w:val="561E504F"/>
    <w:rsid w:val="56446761"/>
    <w:rsid w:val="567D5FDA"/>
    <w:rsid w:val="56890E23"/>
    <w:rsid w:val="568B4631"/>
    <w:rsid w:val="568D1D06"/>
    <w:rsid w:val="56A80FD2"/>
    <w:rsid w:val="56C27B93"/>
    <w:rsid w:val="56D007FF"/>
    <w:rsid w:val="56D27821"/>
    <w:rsid w:val="570D1A54"/>
    <w:rsid w:val="571E5CC1"/>
    <w:rsid w:val="57351FB7"/>
    <w:rsid w:val="573C7556"/>
    <w:rsid w:val="574B2FC4"/>
    <w:rsid w:val="57715068"/>
    <w:rsid w:val="57776ECD"/>
    <w:rsid w:val="578570EE"/>
    <w:rsid w:val="57B95737"/>
    <w:rsid w:val="57C51F9D"/>
    <w:rsid w:val="57DE6F4C"/>
    <w:rsid w:val="57E815B4"/>
    <w:rsid w:val="57FA1FD8"/>
    <w:rsid w:val="5813749C"/>
    <w:rsid w:val="58164938"/>
    <w:rsid w:val="581A61D6"/>
    <w:rsid w:val="583D0117"/>
    <w:rsid w:val="58627B7D"/>
    <w:rsid w:val="586438F5"/>
    <w:rsid w:val="586E02D0"/>
    <w:rsid w:val="587C29ED"/>
    <w:rsid w:val="58896EB8"/>
    <w:rsid w:val="58A61818"/>
    <w:rsid w:val="58B55EFF"/>
    <w:rsid w:val="58DE7204"/>
    <w:rsid w:val="59001E1B"/>
    <w:rsid w:val="59351956"/>
    <w:rsid w:val="593A6404"/>
    <w:rsid w:val="5943263A"/>
    <w:rsid w:val="59462FFB"/>
    <w:rsid w:val="595066BA"/>
    <w:rsid w:val="595E157F"/>
    <w:rsid w:val="598709E8"/>
    <w:rsid w:val="598F52F9"/>
    <w:rsid w:val="59914276"/>
    <w:rsid w:val="5999137D"/>
    <w:rsid w:val="59B34DBE"/>
    <w:rsid w:val="59B60181"/>
    <w:rsid w:val="59BE2439"/>
    <w:rsid w:val="59E3084A"/>
    <w:rsid w:val="5A0C4E21"/>
    <w:rsid w:val="5A19426B"/>
    <w:rsid w:val="5A2C21F1"/>
    <w:rsid w:val="5A2E5F69"/>
    <w:rsid w:val="5A3F5D4A"/>
    <w:rsid w:val="5A697C1F"/>
    <w:rsid w:val="5A985C30"/>
    <w:rsid w:val="5ABD72ED"/>
    <w:rsid w:val="5AD72BFB"/>
    <w:rsid w:val="5AF54CD9"/>
    <w:rsid w:val="5AF56A87"/>
    <w:rsid w:val="5AF73971"/>
    <w:rsid w:val="5B112729"/>
    <w:rsid w:val="5B1F42C4"/>
    <w:rsid w:val="5B305B85"/>
    <w:rsid w:val="5B4F43E9"/>
    <w:rsid w:val="5B6F05E7"/>
    <w:rsid w:val="5BA04C44"/>
    <w:rsid w:val="5BAB5397"/>
    <w:rsid w:val="5BCD22B6"/>
    <w:rsid w:val="5BE10DB9"/>
    <w:rsid w:val="5BE43759"/>
    <w:rsid w:val="5BFE2D26"/>
    <w:rsid w:val="5C4A2E02"/>
    <w:rsid w:val="5C6B7516"/>
    <w:rsid w:val="5C77552B"/>
    <w:rsid w:val="5C841E70"/>
    <w:rsid w:val="5C8B067F"/>
    <w:rsid w:val="5C8F672D"/>
    <w:rsid w:val="5CCE57E1"/>
    <w:rsid w:val="5CF03CA8"/>
    <w:rsid w:val="5CF214D0"/>
    <w:rsid w:val="5CFC2D0A"/>
    <w:rsid w:val="5D1755BF"/>
    <w:rsid w:val="5DA12EF6"/>
    <w:rsid w:val="5DD8364B"/>
    <w:rsid w:val="5E027CB9"/>
    <w:rsid w:val="5E31427A"/>
    <w:rsid w:val="5E43748C"/>
    <w:rsid w:val="5E4F4700"/>
    <w:rsid w:val="5E734892"/>
    <w:rsid w:val="5E767EDE"/>
    <w:rsid w:val="5E962F98"/>
    <w:rsid w:val="5ED30E8D"/>
    <w:rsid w:val="5EDB5F93"/>
    <w:rsid w:val="5EF0608A"/>
    <w:rsid w:val="5EFA466C"/>
    <w:rsid w:val="5EFB58BA"/>
    <w:rsid w:val="5F082468"/>
    <w:rsid w:val="5F181EB0"/>
    <w:rsid w:val="5F1C6CD8"/>
    <w:rsid w:val="5F225993"/>
    <w:rsid w:val="5F2E5EEF"/>
    <w:rsid w:val="5F357D99"/>
    <w:rsid w:val="5F3C1128"/>
    <w:rsid w:val="5F5F0972"/>
    <w:rsid w:val="5F5F70E5"/>
    <w:rsid w:val="5FB27343"/>
    <w:rsid w:val="5FB35E4B"/>
    <w:rsid w:val="5FD20369"/>
    <w:rsid w:val="5FEC48FC"/>
    <w:rsid w:val="60114363"/>
    <w:rsid w:val="60213E7A"/>
    <w:rsid w:val="60255718"/>
    <w:rsid w:val="603406EE"/>
    <w:rsid w:val="60445B7D"/>
    <w:rsid w:val="605D3104"/>
    <w:rsid w:val="60883EF9"/>
    <w:rsid w:val="60C413D5"/>
    <w:rsid w:val="60C45483"/>
    <w:rsid w:val="60C767CF"/>
    <w:rsid w:val="60DF17CB"/>
    <w:rsid w:val="60DF7FBD"/>
    <w:rsid w:val="60E6316A"/>
    <w:rsid w:val="60FF240D"/>
    <w:rsid w:val="61241E74"/>
    <w:rsid w:val="614147D4"/>
    <w:rsid w:val="61590BBB"/>
    <w:rsid w:val="615C33BC"/>
    <w:rsid w:val="61AE798F"/>
    <w:rsid w:val="61BD7BD2"/>
    <w:rsid w:val="61C10DC1"/>
    <w:rsid w:val="61CF435F"/>
    <w:rsid w:val="61D84914"/>
    <w:rsid w:val="61E67129"/>
    <w:rsid w:val="621B3778"/>
    <w:rsid w:val="622A5268"/>
    <w:rsid w:val="624172DA"/>
    <w:rsid w:val="627F0053"/>
    <w:rsid w:val="62894684"/>
    <w:rsid w:val="629D6CD6"/>
    <w:rsid w:val="62B9483E"/>
    <w:rsid w:val="62BD432E"/>
    <w:rsid w:val="62BE3C02"/>
    <w:rsid w:val="62C0797A"/>
    <w:rsid w:val="62CC3579"/>
    <w:rsid w:val="62DA4E71"/>
    <w:rsid w:val="62ED29CC"/>
    <w:rsid w:val="62F615EE"/>
    <w:rsid w:val="63027F93"/>
    <w:rsid w:val="63235C57"/>
    <w:rsid w:val="633A597E"/>
    <w:rsid w:val="633A772C"/>
    <w:rsid w:val="63612F0B"/>
    <w:rsid w:val="636E5628"/>
    <w:rsid w:val="6383224F"/>
    <w:rsid w:val="638E5CCA"/>
    <w:rsid w:val="63A57A90"/>
    <w:rsid w:val="63D47C8E"/>
    <w:rsid w:val="63DC5E87"/>
    <w:rsid w:val="63E6078D"/>
    <w:rsid w:val="63FB0CDC"/>
    <w:rsid w:val="64030466"/>
    <w:rsid w:val="641E7BAC"/>
    <w:rsid w:val="64244331"/>
    <w:rsid w:val="642C127C"/>
    <w:rsid w:val="64526CF8"/>
    <w:rsid w:val="648E04D0"/>
    <w:rsid w:val="64B654D9"/>
    <w:rsid w:val="64D5596E"/>
    <w:rsid w:val="64EC4A56"/>
    <w:rsid w:val="64ED07CF"/>
    <w:rsid w:val="65037FF2"/>
    <w:rsid w:val="650543CA"/>
    <w:rsid w:val="652663C4"/>
    <w:rsid w:val="653D3504"/>
    <w:rsid w:val="654F3237"/>
    <w:rsid w:val="65740B5F"/>
    <w:rsid w:val="657D1B52"/>
    <w:rsid w:val="65907AD8"/>
    <w:rsid w:val="659A6511"/>
    <w:rsid w:val="65AB12E7"/>
    <w:rsid w:val="65B10B70"/>
    <w:rsid w:val="65CB4FB4"/>
    <w:rsid w:val="65D379C4"/>
    <w:rsid w:val="65E16585"/>
    <w:rsid w:val="65E676F8"/>
    <w:rsid w:val="65EB0394"/>
    <w:rsid w:val="65EC58B4"/>
    <w:rsid w:val="66076FAE"/>
    <w:rsid w:val="660D371B"/>
    <w:rsid w:val="66285F62"/>
    <w:rsid w:val="662E2842"/>
    <w:rsid w:val="664960A1"/>
    <w:rsid w:val="66522FDF"/>
    <w:rsid w:val="6695111E"/>
    <w:rsid w:val="66A13F0D"/>
    <w:rsid w:val="66A51361"/>
    <w:rsid w:val="66A82BFF"/>
    <w:rsid w:val="66B617C0"/>
    <w:rsid w:val="66BE0674"/>
    <w:rsid w:val="66F978FF"/>
    <w:rsid w:val="670C13E0"/>
    <w:rsid w:val="6710420B"/>
    <w:rsid w:val="67533CA1"/>
    <w:rsid w:val="67694A84"/>
    <w:rsid w:val="676B5D1B"/>
    <w:rsid w:val="67DA53D4"/>
    <w:rsid w:val="67DA7D95"/>
    <w:rsid w:val="67E46E81"/>
    <w:rsid w:val="680E73DA"/>
    <w:rsid w:val="682430F5"/>
    <w:rsid w:val="683913F1"/>
    <w:rsid w:val="68466B73"/>
    <w:rsid w:val="68721717"/>
    <w:rsid w:val="68752FB5"/>
    <w:rsid w:val="688F22C8"/>
    <w:rsid w:val="68A20250"/>
    <w:rsid w:val="68A90854"/>
    <w:rsid w:val="68D75A1D"/>
    <w:rsid w:val="68D87B69"/>
    <w:rsid w:val="68D979E8"/>
    <w:rsid w:val="69054339"/>
    <w:rsid w:val="69362993"/>
    <w:rsid w:val="693C4DFA"/>
    <w:rsid w:val="694C0940"/>
    <w:rsid w:val="69623539"/>
    <w:rsid w:val="69826A55"/>
    <w:rsid w:val="69934DBD"/>
    <w:rsid w:val="699D0A15"/>
    <w:rsid w:val="69A27DD9"/>
    <w:rsid w:val="69A76DF8"/>
    <w:rsid w:val="69BB70ED"/>
    <w:rsid w:val="69C67F6C"/>
    <w:rsid w:val="69D41F5D"/>
    <w:rsid w:val="69DA187A"/>
    <w:rsid w:val="6A102F95"/>
    <w:rsid w:val="6A3109C0"/>
    <w:rsid w:val="6A435F21"/>
    <w:rsid w:val="6A5D01A4"/>
    <w:rsid w:val="6A682DD1"/>
    <w:rsid w:val="6A786D8C"/>
    <w:rsid w:val="6A885221"/>
    <w:rsid w:val="6A8F7E72"/>
    <w:rsid w:val="6A9C2F2D"/>
    <w:rsid w:val="6AD423C6"/>
    <w:rsid w:val="6AEC19A4"/>
    <w:rsid w:val="6AF26B3F"/>
    <w:rsid w:val="6AF424F3"/>
    <w:rsid w:val="6B056872"/>
    <w:rsid w:val="6B2B5B3A"/>
    <w:rsid w:val="6B38317C"/>
    <w:rsid w:val="6B3B3693"/>
    <w:rsid w:val="6B533A81"/>
    <w:rsid w:val="6B5415A7"/>
    <w:rsid w:val="6B5670CE"/>
    <w:rsid w:val="6B574BF4"/>
    <w:rsid w:val="6B607F4C"/>
    <w:rsid w:val="6B625A72"/>
    <w:rsid w:val="6B77042E"/>
    <w:rsid w:val="6B811488"/>
    <w:rsid w:val="6B8930F1"/>
    <w:rsid w:val="6B9145AA"/>
    <w:rsid w:val="6BA20D50"/>
    <w:rsid w:val="6BA442DD"/>
    <w:rsid w:val="6BB058C5"/>
    <w:rsid w:val="6BC06C3D"/>
    <w:rsid w:val="6BD04224"/>
    <w:rsid w:val="6C046B2A"/>
    <w:rsid w:val="6C055618"/>
    <w:rsid w:val="6C105ED9"/>
    <w:rsid w:val="6C1C4AC4"/>
    <w:rsid w:val="6C382C77"/>
    <w:rsid w:val="6C406C76"/>
    <w:rsid w:val="6C4433CA"/>
    <w:rsid w:val="6C6D0B73"/>
    <w:rsid w:val="6C787517"/>
    <w:rsid w:val="6C7A3E93"/>
    <w:rsid w:val="6C7C38E6"/>
    <w:rsid w:val="6C9F1D22"/>
    <w:rsid w:val="6CA42BEA"/>
    <w:rsid w:val="6CA457D0"/>
    <w:rsid w:val="6CA6699F"/>
    <w:rsid w:val="6CDA3D2E"/>
    <w:rsid w:val="6CE85AFA"/>
    <w:rsid w:val="6D0D6267"/>
    <w:rsid w:val="6D2B6338"/>
    <w:rsid w:val="6D323B6A"/>
    <w:rsid w:val="6D505D9E"/>
    <w:rsid w:val="6D723F67"/>
    <w:rsid w:val="6D7C6B93"/>
    <w:rsid w:val="6D8C5028"/>
    <w:rsid w:val="6DA22A9E"/>
    <w:rsid w:val="6DB14A8F"/>
    <w:rsid w:val="6DC22544"/>
    <w:rsid w:val="6DF02586"/>
    <w:rsid w:val="6DF257E0"/>
    <w:rsid w:val="6DFB3F5C"/>
    <w:rsid w:val="6DFD1A82"/>
    <w:rsid w:val="6E093EEA"/>
    <w:rsid w:val="6E0E1EE1"/>
    <w:rsid w:val="6E0F3A3A"/>
    <w:rsid w:val="6E162B44"/>
    <w:rsid w:val="6E4F4257"/>
    <w:rsid w:val="6E55366C"/>
    <w:rsid w:val="6E586D17"/>
    <w:rsid w:val="6E8201DA"/>
    <w:rsid w:val="6E865F1C"/>
    <w:rsid w:val="6EA165BF"/>
    <w:rsid w:val="6EB14A39"/>
    <w:rsid w:val="6EBD420F"/>
    <w:rsid w:val="6EE3336E"/>
    <w:rsid w:val="6EE655EA"/>
    <w:rsid w:val="6EE92007"/>
    <w:rsid w:val="6F012FA0"/>
    <w:rsid w:val="6F196D90"/>
    <w:rsid w:val="6F305E87"/>
    <w:rsid w:val="6F370FC4"/>
    <w:rsid w:val="6F3B6E8A"/>
    <w:rsid w:val="6F437DE0"/>
    <w:rsid w:val="6F50730C"/>
    <w:rsid w:val="6F6F38FC"/>
    <w:rsid w:val="6F775864"/>
    <w:rsid w:val="6F871F4B"/>
    <w:rsid w:val="6FB81377"/>
    <w:rsid w:val="6FC54822"/>
    <w:rsid w:val="701337DF"/>
    <w:rsid w:val="701B08E6"/>
    <w:rsid w:val="70343755"/>
    <w:rsid w:val="706340B5"/>
    <w:rsid w:val="706C1141"/>
    <w:rsid w:val="7093752D"/>
    <w:rsid w:val="70A703CB"/>
    <w:rsid w:val="70AF0C3C"/>
    <w:rsid w:val="70B813C8"/>
    <w:rsid w:val="70BC5EE3"/>
    <w:rsid w:val="70ED1A40"/>
    <w:rsid w:val="70F35734"/>
    <w:rsid w:val="710B2708"/>
    <w:rsid w:val="71123118"/>
    <w:rsid w:val="711907CF"/>
    <w:rsid w:val="7124455A"/>
    <w:rsid w:val="71337C1D"/>
    <w:rsid w:val="715C03D8"/>
    <w:rsid w:val="71752277"/>
    <w:rsid w:val="718715AD"/>
    <w:rsid w:val="71C225C6"/>
    <w:rsid w:val="71D426C7"/>
    <w:rsid w:val="71E700D9"/>
    <w:rsid w:val="71F760DD"/>
    <w:rsid w:val="720073C3"/>
    <w:rsid w:val="72141A90"/>
    <w:rsid w:val="72161365"/>
    <w:rsid w:val="721D0945"/>
    <w:rsid w:val="722C2936"/>
    <w:rsid w:val="723932A5"/>
    <w:rsid w:val="72516841"/>
    <w:rsid w:val="72732A86"/>
    <w:rsid w:val="728C5ACB"/>
    <w:rsid w:val="729807A9"/>
    <w:rsid w:val="729D55E2"/>
    <w:rsid w:val="72A746B3"/>
    <w:rsid w:val="72AD7BF1"/>
    <w:rsid w:val="72C60FDD"/>
    <w:rsid w:val="72CE60E3"/>
    <w:rsid w:val="72E871A5"/>
    <w:rsid w:val="72FC307A"/>
    <w:rsid w:val="72FC67AC"/>
    <w:rsid w:val="72FF44EF"/>
    <w:rsid w:val="73010267"/>
    <w:rsid w:val="73102258"/>
    <w:rsid w:val="731107FB"/>
    <w:rsid w:val="73164A2A"/>
    <w:rsid w:val="7322314F"/>
    <w:rsid w:val="734B27BE"/>
    <w:rsid w:val="7358775B"/>
    <w:rsid w:val="738E7B14"/>
    <w:rsid w:val="73994C91"/>
    <w:rsid w:val="73A530BB"/>
    <w:rsid w:val="73BF77DA"/>
    <w:rsid w:val="74055F04"/>
    <w:rsid w:val="740617BB"/>
    <w:rsid w:val="74081181"/>
    <w:rsid w:val="740C0C71"/>
    <w:rsid w:val="741C69DA"/>
    <w:rsid w:val="74510D7A"/>
    <w:rsid w:val="74561EEC"/>
    <w:rsid w:val="7465278B"/>
    <w:rsid w:val="74696559"/>
    <w:rsid w:val="747E3680"/>
    <w:rsid w:val="7489596A"/>
    <w:rsid w:val="74A52DD6"/>
    <w:rsid w:val="74A6237F"/>
    <w:rsid w:val="74C4779E"/>
    <w:rsid w:val="74C94DB4"/>
    <w:rsid w:val="74E416CD"/>
    <w:rsid w:val="74F32B34"/>
    <w:rsid w:val="74F96A63"/>
    <w:rsid w:val="74FD6898"/>
    <w:rsid w:val="75183447"/>
    <w:rsid w:val="756B19C7"/>
    <w:rsid w:val="756E14B8"/>
    <w:rsid w:val="75BD482C"/>
    <w:rsid w:val="75BF3AC1"/>
    <w:rsid w:val="75D02172"/>
    <w:rsid w:val="760F4A49"/>
    <w:rsid w:val="761C7758"/>
    <w:rsid w:val="761E14F0"/>
    <w:rsid w:val="76564426"/>
    <w:rsid w:val="76571F4C"/>
    <w:rsid w:val="766347B5"/>
    <w:rsid w:val="76740D50"/>
    <w:rsid w:val="767A3D73"/>
    <w:rsid w:val="76A7284B"/>
    <w:rsid w:val="76AF3B36"/>
    <w:rsid w:val="76BB24DB"/>
    <w:rsid w:val="76C9109B"/>
    <w:rsid w:val="76DB01BC"/>
    <w:rsid w:val="76E0030C"/>
    <w:rsid w:val="76F854DD"/>
    <w:rsid w:val="770E4D00"/>
    <w:rsid w:val="771A18F7"/>
    <w:rsid w:val="7749325C"/>
    <w:rsid w:val="775E5C88"/>
    <w:rsid w:val="77725FBB"/>
    <w:rsid w:val="77885876"/>
    <w:rsid w:val="77B040EB"/>
    <w:rsid w:val="77DA1086"/>
    <w:rsid w:val="77FE6B23"/>
    <w:rsid w:val="78043EFD"/>
    <w:rsid w:val="78092607"/>
    <w:rsid w:val="78104469"/>
    <w:rsid w:val="782B3690"/>
    <w:rsid w:val="782C63A8"/>
    <w:rsid w:val="7857144A"/>
    <w:rsid w:val="785C1A9B"/>
    <w:rsid w:val="785D5F3F"/>
    <w:rsid w:val="785D722D"/>
    <w:rsid w:val="78615304"/>
    <w:rsid w:val="786170B2"/>
    <w:rsid w:val="787D213D"/>
    <w:rsid w:val="78873A16"/>
    <w:rsid w:val="78C0027C"/>
    <w:rsid w:val="78C706B5"/>
    <w:rsid w:val="78DE5AF8"/>
    <w:rsid w:val="78E80731"/>
    <w:rsid w:val="78F30652"/>
    <w:rsid w:val="78F30C17"/>
    <w:rsid w:val="79022643"/>
    <w:rsid w:val="790A599B"/>
    <w:rsid w:val="790B08CE"/>
    <w:rsid w:val="792A35F4"/>
    <w:rsid w:val="794C7D62"/>
    <w:rsid w:val="797C190D"/>
    <w:rsid w:val="79984D55"/>
    <w:rsid w:val="79B340A5"/>
    <w:rsid w:val="79B4449B"/>
    <w:rsid w:val="79E9735F"/>
    <w:rsid w:val="79EB1329"/>
    <w:rsid w:val="7A187C44"/>
    <w:rsid w:val="7A5549F4"/>
    <w:rsid w:val="7A6B246A"/>
    <w:rsid w:val="7A911ED0"/>
    <w:rsid w:val="7AF366E7"/>
    <w:rsid w:val="7B3152AC"/>
    <w:rsid w:val="7B3B008E"/>
    <w:rsid w:val="7B470B15"/>
    <w:rsid w:val="7B4C5DF7"/>
    <w:rsid w:val="7B542EFE"/>
    <w:rsid w:val="7B643141"/>
    <w:rsid w:val="7B8437E3"/>
    <w:rsid w:val="7B875081"/>
    <w:rsid w:val="7B8A64F2"/>
    <w:rsid w:val="7B9365E7"/>
    <w:rsid w:val="7BDE0CA6"/>
    <w:rsid w:val="7BDF6C6B"/>
    <w:rsid w:val="7BFA20A5"/>
    <w:rsid w:val="7C0D23F1"/>
    <w:rsid w:val="7C0E7550"/>
    <w:rsid w:val="7C0F20CD"/>
    <w:rsid w:val="7C1903CF"/>
    <w:rsid w:val="7C2B3C5E"/>
    <w:rsid w:val="7C2F7BF3"/>
    <w:rsid w:val="7C484810"/>
    <w:rsid w:val="7C8F0691"/>
    <w:rsid w:val="7C983453"/>
    <w:rsid w:val="7CAA0162"/>
    <w:rsid w:val="7CCB71F0"/>
    <w:rsid w:val="7CD77E7A"/>
    <w:rsid w:val="7CDE700F"/>
    <w:rsid w:val="7CE65DD7"/>
    <w:rsid w:val="7CF566CD"/>
    <w:rsid w:val="7D204198"/>
    <w:rsid w:val="7D225061"/>
    <w:rsid w:val="7D464749"/>
    <w:rsid w:val="7D4E2D2D"/>
    <w:rsid w:val="7D7E4262"/>
    <w:rsid w:val="7DA51340"/>
    <w:rsid w:val="7DAD77D1"/>
    <w:rsid w:val="7DB72F39"/>
    <w:rsid w:val="7DBD2FDC"/>
    <w:rsid w:val="7DD172E6"/>
    <w:rsid w:val="7E030AED"/>
    <w:rsid w:val="7E241A7D"/>
    <w:rsid w:val="7E372486"/>
    <w:rsid w:val="7E5020A2"/>
    <w:rsid w:val="7E5C0CCF"/>
    <w:rsid w:val="7E81225C"/>
    <w:rsid w:val="7E971A7F"/>
    <w:rsid w:val="7EBD27E3"/>
    <w:rsid w:val="7EE57FC6"/>
    <w:rsid w:val="7EFE565A"/>
    <w:rsid w:val="7F125748"/>
    <w:rsid w:val="7F365394"/>
    <w:rsid w:val="7F547970"/>
    <w:rsid w:val="7F5D6825"/>
    <w:rsid w:val="7F6B6CA9"/>
    <w:rsid w:val="7F78540D"/>
    <w:rsid w:val="7F8D69DE"/>
    <w:rsid w:val="7F967EB5"/>
    <w:rsid w:val="7FBE43E0"/>
    <w:rsid w:val="7FCB5E84"/>
    <w:rsid w:val="7FD74225"/>
    <w:rsid w:val="7FE777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qFormat="1" w:uiPriority="99" w:semiHidden="0" w:name="envelope address"/>
    <w:lsdException w:qFormat="1" w:uiPriority="99"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qFormat="1" w:uiPriority="99" w:semiHidden="0" w:name="endnote text"/>
    <w:lsdException w:qFormat="1" w:uiPriority="99" w:semiHidden="0" w:name="table of authorities"/>
    <w:lsdException w:qFormat="1" w:uiPriority="0" w:semiHidden="0" w:name="macro"/>
    <w:lsdException w:qFormat="1" w:uiPriority="99" w:semiHidden="0" w:name="toa heading"/>
    <w:lsdException w:qFormat="1" w:unhideWhenUsed="0" w:uiPriority="99" w:semiHidden="0" w:name="List"/>
    <w:lsdException w:qFormat="1" w:uiPriority="99" w:semiHidden="0" w:name="List Bullet"/>
    <w:lsdException w:qFormat="1" w:unhideWhenUsed="0" w:uiPriority="99"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99" w:semiHidden="0" w:name="List Number 2"/>
    <w:lsdException w:qFormat="1" w:uiPriority="99" w:semiHidden="0" w:name="List Number 3"/>
    <w:lsdException w:qFormat="1" w:uiPriority="99" w:semiHidden="0" w:name="List Number 4"/>
    <w:lsdException w:qFormat="1" w:uiPriority="99" w:semiHidden="0" w:name="List Number 5"/>
    <w:lsdException w:qFormat="1" w:unhideWhenUsed="0" w:uiPriority="0" w:semiHidden="0" w:name="Title"/>
    <w:lsdException w:qFormat="1" w:unhideWhenUsed="0" w:uiPriority="0" w:semiHidden="0" w:name="Closing"/>
    <w:lsdException w:qFormat="1" w:uiPriority="99"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iPriority="99" w:semiHidden="0" w:name="E-mail Signature"/>
    <w:lsdException w:qFormat="1" w:unhideWhenUsed="0" w:uiPriority="99" w:semiHidden="0" w:name="Normal (Web)"/>
    <w:lsdException w:uiPriority="0" w:name="HTML Acronym"/>
    <w:lsdException w:qFormat="1" w:uiPriority="99" w:semiHidden="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99"/>
    <w:qFormat/>
    <w:uiPriority w:val="0"/>
    <w:pPr>
      <w:keepNext/>
      <w:keepLines/>
      <w:autoSpaceDE w:val="0"/>
      <w:autoSpaceDN w:val="0"/>
      <w:adjustRightInd w:val="0"/>
      <w:spacing w:before="340" w:after="330" w:line="578" w:lineRule="atLeast"/>
      <w:jc w:val="center"/>
      <w:outlineLvl w:val="0"/>
    </w:pPr>
    <w:rPr>
      <w:rFonts w:ascii="宋体"/>
      <w:b/>
      <w:kern w:val="0"/>
      <w:sz w:val="44"/>
      <w:szCs w:val="20"/>
    </w:rPr>
  </w:style>
  <w:style w:type="paragraph" w:styleId="2">
    <w:name w:val="heading 2"/>
    <w:basedOn w:val="1"/>
    <w:next w:val="1"/>
    <w:link w:val="97"/>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6"/>
    <w:link w:val="100"/>
    <w:qFormat/>
    <w:uiPriority w:val="0"/>
    <w:pPr>
      <w:keepNext/>
      <w:keepLines/>
      <w:spacing w:before="260" w:after="260" w:line="360" w:lineRule="auto"/>
      <w:jc w:val="center"/>
      <w:outlineLvl w:val="2"/>
    </w:pPr>
    <w:rPr>
      <w:b/>
      <w:sz w:val="32"/>
      <w:szCs w:val="20"/>
    </w:rPr>
  </w:style>
  <w:style w:type="paragraph" w:styleId="7">
    <w:name w:val="heading 4"/>
    <w:basedOn w:val="1"/>
    <w:next w:val="1"/>
    <w:link w:val="102"/>
    <w:qFormat/>
    <w:uiPriority w:val="0"/>
    <w:pPr>
      <w:keepNext/>
      <w:keepLines/>
      <w:tabs>
        <w:tab w:val="left" w:pos="864"/>
      </w:tabs>
      <w:adjustRightInd w:val="0"/>
      <w:snapToGrid w:val="0"/>
      <w:spacing w:before="280" w:after="290"/>
      <w:ind w:left="864" w:hanging="144"/>
      <w:outlineLvl w:val="3"/>
    </w:pPr>
    <w:rPr>
      <w:b/>
      <w:bCs/>
      <w:snapToGrid w:val="0"/>
      <w:kern w:val="0"/>
      <w:sz w:val="36"/>
      <w:szCs w:val="28"/>
    </w:rPr>
  </w:style>
  <w:style w:type="paragraph" w:styleId="8">
    <w:name w:val="heading 5"/>
    <w:basedOn w:val="1"/>
    <w:next w:val="1"/>
    <w:link w:val="103"/>
    <w:qFormat/>
    <w:uiPriority w:val="0"/>
    <w:pPr>
      <w:keepNext/>
      <w:outlineLvl w:val="4"/>
    </w:pPr>
    <w:rPr>
      <w:rFonts w:ascii="宋体" w:hAnsi="宋体"/>
      <w:b/>
      <w:bCs/>
      <w:sz w:val="24"/>
    </w:rPr>
  </w:style>
  <w:style w:type="paragraph" w:styleId="9">
    <w:name w:val="heading 6"/>
    <w:basedOn w:val="1"/>
    <w:next w:val="1"/>
    <w:link w:val="104"/>
    <w:qFormat/>
    <w:uiPriority w:val="0"/>
    <w:pPr>
      <w:keepNext/>
      <w:spacing w:line="500" w:lineRule="exact"/>
      <w:jc w:val="center"/>
      <w:outlineLvl w:val="5"/>
    </w:pPr>
    <w:rPr>
      <w:rFonts w:ascii="宋体" w:hAnsi="宋体"/>
      <w:b/>
      <w:bCs/>
      <w:sz w:val="30"/>
      <w:szCs w:val="30"/>
    </w:rPr>
  </w:style>
  <w:style w:type="paragraph" w:styleId="10">
    <w:name w:val="heading 7"/>
    <w:basedOn w:val="1"/>
    <w:next w:val="1"/>
    <w:link w:val="105"/>
    <w:qFormat/>
    <w:uiPriority w:val="0"/>
    <w:pPr>
      <w:keepNext/>
      <w:keepLines/>
      <w:spacing w:before="240" w:after="64"/>
      <w:outlineLvl w:val="6"/>
    </w:pPr>
    <w:rPr>
      <w:sz w:val="24"/>
    </w:rPr>
  </w:style>
  <w:style w:type="paragraph" w:styleId="11">
    <w:name w:val="heading 8"/>
    <w:basedOn w:val="1"/>
    <w:next w:val="1"/>
    <w:link w:val="106"/>
    <w:qFormat/>
    <w:uiPriority w:val="0"/>
    <w:pPr>
      <w:keepNext/>
      <w:keepLines/>
      <w:spacing w:before="240" w:after="64"/>
      <w:outlineLvl w:val="7"/>
    </w:pPr>
    <w:rPr>
      <w:rFonts w:ascii="Arial" w:hAnsi="Arial" w:eastAsia="黑体"/>
      <w:sz w:val="24"/>
    </w:rPr>
  </w:style>
  <w:style w:type="paragraph" w:styleId="12">
    <w:name w:val="heading 9"/>
    <w:basedOn w:val="1"/>
    <w:next w:val="1"/>
    <w:link w:val="107"/>
    <w:qFormat/>
    <w:uiPriority w:val="0"/>
    <w:pPr>
      <w:keepNext/>
      <w:keepLines/>
      <w:spacing w:before="240" w:after="64"/>
      <w:outlineLvl w:val="8"/>
    </w:pPr>
    <w:rPr>
      <w:rFonts w:ascii="Arial" w:hAnsi="Arial" w:eastAsia="黑体"/>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3">
    <w:name w:val="macro"/>
    <w:link w:val="98"/>
    <w:unhideWhenUsed/>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szCs w:val="24"/>
      <w:lang w:val="en-US" w:eastAsia="zh-CN" w:bidi="ar-SA"/>
    </w:rPr>
  </w:style>
  <w:style w:type="paragraph" w:styleId="6">
    <w:name w:val="Normal Indent"/>
    <w:basedOn w:val="1"/>
    <w:link w:val="101"/>
    <w:qFormat/>
    <w:uiPriority w:val="0"/>
    <w:pPr>
      <w:ind w:firstLine="420"/>
    </w:pPr>
    <w:rPr>
      <w:szCs w:val="20"/>
    </w:rPr>
  </w:style>
  <w:style w:type="paragraph" w:styleId="13">
    <w:name w:val="List 3"/>
    <w:basedOn w:val="1"/>
    <w:unhideWhenUsed/>
    <w:qFormat/>
    <w:uiPriority w:val="99"/>
    <w:pPr>
      <w:ind w:left="100" w:leftChars="400" w:hanging="200" w:hangingChars="200"/>
      <w:contextualSpacing/>
    </w:pPr>
    <w:rPr>
      <w:szCs w:val="20"/>
    </w:rPr>
  </w:style>
  <w:style w:type="paragraph" w:styleId="14">
    <w:name w:val="toc 7"/>
    <w:basedOn w:val="1"/>
    <w:next w:val="1"/>
    <w:qFormat/>
    <w:uiPriority w:val="39"/>
    <w:pPr>
      <w:ind w:left="1260"/>
      <w:jc w:val="left"/>
    </w:pPr>
    <w:rPr>
      <w:sz w:val="18"/>
      <w:szCs w:val="18"/>
    </w:rPr>
  </w:style>
  <w:style w:type="paragraph" w:styleId="15">
    <w:name w:val="List Number 2"/>
    <w:basedOn w:val="1"/>
    <w:unhideWhenUsed/>
    <w:qFormat/>
    <w:uiPriority w:val="99"/>
    <w:pPr>
      <w:tabs>
        <w:tab w:val="left" w:pos="780"/>
        <w:tab w:val="left" w:pos="1049"/>
      </w:tabs>
      <w:ind w:left="1049" w:hanging="420"/>
      <w:contextualSpacing/>
    </w:pPr>
    <w:rPr>
      <w:szCs w:val="20"/>
    </w:rPr>
  </w:style>
  <w:style w:type="paragraph" w:styleId="16">
    <w:name w:val="table of authorities"/>
    <w:basedOn w:val="1"/>
    <w:next w:val="1"/>
    <w:unhideWhenUsed/>
    <w:qFormat/>
    <w:uiPriority w:val="99"/>
    <w:pPr>
      <w:ind w:left="420" w:leftChars="200"/>
    </w:pPr>
    <w:rPr>
      <w:szCs w:val="20"/>
    </w:rPr>
  </w:style>
  <w:style w:type="paragraph" w:styleId="17">
    <w:name w:val="Note Heading"/>
    <w:basedOn w:val="1"/>
    <w:next w:val="1"/>
    <w:link w:val="108"/>
    <w:qFormat/>
    <w:uiPriority w:val="0"/>
    <w:pPr>
      <w:adjustRightInd w:val="0"/>
      <w:spacing w:line="312" w:lineRule="atLeast"/>
      <w:jc w:val="center"/>
      <w:textAlignment w:val="baseline"/>
    </w:pPr>
    <w:rPr>
      <w:kern w:val="0"/>
      <w:szCs w:val="20"/>
    </w:rPr>
  </w:style>
  <w:style w:type="paragraph" w:styleId="18">
    <w:name w:val="List Bullet 4"/>
    <w:basedOn w:val="1"/>
    <w:unhideWhenUsed/>
    <w:qFormat/>
    <w:uiPriority w:val="99"/>
    <w:pPr>
      <w:tabs>
        <w:tab w:val="left" w:pos="720"/>
        <w:tab w:val="left" w:pos="1620"/>
      </w:tabs>
      <w:ind w:left="720" w:hanging="360"/>
      <w:contextualSpacing/>
    </w:pPr>
    <w:rPr>
      <w:szCs w:val="20"/>
    </w:rPr>
  </w:style>
  <w:style w:type="paragraph" w:styleId="19">
    <w:name w:val="index 8"/>
    <w:basedOn w:val="1"/>
    <w:next w:val="1"/>
    <w:unhideWhenUsed/>
    <w:qFormat/>
    <w:uiPriority w:val="99"/>
    <w:pPr>
      <w:ind w:left="1400" w:leftChars="1400"/>
    </w:pPr>
    <w:rPr>
      <w:szCs w:val="20"/>
    </w:rPr>
  </w:style>
  <w:style w:type="paragraph" w:styleId="20">
    <w:name w:val="E-mail Signature"/>
    <w:basedOn w:val="1"/>
    <w:link w:val="109"/>
    <w:unhideWhenUsed/>
    <w:qFormat/>
    <w:uiPriority w:val="99"/>
    <w:rPr>
      <w:szCs w:val="20"/>
    </w:rPr>
  </w:style>
  <w:style w:type="paragraph" w:styleId="21">
    <w:name w:val="List Number"/>
    <w:basedOn w:val="1"/>
    <w:qFormat/>
    <w:uiPriority w:val="99"/>
    <w:pPr>
      <w:numPr>
        <w:ilvl w:val="0"/>
        <w:numId w:val="1"/>
      </w:numPr>
      <w:adjustRightInd w:val="0"/>
      <w:spacing w:line="360" w:lineRule="atLeast"/>
      <w:textAlignment w:val="baseline"/>
    </w:pPr>
    <w:rPr>
      <w:sz w:val="24"/>
    </w:rPr>
  </w:style>
  <w:style w:type="paragraph" w:styleId="22">
    <w:name w:val="caption"/>
    <w:basedOn w:val="1"/>
    <w:next w:val="1"/>
    <w:qFormat/>
    <w:uiPriority w:val="0"/>
    <w:pPr>
      <w:spacing w:before="120" w:after="120" w:line="320" w:lineRule="atLeast"/>
      <w:jc w:val="center"/>
    </w:pPr>
    <w:rPr>
      <w:sz w:val="18"/>
      <w:szCs w:val="18"/>
    </w:rPr>
  </w:style>
  <w:style w:type="paragraph" w:styleId="23">
    <w:name w:val="index 5"/>
    <w:basedOn w:val="1"/>
    <w:next w:val="1"/>
    <w:unhideWhenUsed/>
    <w:qFormat/>
    <w:uiPriority w:val="99"/>
    <w:pPr>
      <w:ind w:left="800" w:leftChars="800"/>
    </w:pPr>
    <w:rPr>
      <w:szCs w:val="20"/>
    </w:rPr>
  </w:style>
  <w:style w:type="paragraph" w:styleId="24">
    <w:name w:val="List Bullet"/>
    <w:basedOn w:val="1"/>
    <w:unhideWhenUsed/>
    <w:qFormat/>
    <w:uiPriority w:val="99"/>
    <w:pPr>
      <w:tabs>
        <w:tab w:val="left" w:pos="360"/>
        <w:tab w:val="left" w:pos="1134"/>
      </w:tabs>
      <w:ind w:left="1134" w:hanging="1134"/>
      <w:contextualSpacing/>
    </w:pPr>
    <w:rPr>
      <w:szCs w:val="20"/>
    </w:rPr>
  </w:style>
  <w:style w:type="paragraph" w:styleId="25">
    <w:name w:val="envelope address"/>
    <w:basedOn w:val="1"/>
    <w:unhideWhenUsed/>
    <w:qFormat/>
    <w:uiPriority w:val="99"/>
    <w:pPr>
      <w:framePr w:w="7920" w:h="1980" w:hRule="exact" w:hSpace="180" w:wrap="around" w:vAnchor="margin" w:hAnchor="page" w:xAlign="center" w:yAlign="bottom"/>
      <w:snapToGrid w:val="0"/>
      <w:ind w:left="100" w:leftChars="1400"/>
    </w:pPr>
    <w:rPr>
      <w:rFonts w:ascii="Cambria" w:hAnsi="Cambria"/>
      <w:sz w:val="24"/>
    </w:rPr>
  </w:style>
  <w:style w:type="paragraph" w:styleId="26">
    <w:name w:val="Document Map"/>
    <w:basedOn w:val="1"/>
    <w:link w:val="110"/>
    <w:qFormat/>
    <w:uiPriority w:val="99"/>
    <w:pPr>
      <w:shd w:val="clear" w:color="auto" w:fill="000080"/>
    </w:pPr>
  </w:style>
  <w:style w:type="paragraph" w:styleId="27">
    <w:name w:val="toa heading"/>
    <w:basedOn w:val="1"/>
    <w:next w:val="1"/>
    <w:unhideWhenUsed/>
    <w:qFormat/>
    <w:uiPriority w:val="99"/>
    <w:pPr>
      <w:spacing w:before="120"/>
    </w:pPr>
    <w:rPr>
      <w:rFonts w:ascii="Cambria" w:hAnsi="Cambria"/>
      <w:sz w:val="24"/>
    </w:rPr>
  </w:style>
  <w:style w:type="paragraph" w:styleId="28">
    <w:name w:val="annotation text"/>
    <w:basedOn w:val="1"/>
    <w:link w:val="111"/>
    <w:qFormat/>
    <w:uiPriority w:val="99"/>
    <w:pPr>
      <w:jc w:val="left"/>
    </w:pPr>
  </w:style>
  <w:style w:type="paragraph" w:styleId="29">
    <w:name w:val="index 6"/>
    <w:basedOn w:val="1"/>
    <w:next w:val="1"/>
    <w:unhideWhenUsed/>
    <w:qFormat/>
    <w:uiPriority w:val="99"/>
    <w:pPr>
      <w:ind w:left="1000" w:leftChars="1000"/>
    </w:pPr>
    <w:rPr>
      <w:szCs w:val="20"/>
    </w:rPr>
  </w:style>
  <w:style w:type="paragraph" w:styleId="30">
    <w:name w:val="Salutation"/>
    <w:basedOn w:val="1"/>
    <w:next w:val="1"/>
    <w:link w:val="112"/>
    <w:qFormat/>
    <w:uiPriority w:val="0"/>
    <w:rPr>
      <w:szCs w:val="20"/>
    </w:rPr>
  </w:style>
  <w:style w:type="paragraph" w:styleId="31">
    <w:name w:val="Body Text 3"/>
    <w:basedOn w:val="1"/>
    <w:link w:val="113"/>
    <w:unhideWhenUsed/>
    <w:qFormat/>
    <w:uiPriority w:val="0"/>
    <w:pPr>
      <w:spacing w:after="120"/>
    </w:pPr>
    <w:rPr>
      <w:sz w:val="16"/>
      <w:szCs w:val="16"/>
    </w:rPr>
  </w:style>
  <w:style w:type="paragraph" w:styleId="32">
    <w:name w:val="Closing"/>
    <w:basedOn w:val="1"/>
    <w:link w:val="114"/>
    <w:qFormat/>
    <w:uiPriority w:val="0"/>
    <w:pPr>
      <w:ind w:left="100" w:leftChars="2100"/>
    </w:pPr>
    <w:rPr>
      <w:sz w:val="32"/>
      <w:szCs w:val="20"/>
    </w:rPr>
  </w:style>
  <w:style w:type="paragraph" w:styleId="33">
    <w:name w:val="List Bullet 3"/>
    <w:basedOn w:val="1"/>
    <w:unhideWhenUsed/>
    <w:qFormat/>
    <w:uiPriority w:val="99"/>
    <w:pPr>
      <w:tabs>
        <w:tab w:val="left" w:pos="1134"/>
        <w:tab w:val="left" w:pos="1200"/>
      </w:tabs>
      <w:ind w:left="1134" w:hanging="1134"/>
      <w:contextualSpacing/>
    </w:pPr>
    <w:rPr>
      <w:szCs w:val="20"/>
    </w:rPr>
  </w:style>
  <w:style w:type="paragraph" w:styleId="34">
    <w:name w:val="Body Text"/>
    <w:basedOn w:val="1"/>
    <w:next w:val="1"/>
    <w:link w:val="115"/>
    <w:qFormat/>
    <w:uiPriority w:val="99"/>
    <w:pPr>
      <w:spacing w:after="120"/>
    </w:pPr>
  </w:style>
  <w:style w:type="paragraph" w:styleId="35">
    <w:name w:val="Body Text Indent"/>
    <w:basedOn w:val="1"/>
    <w:link w:val="116"/>
    <w:qFormat/>
    <w:uiPriority w:val="0"/>
    <w:pPr>
      <w:ind w:left="560"/>
    </w:pPr>
    <w:rPr>
      <w:sz w:val="28"/>
    </w:rPr>
  </w:style>
  <w:style w:type="paragraph" w:styleId="36">
    <w:name w:val="List Number 3"/>
    <w:basedOn w:val="1"/>
    <w:unhideWhenUsed/>
    <w:qFormat/>
    <w:uiPriority w:val="99"/>
    <w:pPr>
      <w:tabs>
        <w:tab w:val="left" w:pos="180"/>
        <w:tab w:val="left" w:pos="1200"/>
      </w:tabs>
      <w:ind w:left="180" w:hanging="180"/>
      <w:contextualSpacing/>
    </w:pPr>
    <w:rPr>
      <w:szCs w:val="20"/>
    </w:rPr>
  </w:style>
  <w:style w:type="paragraph" w:styleId="37">
    <w:name w:val="List 2"/>
    <w:basedOn w:val="1"/>
    <w:unhideWhenUsed/>
    <w:qFormat/>
    <w:uiPriority w:val="99"/>
    <w:pPr>
      <w:ind w:left="100" w:leftChars="200" w:hanging="200" w:hangingChars="200"/>
      <w:contextualSpacing/>
    </w:pPr>
    <w:rPr>
      <w:szCs w:val="20"/>
    </w:rPr>
  </w:style>
  <w:style w:type="paragraph" w:styleId="38">
    <w:name w:val="List Continue"/>
    <w:basedOn w:val="1"/>
    <w:unhideWhenUsed/>
    <w:qFormat/>
    <w:uiPriority w:val="99"/>
    <w:pPr>
      <w:spacing w:after="120"/>
      <w:ind w:left="420" w:leftChars="200"/>
      <w:contextualSpacing/>
    </w:pPr>
    <w:rPr>
      <w:szCs w:val="20"/>
    </w:rPr>
  </w:style>
  <w:style w:type="paragraph" w:styleId="39">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40">
    <w:name w:val="List Bullet 2"/>
    <w:basedOn w:val="1"/>
    <w:unhideWhenUsed/>
    <w:qFormat/>
    <w:uiPriority w:val="99"/>
    <w:pPr>
      <w:tabs>
        <w:tab w:val="left" w:pos="425"/>
        <w:tab w:val="left" w:pos="780"/>
      </w:tabs>
      <w:ind w:left="425" w:hanging="425"/>
      <w:contextualSpacing/>
    </w:pPr>
    <w:rPr>
      <w:szCs w:val="20"/>
    </w:rPr>
  </w:style>
  <w:style w:type="paragraph" w:styleId="41">
    <w:name w:val="HTML Address"/>
    <w:basedOn w:val="1"/>
    <w:link w:val="117"/>
    <w:unhideWhenUsed/>
    <w:qFormat/>
    <w:uiPriority w:val="99"/>
    <w:rPr>
      <w:i/>
      <w:iCs/>
      <w:szCs w:val="20"/>
    </w:rPr>
  </w:style>
  <w:style w:type="paragraph" w:styleId="42">
    <w:name w:val="index 4"/>
    <w:basedOn w:val="1"/>
    <w:next w:val="1"/>
    <w:unhideWhenUsed/>
    <w:qFormat/>
    <w:uiPriority w:val="99"/>
    <w:pPr>
      <w:ind w:left="600" w:leftChars="600"/>
    </w:pPr>
    <w:rPr>
      <w:szCs w:val="20"/>
    </w:rPr>
  </w:style>
  <w:style w:type="paragraph" w:styleId="43">
    <w:name w:val="toc 5"/>
    <w:basedOn w:val="1"/>
    <w:next w:val="1"/>
    <w:qFormat/>
    <w:uiPriority w:val="39"/>
    <w:pPr>
      <w:ind w:left="840"/>
      <w:jc w:val="left"/>
    </w:pPr>
    <w:rPr>
      <w:sz w:val="18"/>
      <w:szCs w:val="18"/>
    </w:rPr>
  </w:style>
  <w:style w:type="paragraph" w:styleId="44">
    <w:name w:val="toc 3"/>
    <w:basedOn w:val="1"/>
    <w:next w:val="1"/>
    <w:qFormat/>
    <w:uiPriority w:val="39"/>
    <w:pPr>
      <w:ind w:left="420"/>
      <w:jc w:val="left"/>
    </w:pPr>
    <w:rPr>
      <w:i/>
      <w:iCs/>
      <w:sz w:val="20"/>
      <w:szCs w:val="20"/>
    </w:rPr>
  </w:style>
  <w:style w:type="paragraph" w:styleId="45">
    <w:name w:val="Plain Text"/>
    <w:basedOn w:val="1"/>
    <w:link w:val="118"/>
    <w:qFormat/>
    <w:uiPriority w:val="0"/>
    <w:rPr>
      <w:rFonts w:ascii="宋体" w:hAnsi="Courier New"/>
      <w:szCs w:val="20"/>
    </w:rPr>
  </w:style>
  <w:style w:type="paragraph" w:styleId="46">
    <w:name w:val="List Bullet 5"/>
    <w:basedOn w:val="1"/>
    <w:unhideWhenUsed/>
    <w:qFormat/>
    <w:uiPriority w:val="99"/>
    <w:pPr>
      <w:tabs>
        <w:tab w:val="left" w:pos="720"/>
        <w:tab w:val="left" w:pos="2040"/>
      </w:tabs>
      <w:ind w:left="720" w:hanging="360"/>
      <w:contextualSpacing/>
    </w:pPr>
    <w:rPr>
      <w:szCs w:val="20"/>
    </w:rPr>
  </w:style>
  <w:style w:type="paragraph" w:styleId="47">
    <w:name w:val="List Number 4"/>
    <w:basedOn w:val="1"/>
    <w:unhideWhenUsed/>
    <w:qFormat/>
    <w:uiPriority w:val="99"/>
    <w:pPr>
      <w:tabs>
        <w:tab w:val="left" w:pos="600"/>
        <w:tab w:val="left" w:pos="1620"/>
      </w:tabs>
      <w:ind w:left="600" w:hanging="600"/>
      <w:contextualSpacing/>
    </w:pPr>
    <w:rPr>
      <w:szCs w:val="20"/>
    </w:rPr>
  </w:style>
  <w:style w:type="paragraph" w:styleId="48">
    <w:name w:val="toc 8"/>
    <w:basedOn w:val="1"/>
    <w:next w:val="1"/>
    <w:qFormat/>
    <w:uiPriority w:val="39"/>
    <w:pPr>
      <w:ind w:left="1470"/>
      <w:jc w:val="left"/>
    </w:pPr>
    <w:rPr>
      <w:sz w:val="18"/>
      <w:szCs w:val="18"/>
    </w:rPr>
  </w:style>
  <w:style w:type="paragraph" w:styleId="49">
    <w:name w:val="index 3"/>
    <w:basedOn w:val="1"/>
    <w:next w:val="1"/>
    <w:unhideWhenUsed/>
    <w:qFormat/>
    <w:uiPriority w:val="99"/>
    <w:pPr>
      <w:ind w:left="400" w:leftChars="400"/>
    </w:pPr>
    <w:rPr>
      <w:szCs w:val="20"/>
    </w:rPr>
  </w:style>
  <w:style w:type="paragraph" w:styleId="50">
    <w:name w:val="Date"/>
    <w:basedOn w:val="1"/>
    <w:next w:val="1"/>
    <w:link w:val="119"/>
    <w:qFormat/>
    <w:uiPriority w:val="99"/>
    <w:rPr>
      <w:szCs w:val="20"/>
    </w:rPr>
  </w:style>
  <w:style w:type="paragraph" w:styleId="51">
    <w:name w:val="Body Text Indent 2"/>
    <w:basedOn w:val="1"/>
    <w:link w:val="120"/>
    <w:qFormat/>
    <w:uiPriority w:val="0"/>
    <w:pPr>
      <w:spacing w:line="480" w:lineRule="auto"/>
      <w:ind w:firstLine="540" w:firstLineChars="225"/>
    </w:pPr>
    <w:rPr>
      <w:rFonts w:eastAsia="仿宋_GB2312"/>
      <w:sz w:val="24"/>
    </w:rPr>
  </w:style>
  <w:style w:type="paragraph" w:styleId="52">
    <w:name w:val="endnote text"/>
    <w:basedOn w:val="1"/>
    <w:link w:val="121"/>
    <w:unhideWhenUsed/>
    <w:qFormat/>
    <w:uiPriority w:val="99"/>
    <w:pPr>
      <w:snapToGrid w:val="0"/>
      <w:jc w:val="left"/>
    </w:pPr>
    <w:rPr>
      <w:szCs w:val="20"/>
    </w:rPr>
  </w:style>
  <w:style w:type="paragraph" w:styleId="53">
    <w:name w:val="List Continue 5"/>
    <w:basedOn w:val="1"/>
    <w:unhideWhenUsed/>
    <w:qFormat/>
    <w:uiPriority w:val="99"/>
    <w:pPr>
      <w:spacing w:after="120"/>
      <w:ind w:left="2100" w:leftChars="1000"/>
      <w:contextualSpacing/>
    </w:pPr>
    <w:rPr>
      <w:szCs w:val="20"/>
    </w:rPr>
  </w:style>
  <w:style w:type="paragraph" w:styleId="54">
    <w:name w:val="Balloon Text"/>
    <w:basedOn w:val="1"/>
    <w:link w:val="122"/>
    <w:qFormat/>
    <w:uiPriority w:val="0"/>
    <w:rPr>
      <w:sz w:val="18"/>
      <w:szCs w:val="18"/>
    </w:rPr>
  </w:style>
  <w:style w:type="paragraph" w:styleId="55">
    <w:name w:val="footer"/>
    <w:basedOn w:val="1"/>
    <w:link w:val="123"/>
    <w:qFormat/>
    <w:uiPriority w:val="99"/>
    <w:pPr>
      <w:tabs>
        <w:tab w:val="center" w:pos="4153"/>
        <w:tab w:val="right" w:pos="8306"/>
      </w:tabs>
      <w:snapToGrid w:val="0"/>
      <w:jc w:val="left"/>
    </w:pPr>
    <w:rPr>
      <w:sz w:val="18"/>
      <w:szCs w:val="18"/>
    </w:rPr>
  </w:style>
  <w:style w:type="paragraph" w:styleId="56">
    <w:name w:val="envelope return"/>
    <w:basedOn w:val="1"/>
    <w:unhideWhenUsed/>
    <w:qFormat/>
    <w:uiPriority w:val="99"/>
    <w:pPr>
      <w:snapToGrid w:val="0"/>
    </w:pPr>
    <w:rPr>
      <w:rFonts w:ascii="Cambria" w:hAnsi="Cambria"/>
      <w:szCs w:val="20"/>
    </w:rPr>
  </w:style>
  <w:style w:type="paragraph" w:styleId="57">
    <w:name w:val="header"/>
    <w:basedOn w:val="1"/>
    <w:link w:val="124"/>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5"/>
    <w:unhideWhenUsed/>
    <w:qFormat/>
    <w:uiPriority w:val="99"/>
    <w:pPr>
      <w:ind w:left="100" w:leftChars="2100"/>
    </w:pPr>
    <w:rPr>
      <w:szCs w:val="20"/>
    </w:rPr>
  </w:style>
  <w:style w:type="paragraph" w:styleId="59">
    <w:name w:val="toc 1"/>
    <w:basedOn w:val="1"/>
    <w:next w:val="1"/>
    <w:qFormat/>
    <w:uiPriority w:val="39"/>
    <w:pPr>
      <w:spacing w:before="120" w:after="120"/>
      <w:jc w:val="left"/>
    </w:pPr>
    <w:rPr>
      <w:b/>
      <w:bCs/>
      <w:caps/>
      <w:sz w:val="20"/>
      <w:szCs w:val="20"/>
    </w:rPr>
  </w:style>
  <w:style w:type="paragraph" w:styleId="60">
    <w:name w:val="List Continue 4"/>
    <w:basedOn w:val="1"/>
    <w:unhideWhenUsed/>
    <w:qFormat/>
    <w:uiPriority w:val="99"/>
    <w:pPr>
      <w:spacing w:after="120"/>
      <w:ind w:left="1680" w:leftChars="800"/>
      <w:contextualSpacing/>
    </w:pPr>
    <w:rPr>
      <w:szCs w:val="20"/>
    </w:rPr>
  </w:style>
  <w:style w:type="paragraph" w:styleId="61">
    <w:name w:val="toc 4"/>
    <w:basedOn w:val="1"/>
    <w:next w:val="1"/>
    <w:qFormat/>
    <w:uiPriority w:val="39"/>
    <w:pPr>
      <w:ind w:left="630"/>
      <w:jc w:val="left"/>
    </w:pPr>
    <w:rPr>
      <w:sz w:val="18"/>
      <w:szCs w:val="18"/>
    </w:rPr>
  </w:style>
  <w:style w:type="paragraph" w:styleId="62">
    <w:name w:val="index heading"/>
    <w:basedOn w:val="1"/>
    <w:next w:val="63"/>
    <w:unhideWhenUsed/>
    <w:qFormat/>
    <w:uiPriority w:val="99"/>
    <w:rPr>
      <w:rFonts w:ascii="Cambria" w:hAnsi="Cambria"/>
      <w:b/>
      <w:bCs/>
      <w:szCs w:val="20"/>
    </w:rPr>
  </w:style>
  <w:style w:type="paragraph" w:styleId="63">
    <w:name w:val="index 1"/>
    <w:basedOn w:val="1"/>
    <w:next w:val="1"/>
    <w:qFormat/>
    <w:uiPriority w:val="99"/>
  </w:style>
  <w:style w:type="paragraph" w:styleId="64">
    <w:name w:val="Subtitle"/>
    <w:basedOn w:val="1"/>
    <w:next w:val="1"/>
    <w:link w:val="126"/>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unhideWhenUsed/>
    <w:qFormat/>
    <w:uiPriority w:val="99"/>
    <w:pPr>
      <w:tabs>
        <w:tab w:val="left" w:pos="1049"/>
        <w:tab w:val="left" w:pos="2040"/>
      </w:tabs>
      <w:ind w:left="1049" w:hanging="420"/>
      <w:contextualSpacing/>
    </w:pPr>
    <w:rPr>
      <w:szCs w:val="20"/>
    </w:rPr>
  </w:style>
  <w:style w:type="paragraph" w:styleId="66">
    <w:name w:val="List"/>
    <w:basedOn w:val="34"/>
    <w:qFormat/>
    <w:uiPriority w:val="99"/>
    <w:pPr>
      <w:suppressAutoHyphens/>
    </w:pPr>
    <w:rPr>
      <w:kern w:val="1"/>
      <w:lang w:eastAsia="ar-SA"/>
    </w:rPr>
  </w:style>
  <w:style w:type="paragraph" w:styleId="67">
    <w:name w:val="footnote text"/>
    <w:basedOn w:val="1"/>
    <w:link w:val="127"/>
    <w:unhideWhenUsed/>
    <w:qFormat/>
    <w:uiPriority w:val="99"/>
    <w:pPr>
      <w:snapToGrid w:val="0"/>
      <w:jc w:val="left"/>
    </w:pPr>
    <w:rPr>
      <w:sz w:val="18"/>
      <w:szCs w:val="18"/>
    </w:rPr>
  </w:style>
  <w:style w:type="paragraph" w:styleId="68">
    <w:name w:val="toc 6"/>
    <w:basedOn w:val="1"/>
    <w:next w:val="1"/>
    <w:qFormat/>
    <w:uiPriority w:val="39"/>
    <w:pPr>
      <w:ind w:left="1050"/>
      <w:jc w:val="left"/>
    </w:pPr>
    <w:rPr>
      <w:sz w:val="18"/>
      <w:szCs w:val="18"/>
    </w:rPr>
  </w:style>
  <w:style w:type="paragraph" w:styleId="69">
    <w:name w:val="List 5"/>
    <w:basedOn w:val="1"/>
    <w:unhideWhenUsed/>
    <w:qFormat/>
    <w:uiPriority w:val="99"/>
    <w:pPr>
      <w:ind w:left="100" w:leftChars="800" w:hanging="200" w:hangingChars="200"/>
      <w:contextualSpacing/>
    </w:pPr>
    <w:rPr>
      <w:szCs w:val="20"/>
    </w:rPr>
  </w:style>
  <w:style w:type="paragraph" w:styleId="70">
    <w:name w:val="Body Text Indent 3"/>
    <w:basedOn w:val="1"/>
    <w:link w:val="128"/>
    <w:qFormat/>
    <w:uiPriority w:val="0"/>
    <w:pPr>
      <w:ind w:firstLine="600" w:firstLineChars="200"/>
    </w:pPr>
    <w:rPr>
      <w:color w:val="FF0000"/>
      <w:sz w:val="30"/>
      <w:szCs w:val="20"/>
    </w:rPr>
  </w:style>
  <w:style w:type="paragraph" w:styleId="71">
    <w:name w:val="index 7"/>
    <w:basedOn w:val="1"/>
    <w:next w:val="1"/>
    <w:unhideWhenUsed/>
    <w:qFormat/>
    <w:uiPriority w:val="99"/>
    <w:pPr>
      <w:ind w:left="1200" w:leftChars="1200"/>
    </w:pPr>
    <w:rPr>
      <w:szCs w:val="20"/>
    </w:rPr>
  </w:style>
  <w:style w:type="paragraph" w:styleId="72">
    <w:name w:val="index 9"/>
    <w:basedOn w:val="1"/>
    <w:next w:val="1"/>
    <w:unhideWhenUsed/>
    <w:qFormat/>
    <w:uiPriority w:val="99"/>
    <w:pPr>
      <w:ind w:left="1600" w:leftChars="1600"/>
    </w:pPr>
    <w:rPr>
      <w:szCs w:val="20"/>
    </w:rPr>
  </w:style>
  <w:style w:type="paragraph" w:styleId="73">
    <w:name w:val="table of figures"/>
    <w:basedOn w:val="1"/>
    <w:next w:val="1"/>
    <w:unhideWhenUsed/>
    <w:qFormat/>
    <w:uiPriority w:val="99"/>
    <w:pPr>
      <w:ind w:left="200" w:leftChars="200" w:hanging="200" w:hangingChars="200"/>
    </w:pPr>
    <w:rPr>
      <w:szCs w:val="20"/>
    </w:rPr>
  </w:style>
  <w:style w:type="paragraph" w:styleId="74">
    <w:name w:val="toc 2"/>
    <w:basedOn w:val="1"/>
    <w:next w:val="1"/>
    <w:qFormat/>
    <w:uiPriority w:val="39"/>
    <w:pPr>
      <w:ind w:left="210"/>
      <w:jc w:val="left"/>
    </w:pPr>
    <w:rPr>
      <w:smallCaps/>
      <w:sz w:val="20"/>
      <w:szCs w:val="20"/>
    </w:rPr>
  </w:style>
  <w:style w:type="paragraph" w:styleId="75">
    <w:name w:val="toc 9"/>
    <w:basedOn w:val="1"/>
    <w:next w:val="1"/>
    <w:qFormat/>
    <w:uiPriority w:val="39"/>
    <w:pPr>
      <w:ind w:left="1680"/>
      <w:jc w:val="left"/>
    </w:pPr>
    <w:rPr>
      <w:sz w:val="18"/>
      <w:szCs w:val="18"/>
    </w:rPr>
  </w:style>
  <w:style w:type="paragraph" w:styleId="76">
    <w:name w:val="Body Text 2"/>
    <w:basedOn w:val="1"/>
    <w:link w:val="129"/>
    <w:qFormat/>
    <w:uiPriority w:val="99"/>
    <w:rPr>
      <w:color w:val="FF0000"/>
    </w:rPr>
  </w:style>
  <w:style w:type="paragraph" w:styleId="77">
    <w:name w:val="List 4"/>
    <w:basedOn w:val="1"/>
    <w:unhideWhenUsed/>
    <w:qFormat/>
    <w:uiPriority w:val="99"/>
    <w:pPr>
      <w:ind w:left="100" w:leftChars="600" w:hanging="200" w:hangingChars="200"/>
      <w:contextualSpacing/>
    </w:pPr>
    <w:rPr>
      <w:szCs w:val="20"/>
    </w:rPr>
  </w:style>
  <w:style w:type="paragraph" w:styleId="78">
    <w:name w:val="List Continue 2"/>
    <w:basedOn w:val="1"/>
    <w:unhideWhenUsed/>
    <w:qFormat/>
    <w:uiPriority w:val="99"/>
    <w:pPr>
      <w:spacing w:after="120"/>
      <w:ind w:left="840" w:leftChars="400"/>
      <w:contextualSpacing/>
    </w:pPr>
    <w:rPr>
      <w:szCs w:val="20"/>
    </w:rPr>
  </w:style>
  <w:style w:type="paragraph" w:styleId="79">
    <w:name w:val="Message Header"/>
    <w:basedOn w:val="1"/>
    <w:link w:val="130"/>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80">
    <w:name w:val="HTML Preformatted"/>
    <w:basedOn w:val="1"/>
    <w:link w:val="131"/>
    <w:unhideWhenUsed/>
    <w:qFormat/>
    <w:uiPriority w:val="99"/>
    <w:rPr>
      <w:rFonts w:ascii="Courier New" w:hAnsi="Courier New"/>
      <w:sz w:val="20"/>
      <w:szCs w:val="20"/>
    </w:rPr>
  </w:style>
  <w:style w:type="paragraph" w:styleId="8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82">
    <w:name w:val="List Continue 3"/>
    <w:basedOn w:val="1"/>
    <w:unhideWhenUsed/>
    <w:qFormat/>
    <w:uiPriority w:val="99"/>
    <w:pPr>
      <w:spacing w:after="120"/>
      <w:ind w:left="1260" w:leftChars="600"/>
      <w:contextualSpacing/>
    </w:pPr>
    <w:rPr>
      <w:szCs w:val="20"/>
    </w:rPr>
  </w:style>
  <w:style w:type="paragraph" w:styleId="83">
    <w:name w:val="index 2"/>
    <w:basedOn w:val="1"/>
    <w:next w:val="1"/>
    <w:unhideWhenUsed/>
    <w:qFormat/>
    <w:uiPriority w:val="99"/>
    <w:pPr>
      <w:ind w:left="200" w:leftChars="200"/>
    </w:pPr>
    <w:rPr>
      <w:szCs w:val="20"/>
    </w:rPr>
  </w:style>
  <w:style w:type="paragraph" w:styleId="84">
    <w:name w:val="Title"/>
    <w:basedOn w:val="1"/>
    <w:next w:val="1"/>
    <w:link w:val="132"/>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3"/>
    <w:qFormat/>
    <w:uiPriority w:val="0"/>
    <w:rPr>
      <w:b/>
      <w:bCs/>
    </w:rPr>
  </w:style>
  <w:style w:type="paragraph" w:styleId="86">
    <w:name w:val="Body Text First Indent"/>
    <w:basedOn w:val="34"/>
    <w:link w:val="134"/>
    <w:unhideWhenUsed/>
    <w:qFormat/>
    <w:uiPriority w:val="0"/>
    <w:pPr>
      <w:ind w:firstLine="420" w:firstLineChars="100"/>
    </w:pPr>
    <w:rPr>
      <w:szCs w:val="20"/>
    </w:rPr>
  </w:style>
  <w:style w:type="paragraph" w:styleId="87">
    <w:name w:val="Body Text First Indent 2"/>
    <w:basedOn w:val="35"/>
    <w:link w:val="136"/>
    <w:unhideWhenUsed/>
    <w:qFormat/>
    <w:uiPriority w:val="0"/>
    <w:pPr>
      <w:spacing w:after="120"/>
      <w:ind w:left="420" w:leftChars="200" w:firstLine="420" w:firstLineChars="200"/>
    </w:pPr>
    <w:rPr>
      <w:sz w:val="30"/>
      <w:szCs w:val="20"/>
    </w:rPr>
  </w:style>
  <w:style w:type="table" w:styleId="89">
    <w:name w:val="Table Grid"/>
    <w:basedOn w:val="88"/>
    <w:qFormat/>
    <w:uiPriority w:val="59"/>
    <w:rPr>
      <w:rFonts w:ascii="Calibri" w:hAnsi="Calibr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qFormat/>
    <w:uiPriority w:val="0"/>
    <w:rPr>
      <w:b/>
      <w:bCs/>
    </w:rPr>
  </w:style>
  <w:style w:type="character" w:styleId="92">
    <w:name w:val="page number"/>
    <w:basedOn w:val="90"/>
    <w:qFormat/>
    <w:uiPriority w:val="0"/>
  </w:style>
  <w:style w:type="character" w:styleId="93">
    <w:name w:val="FollowedHyperlink"/>
    <w:qFormat/>
    <w:uiPriority w:val="0"/>
    <w:rPr>
      <w:color w:val="800080"/>
      <w:u w:val="single"/>
    </w:rPr>
  </w:style>
  <w:style w:type="character" w:styleId="94">
    <w:name w:val="Emphasis"/>
    <w:qFormat/>
    <w:uiPriority w:val="0"/>
    <w:rPr>
      <w:i/>
      <w:iCs/>
    </w:rPr>
  </w:style>
  <w:style w:type="character" w:styleId="95">
    <w:name w:val="Hyperlink"/>
    <w:qFormat/>
    <w:uiPriority w:val="99"/>
    <w:rPr>
      <w:color w:val="0000FF"/>
      <w:u w:val="single"/>
    </w:rPr>
  </w:style>
  <w:style w:type="character" w:styleId="96">
    <w:name w:val="annotation reference"/>
    <w:qFormat/>
    <w:uiPriority w:val="0"/>
    <w:rPr>
      <w:sz w:val="21"/>
      <w:szCs w:val="21"/>
    </w:rPr>
  </w:style>
  <w:style w:type="character" w:customStyle="1" w:styleId="97">
    <w:name w:val="标题 2 字符"/>
    <w:link w:val="2"/>
    <w:qFormat/>
    <w:uiPriority w:val="0"/>
    <w:rPr>
      <w:rFonts w:ascii="Arial" w:hAnsi="Arial" w:eastAsia="黑体"/>
      <w:b/>
      <w:bCs/>
      <w:kern w:val="2"/>
      <w:sz w:val="32"/>
      <w:szCs w:val="32"/>
      <w:lang w:val="en-US" w:eastAsia="zh-CN" w:bidi="ar-SA"/>
    </w:rPr>
  </w:style>
  <w:style w:type="character" w:customStyle="1" w:styleId="98">
    <w:name w:val="宏文本 字符"/>
    <w:link w:val="3"/>
    <w:qFormat/>
    <w:uiPriority w:val="0"/>
    <w:rPr>
      <w:rFonts w:ascii="Courier New" w:hAnsi="Courier New"/>
      <w:kern w:val="2"/>
      <w:sz w:val="24"/>
      <w:szCs w:val="24"/>
      <w:lang w:bidi="ar-SA"/>
    </w:rPr>
  </w:style>
  <w:style w:type="character" w:customStyle="1" w:styleId="99">
    <w:name w:val="标题 1 字符"/>
    <w:link w:val="4"/>
    <w:qFormat/>
    <w:uiPriority w:val="0"/>
    <w:rPr>
      <w:rFonts w:ascii="宋体"/>
      <w:b/>
      <w:sz w:val="44"/>
    </w:rPr>
  </w:style>
  <w:style w:type="character" w:customStyle="1" w:styleId="100">
    <w:name w:val="标题 3 字符"/>
    <w:link w:val="5"/>
    <w:qFormat/>
    <w:locked/>
    <w:uiPriority w:val="0"/>
    <w:rPr>
      <w:b/>
      <w:kern w:val="2"/>
      <w:sz w:val="32"/>
    </w:rPr>
  </w:style>
  <w:style w:type="character" w:customStyle="1" w:styleId="101">
    <w:name w:val="正文缩进 字符"/>
    <w:link w:val="6"/>
    <w:qFormat/>
    <w:uiPriority w:val="0"/>
    <w:rPr>
      <w:rFonts w:eastAsia="宋体"/>
      <w:kern w:val="2"/>
      <w:sz w:val="21"/>
      <w:lang w:val="en-US" w:eastAsia="zh-CN" w:bidi="ar-SA"/>
    </w:rPr>
  </w:style>
  <w:style w:type="character" w:customStyle="1" w:styleId="102">
    <w:name w:val="标题 4 字符"/>
    <w:link w:val="7"/>
    <w:qFormat/>
    <w:uiPriority w:val="0"/>
    <w:rPr>
      <w:b/>
      <w:bCs/>
      <w:snapToGrid w:val="0"/>
      <w:sz w:val="36"/>
      <w:szCs w:val="28"/>
    </w:rPr>
  </w:style>
  <w:style w:type="character" w:customStyle="1" w:styleId="103">
    <w:name w:val="标题 5 字符"/>
    <w:link w:val="8"/>
    <w:qFormat/>
    <w:uiPriority w:val="0"/>
    <w:rPr>
      <w:rFonts w:ascii="宋体" w:hAnsi="宋体" w:cs="宋体"/>
      <w:b/>
      <w:bCs/>
      <w:kern w:val="2"/>
      <w:sz w:val="24"/>
      <w:szCs w:val="24"/>
    </w:rPr>
  </w:style>
  <w:style w:type="character" w:customStyle="1" w:styleId="104">
    <w:name w:val="标题 6 字符"/>
    <w:link w:val="9"/>
    <w:qFormat/>
    <w:uiPriority w:val="0"/>
    <w:rPr>
      <w:rFonts w:ascii="宋体" w:hAnsi="宋体" w:cs="宋体"/>
      <w:b/>
      <w:bCs/>
      <w:kern w:val="2"/>
      <w:sz w:val="30"/>
      <w:szCs w:val="30"/>
    </w:rPr>
  </w:style>
  <w:style w:type="character" w:customStyle="1" w:styleId="105">
    <w:name w:val="标题 7 字符"/>
    <w:link w:val="10"/>
    <w:qFormat/>
    <w:uiPriority w:val="0"/>
    <w:rPr>
      <w:kern w:val="2"/>
      <w:sz w:val="24"/>
      <w:szCs w:val="24"/>
    </w:rPr>
  </w:style>
  <w:style w:type="character" w:customStyle="1" w:styleId="106">
    <w:name w:val="标题 8 字符"/>
    <w:link w:val="11"/>
    <w:qFormat/>
    <w:uiPriority w:val="0"/>
    <w:rPr>
      <w:rFonts w:ascii="Arial" w:hAnsi="Arial" w:eastAsia="黑体" w:cs="Arial"/>
      <w:kern w:val="2"/>
      <w:sz w:val="24"/>
      <w:szCs w:val="24"/>
    </w:rPr>
  </w:style>
  <w:style w:type="character" w:customStyle="1" w:styleId="107">
    <w:name w:val="标题 9 字符"/>
    <w:link w:val="12"/>
    <w:qFormat/>
    <w:uiPriority w:val="0"/>
    <w:rPr>
      <w:rFonts w:ascii="Arial" w:hAnsi="Arial" w:eastAsia="黑体" w:cs="Arial"/>
      <w:kern w:val="2"/>
      <w:sz w:val="21"/>
      <w:szCs w:val="21"/>
    </w:rPr>
  </w:style>
  <w:style w:type="character" w:customStyle="1" w:styleId="108">
    <w:name w:val="注释标题 字符"/>
    <w:link w:val="17"/>
    <w:qFormat/>
    <w:uiPriority w:val="0"/>
    <w:rPr>
      <w:sz w:val="21"/>
    </w:rPr>
  </w:style>
  <w:style w:type="character" w:customStyle="1" w:styleId="109">
    <w:name w:val="电子邮件签名 字符"/>
    <w:link w:val="20"/>
    <w:qFormat/>
    <w:uiPriority w:val="99"/>
    <w:rPr>
      <w:kern w:val="2"/>
      <w:sz w:val="21"/>
    </w:rPr>
  </w:style>
  <w:style w:type="character" w:customStyle="1" w:styleId="110">
    <w:name w:val="文档结构图 字符"/>
    <w:link w:val="26"/>
    <w:qFormat/>
    <w:uiPriority w:val="99"/>
    <w:rPr>
      <w:kern w:val="2"/>
      <w:sz w:val="21"/>
      <w:szCs w:val="24"/>
      <w:shd w:val="clear" w:color="auto" w:fill="000080"/>
    </w:rPr>
  </w:style>
  <w:style w:type="character" w:customStyle="1" w:styleId="111">
    <w:name w:val="批注文字 字符"/>
    <w:link w:val="28"/>
    <w:qFormat/>
    <w:locked/>
    <w:uiPriority w:val="0"/>
    <w:rPr>
      <w:kern w:val="2"/>
      <w:sz w:val="21"/>
      <w:szCs w:val="24"/>
    </w:rPr>
  </w:style>
  <w:style w:type="character" w:customStyle="1" w:styleId="112">
    <w:name w:val="称呼 字符"/>
    <w:link w:val="30"/>
    <w:qFormat/>
    <w:uiPriority w:val="0"/>
    <w:rPr>
      <w:kern w:val="2"/>
      <w:sz w:val="21"/>
    </w:rPr>
  </w:style>
  <w:style w:type="character" w:customStyle="1" w:styleId="113">
    <w:name w:val="正文文本 3 字符"/>
    <w:link w:val="31"/>
    <w:qFormat/>
    <w:uiPriority w:val="0"/>
    <w:rPr>
      <w:kern w:val="2"/>
      <w:sz w:val="16"/>
      <w:szCs w:val="16"/>
    </w:rPr>
  </w:style>
  <w:style w:type="character" w:customStyle="1" w:styleId="114">
    <w:name w:val="结束语 字符"/>
    <w:link w:val="32"/>
    <w:qFormat/>
    <w:uiPriority w:val="0"/>
    <w:rPr>
      <w:kern w:val="2"/>
      <w:sz w:val="32"/>
    </w:rPr>
  </w:style>
  <w:style w:type="character" w:customStyle="1" w:styleId="115">
    <w:name w:val="正文文本 字符"/>
    <w:link w:val="34"/>
    <w:qFormat/>
    <w:uiPriority w:val="99"/>
    <w:rPr>
      <w:kern w:val="2"/>
      <w:sz w:val="21"/>
      <w:szCs w:val="24"/>
    </w:rPr>
  </w:style>
  <w:style w:type="character" w:customStyle="1" w:styleId="116">
    <w:name w:val="正文文本缩进 字符"/>
    <w:link w:val="35"/>
    <w:qFormat/>
    <w:uiPriority w:val="0"/>
    <w:rPr>
      <w:kern w:val="2"/>
      <w:sz w:val="28"/>
      <w:szCs w:val="24"/>
    </w:rPr>
  </w:style>
  <w:style w:type="character" w:customStyle="1" w:styleId="117">
    <w:name w:val="HTML 地址 字符"/>
    <w:link w:val="41"/>
    <w:qFormat/>
    <w:uiPriority w:val="99"/>
    <w:rPr>
      <w:i/>
      <w:iCs/>
      <w:kern w:val="2"/>
      <w:sz w:val="21"/>
    </w:rPr>
  </w:style>
  <w:style w:type="character" w:customStyle="1" w:styleId="118">
    <w:name w:val="纯文本 字符"/>
    <w:link w:val="45"/>
    <w:qFormat/>
    <w:uiPriority w:val="0"/>
    <w:rPr>
      <w:rFonts w:ascii="宋体" w:hAnsi="Courier New" w:eastAsia="宋体"/>
      <w:kern w:val="2"/>
      <w:sz w:val="21"/>
      <w:lang w:val="en-US" w:eastAsia="zh-CN" w:bidi="ar-SA"/>
    </w:rPr>
  </w:style>
  <w:style w:type="character" w:customStyle="1" w:styleId="119">
    <w:name w:val="日期 字符"/>
    <w:link w:val="50"/>
    <w:qFormat/>
    <w:uiPriority w:val="99"/>
    <w:rPr>
      <w:kern w:val="2"/>
      <w:sz w:val="21"/>
    </w:rPr>
  </w:style>
  <w:style w:type="character" w:customStyle="1" w:styleId="120">
    <w:name w:val="正文文本缩进 2 字符"/>
    <w:link w:val="51"/>
    <w:qFormat/>
    <w:uiPriority w:val="0"/>
    <w:rPr>
      <w:rFonts w:eastAsia="仿宋_GB2312"/>
      <w:kern w:val="2"/>
      <w:sz w:val="24"/>
      <w:szCs w:val="24"/>
    </w:rPr>
  </w:style>
  <w:style w:type="character" w:customStyle="1" w:styleId="121">
    <w:name w:val="尾注文本 字符"/>
    <w:link w:val="52"/>
    <w:qFormat/>
    <w:uiPriority w:val="99"/>
    <w:rPr>
      <w:kern w:val="2"/>
      <w:sz w:val="21"/>
    </w:rPr>
  </w:style>
  <w:style w:type="character" w:customStyle="1" w:styleId="122">
    <w:name w:val="批注框文本 字符"/>
    <w:link w:val="54"/>
    <w:qFormat/>
    <w:locked/>
    <w:uiPriority w:val="0"/>
    <w:rPr>
      <w:kern w:val="2"/>
      <w:sz w:val="18"/>
      <w:szCs w:val="18"/>
    </w:rPr>
  </w:style>
  <w:style w:type="character" w:customStyle="1" w:styleId="123">
    <w:name w:val="页脚 字符1"/>
    <w:link w:val="55"/>
    <w:qFormat/>
    <w:uiPriority w:val="99"/>
    <w:rPr>
      <w:kern w:val="2"/>
      <w:sz w:val="18"/>
      <w:szCs w:val="18"/>
    </w:rPr>
  </w:style>
  <w:style w:type="character" w:customStyle="1" w:styleId="124">
    <w:name w:val="页眉 字符"/>
    <w:link w:val="57"/>
    <w:qFormat/>
    <w:uiPriority w:val="0"/>
    <w:rPr>
      <w:kern w:val="2"/>
      <w:sz w:val="18"/>
      <w:szCs w:val="18"/>
    </w:rPr>
  </w:style>
  <w:style w:type="character" w:customStyle="1" w:styleId="125">
    <w:name w:val="签名 字符"/>
    <w:link w:val="58"/>
    <w:qFormat/>
    <w:uiPriority w:val="99"/>
    <w:rPr>
      <w:kern w:val="2"/>
      <w:sz w:val="21"/>
    </w:rPr>
  </w:style>
  <w:style w:type="character" w:customStyle="1" w:styleId="126">
    <w:name w:val="副标题 字符"/>
    <w:link w:val="64"/>
    <w:qFormat/>
    <w:uiPriority w:val="0"/>
    <w:rPr>
      <w:rFonts w:ascii="Cambria" w:hAnsi="Cambria"/>
      <w:b/>
      <w:bCs/>
      <w:kern w:val="28"/>
      <w:sz w:val="32"/>
      <w:szCs w:val="32"/>
    </w:rPr>
  </w:style>
  <w:style w:type="character" w:customStyle="1" w:styleId="127">
    <w:name w:val="脚注文本 字符"/>
    <w:link w:val="67"/>
    <w:qFormat/>
    <w:uiPriority w:val="99"/>
    <w:rPr>
      <w:kern w:val="2"/>
      <w:sz w:val="18"/>
      <w:szCs w:val="18"/>
    </w:rPr>
  </w:style>
  <w:style w:type="character" w:customStyle="1" w:styleId="128">
    <w:name w:val="正文文本缩进 3 字符"/>
    <w:link w:val="70"/>
    <w:qFormat/>
    <w:uiPriority w:val="0"/>
    <w:rPr>
      <w:color w:val="FF0000"/>
      <w:kern w:val="2"/>
      <w:sz w:val="30"/>
    </w:rPr>
  </w:style>
  <w:style w:type="character" w:customStyle="1" w:styleId="129">
    <w:name w:val="正文文本 2 字符"/>
    <w:link w:val="76"/>
    <w:qFormat/>
    <w:uiPriority w:val="99"/>
    <w:rPr>
      <w:color w:val="FF0000"/>
      <w:kern w:val="2"/>
      <w:sz w:val="21"/>
      <w:szCs w:val="24"/>
    </w:rPr>
  </w:style>
  <w:style w:type="character" w:customStyle="1" w:styleId="130">
    <w:name w:val="信息标题 字符"/>
    <w:link w:val="79"/>
    <w:qFormat/>
    <w:uiPriority w:val="99"/>
    <w:rPr>
      <w:rFonts w:ascii="Cambria" w:hAnsi="Cambria"/>
      <w:kern w:val="2"/>
      <w:sz w:val="24"/>
      <w:szCs w:val="24"/>
      <w:shd w:val="pct20" w:color="auto" w:fill="auto"/>
    </w:rPr>
  </w:style>
  <w:style w:type="character" w:customStyle="1" w:styleId="131">
    <w:name w:val="HTML 预设格式 字符"/>
    <w:link w:val="80"/>
    <w:qFormat/>
    <w:uiPriority w:val="99"/>
    <w:rPr>
      <w:rFonts w:ascii="Courier New" w:hAnsi="Courier New" w:cs="Courier New"/>
      <w:kern w:val="2"/>
    </w:rPr>
  </w:style>
  <w:style w:type="character" w:customStyle="1" w:styleId="132">
    <w:name w:val="标题 字符"/>
    <w:link w:val="84"/>
    <w:qFormat/>
    <w:uiPriority w:val="0"/>
    <w:rPr>
      <w:rFonts w:ascii="Cambria" w:hAnsi="Cambria"/>
      <w:b/>
      <w:bCs/>
      <w:kern w:val="2"/>
      <w:sz w:val="32"/>
      <w:szCs w:val="32"/>
    </w:rPr>
  </w:style>
  <w:style w:type="character" w:customStyle="1" w:styleId="133">
    <w:name w:val="批注主题 字符"/>
    <w:link w:val="85"/>
    <w:qFormat/>
    <w:locked/>
    <w:uiPriority w:val="0"/>
    <w:rPr>
      <w:b/>
      <w:bCs/>
      <w:kern w:val="2"/>
      <w:sz w:val="21"/>
      <w:szCs w:val="24"/>
    </w:rPr>
  </w:style>
  <w:style w:type="character" w:customStyle="1" w:styleId="134">
    <w:name w:val="正文首行缩进 字符"/>
    <w:basedOn w:val="135"/>
    <w:link w:val="86"/>
    <w:qFormat/>
    <w:uiPriority w:val="0"/>
    <w:rPr>
      <w:kern w:val="2"/>
      <w:sz w:val="21"/>
    </w:rPr>
  </w:style>
  <w:style w:type="character" w:customStyle="1" w:styleId="135">
    <w:name w:val="正文文本 Char"/>
    <w:qFormat/>
    <w:uiPriority w:val="99"/>
    <w:rPr>
      <w:kern w:val="2"/>
      <w:sz w:val="21"/>
    </w:rPr>
  </w:style>
  <w:style w:type="character" w:customStyle="1" w:styleId="136">
    <w:name w:val="正文首行缩进 2 字符"/>
    <w:basedOn w:val="137"/>
    <w:link w:val="87"/>
    <w:qFormat/>
    <w:uiPriority w:val="0"/>
    <w:rPr>
      <w:kern w:val="2"/>
      <w:sz w:val="30"/>
    </w:rPr>
  </w:style>
  <w:style w:type="character" w:customStyle="1" w:styleId="137">
    <w:name w:val="正文文本缩进 Char"/>
    <w:qFormat/>
    <w:uiPriority w:val="0"/>
    <w:rPr>
      <w:kern w:val="2"/>
      <w:sz w:val="30"/>
    </w:rPr>
  </w:style>
  <w:style w:type="character" w:customStyle="1" w:styleId="138">
    <w:name w:val="正文缩进 Char"/>
    <w:qFormat/>
    <w:uiPriority w:val="0"/>
    <w:rPr>
      <w:kern w:val="2"/>
      <w:sz w:val="21"/>
    </w:rPr>
  </w:style>
  <w:style w:type="character" w:customStyle="1" w:styleId="139">
    <w:name w:val="一般文字 字元 Char"/>
    <w:qFormat/>
    <w:uiPriority w:val="0"/>
    <w:rPr>
      <w:rFonts w:ascii="宋体" w:hAnsi="Courier New" w:eastAsia="宋体" w:cs="Courier New"/>
      <w:kern w:val="2"/>
      <w:sz w:val="21"/>
      <w:szCs w:val="21"/>
      <w:lang w:val="en-US" w:eastAsia="zh-CN" w:bidi="ar-SA"/>
    </w:rPr>
  </w:style>
  <w:style w:type="character" w:customStyle="1" w:styleId="140">
    <w:name w:val="15"/>
    <w:qFormat/>
    <w:uiPriority w:val="0"/>
    <w:rPr>
      <w:rFonts w:hint="default" w:ascii="Times New Roman" w:hAnsi="Times New Roman" w:cs="Times New Roman"/>
      <w:color w:val="0000FF"/>
      <w:u w:val="single"/>
    </w:rPr>
  </w:style>
  <w:style w:type="character" w:customStyle="1" w:styleId="141">
    <w:name w:val="unnamed31"/>
    <w:qFormat/>
    <w:uiPriority w:val="0"/>
    <w:rPr>
      <w:sz w:val="22"/>
      <w:szCs w:val="22"/>
    </w:rPr>
  </w:style>
  <w:style w:type="character" w:customStyle="1" w:styleId="142">
    <w:name w:val="批注文字 Char1"/>
    <w:qFormat/>
    <w:uiPriority w:val="0"/>
    <w:rPr>
      <w:kern w:val="2"/>
      <w:sz w:val="21"/>
      <w:szCs w:val="24"/>
    </w:rPr>
  </w:style>
  <w:style w:type="character" w:customStyle="1" w:styleId="143">
    <w:name w:val="16"/>
    <w:qFormat/>
    <w:uiPriority w:val="0"/>
    <w:rPr>
      <w:rFonts w:hint="default" w:ascii="Times New Roman" w:hAnsi="Times New Roman" w:cs="Times New Roman"/>
      <w:color w:val="0000FF"/>
      <w:u w:val="single"/>
    </w:rPr>
  </w:style>
  <w:style w:type="character" w:customStyle="1" w:styleId="144">
    <w:name w:val="副标题 Char1"/>
    <w:qFormat/>
    <w:uiPriority w:val="0"/>
    <w:rPr>
      <w:rFonts w:ascii="Cambria" w:hAnsi="Cambria" w:cs="Times New Roman"/>
      <w:b/>
      <w:bCs/>
      <w:kern w:val="28"/>
      <w:sz w:val="32"/>
      <w:szCs w:val="32"/>
    </w:rPr>
  </w:style>
  <w:style w:type="character" w:customStyle="1" w:styleId="145">
    <w:name w:val="宏文本 Char1"/>
    <w:qFormat/>
    <w:uiPriority w:val="0"/>
    <w:rPr>
      <w:rFonts w:ascii="Courier New" w:hAnsi="Courier New" w:cs="Courier New"/>
      <w:kern w:val="2"/>
      <w:sz w:val="24"/>
      <w:szCs w:val="24"/>
    </w:rPr>
  </w:style>
  <w:style w:type="character" w:customStyle="1" w:styleId="146">
    <w:name w:val="正文文本 (2)_"/>
    <w:link w:val="147"/>
    <w:unhideWhenUsed/>
    <w:qFormat/>
    <w:locked/>
    <w:uiPriority w:val="99"/>
    <w:rPr>
      <w:rFonts w:ascii="MingLiU" w:eastAsia="MingLiU"/>
      <w:spacing w:val="20"/>
      <w:shd w:val="clear" w:color="auto" w:fill="FFFFFF"/>
    </w:rPr>
  </w:style>
  <w:style w:type="paragraph" w:customStyle="1" w:styleId="147">
    <w:name w:val="正文文本 (2)1"/>
    <w:basedOn w:val="1"/>
    <w:link w:val="146"/>
    <w:unhideWhenUsed/>
    <w:qFormat/>
    <w:uiPriority w:val="99"/>
    <w:pPr>
      <w:shd w:val="clear" w:color="auto" w:fill="FFFFFF"/>
      <w:spacing w:before="300" w:after="300" w:line="240" w:lineRule="atLeast"/>
      <w:jc w:val="distribute"/>
    </w:pPr>
    <w:rPr>
      <w:rFonts w:ascii="MingLiU" w:eastAsia="MingLiU"/>
      <w:spacing w:val="20"/>
      <w:kern w:val="0"/>
      <w:sz w:val="20"/>
      <w:szCs w:val="20"/>
    </w:rPr>
  </w:style>
  <w:style w:type="character" w:customStyle="1" w:styleId="148">
    <w:name w:val="B 条款一 Char"/>
    <w:link w:val="149"/>
    <w:qFormat/>
    <w:uiPriority w:val="0"/>
    <w:rPr>
      <w:rFonts w:ascii="Arial" w:hAnsi="Arial" w:cs="Arial"/>
      <w:b/>
      <w:kern w:val="2"/>
      <w:sz w:val="30"/>
      <w:szCs w:val="30"/>
    </w:rPr>
  </w:style>
  <w:style w:type="paragraph" w:customStyle="1" w:styleId="149">
    <w:name w:val="B 条款一"/>
    <w:basedOn w:val="2"/>
    <w:next w:val="1"/>
    <w:link w:val="148"/>
    <w:qFormat/>
    <w:uiPriority w:val="0"/>
    <w:pPr>
      <w:tabs>
        <w:tab w:val="left" w:pos="720"/>
      </w:tabs>
      <w:adjustRightInd w:val="0"/>
      <w:spacing w:beforeLines="50" w:afterLines="50" w:line="240" w:lineRule="atLeast"/>
      <w:jc w:val="center"/>
    </w:pPr>
    <w:rPr>
      <w:rFonts w:eastAsia="宋体"/>
      <w:bCs w:val="0"/>
      <w:sz w:val="30"/>
      <w:szCs w:val="30"/>
    </w:rPr>
  </w:style>
  <w:style w:type="character" w:customStyle="1" w:styleId="150">
    <w:name w:val="a71"/>
    <w:qFormat/>
    <w:uiPriority w:val="0"/>
    <w:rPr>
      <w:rFonts w:ascii="??" w:hAnsi="??" w:cs="??"/>
      <w:sz w:val="20"/>
      <w:szCs w:val="20"/>
    </w:rPr>
  </w:style>
  <w:style w:type="character" w:customStyle="1" w:styleId="151">
    <w:name w:val="（符号）三标题1.1 Char Char"/>
    <w:link w:val="152"/>
    <w:qFormat/>
    <w:uiPriority w:val="0"/>
    <w:rPr>
      <w:rFonts w:ascii="宋体" w:hAnsi="宋体" w:eastAsia="宋体"/>
      <w:kern w:val="2"/>
      <w:sz w:val="24"/>
      <w:szCs w:val="24"/>
      <w:lang w:val="en-US" w:eastAsia="zh-CN" w:bidi="ar-SA"/>
    </w:rPr>
  </w:style>
  <w:style w:type="paragraph" w:customStyle="1" w:styleId="152">
    <w:name w:val="（符号）三标题1.1 Char"/>
    <w:basedOn w:val="1"/>
    <w:link w:val="151"/>
    <w:qFormat/>
    <w:uiPriority w:val="0"/>
    <w:pPr>
      <w:tabs>
        <w:tab w:val="left" w:pos="700"/>
      </w:tabs>
      <w:spacing w:line="500" w:lineRule="exact"/>
      <w:ind w:left="700" w:hanging="700"/>
    </w:pPr>
    <w:rPr>
      <w:rFonts w:ascii="宋体" w:hAnsi="宋体"/>
      <w:sz w:val="24"/>
    </w:rPr>
  </w:style>
  <w:style w:type="character" w:customStyle="1" w:styleId="153">
    <w:name w:val="超链接1"/>
    <w:qFormat/>
    <w:uiPriority w:val="0"/>
    <w:rPr>
      <w:rFonts w:ascii="Arial" w:hAnsi="Arial" w:eastAsia="黑体"/>
      <w:color w:val="0000FF"/>
      <w:kern w:val="2"/>
      <w:sz w:val="21"/>
      <w:szCs w:val="21"/>
      <w:u w:val="single"/>
      <w:lang w:val="en-US" w:eastAsia="zh-CN" w:bidi="ar-SA"/>
    </w:rPr>
  </w:style>
  <w:style w:type="character" w:customStyle="1" w:styleId="154">
    <w:name w:val="样式 宋体 小四 红色 下划线"/>
    <w:qFormat/>
    <w:uiPriority w:val="0"/>
    <w:rPr>
      <w:color w:val="FF0000"/>
      <w:sz w:val="24"/>
      <w:u w:val="single"/>
    </w:rPr>
  </w:style>
  <w:style w:type="character" w:customStyle="1" w:styleId="155">
    <w:name w:val="defaultbold1"/>
    <w:qFormat/>
    <w:uiPriority w:val="0"/>
    <w:rPr>
      <w:rFonts w:hint="default" w:ascii="ˎ̥" w:hAnsi="ˎ̥"/>
      <w:b/>
      <w:bCs/>
      <w:color w:val="000000"/>
      <w:sz w:val="15"/>
      <w:szCs w:val="15"/>
      <w:u w:val="none"/>
    </w:rPr>
  </w:style>
  <w:style w:type="character" w:customStyle="1" w:styleId="156">
    <w:name w:val="（符号）邀请函中一、"/>
    <w:qFormat/>
    <w:uiPriority w:val="0"/>
    <w:rPr>
      <w:rFonts w:ascii="黑体" w:hAnsi="黑体" w:eastAsia="黑体"/>
      <w:b/>
      <w:bCs/>
      <w:sz w:val="24"/>
    </w:rPr>
  </w:style>
  <w:style w:type="character" w:customStyle="1" w:styleId="157">
    <w:name w:val="linkun1"/>
    <w:qFormat/>
    <w:uiPriority w:val="0"/>
    <w:rPr>
      <w:sz w:val="18"/>
      <w:szCs w:val="18"/>
    </w:rPr>
  </w:style>
  <w:style w:type="character" w:customStyle="1" w:styleId="158">
    <w:name w:val="apple-converted-space"/>
    <w:basedOn w:val="90"/>
    <w:qFormat/>
    <w:uiPriority w:val="0"/>
  </w:style>
  <w:style w:type="character" w:customStyle="1" w:styleId="159">
    <w:name w:val="明显引用 Char1"/>
    <w:qFormat/>
    <w:uiPriority w:val="30"/>
    <w:rPr>
      <w:b/>
      <w:bCs/>
      <w:i/>
      <w:iCs/>
      <w:color w:val="4F81BD"/>
      <w:kern w:val="2"/>
      <w:sz w:val="21"/>
      <w:szCs w:val="24"/>
    </w:rPr>
  </w:style>
  <w:style w:type="character" w:customStyle="1" w:styleId="160">
    <w:name w:val="c lh15"/>
    <w:basedOn w:val="90"/>
    <w:qFormat/>
    <w:uiPriority w:val="0"/>
  </w:style>
  <w:style w:type="character" w:customStyle="1" w:styleId="161">
    <w:name w:val="WW8Num3z0"/>
    <w:qFormat/>
    <w:uiPriority w:val="0"/>
    <w:rPr>
      <w:rFonts w:ascii="Wingdings" w:hAnsi="Wingdings"/>
    </w:rPr>
  </w:style>
  <w:style w:type="character" w:customStyle="1" w:styleId="162">
    <w:name w:val="high1"/>
    <w:basedOn w:val="90"/>
    <w:qFormat/>
    <w:uiPriority w:val="0"/>
  </w:style>
  <w:style w:type="character" w:customStyle="1" w:styleId="163">
    <w:name w:val="WW8Num15z0"/>
    <w:qFormat/>
    <w:uiPriority w:val="0"/>
    <w:rPr>
      <w:rFonts w:ascii="Wingdings" w:hAnsi="Wingdings"/>
    </w:rPr>
  </w:style>
  <w:style w:type="character" w:customStyle="1" w:styleId="164">
    <w:name w:val="NormalCharacter"/>
    <w:qFormat/>
    <w:uiPriority w:val="0"/>
  </w:style>
  <w:style w:type="character" w:customStyle="1" w:styleId="165">
    <w:name w:val="超链接11"/>
    <w:qFormat/>
    <w:uiPriority w:val="0"/>
    <w:rPr>
      <w:rFonts w:ascii="Arial" w:hAnsi="Arial" w:eastAsia="黑体"/>
      <w:color w:val="0000FF"/>
      <w:kern w:val="2"/>
      <w:sz w:val="21"/>
      <w:szCs w:val="21"/>
      <w:u w:val="single"/>
      <w:lang w:val="en-US" w:eastAsia="zh-CN" w:bidi="ar-SA"/>
    </w:rPr>
  </w:style>
  <w:style w:type="character" w:customStyle="1" w:styleId="166">
    <w:name w:val="WW8Num8z1"/>
    <w:qFormat/>
    <w:uiPriority w:val="0"/>
    <w:rPr>
      <w:rFonts w:ascii="Wingdings" w:hAnsi="Wingdings"/>
    </w:rPr>
  </w:style>
  <w:style w:type="character" w:customStyle="1" w:styleId="167">
    <w:name w:val="a91"/>
    <w:qFormat/>
    <w:uiPriority w:val="0"/>
    <w:rPr>
      <w:sz w:val="18"/>
      <w:szCs w:val="18"/>
    </w:rPr>
  </w:style>
  <w:style w:type="character" w:customStyle="1" w:styleId="168">
    <w:name w:val="ft-hanggao1"/>
    <w:qFormat/>
    <w:uiPriority w:val="0"/>
    <w:rPr>
      <w:color w:val="000000"/>
      <w:sz w:val="21"/>
      <w:szCs w:val="21"/>
    </w:rPr>
  </w:style>
  <w:style w:type="character" w:customStyle="1" w:styleId="169">
    <w:name w:val="WW8Num2z0"/>
    <w:qFormat/>
    <w:uiPriority w:val="0"/>
    <w:rPr>
      <w:rFonts w:ascii="Wingdings" w:hAnsi="Wingdings"/>
    </w:rPr>
  </w:style>
  <w:style w:type="character" w:customStyle="1" w:styleId="170">
    <w:name w:val="WW8Num10z0"/>
    <w:qFormat/>
    <w:uiPriority w:val="0"/>
    <w:rPr>
      <w:rFonts w:ascii="Wingdings" w:hAnsi="Wingdings"/>
    </w:rPr>
  </w:style>
  <w:style w:type="character" w:customStyle="1" w:styleId="171">
    <w:name w:val="font21"/>
    <w:qFormat/>
    <w:uiPriority w:val="0"/>
    <w:rPr>
      <w:rFonts w:hint="eastAsia" w:ascii="宋体" w:hAnsi="宋体" w:eastAsia="宋体" w:cs="宋体"/>
      <w:color w:val="000000"/>
      <w:sz w:val="22"/>
      <w:szCs w:val="22"/>
      <w:u w:val="none"/>
    </w:rPr>
  </w:style>
  <w:style w:type="character" w:customStyle="1" w:styleId="172">
    <w:name w:val="WW8Num7z0"/>
    <w:qFormat/>
    <w:uiPriority w:val="0"/>
    <w:rPr>
      <w:rFonts w:ascii="Wingdings" w:hAnsi="Wingdings"/>
    </w:rPr>
  </w:style>
  <w:style w:type="character" w:customStyle="1" w:styleId="173">
    <w:name w:val="标题 Char1"/>
    <w:qFormat/>
    <w:uiPriority w:val="0"/>
    <w:rPr>
      <w:rFonts w:ascii="Cambria" w:hAnsi="Cambria" w:cs="Times New Roman"/>
      <w:b/>
      <w:bCs/>
      <w:kern w:val="2"/>
      <w:sz w:val="32"/>
      <w:szCs w:val="32"/>
    </w:rPr>
  </w:style>
  <w:style w:type="character" w:customStyle="1" w:styleId="174">
    <w:name w:val="WW8Num1z0"/>
    <w:qFormat/>
    <w:uiPriority w:val="0"/>
    <w:rPr>
      <w:rFonts w:ascii="Wingdings" w:hAnsi="Wingdings"/>
    </w:rPr>
  </w:style>
  <w:style w:type="character" w:customStyle="1" w:styleId="175">
    <w:name w:val="项目符号"/>
    <w:qFormat/>
    <w:uiPriority w:val="0"/>
    <w:rPr>
      <w:rFonts w:ascii="StarSymbol" w:hAnsi="StarSymbol" w:eastAsia="StarSymbol" w:cs="StarSymbol"/>
      <w:sz w:val="18"/>
      <w:szCs w:val="18"/>
    </w:rPr>
  </w:style>
  <w:style w:type="character" w:customStyle="1" w:styleId="176">
    <w:name w:val="Absatz-Standardschriftart"/>
    <w:qFormat/>
    <w:uiPriority w:val="0"/>
  </w:style>
  <w:style w:type="character" w:customStyle="1" w:styleId="177">
    <w:name w:val="font01"/>
    <w:qFormat/>
    <w:uiPriority w:val="0"/>
    <w:rPr>
      <w:rFonts w:hint="default" w:ascii="Times New Roman" w:hAnsi="Times New Roman" w:cs="Times New Roman"/>
      <w:color w:val="000000"/>
      <w:sz w:val="22"/>
      <w:szCs w:val="22"/>
      <w:u w:val="none"/>
    </w:rPr>
  </w:style>
  <w:style w:type="character" w:customStyle="1" w:styleId="178">
    <w:name w:val="脚注文本 Char1"/>
    <w:qFormat/>
    <w:uiPriority w:val="0"/>
    <w:rPr>
      <w:kern w:val="2"/>
      <w:sz w:val="18"/>
      <w:szCs w:val="18"/>
    </w:rPr>
  </w:style>
  <w:style w:type="character" w:customStyle="1" w:styleId="179">
    <w:name w:val="HTML 地址 Char1"/>
    <w:qFormat/>
    <w:uiPriority w:val="0"/>
    <w:rPr>
      <w:i/>
      <w:iCs/>
      <w:kern w:val="2"/>
      <w:sz w:val="21"/>
      <w:szCs w:val="24"/>
    </w:rPr>
  </w:style>
  <w:style w:type="character" w:customStyle="1" w:styleId="180">
    <w:name w:val="type1"/>
    <w:qFormat/>
    <w:uiPriority w:val="0"/>
    <w:rPr>
      <w:rFonts w:hint="default" w:ascii="Arial" w:hAnsi="Arial" w:cs="Arial"/>
      <w:color w:val="666666"/>
      <w:sz w:val="18"/>
      <w:szCs w:val="18"/>
    </w:rPr>
  </w:style>
  <w:style w:type="character" w:customStyle="1" w:styleId="181">
    <w:name w:val="WW8Num4z0"/>
    <w:qFormat/>
    <w:uiPriority w:val="0"/>
    <w:rPr>
      <w:rFonts w:ascii="Wingdings" w:hAnsi="Wingdings"/>
    </w:rPr>
  </w:style>
  <w:style w:type="character" w:customStyle="1" w:styleId="182">
    <w:name w:val="纯文本 Char1"/>
    <w:qFormat/>
    <w:uiPriority w:val="0"/>
    <w:rPr>
      <w:rFonts w:ascii="宋体" w:hAnsi="Courier New"/>
      <w:kern w:val="2"/>
      <w:sz w:val="21"/>
      <w:szCs w:val="21"/>
    </w:rPr>
  </w:style>
  <w:style w:type="character" w:customStyle="1" w:styleId="183">
    <w:name w:val="引用 Char1"/>
    <w:qFormat/>
    <w:uiPriority w:val="29"/>
    <w:rPr>
      <w:i/>
      <w:iCs/>
      <w:color w:val="000000"/>
      <w:kern w:val="2"/>
      <w:sz w:val="21"/>
      <w:szCs w:val="24"/>
    </w:rPr>
  </w:style>
  <w:style w:type="character" w:customStyle="1" w:styleId="184">
    <w:name w:val="z-窗体顶端 字符"/>
    <w:link w:val="185"/>
    <w:qFormat/>
    <w:uiPriority w:val="0"/>
    <w:rPr>
      <w:rFonts w:ascii="Arial" w:hAnsi="Arial"/>
      <w:vanish/>
      <w:sz w:val="16"/>
    </w:rPr>
  </w:style>
  <w:style w:type="paragraph" w:customStyle="1" w:styleId="185">
    <w:name w:val="z-窗体顶端1"/>
    <w:basedOn w:val="1"/>
    <w:next w:val="1"/>
    <w:link w:val="184"/>
    <w:qFormat/>
    <w:uiPriority w:val="0"/>
    <w:pPr>
      <w:widowControl/>
      <w:pBdr>
        <w:bottom w:val="single" w:color="auto" w:sz="6" w:space="1"/>
      </w:pBdr>
      <w:jc w:val="center"/>
    </w:pPr>
    <w:rPr>
      <w:rFonts w:ascii="Arial" w:hAnsi="Arial"/>
      <w:vanish/>
      <w:kern w:val="0"/>
      <w:sz w:val="16"/>
      <w:szCs w:val="20"/>
    </w:rPr>
  </w:style>
  <w:style w:type="character" w:customStyle="1" w:styleId="186">
    <w:name w:val="cn1"/>
    <w:qFormat/>
    <w:uiPriority w:val="0"/>
    <w:rPr>
      <w:sz w:val="18"/>
      <w:szCs w:val="18"/>
    </w:rPr>
  </w:style>
  <w:style w:type="character" w:customStyle="1" w:styleId="187">
    <w:name w:val="WW8Num5z0"/>
    <w:qFormat/>
    <w:uiPriority w:val="0"/>
    <w:rPr>
      <w:rFonts w:ascii="Wingdings" w:hAnsi="Wingdings"/>
    </w:rPr>
  </w:style>
  <w:style w:type="character" w:customStyle="1" w:styleId="188">
    <w:name w:val="正文首行缩进 Char1"/>
    <w:basedOn w:val="115"/>
    <w:qFormat/>
    <w:uiPriority w:val="99"/>
    <w:rPr>
      <w:kern w:val="2"/>
      <w:sz w:val="21"/>
      <w:szCs w:val="24"/>
    </w:rPr>
  </w:style>
  <w:style w:type="character" w:customStyle="1" w:styleId="189">
    <w:name w:val="f111"/>
    <w:qFormat/>
    <w:uiPriority w:val="0"/>
    <w:rPr>
      <w:sz w:val="22"/>
      <w:szCs w:val="22"/>
    </w:rPr>
  </w:style>
  <w:style w:type="character" w:customStyle="1" w:styleId="190">
    <w:name w:val="la1"/>
    <w:qFormat/>
    <w:uiPriority w:val="0"/>
    <w:rPr>
      <w:sz w:val="21"/>
      <w:szCs w:val="21"/>
    </w:rPr>
  </w:style>
  <w:style w:type="character" w:customStyle="1" w:styleId="191">
    <w:name w:val="WW-Absatz-Standardschriftart"/>
    <w:qFormat/>
    <w:uiPriority w:val="0"/>
  </w:style>
  <w:style w:type="character" w:customStyle="1" w:styleId="192">
    <w:name w:val="style4"/>
    <w:basedOn w:val="90"/>
    <w:qFormat/>
    <w:uiPriority w:val="0"/>
  </w:style>
  <w:style w:type="character" w:customStyle="1" w:styleId="193">
    <w:name w:val="正文+首行缩进2 Char Char"/>
    <w:link w:val="194"/>
    <w:qFormat/>
    <w:uiPriority w:val="0"/>
    <w:rPr>
      <w:szCs w:val="24"/>
    </w:rPr>
  </w:style>
  <w:style w:type="paragraph" w:customStyle="1" w:styleId="194">
    <w:name w:val="正文+首行缩进2"/>
    <w:basedOn w:val="1"/>
    <w:link w:val="193"/>
    <w:qFormat/>
    <w:uiPriority w:val="0"/>
    <w:pPr>
      <w:spacing w:line="480" w:lineRule="exact"/>
      <w:ind w:firstLine="200" w:firstLineChars="200"/>
    </w:pPr>
    <w:rPr>
      <w:kern w:val="0"/>
      <w:sz w:val="20"/>
    </w:rPr>
  </w:style>
  <w:style w:type="character" w:customStyle="1" w:styleId="195">
    <w:name w:val="HTML 预设格式 Char1"/>
    <w:qFormat/>
    <w:uiPriority w:val="0"/>
    <w:rPr>
      <w:rFonts w:ascii="Courier New" w:hAnsi="Courier New" w:cs="Courier New"/>
      <w:kern w:val="2"/>
    </w:rPr>
  </w:style>
  <w:style w:type="character" w:customStyle="1" w:styleId="196">
    <w:name w:val="日期 Char1"/>
    <w:semiHidden/>
    <w:qFormat/>
    <w:uiPriority w:val="99"/>
    <w:rPr>
      <w:rFonts w:ascii="Times New Roman" w:hAnsi="Times New Roman" w:eastAsia="宋体" w:cs="Times New Roman"/>
      <w:szCs w:val="24"/>
    </w:rPr>
  </w:style>
  <w:style w:type="character" w:customStyle="1" w:styleId="197">
    <w:name w:val="unnamed11"/>
    <w:basedOn w:val="90"/>
    <w:qFormat/>
    <w:uiPriority w:val="0"/>
  </w:style>
  <w:style w:type="character" w:customStyle="1" w:styleId="198">
    <w:name w:val="at_1"/>
    <w:basedOn w:val="90"/>
    <w:qFormat/>
    <w:uiPriority w:val="0"/>
  </w:style>
  <w:style w:type="character" w:customStyle="1" w:styleId="199">
    <w:name w:val="unnamed1"/>
    <w:basedOn w:val="90"/>
    <w:qFormat/>
    <w:uiPriority w:val="0"/>
  </w:style>
  <w:style w:type="character" w:customStyle="1" w:styleId="200">
    <w:name w:val="f12_05321"/>
    <w:qFormat/>
    <w:uiPriority w:val="0"/>
    <w:rPr>
      <w:color w:val="053299"/>
      <w:sz w:val="20"/>
      <w:szCs w:val="20"/>
    </w:rPr>
  </w:style>
  <w:style w:type="character" w:customStyle="1" w:styleId="201">
    <w:name w:val="正文文本 (26)_"/>
    <w:link w:val="202"/>
    <w:qFormat/>
    <w:locked/>
    <w:uiPriority w:val="0"/>
    <w:rPr>
      <w:rFonts w:ascii="黑体" w:eastAsia="黑体"/>
      <w:sz w:val="29"/>
      <w:szCs w:val="29"/>
      <w:shd w:val="clear" w:color="auto" w:fill="FFFFFF"/>
    </w:rPr>
  </w:style>
  <w:style w:type="paragraph" w:customStyle="1" w:styleId="202">
    <w:name w:val="正文文本 (26)"/>
    <w:basedOn w:val="1"/>
    <w:link w:val="201"/>
    <w:qFormat/>
    <w:uiPriority w:val="0"/>
    <w:pPr>
      <w:widowControl/>
      <w:shd w:val="clear" w:color="auto" w:fill="FFFFFF"/>
      <w:spacing w:after="60" w:line="504" w:lineRule="exact"/>
      <w:jc w:val="distribute"/>
    </w:pPr>
    <w:rPr>
      <w:rFonts w:ascii="黑体" w:eastAsia="黑体"/>
      <w:kern w:val="0"/>
      <w:sz w:val="29"/>
      <w:szCs w:val="29"/>
    </w:rPr>
  </w:style>
  <w:style w:type="character" w:customStyle="1" w:styleId="203">
    <w:name w:val="枣阳样式四 Char"/>
    <w:link w:val="204"/>
    <w:qFormat/>
    <w:uiPriority w:val="0"/>
    <w:rPr>
      <w:kern w:val="2"/>
      <w:sz w:val="28"/>
      <w:szCs w:val="24"/>
    </w:rPr>
  </w:style>
  <w:style w:type="paragraph" w:customStyle="1" w:styleId="204">
    <w:name w:val="枣阳样式四"/>
    <w:basedOn w:val="1"/>
    <w:link w:val="203"/>
    <w:qFormat/>
    <w:uiPriority w:val="0"/>
    <w:pPr>
      <w:spacing w:line="324" w:lineRule="auto"/>
      <w:ind w:firstLine="527" w:firstLineChars="200"/>
    </w:pPr>
    <w:rPr>
      <w:sz w:val="28"/>
    </w:rPr>
  </w:style>
  <w:style w:type="character" w:customStyle="1" w:styleId="205">
    <w:name w:val="WW8Num14z0"/>
    <w:qFormat/>
    <w:uiPriority w:val="0"/>
    <w:rPr>
      <w:rFonts w:ascii="Wingdings" w:hAnsi="Wingdings"/>
    </w:rPr>
  </w:style>
  <w:style w:type="character" w:customStyle="1" w:styleId="206">
    <w:name w:val="列出段落 字符"/>
    <w:link w:val="207"/>
    <w:qFormat/>
    <w:uiPriority w:val="0"/>
    <w:rPr>
      <w:kern w:val="2"/>
      <w:sz w:val="21"/>
      <w:szCs w:val="24"/>
    </w:rPr>
  </w:style>
  <w:style w:type="paragraph" w:styleId="207">
    <w:name w:val="List Paragraph"/>
    <w:basedOn w:val="1"/>
    <w:link w:val="206"/>
    <w:qFormat/>
    <w:uiPriority w:val="0"/>
    <w:pPr>
      <w:ind w:firstLine="420" w:firstLineChars="200"/>
    </w:pPr>
  </w:style>
  <w:style w:type="character" w:customStyle="1" w:styleId="208">
    <w:name w:val="普通文字 Char Char2"/>
    <w:qFormat/>
    <w:uiPriority w:val="0"/>
    <w:rPr>
      <w:rFonts w:ascii="宋体" w:hAnsi="Courier New" w:eastAsia="宋体"/>
      <w:kern w:val="2"/>
      <w:sz w:val="21"/>
      <w:lang w:val="en-US" w:eastAsia="zh-CN" w:bidi="ar-SA"/>
    </w:rPr>
  </w:style>
  <w:style w:type="character" w:customStyle="1" w:styleId="209">
    <w:name w:val="fs1"/>
    <w:qFormat/>
    <w:uiPriority w:val="0"/>
    <w:rPr>
      <w:dstrike/>
      <w:color w:val="093F7C"/>
      <w:sz w:val="18"/>
      <w:u w:val="none"/>
    </w:rPr>
  </w:style>
  <w:style w:type="character" w:customStyle="1" w:styleId="210">
    <w:name w:val="z9unnamed2"/>
    <w:basedOn w:val="90"/>
    <w:qFormat/>
    <w:uiPriority w:val="0"/>
  </w:style>
  <w:style w:type="character" w:customStyle="1" w:styleId="211">
    <w:name w:val="WW8Num16z0"/>
    <w:qFormat/>
    <w:uiPriority w:val="0"/>
    <w:rPr>
      <w:rFonts w:ascii="Wingdings" w:hAnsi="Wingdings"/>
    </w:rPr>
  </w:style>
  <w:style w:type="character" w:customStyle="1" w:styleId="212">
    <w:name w:val="标题 2 Char1"/>
    <w:qFormat/>
    <w:locked/>
    <w:uiPriority w:val="99"/>
    <w:rPr>
      <w:rFonts w:ascii="Arial" w:hAnsi="Arial" w:eastAsia="黑体" w:cs="Arial"/>
      <w:b/>
      <w:bCs/>
      <w:sz w:val="32"/>
      <w:szCs w:val="32"/>
    </w:rPr>
  </w:style>
  <w:style w:type="character" w:customStyle="1" w:styleId="213">
    <w:name w:val="页脚 字符"/>
    <w:qFormat/>
    <w:uiPriority w:val="99"/>
    <w:rPr>
      <w:sz w:val="18"/>
      <w:szCs w:val="18"/>
    </w:rPr>
  </w:style>
  <w:style w:type="character" w:customStyle="1" w:styleId="214">
    <w:name w:val="样式 宋体 小四"/>
    <w:qFormat/>
    <w:uiPriority w:val="0"/>
    <w:rPr>
      <w:sz w:val="24"/>
    </w:rPr>
  </w:style>
  <w:style w:type="character" w:customStyle="1" w:styleId="215">
    <w:name w:val="WW8Num6z0"/>
    <w:qFormat/>
    <w:uiPriority w:val="0"/>
    <w:rPr>
      <w:rFonts w:ascii="Wingdings" w:hAnsi="Wingdings"/>
    </w:rPr>
  </w:style>
  <w:style w:type="character" w:customStyle="1" w:styleId="216">
    <w:name w:val="正文首行缩进 2 Char1"/>
    <w:basedOn w:val="116"/>
    <w:qFormat/>
    <w:uiPriority w:val="0"/>
    <w:rPr>
      <w:kern w:val="2"/>
      <w:sz w:val="28"/>
      <w:szCs w:val="24"/>
    </w:rPr>
  </w:style>
  <w:style w:type="character" w:customStyle="1" w:styleId="217">
    <w:name w:val="引用 字符"/>
    <w:link w:val="218"/>
    <w:qFormat/>
    <w:uiPriority w:val="29"/>
    <w:rPr>
      <w:i/>
      <w:iCs/>
      <w:color w:val="000000"/>
      <w:kern w:val="2"/>
      <w:sz w:val="21"/>
    </w:rPr>
  </w:style>
  <w:style w:type="paragraph" w:styleId="218">
    <w:name w:val="Quote"/>
    <w:basedOn w:val="1"/>
    <w:next w:val="1"/>
    <w:link w:val="217"/>
    <w:qFormat/>
    <w:uiPriority w:val="29"/>
    <w:rPr>
      <w:i/>
      <w:iCs/>
      <w:color w:val="000000"/>
      <w:szCs w:val="20"/>
    </w:rPr>
  </w:style>
  <w:style w:type="character" w:customStyle="1" w:styleId="219">
    <w:name w:val="WW-Absatz-Standardschriftart1"/>
    <w:qFormat/>
    <w:uiPriority w:val="0"/>
  </w:style>
  <w:style w:type="character" w:customStyle="1" w:styleId="220">
    <w:name w:val="f101"/>
    <w:qFormat/>
    <w:uiPriority w:val="0"/>
    <w:rPr>
      <w:sz w:val="21"/>
      <w:szCs w:val="21"/>
    </w:rPr>
  </w:style>
  <w:style w:type="character" w:customStyle="1" w:styleId="221">
    <w:name w:val="a21"/>
    <w:qFormat/>
    <w:uiPriority w:val="0"/>
    <w:rPr>
      <w:rFonts w:ascii="??" w:hAnsi="??" w:cs="??"/>
      <w:sz w:val="18"/>
      <w:szCs w:val="18"/>
    </w:rPr>
  </w:style>
  <w:style w:type="character" w:customStyle="1" w:styleId="222">
    <w:name w:val="zw"/>
    <w:basedOn w:val="90"/>
    <w:qFormat/>
    <w:uiPriority w:val="0"/>
  </w:style>
  <w:style w:type="character" w:customStyle="1" w:styleId="223">
    <w:name w:val="尾注文本 Char1"/>
    <w:qFormat/>
    <w:uiPriority w:val="0"/>
    <w:rPr>
      <w:kern w:val="2"/>
      <w:sz w:val="21"/>
      <w:szCs w:val="24"/>
    </w:rPr>
  </w:style>
  <w:style w:type="character" w:customStyle="1" w:styleId="224">
    <w:name w:val="WW8Num9z0"/>
    <w:qFormat/>
    <w:uiPriority w:val="0"/>
    <w:rPr>
      <w:rFonts w:ascii="Wingdings" w:hAnsi="Wingdings"/>
    </w:rPr>
  </w:style>
  <w:style w:type="character" w:customStyle="1" w:styleId="225">
    <w:name w:val="at_0"/>
    <w:basedOn w:val="90"/>
    <w:qFormat/>
    <w:uiPriority w:val="0"/>
  </w:style>
  <w:style w:type="character" w:customStyle="1" w:styleId="226">
    <w:name w:val="lineitems1"/>
    <w:qFormat/>
    <w:uiPriority w:val="0"/>
    <w:rPr>
      <w:sz w:val="17"/>
      <w:szCs w:val="17"/>
    </w:rPr>
  </w:style>
  <w:style w:type="character" w:customStyle="1" w:styleId="227">
    <w:name w:val="签名 Char1"/>
    <w:qFormat/>
    <w:uiPriority w:val="0"/>
    <w:rPr>
      <w:kern w:val="2"/>
      <w:sz w:val="21"/>
      <w:szCs w:val="24"/>
    </w:rPr>
  </w:style>
  <w:style w:type="character" w:customStyle="1" w:styleId="228">
    <w:name w:val="font91"/>
    <w:qFormat/>
    <w:uiPriority w:val="0"/>
    <w:rPr>
      <w:sz w:val="18"/>
      <w:szCs w:val="18"/>
    </w:rPr>
  </w:style>
  <w:style w:type="character" w:customStyle="1" w:styleId="229">
    <w:name w:val="normalfont1"/>
    <w:qFormat/>
    <w:uiPriority w:val="0"/>
    <w:rPr>
      <w:rFonts w:hint="default" w:ascii="ˎ̥" w:hAnsi="ˎ̥"/>
      <w:color w:val="000472"/>
      <w:sz w:val="18"/>
      <w:szCs w:val="18"/>
    </w:rPr>
  </w:style>
  <w:style w:type="character" w:customStyle="1" w:styleId="230">
    <w:name w:val="明显引用 字符"/>
    <w:link w:val="231"/>
    <w:qFormat/>
    <w:uiPriority w:val="30"/>
    <w:rPr>
      <w:b/>
      <w:bCs/>
      <w:i/>
      <w:iCs/>
      <w:color w:val="4F81BD"/>
      <w:kern w:val="2"/>
      <w:sz w:val="21"/>
    </w:rPr>
  </w:style>
  <w:style w:type="paragraph" w:styleId="231">
    <w:name w:val="Intense Quote"/>
    <w:basedOn w:val="1"/>
    <w:next w:val="1"/>
    <w:link w:val="230"/>
    <w:qFormat/>
    <w:uiPriority w:val="30"/>
    <w:pPr>
      <w:pBdr>
        <w:bottom w:val="single" w:color="4F81BD" w:sz="4" w:space="4"/>
      </w:pBdr>
      <w:spacing w:before="200" w:after="280"/>
      <w:ind w:left="936" w:right="936"/>
    </w:pPr>
    <w:rPr>
      <w:b/>
      <w:bCs/>
      <w:i/>
      <w:iCs/>
      <w:color w:val="4F81BD"/>
      <w:szCs w:val="20"/>
    </w:rPr>
  </w:style>
  <w:style w:type="character" w:customStyle="1" w:styleId="232">
    <w:name w:val="WW8Num13z0"/>
    <w:qFormat/>
    <w:uiPriority w:val="0"/>
    <w:rPr>
      <w:rFonts w:ascii="Wingdings" w:hAnsi="Wingdings"/>
    </w:rPr>
  </w:style>
  <w:style w:type="character" w:customStyle="1" w:styleId="233">
    <w:name w:val="电子邮件签名 Char1"/>
    <w:qFormat/>
    <w:uiPriority w:val="0"/>
    <w:rPr>
      <w:kern w:val="2"/>
      <w:sz w:val="21"/>
      <w:szCs w:val="24"/>
    </w:rPr>
  </w:style>
  <w:style w:type="character" w:customStyle="1" w:styleId="234">
    <w:name w:val="正文文本 3 Char1"/>
    <w:qFormat/>
    <w:uiPriority w:val="0"/>
    <w:rPr>
      <w:kern w:val="2"/>
      <w:sz w:val="16"/>
      <w:szCs w:val="16"/>
    </w:rPr>
  </w:style>
  <w:style w:type="character" w:customStyle="1" w:styleId="235">
    <w:name w:val="默认段落字体1"/>
    <w:qFormat/>
    <w:uiPriority w:val="0"/>
  </w:style>
  <w:style w:type="character" w:customStyle="1" w:styleId="236">
    <w:name w:val="HTML Markup"/>
    <w:qFormat/>
    <w:uiPriority w:val="0"/>
    <w:rPr>
      <w:vanish/>
      <w:color w:val="FF0000"/>
    </w:rPr>
  </w:style>
  <w:style w:type="character" w:customStyle="1" w:styleId="237">
    <w:name w:val="(符号)标书正文 Char"/>
    <w:qFormat/>
    <w:uiPriority w:val="0"/>
    <w:rPr>
      <w:rFonts w:ascii="黑体" w:hAnsi="宋体" w:eastAsia="黑体"/>
      <w:b/>
      <w:kern w:val="2"/>
      <w:sz w:val="24"/>
      <w:szCs w:val="24"/>
      <w:lang w:val="en-US" w:eastAsia="zh-CN" w:bidi="ar-SA"/>
    </w:rPr>
  </w:style>
  <w:style w:type="character" w:customStyle="1" w:styleId="238">
    <w:name w:val="z-窗体底端 字符"/>
    <w:link w:val="239"/>
    <w:qFormat/>
    <w:uiPriority w:val="0"/>
    <w:rPr>
      <w:rFonts w:ascii="Arial" w:hAnsi="Arial"/>
      <w:vanish/>
      <w:sz w:val="16"/>
    </w:rPr>
  </w:style>
  <w:style w:type="paragraph" w:customStyle="1" w:styleId="239">
    <w:name w:val="z-窗体底端1"/>
    <w:basedOn w:val="1"/>
    <w:next w:val="1"/>
    <w:link w:val="238"/>
    <w:qFormat/>
    <w:uiPriority w:val="0"/>
    <w:pPr>
      <w:widowControl/>
      <w:pBdr>
        <w:top w:val="single" w:color="auto" w:sz="6" w:space="1"/>
      </w:pBdr>
      <w:jc w:val="center"/>
    </w:pPr>
    <w:rPr>
      <w:rFonts w:ascii="Arial" w:hAnsi="Arial"/>
      <w:vanish/>
      <w:kern w:val="0"/>
      <w:sz w:val="16"/>
      <w:szCs w:val="20"/>
    </w:rPr>
  </w:style>
  <w:style w:type="character" w:customStyle="1" w:styleId="240">
    <w:name w:val="信息标题 Char1"/>
    <w:qFormat/>
    <w:uiPriority w:val="0"/>
    <w:rPr>
      <w:rFonts w:ascii="Cambria" w:hAnsi="Cambria" w:eastAsia="宋体" w:cs="Times New Roman"/>
      <w:kern w:val="2"/>
      <w:sz w:val="24"/>
      <w:szCs w:val="24"/>
      <w:shd w:val="pct20" w:color="auto" w:fill="auto"/>
    </w:rPr>
  </w:style>
  <w:style w:type="character" w:customStyle="1" w:styleId="241">
    <w:name w:val="正文缩进 Char1"/>
    <w:qFormat/>
    <w:uiPriority w:val="0"/>
    <w:rPr>
      <w:color w:val="000000"/>
      <w:sz w:val="28"/>
    </w:rPr>
  </w:style>
  <w:style w:type="character" w:customStyle="1" w:styleId="242">
    <w:name w:val="unnamed21"/>
    <w:basedOn w:val="90"/>
    <w:qFormat/>
    <w:uiPriority w:val="0"/>
  </w:style>
  <w:style w:type="paragraph" w:customStyle="1" w:styleId="243">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4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45">
    <w:name w:val="文档正文首行缩进"/>
    <w:basedOn w:val="1"/>
    <w:qFormat/>
    <w:uiPriority w:val="0"/>
    <w:pPr>
      <w:spacing w:line="360" w:lineRule="auto"/>
      <w:ind w:firstLine="420"/>
    </w:pPr>
    <w:rPr>
      <w:rFonts w:cs="宋体"/>
      <w:sz w:val="24"/>
      <w:szCs w:val="20"/>
    </w:rPr>
  </w:style>
  <w:style w:type="paragraph" w:customStyle="1" w:styleId="246">
    <w:name w:val="普通文字"/>
    <w:basedOn w:val="1"/>
    <w:qFormat/>
    <w:uiPriority w:val="0"/>
    <w:pPr>
      <w:suppressAutoHyphens/>
    </w:pPr>
    <w:rPr>
      <w:rFonts w:ascii="宋体" w:hAnsi="宋体" w:cs="Courier New"/>
      <w:kern w:val="1"/>
      <w:szCs w:val="21"/>
      <w:lang w:eastAsia="ar-SA"/>
    </w:rPr>
  </w:style>
  <w:style w:type="paragraph" w:customStyle="1" w:styleId="247">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24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b/>
      <w:bCs/>
      <w:color w:val="000000"/>
      <w:kern w:val="0"/>
      <w:sz w:val="24"/>
    </w:rPr>
  </w:style>
  <w:style w:type="paragraph" w:customStyle="1" w:styleId="249">
    <w:name w:val="列出段落1"/>
    <w:basedOn w:val="1"/>
    <w:qFormat/>
    <w:uiPriority w:val="34"/>
    <w:pPr>
      <w:spacing w:line="360" w:lineRule="auto"/>
      <w:ind w:firstLine="420" w:firstLineChars="200"/>
    </w:pPr>
    <w:rPr>
      <w:rFonts w:ascii="宋体" w:hAnsi="华文细黑"/>
      <w:color w:val="000000"/>
    </w:rPr>
  </w:style>
  <w:style w:type="paragraph" w:customStyle="1" w:styleId="250">
    <w:name w:val="部分1"/>
    <w:basedOn w:val="1"/>
    <w:qFormat/>
    <w:uiPriority w:val="0"/>
    <w:pPr>
      <w:keepNext/>
      <w:pageBreakBefore/>
      <w:tabs>
        <w:tab w:val="left" w:pos="1272"/>
      </w:tabs>
      <w:spacing w:line="360" w:lineRule="auto"/>
      <w:ind w:left="1272" w:hanging="1272"/>
      <w:jc w:val="center"/>
      <w:outlineLvl w:val="0"/>
    </w:pPr>
    <w:rPr>
      <w:rFonts w:eastAsia="黑体"/>
      <w:b/>
      <w:bCs/>
      <w:kern w:val="44"/>
      <w:sz w:val="36"/>
      <w:szCs w:val="36"/>
    </w:rPr>
  </w:style>
  <w:style w:type="paragraph" w:customStyle="1" w:styleId="251">
    <w:name w:val="五级条标题"/>
    <w:basedOn w:val="252"/>
    <w:next w:val="257"/>
    <w:qFormat/>
    <w:uiPriority w:val="0"/>
    <w:pPr>
      <w:tabs>
        <w:tab w:val="left" w:pos="360"/>
        <w:tab w:val="left" w:pos="1740"/>
        <w:tab w:val="left" w:pos="2160"/>
        <w:tab w:val="left" w:pos="2580"/>
        <w:tab w:val="left" w:pos="3000"/>
        <w:tab w:val="left" w:pos="3420"/>
      </w:tabs>
      <w:ind w:left="3420"/>
      <w:outlineLvl w:val="6"/>
    </w:pPr>
  </w:style>
  <w:style w:type="paragraph" w:customStyle="1" w:styleId="252">
    <w:name w:val="四级条标题"/>
    <w:basedOn w:val="253"/>
    <w:next w:val="257"/>
    <w:qFormat/>
    <w:uiPriority w:val="0"/>
    <w:pPr>
      <w:tabs>
        <w:tab w:val="left" w:pos="360"/>
        <w:tab w:val="left" w:pos="1740"/>
        <w:tab w:val="left" w:pos="2160"/>
        <w:tab w:val="left" w:pos="2580"/>
        <w:tab w:val="left" w:pos="3000"/>
      </w:tabs>
      <w:ind w:left="3000"/>
      <w:outlineLvl w:val="5"/>
    </w:pPr>
  </w:style>
  <w:style w:type="paragraph" w:customStyle="1" w:styleId="253">
    <w:name w:val="三级条标题"/>
    <w:basedOn w:val="254"/>
    <w:next w:val="257"/>
    <w:qFormat/>
    <w:uiPriority w:val="0"/>
    <w:pPr>
      <w:tabs>
        <w:tab w:val="left" w:pos="360"/>
        <w:tab w:val="left" w:pos="1740"/>
        <w:tab w:val="left" w:pos="2160"/>
        <w:tab w:val="left" w:pos="2580"/>
      </w:tabs>
      <w:ind w:left="2580"/>
      <w:outlineLvl w:val="4"/>
    </w:pPr>
  </w:style>
  <w:style w:type="paragraph" w:customStyle="1" w:styleId="254">
    <w:name w:val="二级条标题"/>
    <w:basedOn w:val="255"/>
    <w:next w:val="257"/>
    <w:qFormat/>
    <w:uiPriority w:val="0"/>
    <w:pPr>
      <w:tabs>
        <w:tab w:val="left" w:pos="360"/>
        <w:tab w:val="left" w:pos="1740"/>
        <w:tab w:val="left" w:pos="2160"/>
      </w:tabs>
      <w:ind w:left="0"/>
      <w:outlineLvl w:val="3"/>
    </w:pPr>
  </w:style>
  <w:style w:type="paragraph" w:customStyle="1" w:styleId="255">
    <w:name w:val="一级条标题"/>
    <w:basedOn w:val="256"/>
    <w:next w:val="257"/>
    <w:qFormat/>
    <w:uiPriority w:val="0"/>
    <w:pPr>
      <w:tabs>
        <w:tab w:val="left" w:pos="360"/>
        <w:tab w:val="left" w:pos="1740"/>
      </w:tabs>
      <w:spacing w:beforeLines="0" w:afterLines="0"/>
      <w:ind w:left="1740" w:hanging="420"/>
      <w:outlineLvl w:val="2"/>
    </w:pPr>
  </w:style>
  <w:style w:type="paragraph" w:customStyle="1" w:styleId="256">
    <w:name w:val="章标题"/>
    <w:next w:val="257"/>
    <w:qFormat/>
    <w:uiPriority w:val="0"/>
    <w:pPr>
      <w:tabs>
        <w:tab w:val="left" w:pos="360"/>
      </w:tabs>
      <w:spacing w:beforeLines="50" w:afterLines="50"/>
      <w:jc w:val="both"/>
      <w:outlineLvl w:val="1"/>
    </w:pPr>
    <w:rPr>
      <w:rFonts w:ascii="黑体" w:hAnsi="Times New Roman" w:eastAsia="黑体" w:cs="Times New Roman"/>
      <w:sz w:val="21"/>
      <w:lang w:val="en-US" w:eastAsia="zh-CN" w:bidi="ar-SA"/>
    </w:rPr>
  </w:style>
  <w:style w:type="paragraph" w:customStyle="1" w:styleId="2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8">
    <w:name w:val="Char"/>
    <w:basedOn w:val="1"/>
    <w:qFormat/>
    <w:uiPriority w:val="0"/>
    <w:pPr>
      <w:spacing w:line="240" w:lineRule="atLeast"/>
      <w:ind w:left="420" w:firstLine="420"/>
    </w:pPr>
    <w:rPr>
      <w:kern w:val="0"/>
      <w:szCs w:val="21"/>
    </w:rPr>
  </w:style>
  <w:style w:type="paragraph" w:customStyle="1" w:styleId="259">
    <w:name w:val="规范正文"/>
    <w:basedOn w:val="1"/>
    <w:qFormat/>
    <w:uiPriority w:val="0"/>
    <w:pPr>
      <w:suppressAutoHyphens/>
      <w:spacing w:line="360" w:lineRule="auto"/>
      <w:ind w:left="480"/>
      <w:textAlignment w:val="baseline"/>
    </w:pPr>
    <w:rPr>
      <w:kern w:val="1"/>
      <w:sz w:val="24"/>
      <w:szCs w:val="20"/>
      <w:lang w:eastAsia="ar-SA"/>
    </w:rPr>
  </w:style>
  <w:style w:type="paragraph" w:customStyle="1" w:styleId="260">
    <w:name w:val="样式 标题 4 + 左侧:  1.11 厘米"/>
    <w:basedOn w:val="7"/>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261">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62">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kern w:val="0"/>
      <w:sz w:val="24"/>
    </w:rPr>
  </w:style>
  <w:style w:type="paragraph" w:customStyle="1" w:styleId="263">
    <w:name w:val="（符号）内容二标题1"/>
    <w:basedOn w:val="1"/>
    <w:qFormat/>
    <w:uiPriority w:val="0"/>
    <w:pPr>
      <w:tabs>
        <w:tab w:val="left" w:pos="420"/>
      </w:tabs>
      <w:spacing w:before="140" w:after="140" w:line="500" w:lineRule="exact"/>
      <w:ind w:left="430" w:hanging="430"/>
      <w:outlineLvl w:val="1"/>
    </w:pPr>
    <w:rPr>
      <w:rFonts w:ascii="楷体_GB2312" w:eastAsia="楷体_GB2312" w:cs="宋体"/>
      <w:b/>
      <w:bCs/>
      <w:sz w:val="28"/>
      <w:szCs w:val="20"/>
    </w:rPr>
  </w:style>
  <w:style w:type="paragraph" w:customStyle="1" w:styleId="264">
    <w:name w:val="È±Ê¡ÎÄ±¾"/>
    <w:basedOn w:val="1"/>
    <w:qFormat/>
    <w:uiPriority w:val="0"/>
    <w:pPr>
      <w:widowControl/>
      <w:overflowPunct w:val="0"/>
      <w:autoSpaceDE w:val="0"/>
      <w:autoSpaceDN w:val="0"/>
      <w:adjustRightInd w:val="0"/>
      <w:jc w:val="left"/>
    </w:pPr>
    <w:rPr>
      <w:kern w:val="0"/>
      <w:sz w:val="24"/>
      <w:szCs w:val="20"/>
    </w:rPr>
  </w:style>
  <w:style w:type="paragraph" w:customStyle="1" w:styleId="265">
    <w:name w:val="表格文本"/>
    <w:basedOn w:val="1"/>
    <w:qFormat/>
    <w:uiPriority w:val="0"/>
    <w:pPr>
      <w:tabs>
        <w:tab w:val="decimal" w:pos="0"/>
      </w:tabs>
      <w:autoSpaceDE w:val="0"/>
      <w:autoSpaceDN w:val="0"/>
      <w:adjustRightInd w:val="0"/>
      <w:jc w:val="left"/>
    </w:pPr>
    <w:rPr>
      <w:rFonts w:ascii="Arial" w:hAnsi="Arial"/>
      <w:kern w:val="0"/>
      <w:szCs w:val="21"/>
    </w:rPr>
  </w:style>
  <w:style w:type="paragraph" w:customStyle="1" w:styleId="266">
    <w:name w:val="(符号)四标题1.1"/>
    <w:basedOn w:val="1"/>
    <w:qFormat/>
    <w:uiPriority w:val="0"/>
    <w:pPr>
      <w:tabs>
        <w:tab w:val="left" w:pos="567"/>
      </w:tabs>
      <w:spacing w:line="500" w:lineRule="exact"/>
      <w:ind w:left="567" w:hanging="567"/>
    </w:pPr>
    <w:rPr>
      <w:rFonts w:ascii="宋体" w:hAnsi="宋体" w:cs="宋体"/>
      <w:color w:val="000000"/>
      <w:kern w:val="0"/>
      <w:sz w:val="24"/>
      <w:szCs w:val="20"/>
    </w:rPr>
  </w:style>
  <w:style w:type="paragraph" w:customStyle="1" w:styleId="267">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268">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cs="宋体"/>
      <w:b/>
      <w:bCs/>
      <w:color w:val="000000"/>
      <w:kern w:val="0"/>
      <w:szCs w:val="20"/>
    </w:rPr>
  </w:style>
  <w:style w:type="paragraph" w:customStyle="1" w:styleId="269">
    <w:name w:val="标签"/>
    <w:basedOn w:val="1"/>
    <w:qFormat/>
    <w:uiPriority w:val="0"/>
    <w:pPr>
      <w:suppressLineNumbers/>
      <w:suppressAutoHyphens/>
      <w:spacing w:before="120" w:after="120"/>
    </w:pPr>
    <w:rPr>
      <w:i/>
      <w:iCs/>
      <w:kern w:val="1"/>
      <w:sz w:val="24"/>
      <w:lang w:eastAsia="ar-SA"/>
    </w:rPr>
  </w:style>
  <w:style w:type="paragraph" w:customStyle="1" w:styleId="270">
    <w:name w:val="正文缩进1"/>
    <w:basedOn w:val="1"/>
    <w:qFormat/>
    <w:uiPriority w:val="0"/>
    <w:pPr>
      <w:ind w:firstLine="420"/>
    </w:pPr>
    <w:rPr>
      <w:szCs w:val="20"/>
    </w:rPr>
  </w:style>
  <w:style w:type="paragraph" w:customStyle="1" w:styleId="271">
    <w:name w:val="List Paragraph1"/>
    <w:basedOn w:val="1"/>
    <w:qFormat/>
    <w:uiPriority w:val="0"/>
    <w:pPr>
      <w:ind w:firstLine="420" w:firstLineChars="200"/>
    </w:pPr>
    <w:rPr>
      <w:szCs w:val="20"/>
    </w:rPr>
  </w:style>
  <w:style w:type="paragraph" w:customStyle="1" w:styleId="272">
    <w:name w:val="样式 标题 2 + (西文) Times New Roman (中文) 宋体 小四"/>
    <w:basedOn w:val="2"/>
    <w:qFormat/>
    <w:uiPriority w:val="0"/>
    <w:pPr>
      <w:spacing w:beforeLines="100" w:after="0" w:line="500" w:lineRule="exact"/>
    </w:pPr>
    <w:rPr>
      <w:rFonts w:ascii="Times New Roman" w:hAnsi="Times New Roman" w:eastAsia="宋体"/>
      <w:b w:val="0"/>
      <w:sz w:val="24"/>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275">
    <w:name w:val="框内容"/>
    <w:basedOn w:val="34"/>
    <w:qFormat/>
    <w:uiPriority w:val="0"/>
    <w:pPr>
      <w:suppressAutoHyphens/>
    </w:pPr>
    <w:rPr>
      <w:kern w:val="1"/>
      <w:lang w:eastAsia="ar-SA"/>
    </w:rPr>
  </w:style>
  <w:style w:type="paragraph" w:customStyle="1" w:styleId="276">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77">
    <w:name w:val="列出段落2"/>
    <w:basedOn w:val="1"/>
    <w:qFormat/>
    <w:uiPriority w:val="0"/>
    <w:pPr>
      <w:ind w:firstLine="420" w:firstLineChars="200"/>
    </w:pPr>
    <w:rPr>
      <w:szCs w:val="20"/>
    </w:rPr>
  </w:style>
  <w:style w:type="paragraph" w:customStyle="1" w:styleId="278">
    <w:name w:val="文档结构图1"/>
    <w:basedOn w:val="1"/>
    <w:qFormat/>
    <w:uiPriority w:val="0"/>
    <w:pPr>
      <w:shd w:val="clear" w:color="auto" w:fill="000080"/>
      <w:suppressAutoHyphens/>
    </w:pPr>
    <w:rPr>
      <w:kern w:val="1"/>
      <w:lang w:eastAsia="ar-SA"/>
    </w:rPr>
  </w:style>
  <w:style w:type="paragraph" w:customStyle="1" w:styleId="279">
    <w:name w:val="Char Char1 Char Char Char Char Char Char Char Char Char Char Char Char Char Char Char"/>
    <w:basedOn w:val="1"/>
    <w:qFormat/>
    <w:uiPriority w:val="0"/>
    <w:pPr>
      <w:widowControl/>
      <w:spacing w:after="160" w:line="240" w:lineRule="exact"/>
      <w:jc w:val="left"/>
    </w:pPr>
    <w:rPr>
      <w:sz w:val="28"/>
    </w:rPr>
  </w:style>
  <w:style w:type="paragraph" w:customStyle="1" w:styleId="280">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81">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82">
    <w:name w:val="目录"/>
    <w:basedOn w:val="1"/>
    <w:qFormat/>
    <w:uiPriority w:val="0"/>
    <w:pPr>
      <w:suppressLineNumbers/>
      <w:suppressAutoHyphens/>
    </w:pPr>
    <w:rPr>
      <w:kern w:val="1"/>
      <w:lang w:eastAsia="ar-SA"/>
    </w:rPr>
  </w:style>
  <w:style w:type="paragraph" w:customStyle="1" w:styleId="283">
    <w:name w:val="（符号）普通正文"/>
    <w:basedOn w:val="1"/>
    <w:qFormat/>
    <w:uiPriority w:val="0"/>
    <w:pPr>
      <w:spacing w:line="460" w:lineRule="exact"/>
      <w:ind w:firstLine="480" w:firstLineChars="200"/>
    </w:pPr>
    <w:rPr>
      <w:rFonts w:ascii="宋体" w:hAnsi="宋体" w:cs="宋体"/>
      <w:sz w:val="24"/>
      <w:szCs w:val="20"/>
    </w:rPr>
  </w:style>
  <w:style w:type="paragraph" w:customStyle="1" w:styleId="284">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5">
    <w:name w:val="Char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6">
    <w:name w:val="（符号）内容四标题1.1.12"/>
    <w:basedOn w:val="1"/>
    <w:qFormat/>
    <w:uiPriority w:val="0"/>
    <w:pPr>
      <w:tabs>
        <w:tab w:val="left" w:pos="1000"/>
      </w:tabs>
      <w:spacing w:line="500" w:lineRule="exact"/>
      <w:ind w:left="1000" w:hanging="1000"/>
    </w:pPr>
    <w:rPr>
      <w:sz w:val="24"/>
    </w:rPr>
  </w:style>
  <w:style w:type="paragraph" w:customStyle="1" w:styleId="287">
    <w:name w:val="(符号)三标题1.1"/>
    <w:basedOn w:val="1"/>
    <w:qFormat/>
    <w:uiPriority w:val="0"/>
    <w:pPr>
      <w:numPr>
        <w:ilvl w:val="0"/>
        <w:numId w:val="2"/>
      </w:numPr>
      <w:spacing w:before="140" w:after="140" w:line="500" w:lineRule="exact"/>
      <w:outlineLvl w:val="2"/>
    </w:pPr>
    <w:rPr>
      <w:rFonts w:ascii="楷体_GB2312" w:hAnsi="宋体" w:eastAsia="楷体_GB2312" w:cs="宋体"/>
      <w:b/>
      <w:bCs/>
      <w:sz w:val="28"/>
      <w:szCs w:val="20"/>
    </w:rPr>
  </w:style>
  <w:style w:type="paragraph" w:customStyle="1" w:styleId="288">
    <w:name w:val="（符号）内容四标题1.1"/>
    <w:basedOn w:val="1"/>
    <w:qFormat/>
    <w:uiPriority w:val="0"/>
    <w:pPr>
      <w:tabs>
        <w:tab w:val="left" w:pos="420"/>
      </w:tabs>
      <w:spacing w:line="500" w:lineRule="exact"/>
      <w:ind w:left="430" w:hanging="430"/>
    </w:pPr>
    <w:rPr>
      <w:rFonts w:ascii="黑体"/>
      <w:sz w:val="24"/>
      <w:szCs w:val="21"/>
    </w:rPr>
  </w:style>
  <w:style w:type="paragraph" w:customStyle="1" w:styleId="289">
    <w:name w:val="BodyText"/>
    <w:basedOn w:val="1"/>
    <w:qFormat/>
    <w:uiPriority w:val="0"/>
    <w:pPr>
      <w:widowControl/>
      <w:textAlignment w:val="baseline"/>
    </w:pPr>
    <w:rPr>
      <w:szCs w:val="21"/>
    </w:rPr>
  </w:style>
  <w:style w:type="paragraph" w:customStyle="1" w:styleId="290">
    <w:name w:val="（符号）内容四标题1.1.1"/>
    <w:basedOn w:val="1"/>
    <w:qFormat/>
    <w:uiPriority w:val="0"/>
    <w:pPr>
      <w:tabs>
        <w:tab w:val="left" w:pos="1000"/>
      </w:tabs>
      <w:spacing w:line="500" w:lineRule="exact"/>
      <w:ind w:left="1000" w:hanging="1000"/>
    </w:pPr>
    <w:rPr>
      <w:rFonts w:ascii="宋体" w:hAnsi="宋体"/>
      <w:sz w:val="24"/>
    </w:rPr>
  </w:style>
  <w:style w:type="paragraph" w:customStyle="1" w:styleId="291">
    <w:name w:val="纯文本1"/>
    <w:basedOn w:val="1"/>
    <w:qFormat/>
    <w:uiPriority w:val="99"/>
    <w:rPr>
      <w:rFonts w:ascii="宋体" w:hAnsi="Courier New"/>
      <w:szCs w:val="20"/>
    </w:rPr>
  </w:style>
  <w:style w:type="paragraph" w:customStyle="1" w:styleId="292">
    <w:name w:val="（符号）目录2"/>
    <w:basedOn w:val="1"/>
    <w:qFormat/>
    <w:uiPriority w:val="0"/>
    <w:pPr>
      <w:spacing w:line="500" w:lineRule="exact"/>
      <w:ind w:left="480"/>
    </w:pPr>
    <w:rPr>
      <w:rFonts w:cs="宋体"/>
      <w:sz w:val="24"/>
      <w:szCs w:val="20"/>
    </w:rPr>
  </w:style>
  <w:style w:type="paragraph" w:customStyle="1" w:styleId="293">
    <w:name w:val="（符号）内容三标题1.1"/>
    <w:basedOn w:val="1"/>
    <w:qFormat/>
    <w:uiPriority w:val="0"/>
    <w:pPr>
      <w:spacing w:line="500" w:lineRule="exact"/>
    </w:pPr>
    <w:rPr>
      <w:rFonts w:ascii="黑体" w:hAnsi="宋体" w:eastAsia="黑体"/>
      <w:b/>
      <w:bCs/>
      <w:sz w:val="24"/>
    </w:rPr>
  </w:style>
  <w:style w:type="paragraph" w:customStyle="1" w:styleId="294">
    <w:name w:val="正文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295">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96">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97">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298">
    <w:name w:val="列出段落{858D7CFB-ED40-4347-BF05-701D383B685F}{858D7CFB-ED40-4347-BF05-701D383B685F}"/>
    <w:basedOn w:val="1"/>
    <w:qFormat/>
    <w:uiPriority w:val="0"/>
    <w:pPr>
      <w:ind w:firstLine="420" w:firstLineChars="200"/>
    </w:pPr>
  </w:style>
  <w:style w:type="paragraph" w:customStyle="1" w:styleId="299">
    <w:name w:val="样式 标题 4 + 行距: 多倍行距 1.57 字行"/>
    <w:basedOn w:val="7"/>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30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01">
    <w:name w:val="我的重点"/>
    <w:basedOn w:val="297"/>
    <w:qFormat/>
    <w:uiPriority w:val="0"/>
    <w:pPr>
      <w:ind w:left="0"/>
    </w:pPr>
    <w:rPr>
      <w:rFonts w:eastAsia="华文楷体"/>
      <w:i/>
      <w:iCs/>
    </w:rPr>
  </w:style>
  <w:style w:type="paragraph" w:customStyle="1" w:styleId="30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03">
    <w:name w:val="(符号)内容1五标题1.1.1"/>
    <w:basedOn w:val="1"/>
    <w:qFormat/>
    <w:uiPriority w:val="0"/>
  </w:style>
  <w:style w:type="paragraph" w:customStyle="1" w:styleId="304">
    <w:name w:val="Char Char Char Char Char Char Char Char Char Char Char1 Char Char Char Char Char Char Char Char Char Char Char Char"/>
    <w:basedOn w:val="1"/>
    <w:qFormat/>
    <w:uiPriority w:val="0"/>
    <w:rPr>
      <w:rFonts w:ascii="Tahoma" w:hAnsi="Tahoma"/>
      <w:sz w:val="24"/>
    </w:rPr>
  </w:style>
  <w:style w:type="paragraph" w:customStyle="1" w:styleId="30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kern w:val="0"/>
      <w:sz w:val="24"/>
    </w:rPr>
  </w:style>
  <w:style w:type="paragraph" w:customStyle="1" w:styleId="306">
    <w:name w:val="样式 宋体 小四 行距: 固定值 25 磅"/>
    <w:basedOn w:val="1"/>
    <w:qFormat/>
    <w:uiPriority w:val="0"/>
    <w:pPr>
      <w:spacing w:line="500" w:lineRule="exact"/>
    </w:pPr>
    <w:rPr>
      <w:rFonts w:ascii="宋体" w:hAnsi="宋体" w:cs="宋体"/>
      <w:sz w:val="24"/>
      <w:szCs w:val="20"/>
    </w:rPr>
  </w:style>
  <w:style w:type="paragraph" w:customStyle="1" w:styleId="307">
    <w:name w:val="样式 首行缩进:  0.85 厘米"/>
    <w:basedOn w:val="1"/>
    <w:qFormat/>
    <w:uiPriority w:val="0"/>
    <w:pPr>
      <w:spacing w:line="360" w:lineRule="auto"/>
      <w:ind w:firstLine="200" w:firstLineChars="200"/>
    </w:pPr>
    <w:rPr>
      <w:sz w:val="24"/>
    </w:rPr>
  </w:style>
  <w:style w:type="paragraph" w:customStyle="1" w:styleId="308">
    <w:name w:val="（符号）目录1"/>
    <w:basedOn w:val="1"/>
    <w:qFormat/>
    <w:uiPriority w:val="0"/>
    <w:pPr>
      <w:spacing w:line="500" w:lineRule="exact"/>
    </w:pPr>
    <w:rPr>
      <w:rFonts w:cs="宋体"/>
      <w:sz w:val="24"/>
      <w:szCs w:val="20"/>
    </w:rPr>
  </w:style>
  <w:style w:type="paragraph" w:customStyle="1" w:styleId="309">
    <w:name w:val="日期1"/>
    <w:basedOn w:val="1"/>
    <w:next w:val="1"/>
    <w:qFormat/>
    <w:uiPriority w:val="0"/>
    <w:pPr>
      <w:suppressAutoHyphens/>
      <w:ind w:left="100"/>
    </w:pPr>
    <w:rPr>
      <w:rFonts w:eastAsia="楷体_GB2312"/>
      <w:b/>
      <w:kern w:val="1"/>
      <w:sz w:val="36"/>
      <w:szCs w:val="30"/>
      <w:lang w:eastAsia="ar-SA"/>
    </w:rPr>
  </w:style>
  <w:style w:type="paragraph" w:customStyle="1" w:styleId="310">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11">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312">
    <w:name w:val="_Style 36"/>
    <w:basedOn w:val="1"/>
    <w:qFormat/>
    <w:uiPriority w:val="0"/>
    <w:pPr>
      <w:widowControl/>
      <w:spacing w:after="160" w:line="240" w:lineRule="exact"/>
      <w:jc w:val="left"/>
    </w:pPr>
  </w:style>
  <w:style w:type="paragraph" w:customStyle="1" w:styleId="313">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14">
    <w:name w:val="font8"/>
    <w:basedOn w:val="1"/>
    <w:qFormat/>
    <w:uiPriority w:val="0"/>
    <w:pPr>
      <w:widowControl/>
      <w:spacing w:before="100" w:beforeAutospacing="1" w:after="100" w:afterAutospacing="1"/>
      <w:jc w:val="left"/>
    </w:pPr>
    <w:rPr>
      <w:rFonts w:ascii="宋体" w:hAnsi="宋体" w:cs="宋体"/>
      <w:kern w:val="0"/>
      <w:sz w:val="24"/>
    </w:rPr>
  </w:style>
  <w:style w:type="paragraph" w:customStyle="1" w:styleId="31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316">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317">
    <w:name w:val="正文2"/>
    <w:basedOn w:val="1"/>
    <w:qFormat/>
    <w:uiPriority w:val="0"/>
    <w:pPr>
      <w:spacing w:before="156" w:line="360" w:lineRule="auto"/>
      <w:ind w:firstLine="510" w:firstLineChars="200"/>
    </w:pPr>
    <w:rPr>
      <w:rFonts w:eastAsia="仿宋_GB2312"/>
      <w:sz w:val="24"/>
    </w:rPr>
  </w:style>
  <w:style w:type="paragraph" w:customStyle="1" w:styleId="318">
    <w:name w:val="1"/>
    <w:basedOn w:val="1"/>
    <w:next w:val="319"/>
    <w:qFormat/>
    <w:uiPriority w:val="99"/>
    <w:pPr>
      <w:suppressAutoHyphens/>
      <w:spacing w:line="360" w:lineRule="auto"/>
      <w:ind w:firstLine="480"/>
    </w:pPr>
    <w:rPr>
      <w:kern w:val="1"/>
      <w:sz w:val="24"/>
      <w:lang w:eastAsia="ar-SA"/>
    </w:rPr>
  </w:style>
  <w:style w:type="paragraph" w:customStyle="1" w:styleId="319">
    <w:name w:val="正文文字缩进 3"/>
    <w:basedOn w:val="1"/>
    <w:qFormat/>
    <w:uiPriority w:val="0"/>
    <w:pPr>
      <w:suppressAutoHyphens/>
      <w:spacing w:after="120"/>
      <w:ind w:left="420"/>
    </w:pPr>
    <w:rPr>
      <w:kern w:val="1"/>
      <w:sz w:val="16"/>
      <w:szCs w:val="16"/>
      <w:lang w:eastAsia="ar-SA"/>
    </w:rPr>
  </w:style>
  <w:style w:type="paragraph" w:customStyle="1" w:styleId="320">
    <w:name w:val="(符号)五标题1.1.1"/>
    <w:basedOn w:val="1"/>
    <w:qFormat/>
    <w:uiPriority w:val="0"/>
    <w:pPr>
      <w:numPr>
        <w:ilvl w:val="2"/>
        <w:numId w:val="2"/>
      </w:numPr>
      <w:spacing w:line="500" w:lineRule="exact"/>
    </w:pPr>
    <w:rPr>
      <w:rFonts w:ascii="宋体" w:hAnsi="宋体" w:cs="宋体"/>
      <w:color w:val="000000"/>
      <w:sz w:val="24"/>
      <w:szCs w:val="20"/>
    </w:rPr>
  </w:style>
  <w:style w:type="paragraph" w:customStyle="1" w:styleId="321">
    <w:name w:val="纯文本3"/>
    <w:basedOn w:val="1"/>
    <w:qFormat/>
    <w:uiPriority w:val="0"/>
    <w:rPr>
      <w:rFonts w:ascii="宋体" w:hAnsi="Courier New"/>
      <w:szCs w:val="20"/>
    </w:rPr>
  </w:style>
  <w:style w:type="paragraph" w:customStyle="1" w:styleId="322">
    <w:name w:val="xiao b"/>
    <w:basedOn w:val="1"/>
    <w:qFormat/>
    <w:uiPriority w:val="0"/>
    <w:pPr>
      <w:jc w:val="center"/>
    </w:pPr>
    <w:rPr>
      <w:rFonts w:eastAsia="黑体"/>
      <w:sz w:val="24"/>
      <w:szCs w:val="20"/>
    </w:rPr>
  </w:style>
  <w:style w:type="paragraph" w:customStyle="1" w:styleId="323">
    <w:name w:val="zw1"/>
    <w:basedOn w:val="1"/>
    <w:qFormat/>
    <w:uiPriority w:val="0"/>
    <w:pPr>
      <w:widowControl/>
      <w:spacing w:before="100" w:beforeAutospacing="1" w:after="100" w:afterAutospacing="1"/>
      <w:jc w:val="left"/>
    </w:pPr>
    <w:rPr>
      <w:rFonts w:ascii="宋体" w:hAnsi="宋体"/>
      <w:kern w:val="0"/>
      <w:sz w:val="24"/>
    </w:rPr>
  </w:style>
  <w:style w:type="paragraph" w:customStyle="1" w:styleId="324">
    <w:name w:val="正文文字 3"/>
    <w:basedOn w:val="1"/>
    <w:qFormat/>
    <w:uiPriority w:val="0"/>
    <w:pPr>
      <w:suppressAutoHyphens/>
      <w:spacing w:after="120"/>
    </w:pPr>
    <w:rPr>
      <w:kern w:val="1"/>
      <w:sz w:val="16"/>
      <w:szCs w:val="16"/>
      <w:lang w:eastAsia="ar-SA"/>
    </w:rPr>
  </w:style>
  <w:style w:type="paragraph" w:customStyle="1" w:styleId="325">
    <w:name w:val="论文正文(教授"/>
    <w:basedOn w:val="1"/>
    <w:qFormat/>
    <w:uiPriority w:val="0"/>
    <w:pPr>
      <w:snapToGrid w:val="0"/>
      <w:spacing w:line="320" w:lineRule="atLeast"/>
      <w:ind w:firstLine="200" w:firstLineChars="200"/>
    </w:pPr>
    <w:rPr>
      <w:rFonts w:ascii="仿宋_GB2312" w:hAnsi="仿宋_GB2312"/>
      <w:spacing w:val="12"/>
    </w:rPr>
  </w:style>
  <w:style w:type="paragraph" w:customStyle="1" w:styleId="326">
    <w:name w:val="Char Char Char"/>
    <w:basedOn w:val="1"/>
    <w:qFormat/>
    <w:uiPriority w:val="0"/>
    <w:rPr>
      <w:rFonts w:ascii="Tahoma" w:hAnsi="Tahoma"/>
      <w:sz w:val="24"/>
      <w:szCs w:val="20"/>
    </w:rPr>
  </w:style>
  <w:style w:type="paragraph" w:customStyle="1" w:styleId="327">
    <w:name w:val="Char1 Char Char Char"/>
    <w:basedOn w:val="1"/>
    <w:qFormat/>
    <w:uiPriority w:val="0"/>
    <w:pPr>
      <w:adjustRightInd w:val="0"/>
      <w:spacing w:line="360" w:lineRule="auto"/>
    </w:pPr>
    <w:rPr>
      <w:kern w:val="0"/>
      <w:sz w:val="24"/>
      <w:szCs w:val="20"/>
    </w:rPr>
  </w:style>
  <w:style w:type="paragraph" w:customStyle="1" w:styleId="328">
    <w:name w:val="Table Paragraph"/>
    <w:basedOn w:val="1"/>
    <w:qFormat/>
    <w:uiPriority w:val="1"/>
    <w:pPr>
      <w:jc w:val="left"/>
    </w:pPr>
    <w:rPr>
      <w:rFonts w:ascii="Calibri" w:hAnsi="Calibri"/>
      <w:kern w:val="0"/>
      <w:sz w:val="22"/>
      <w:szCs w:val="22"/>
      <w:lang w:eastAsia="en-US"/>
    </w:rPr>
  </w:style>
  <w:style w:type="paragraph" w:customStyle="1" w:styleId="329">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3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1">
    <w:name w:val="Plain Text1"/>
    <w:basedOn w:val="1"/>
    <w:qFormat/>
    <w:uiPriority w:val="99"/>
    <w:rPr>
      <w:rFonts w:ascii="宋体" w:hAnsi="Courier New"/>
      <w:sz w:val="20"/>
      <w:szCs w:val="20"/>
    </w:rPr>
  </w:style>
  <w:style w:type="paragraph" w:customStyle="1" w:styleId="332">
    <w:name w:val="Mao正文(五号)"/>
    <w:basedOn w:val="1"/>
    <w:qFormat/>
    <w:uiPriority w:val="99"/>
    <w:pPr>
      <w:spacing w:line="300" w:lineRule="auto"/>
      <w:ind w:firstLine="200" w:firstLineChars="200"/>
    </w:pPr>
    <w:rPr>
      <w:color w:val="000000"/>
      <w:szCs w:val="21"/>
    </w:rPr>
  </w:style>
  <w:style w:type="paragraph" w:customStyle="1" w:styleId="33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334">
    <w:name w:val="正文缩进11"/>
    <w:basedOn w:val="1"/>
    <w:qFormat/>
    <w:uiPriority w:val="0"/>
    <w:pPr>
      <w:ind w:firstLine="420"/>
    </w:pPr>
    <w:rPr>
      <w:szCs w:val="20"/>
    </w:rPr>
  </w:style>
  <w:style w:type="paragraph" w:customStyle="1" w:styleId="335">
    <w:name w:val="圆点标号"/>
    <w:basedOn w:val="1"/>
    <w:qFormat/>
    <w:uiPriority w:val="0"/>
    <w:pPr>
      <w:tabs>
        <w:tab w:val="left" w:pos="1440"/>
      </w:tabs>
      <w:spacing w:line="360" w:lineRule="auto"/>
      <w:ind w:left="839" w:hanging="357"/>
    </w:pPr>
    <w:rPr>
      <w:sz w:val="24"/>
    </w:rPr>
  </w:style>
  <w:style w:type="paragraph" w:customStyle="1" w:styleId="336">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33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38">
    <w:name w:val="样式2"/>
    <w:basedOn w:val="1"/>
    <w:qFormat/>
    <w:uiPriority w:val="0"/>
    <w:pPr>
      <w:tabs>
        <w:tab w:val="left" w:pos="420"/>
      </w:tabs>
      <w:spacing w:line="500" w:lineRule="exact"/>
      <w:ind w:left="430" w:hanging="430"/>
    </w:pPr>
    <w:rPr>
      <w:sz w:val="24"/>
    </w:rPr>
  </w:style>
  <w:style w:type="paragraph" w:customStyle="1" w:styleId="339">
    <w:name w:val="Char Char1 Char Char Char Char"/>
    <w:basedOn w:val="1"/>
    <w:qFormat/>
    <w:uiPriority w:val="0"/>
    <w:pPr>
      <w:widowControl/>
      <w:spacing w:after="160" w:line="240" w:lineRule="exact"/>
      <w:jc w:val="left"/>
    </w:pPr>
  </w:style>
  <w:style w:type="paragraph" w:customStyle="1" w:styleId="340">
    <w:name w:val="MM Topic 1"/>
    <w:basedOn w:val="4"/>
    <w:qFormat/>
    <w:uiPriority w:val="99"/>
    <w:pPr>
      <w:autoSpaceDE/>
      <w:autoSpaceDN/>
      <w:adjustRightInd/>
      <w:spacing w:line="576" w:lineRule="auto"/>
      <w:jc w:val="both"/>
    </w:pPr>
    <w:rPr>
      <w:rFonts w:ascii="Times New Roman" w:eastAsia="仿宋_GB2312"/>
      <w:b w:val="0"/>
      <w:kern w:val="44"/>
      <w:sz w:val="32"/>
      <w:szCs w:val="32"/>
    </w:rPr>
  </w:style>
  <w:style w:type="paragraph" w:customStyle="1" w:styleId="341">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42">
    <w:name w:val="TOC 标题1"/>
    <w:basedOn w:val="4"/>
    <w:next w:val="1"/>
    <w:qFormat/>
    <w:uiPriority w:val="39"/>
    <w:pPr>
      <w:widowControl/>
      <w:autoSpaceDE/>
      <w:autoSpaceDN/>
      <w:adjustRightInd/>
      <w:spacing w:before="480" w:after="0" w:line="276" w:lineRule="auto"/>
      <w:jc w:val="left"/>
      <w:outlineLvl w:val="9"/>
    </w:pPr>
    <w:rPr>
      <w:rFonts w:ascii="Cambria" w:hAnsi="Cambria" w:cs="Cambria"/>
      <w:bCs/>
      <w:color w:val="365F91"/>
      <w:sz w:val="28"/>
      <w:szCs w:val="28"/>
    </w:rPr>
  </w:style>
  <w:style w:type="paragraph" w:customStyle="1" w:styleId="343">
    <w:name w:val="文"/>
    <w:basedOn w:val="45"/>
    <w:qFormat/>
    <w:uiPriority w:val="0"/>
    <w:pPr>
      <w:spacing w:line="360" w:lineRule="auto"/>
      <w:ind w:firstLine="480" w:firstLineChars="200"/>
    </w:pPr>
    <w:rPr>
      <w:rFonts w:hint="eastAsia" w:ascii="黑体" w:hAnsi="Times New Roman" w:eastAsia="黑体"/>
      <w:bCs/>
      <w:sz w:val="24"/>
    </w:rPr>
  </w:style>
  <w:style w:type="paragraph" w:customStyle="1" w:styleId="344">
    <w:name w:val="font7"/>
    <w:basedOn w:val="1"/>
    <w:qFormat/>
    <w:uiPriority w:val="0"/>
    <w:pPr>
      <w:widowControl/>
      <w:spacing w:before="100" w:beforeAutospacing="1" w:after="100" w:afterAutospacing="1"/>
      <w:jc w:val="left"/>
    </w:pPr>
    <w:rPr>
      <w:b/>
      <w:bCs/>
      <w:kern w:val="0"/>
      <w:sz w:val="22"/>
      <w:szCs w:val="22"/>
    </w:rPr>
  </w:style>
  <w:style w:type="paragraph" w:customStyle="1" w:styleId="345">
    <w:name w:val="Char Char Char1"/>
    <w:basedOn w:val="1"/>
    <w:qFormat/>
    <w:uiPriority w:val="0"/>
    <w:rPr>
      <w:rFonts w:ascii="Tahoma" w:hAnsi="Tahoma"/>
      <w:sz w:val="24"/>
      <w:szCs w:val="20"/>
    </w:rPr>
  </w:style>
  <w:style w:type="paragraph" w:customStyle="1" w:styleId="346">
    <w:name w:val="（符号）二标题1."/>
    <w:basedOn w:val="1"/>
    <w:qFormat/>
    <w:uiPriority w:val="0"/>
  </w:style>
  <w:style w:type="paragraph" w:customStyle="1" w:styleId="347">
    <w:name w:val="xl40"/>
    <w:basedOn w:val="1"/>
    <w:qFormat/>
    <w:uiPriority w:val="0"/>
    <w:pPr>
      <w:widowControl/>
      <w:spacing w:before="100" w:beforeAutospacing="1" w:after="100" w:afterAutospacing="1"/>
      <w:jc w:val="center"/>
    </w:pPr>
    <w:rPr>
      <w:kern w:val="0"/>
      <w:szCs w:val="21"/>
    </w:rPr>
  </w:style>
  <w:style w:type="paragraph" w:customStyle="1" w:styleId="348">
    <w:name w:val="样式 标题 3 + (中文) 黑体 小四 非加粗 段前: 7.8 磅 段后: 0 磅 行距: 固定值 20 磅"/>
    <w:basedOn w:val="5"/>
    <w:qFormat/>
    <w:uiPriority w:val="0"/>
    <w:pPr>
      <w:spacing w:before="0" w:after="0" w:line="400" w:lineRule="exact"/>
      <w:jc w:val="both"/>
    </w:pPr>
    <w:rPr>
      <w:rFonts w:eastAsia="黑体" w:cs="宋体"/>
      <w:b w:val="0"/>
      <w:sz w:val="24"/>
    </w:rPr>
  </w:style>
  <w:style w:type="paragraph" w:customStyle="1" w:styleId="349">
    <w:name w:val="Char2"/>
    <w:basedOn w:val="1"/>
    <w:qFormat/>
    <w:uiPriority w:val="0"/>
    <w:pPr>
      <w:snapToGrid w:val="0"/>
      <w:spacing w:line="360" w:lineRule="auto"/>
      <w:ind w:firstLine="200" w:firstLineChars="200"/>
    </w:pPr>
  </w:style>
  <w:style w:type="paragraph" w:customStyle="1" w:styleId="350">
    <w:name w:val="(符号)标书正文"/>
    <w:basedOn w:val="1"/>
    <w:qFormat/>
    <w:uiPriority w:val="0"/>
    <w:pPr>
      <w:spacing w:line="500" w:lineRule="exact"/>
      <w:ind w:left="420"/>
    </w:pPr>
    <w:rPr>
      <w:rFonts w:ascii="宋体" w:hAnsi="宋体" w:cs="宋体"/>
      <w:sz w:val="24"/>
      <w:szCs w:val="20"/>
    </w:rPr>
  </w:style>
  <w:style w:type="paragraph" w:customStyle="1" w:styleId="35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52">
    <w:name w:val="_Style 14"/>
    <w:basedOn w:val="1"/>
    <w:next w:val="207"/>
    <w:qFormat/>
    <w:uiPriority w:val="34"/>
    <w:pPr>
      <w:ind w:firstLine="420" w:firstLineChars="200"/>
    </w:pPr>
    <w:rPr>
      <w:rFonts w:ascii="Calibri" w:hAnsi="Calibri"/>
      <w:szCs w:val="22"/>
    </w:rPr>
  </w:style>
  <w:style w:type="paragraph" w:customStyle="1" w:styleId="353">
    <w:name w:val="标题1"/>
    <w:basedOn w:val="1"/>
    <w:next w:val="34"/>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354">
    <w:name w:val="样式章节"/>
    <w:basedOn w:val="4"/>
    <w:qFormat/>
    <w:uiPriority w:val="99"/>
    <w:pPr>
      <w:keepLines w:val="0"/>
      <w:tabs>
        <w:tab w:val="left" w:pos="432"/>
      </w:tabs>
      <w:spacing w:before="0" w:after="0" w:line="240" w:lineRule="auto"/>
      <w:ind w:left="432" w:hanging="432"/>
    </w:pPr>
    <w:rPr>
      <w:rFonts w:ascii="Times New Roman"/>
      <w:b w:val="0"/>
      <w:kern w:val="2"/>
      <w:sz w:val="32"/>
      <w:szCs w:val="32"/>
      <w:lang w:val="zh-CN"/>
    </w:rPr>
  </w:style>
  <w:style w:type="paragraph" w:customStyle="1" w:styleId="355">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paragraph" w:customStyle="1" w:styleId="356">
    <w:name w:val="表格标题"/>
    <w:basedOn w:val="357"/>
    <w:qFormat/>
    <w:uiPriority w:val="0"/>
    <w:pPr>
      <w:jc w:val="center"/>
    </w:pPr>
    <w:rPr>
      <w:b/>
      <w:bCs/>
      <w:i/>
      <w:iCs/>
    </w:rPr>
  </w:style>
  <w:style w:type="paragraph" w:customStyle="1" w:styleId="357">
    <w:name w:val="表格内容"/>
    <w:basedOn w:val="1"/>
    <w:qFormat/>
    <w:uiPriority w:val="0"/>
    <w:pPr>
      <w:suppressLineNumbers/>
      <w:suppressAutoHyphens/>
    </w:pPr>
    <w:rPr>
      <w:kern w:val="1"/>
      <w:lang w:eastAsia="ar-SA"/>
    </w:rPr>
  </w:style>
  <w:style w:type="paragraph" w:customStyle="1" w:styleId="358">
    <w:name w:val="Char Char Char Char Char Char Char Char Char Char Char Char Char Char Char Char Char Char Char1"/>
    <w:basedOn w:val="1"/>
    <w:qFormat/>
    <w:uiPriority w:val="0"/>
    <w:rPr>
      <w:rFonts w:ascii="Tahoma" w:hAnsi="Tahoma"/>
      <w:sz w:val="24"/>
      <w:szCs w:val="20"/>
    </w:rPr>
  </w:style>
  <w:style w:type="paragraph" w:customStyle="1" w:styleId="359">
    <w:name w:val="样式 标题 2 + Times New Roman 四号 非加粗 段前: 5 磅 段后: 0 磅 行距: 固定值 20..."/>
    <w:basedOn w:val="2"/>
    <w:qFormat/>
    <w:uiPriority w:val="0"/>
    <w:pPr>
      <w:spacing w:before="100" w:after="0" w:line="400" w:lineRule="exact"/>
    </w:pPr>
    <w:rPr>
      <w:rFonts w:ascii="Times New Roman" w:hAnsi="Times New Roman" w:cs="宋体"/>
      <w:b w:val="0"/>
      <w:bCs w:val="0"/>
      <w:sz w:val="28"/>
      <w:szCs w:val="20"/>
    </w:rPr>
  </w:style>
  <w:style w:type="paragraph" w:customStyle="1" w:styleId="360">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61">
    <w:name w:val="列出段落3"/>
    <w:basedOn w:val="1"/>
    <w:qFormat/>
    <w:uiPriority w:val="0"/>
    <w:pPr>
      <w:ind w:firstLine="420" w:firstLineChars="200"/>
    </w:pPr>
    <w:rPr>
      <w:szCs w:val="20"/>
    </w:rPr>
  </w:style>
  <w:style w:type="paragraph" w:customStyle="1" w:styleId="362">
    <w:name w:val="样式 标题 1 + 四号 居中 段前: 12 磅 段后: 12 磅 行距: 单倍行距"/>
    <w:basedOn w:val="4"/>
    <w:qFormat/>
    <w:uiPriority w:val="0"/>
    <w:pPr>
      <w:tabs>
        <w:tab w:val="left" w:pos="810"/>
      </w:tabs>
      <w:autoSpaceDE/>
      <w:autoSpaceDN/>
      <w:spacing w:before="240" w:after="240" w:line="240" w:lineRule="auto"/>
      <w:ind w:left="810" w:hanging="390"/>
      <w:textAlignment w:val="baseline"/>
    </w:pPr>
    <w:rPr>
      <w:rFonts w:ascii="Times New Roman" w:cs="黑体"/>
      <w:bCs/>
      <w:kern w:val="44"/>
      <w:sz w:val="28"/>
    </w:rPr>
  </w:style>
  <w:style w:type="paragraph" w:customStyle="1" w:styleId="363">
    <w:name w:val="(符号)一标题第一部分"/>
    <w:basedOn w:val="1"/>
    <w:qFormat/>
    <w:uiPriority w:val="0"/>
    <w:pPr>
      <w:spacing w:beforeLines="100" w:afterLines="100" w:line="500" w:lineRule="exact"/>
      <w:jc w:val="center"/>
      <w:outlineLvl w:val="1"/>
    </w:pPr>
    <w:rPr>
      <w:rFonts w:ascii="黑体" w:eastAsia="黑体" w:cs="宋体"/>
      <w:b/>
      <w:bCs/>
      <w:sz w:val="32"/>
      <w:szCs w:val="32"/>
    </w:rPr>
  </w:style>
  <w:style w:type="paragraph" w:customStyle="1" w:styleId="364">
    <w:name w:val="Char Char"/>
    <w:basedOn w:val="1"/>
    <w:qFormat/>
    <w:uiPriority w:val="0"/>
    <w:rPr>
      <w:rFonts w:ascii="Tahoma" w:hAnsi="Tahoma"/>
      <w:sz w:val="24"/>
      <w:szCs w:val="20"/>
    </w:rPr>
  </w:style>
  <w:style w:type="paragraph" w:customStyle="1" w:styleId="365">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66">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67">
    <w:name w:val="（符号）目录3"/>
    <w:basedOn w:val="1"/>
    <w:qFormat/>
    <w:uiPriority w:val="0"/>
    <w:pPr>
      <w:spacing w:line="500" w:lineRule="exact"/>
      <w:ind w:left="1000"/>
    </w:pPr>
    <w:rPr>
      <w:rFonts w:cs="宋体"/>
      <w:sz w:val="24"/>
      <w:szCs w:val="20"/>
    </w:rPr>
  </w:style>
  <w:style w:type="paragraph" w:customStyle="1" w:styleId="368">
    <w:name w:val="表"/>
    <w:basedOn w:val="1"/>
    <w:qFormat/>
    <w:uiPriority w:val="0"/>
    <w:pPr>
      <w:adjustRightInd w:val="0"/>
      <w:snapToGrid w:val="0"/>
    </w:pPr>
    <w:rPr>
      <w:color w:val="000000"/>
      <w:kern w:val="0"/>
      <w:szCs w:val="21"/>
    </w:rPr>
  </w:style>
  <w:style w:type="paragraph" w:customStyle="1" w:styleId="369">
    <w:name w:val="目次、标准名称标题"/>
    <w:basedOn w:val="276"/>
    <w:next w:val="257"/>
    <w:qFormat/>
    <w:uiPriority w:val="0"/>
    <w:pPr>
      <w:spacing w:line="460" w:lineRule="exact"/>
    </w:pPr>
  </w:style>
  <w:style w:type="paragraph" w:customStyle="1" w:styleId="370">
    <w:name w:val="xl33"/>
    <w:basedOn w:val="1"/>
    <w:qFormat/>
    <w:uiPriority w:val="0"/>
    <w:pPr>
      <w:widowControl/>
      <w:spacing w:before="100" w:beforeAutospacing="1" w:after="100" w:afterAutospacing="1"/>
      <w:jc w:val="center"/>
    </w:pPr>
    <w:rPr>
      <w:rFonts w:ascii="宋体" w:hAnsi="宋体"/>
      <w:kern w:val="0"/>
      <w:sz w:val="24"/>
    </w:rPr>
  </w:style>
  <w:style w:type="paragraph" w:customStyle="1" w:styleId="371">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372">
    <w:name w:val="_Style 24"/>
    <w:basedOn w:val="1"/>
    <w:next w:val="81"/>
    <w:qFormat/>
    <w:uiPriority w:val="0"/>
    <w:pPr>
      <w:widowControl/>
      <w:spacing w:before="100" w:beforeAutospacing="1" w:after="100" w:afterAutospacing="1"/>
      <w:jc w:val="left"/>
    </w:pPr>
    <w:rPr>
      <w:rFonts w:ascii="宋体" w:hAnsi="宋体"/>
      <w:kern w:val="0"/>
      <w:sz w:val="24"/>
    </w:rPr>
  </w:style>
  <w:style w:type="paragraph" w:customStyle="1" w:styleId="373">
    <w:name w:val="内容目录 10"/>
    <w:basedOn w:val="282"/>
    <w:qFormat/>
    <w:uiPriority w:val="0"/>
    <w:pPr>
      <w:tabs>
        <w:tab w:val="right" w:leader="dot" w:pos="9637"/>
      </w:tabs>
      <w:ind w:left="2547"/>
    </w:pPr>
  </w:style>
  <w:style w:type="paragraph" w:customStyle="1" w:styleId="374">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375">
    <w:name w:val="（符号）内容三标题1."/>
    <w:basedOn w:val="1"/>
    <w:qFormat/>
    <w:uiPriority w:val="0"/>
    <w:pPr>
      <w:tabs>
        <w:tab w:val="left" w:pos="420"/>
      </w:tabs>
      <w:spacing w:before="140" w:after="140" w:line="500" w:lineRule="exact"/>
      <w:ind w:left="430" w:hanging="430"/>
      <w:outlineLvl w:val="1"/>
    </w:pPr>
    <w:rPr>
      <w:rFonts w:eastAsia="楷体_GB2312"/>
      <w:b/>
      <w:sz w:val="28"/>
    </w:rPr>
  </w:style>
  <w:style w:type="paragraph" w:customStyle="1" w:styleId="376">
    <w:name w:val="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377">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78">
    <w:name w:val="font5"/>
    <w:basedOn w:val="1"/>
    <w:qFormat/>
    <w:uiPriority w:val="0"/>
    <w:pPr>
      <w:widowControl/>
      <w:spacing w:before="100" w:beforeAutospacing="1" w:after="100" w:afterAutospacing="1"/>
      <w:jc w:val="left"/>
    </w:pPr>
    <w:rPr>
      <w:rFonts w:ascii="宋体" w:hAnsi="宋体" w:cs="宋体"/>
      <w:kern w:val="0"/>
      <w:sz w:val="24"/>
    </w:rPr>
  </w:style>
  <w:style w:type="paragraph" w:styleId="379">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80">
    <w:name w:val="样式5"/>
    <w:basedOn w:val="1"/>
    <w:qFormat/>
    <w:uiPriority w:val="0"/>
    <w:pPr>
      <w:adjustRightInd w:val="0"/>
      <w:snapToGrid w:val="0"/>
      <w:spacing w:line="520" w:lineRule="exact"/>
      <w:ind w:firstLine="480" w:firstLineChars="200"/>
    </w:pPr>
    <w:rPr>
      <w:rFonts w:ascii="仿宋_GB2312" w:eastAsia="仿宋_GB2312"/>
      <w:sz w:val="24"/>
      <w:szCs w:val="20"/>
    </w:rPr>
  </w:style>
  <w:style w:type="paragraph" w:customStyle="1" w:styleId="381">
    <w:name w:val="正文11"/>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382">
    <w:name w:val="（符号）投标一、"/>
    <w:basedOn w:val="1"/>
    <w:qFormat/>
    <w:uiPriority w:val="0"/>
    <w:pPr>
      <w:tabs>
        <w:tab w:val="left" w:pos="980"/>
      </w:tabs>
      <w:spacing w:line="460" w:lineRule="exact"/>
      <w:ind w:left="980" w:hanging="498"/>
    </w:pPr>
  </w:style>
  <w:style w:type="paragraph" w:customStyle="1" w:styleId="383">
    <w:name w:val="p17"/>
    <w:basedOn w:val="1"/>
    <w:qFormat/>
    <w:uiPriority w:val="0"/>
    <w:pPr>
      <w:widowControl/>
      <w:ind w:firstLine="630"/>
    </w:pPr>
    <w:rPr>
      <w:rFonts w:ascii="宋体" w:hAnsi="宋体" w:cs="宋体"/>
      <w:kern w:val="0"/>
      <w:sz w:val="32"/>
      <w:szCs w:val="32"/>
    </w:rPr>
  </w:style>
  <w:style w:type="paragraph" w:customStyle="1" w:styleId="384">
    <w:name w:val="样式 小四 行距: 固定值 25 磅"/>
    <w:basedOn w:val="1"/>
    <w:next w:val="308"/>
    <w:qFormat/>
    <w:uiPriority w:val="0"/>
    <w:pPr>
      <w:spacing w:line="500" w:lineRule="exact"/>
    </w:pPr>
    <w:rPr>
      <w:rFonts w:cs="宋体"/>
      <w:sz w:val="24"/>
      <w:szCs w:val="20"/>
    </w:rPr>
  </w:style>
  <w:style w:type="paragraph" w:customStyle="1" w:styleId="385">
    <w:name w:val="菱形标号"/>
    <w:basedOn w:val="1"/>
    <w:qFormat/>
    <w:uiPriority w:val="0"/>
    <w:pPr>
      <w:tabs>
        <w:tab w:val="left" w:pos="1125"/>
      </w:tabs>
      <w:spacing w:line="360" w:lineRule="auto"/>
      <w:ind w:left="902" w:hanging="390"/>
    </w:pPr>
    <w:rPr>
      <w:sz w:val="24"/>
    </w:rPr>
  </w:style>
  <w:style w:type="paragraph" w:customStyle="1" w:styleId="386">
    <w:name w:val="Char Char Char Char Char Char Char Char Char Char"/>
    <w:basedOn w:val="1"/>
    <w:qFormat/>
    <w:uiPriority w:val="0"/>
    <w:pPr>
      <w:widowControl/>
      <w:spacing w:after="160" w:line="240" w:lineRule="exact"/>
      <w:jc w:val="left"/>
    </w:pPr>
  </w:style>
  <w:style w:type="paragraph" w:customStyle="1" w:styleId="387">
    <w:name w:val="Char Char1 Char Char Char Char1"/>
    <w:basedOn w:val="1"/>
    <w:qFormat/>
    <w:uiPriority w:val="0"/>
    <w:pPr>
      <w:widowControl/>
      <w:spacing w:after="160" w:line="240" w:lineRule="exact"/>
      <w:jc w:val="left"/>
    </w:pPr>
  </w:style>
  <w:style w:type="paragraph" w:customStyle="1" w:styleId="388">
    <w:name w:val="样式 标题 3 + 段前: 0 磅 段后: 0 磅 行距: 固定值 18 磅"/>
    <w:basedOn w:val="5"/>
    <w:qFormat/>
    <w:uiPriority w:val="0"/>
    <w:pPr>
      <w:spacing w:before="0" w:after="0" w:line="500" w:lineRule="exact"/>
      <w:jc w:val="both"/>
    </w:pPr>
    <w:rPr>
      <w:bCs/>
      <w:sz w:val="24"/>
    </w:rPr>
  </w:style>
  <w:style w:type="paragraph" w:customStyle="1" w:styleId="389">
    <w:name w:val="样式7"/>
    <w:basedOn w:val="1"/>
    <w:qFormat/>
    <w:uiPriority w:val="0"/>
    <w:pPr>
      <w:suppressAutoHyphens/>
      <w:autoSpaceDE w:val="0"/>
      <w:spacing w:line="440" w:lineRule="atLeast"/>
      <w:ind w:firstLine="601"/>
      <w:textAlignment w:val="baseline"/>
    </w:pPr>
    <w:rPr>
      <w:rFonts w:ascii="宋体" w:hAnsi="宋体"/>
      <w:kern w:val="1"/>
      <w:sz w:val="24"/>
      <w:szCs w:val="20"/>
      <w:lang w:eastAsia="ar-SA"/>
    </w:rPr>
  </w:style>
  <w:style w:type="paragraph" w:customStyle="1" w:styleId="390">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391">
    <w:name w:val="Char1 Char Char Char1"/>
    <w:basedOn w:val="1"/>
    <w:qFormat/>
    <w:uiPriority w:val="0"/>
    <w:pPr>
      <w:adjustRightInd w:val="0"/>
      <w:spacing w:line="360" w:lineRule="auto"/>
    </w:pPr>
    <w:rPr>
      <w:kern w:val="0"/>
      <w:sz w:val="24"/>
      <w:szCs w:val="20"/>
    </w:rPr>
  </w:style>
  <w:style w:type="paragraph" w:customStyle="1" w:styleId="392">
    <w:name w:val="Pa4"/>
    <w:basedOn w:val="1"/>
    <w:next w:val="1"/>
    <w:qFormat/>
    <w:uiPriority w:val="0"/>
    <w:pPr>
      <w:autoSpaceDE w:val="0"/>
      <w:autoSpaceDN w:val="0"/>
      <w:adjustRightInd w:val="0"/>
      <w:spacing w:before="80" w:line="136" w:lineRule="auto"/>
      <w:jc w:val="left"/>
    </w:pPr>
    <w:rPr>
      <w:rFonts w:hint="eastAsia" w:ascii="Helvetica-Condensed-Bold" w:eastAsia="Helvetica-Condensed-Bold"/>
      <w:kern w:val="0"/>
      <w:sz w:val="20"/>
    </w:rPr>
  </w:style>
  <w:style w:type="paragraph" w:customStyle="1" w:styleId="393">
    <w:name w:val="列表－视讯"/>
    <w:basedOn w:val="21"/>
    <w:qFormat/>
    <w:uiPriority w:val="0"/>
  </w:style>
  <w:style w:type="paragraph" w:customStyle="1" w:styleId="394">
    <w:name w:val="p0"/>
    <w:basedOn w:val="1"/>
    <w:qFormat/>
    <w:uiPriority w:val="0"/>
    <w:pPr>
      <w:widowControl/>
    </w:pPr>
    <w:rPr>
      <w:kern w:val="0"/>
      <w:szCs w:val="21"/>
    </w:rPr>
  </w:style>
  <w:style w:type="paragraph" w:customStyle="1" w:styleId="395">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396">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397">
    <w:name w:val="（符号）二标题总则"/>
    <w:basedOn w:val="363"/>
    <w:qFormat/>
    <w:uiPriority w:val="0"/>
    <w:pPr>
      <w:spacing w:beforeLines="50" w:afterLines="50" w:line="440" w:lineRule="atLeast"/>
    </w:pPr>
  </w:style>
  <w:style w:type="paragraph" w:customStyle="1" w:styleId="398">
    <w:name w:val="书目1"/>
    <w:basedOn w:val="1"/>
    <w:next w:val="1"/>
    <w:unhideWhenUsed/>
    <w:qFormat/>
    <w:uiPriority w:val="37"/>
    <w:rPr>
      <w:szCs w:val="20"/>
    </w:rPr>
  </w:style>
  <w:style w:type="paragraph" w:customStyle="1" w:styleId="399">
    <w:name w:val="样式1"/>
    <w:basedOn w:val="1"/>
    <w:qFormat/>
    <w:uiPriority w:val="0"/>
    <w:pPr>
      <w:tabs>
        <w:tab w:val="left" w:pos="709"/>
      </w:tabs>
      <w:adjustRightInd w:val="0"/>
      <w:ind w:left="709" w:hanging="709"/>
      <w:textAlignment w:val="baseline"/>
    </w:pPr>
    <w:rPr>
      <w:rFonts w:ascii="宋体" w:hAnsi="宋体"/>
      <w:kern w:val="0"/>
      <w:szCs w:val="21"/>
    </w:rPr>
  </w:style>
  <w:style w:type="paragraph" w:customStyle="1" w:styleId="400">
    <w:name w:val="（符号）二标题1"/>
    <w:basedOn w:val="1"/>
    <w:qFormat/>
    <w:uiPriority w:val="0"/>
    <w:pPr>
      <w:spacing w:before="140" w:after="140" w:line="500" w:lineRule="exact"/>
      <w:outlineLvl w:val="1"/>
    </w:pPr>
    <w:rPr>
      <w:rFonts w:ascii="楷体_GB2312" w:eastAsia="楷体_GB2312" w:cs="宋体"/>
      <w:b/>
      <w:bCs/>
      <w:sz w:val="28"/>
      <w:szCs w:val="20"/>
    </w:rPr>
  </w:style>
  <w:style w:type="paragraph" w:customStyle="1" w:styleId="401">
    <w:name w:val="p16"/>
    <w:basedOn w:val="1"/>
    <w:qFormat/>
    <w:uiPriority w:val="0"/>
    <w:pPr>
      <w:widowControl/>
    </w:pPr>
    <w:rPr>
      <w:kern w:val="0"/>
      <w:szCs w:val="21"/>
    </w:rPr>
  </w:style>
  <w:style w:type="paragraph" w:customStyle="1" w:styleId="402">
    <w:name w:val="表格"/>
    <w:basedOn w:val="1"/>
    <w:next w:val="1"/>
    <w:qFormat/>
    <w:uiPriority w:val="0"/>
    <w:pPr>
      <w:keepLines/>
      <w:topLinePunct/>
      <w:adjustRightInd w:val="0"/>
      <w:spacing w:line="240" w:lineRule="atLeast"/>
      <w:jc w:val="center"/>
    </w:pPr>
    <w:rPr>
      <w:kern w:val="0"/>
      <w:sz w:val="24"/>
      <w:szCs w:val="20"/>
    </w:rPr>
  </w:style>
  <w:style w:type="paragraph" w:customStyle="1" w:styleId="403">
    <w:name w:val="2"/>
    <w:basedOn w:val="1"/>
    <w:next w:val="45"/>
    <w:qFormat/>
    <w:uiPriority w:val="0"/>
    <w:rPr>
      <w:rFonts w:hint="eastAsia" w:ascii="宋体" w:hAnsi="Courier New"/>
      <w:szCs w:val="20"/>
    </w:rPr>
  </w:style>
  <w:style w:type="table" w:customStyle="1" w:styleId="404">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0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06">
    <w:name w:val="标题 2 Char"/>
    <w:qFormat/>
    <w:uiPriority w:val="0"/>
    <w:rPr>
      <w:rFonts w:ascii="Arial" w:hAnsi="Arial" w:eastAsia="黑体"/>
      <w:b/>
      <w:bCs/>
      <w:kern w:val="2"/>
      <w:sz w:val="32"/>
      <w:szCs w:val="32"/>
      <w:lang w:val="en-US" w:eastAsia="zh-CN" w:bidi="ar-SA"/>
    </w:rPr>
  </w:style>
  <w:style w:type="paragraph" w:customStyle="1" w:styleId="407">
    <w:name w:val="修订1"/>
    <w:unhideWhenUsed/>
    <w:qFormat/>
    <w:uiPriority w:val="99"/>
    <w:rPr>
      <w:rFonts w:ascii="Times New Roman" w:hAnsi="Times New Roman" w:eastAsia="宋体" w:cs="Times New Roman"/>
      <w:kern w:val="2"/>
      <w:sz w:val="21"/>
      <w:szCs w:val="24"/>
      <w:lang w:val="en-US" w:eastAsia="zh-CN" w:bidi="ar-SA"/>
    </w:rPr>
  </w:style>
  <w:style w:type="character" w:customStyle="1" w:styleId="408">
    <w:name w:val="批注文字 字符1"/>
    <w:semiHidden/>
    <w:qFormat/>
    <w:locked/>
    <w:uiPriority w:val="99"/>
    <w:rPr>
      <w:kern w:val="2"/>
      <w:sz w:val="21"/>
      <w:szCs w:val="24"/>
    </w:rPr>
  </w:style>
  <w:style w:type="character" w:customStyle="1" w:styleId="409">
    <w:name w:val="批注文字 Char"/>
    <w:qFormat/>
    <w:locked/>
    <w:uiPriority w:val="0"/>
    <w:rPr>
      <w:kern w:val="2"/>
      <w:sz w:val="21"/>
      <w:szCs w:val="24"/>
    </w:rPr>
  </w:style>
  <w:style w:type="character" w:customStyle="1" w:styleId="410">
    <w:name w:val="Hyperlink.0"/>
    <w:qFormat/>
    <w:uiPriority w:val="0"/>
    <w:rPr>
      <w:rFonts w:ascii="宋体" w:hAnsi="宋体" w:eastAsia="宋体" w:cs="宋体"/>
      <w:kern w:val="0"/>
      <w:sz w:val="20"/>
      <w:szCs w:val="20"/>
    </w:rPr>
  </w:style>
  <w:style w:type="character" w:customStyle="1" w:styleId="411">
    <w:name w:val="font11"/>
    <w:basedOn w:val="90"/>
    <w:qFormat/>
    <w:uiPriority w:val="0"/>
    <w:rPr>
      <w:rFonts w:hint="eastAsia" w:ascii="宋体" w:hAnsi="宋体" w:eastAsia="宋体" w:cs="宋体"/>
      <w:color w:val="000000"/>
      <w:sz w:val="20"/>
      <w:szCs w:val="20"/>
      <w:u w:val="none"/>
    </w:rPr>
  </w:style>
  <w:style w:type="character" w:customStyle="1" w:styleId="412">
    <w:name w:val="font61"/>
    <w:basedOn w:val="90"/>
    <w:qFormat/>
    <w:uiPriority w:val="0"/>
    <w:rPr>
      <w:rFonts w:hint="default" w:ascii="Times New Roman" w:hAnsi="Times New Roman" w:cs="Times New Roman"/>
      <w:color w:val="000000"/>
      <w:sz w:val="20"/>
      <w:szCs w:val="20"/>
      <w:u w:val="none"/>
    </w:rPr>
  </w:style>
  <w:style w:type="character" w:customStyle="1" w:styleId="413">
    <w:name w:val="font81"/>
    <w:basedOn w:val="90"/>
    <w:qFormat/>
    <w:uiPriority w:val="0"/>
    <w:rPr>
      <w:rFonts w:ascii="Calibri" w:hAnsi="Calibri" w:cs="Calibri"/>
      <w:color w:val="000000"/>
      <w:sz w:val="20"/>
      <w:szCs w:val="20"/>
      <w:u w:val="none"/>
    </w:rPr>
  </w:style>
  <w:style w:type="character" w:customStyle="1" w:styleId="414">
    <w:name w:val="font41"/>
    <w:qFormat/>
    <w:uiPriority w:val="0"/>
    <w:rPr>
      <w:rFonts w:hint="eastAsia" w:ascii="宋体" w:hAnsi="宋体" w:eastAsia="宋体" w:cs="宋体"/>
      <w:b/>
      <w:bCs/>
      <w:color w:val="000000"/>
      <w:sz w:val="20"/>
      <w:szCs w:val="20"/>
      <w:u w:val="none"/>
    </w:rPr>
  </w:style>
  <w:style w:type="paragraph" w:customStyle="1" w:styleId="415">
    <w:name w:val="无间隔1"/>
    <w:qFormat/>
    <w:uiPriority w:val="1"/>
    <w:pPr>
      <w:widowControl w:val="0"/>
      <w:jc w:val="both"/>
    </w:pPr>
    <w:rPr>
      <w:rFonts w:ascii="Calibri" w:hAnsi="Calibri" w:eastAsia="宋体" w:cs="Times New Roman"/>
      <w:kern w:val="2"/>
      <w:sz w:val="21"/>
      <w:szCs w:val="24"/>
      <w:lang w:val="en-US" w:eastAsia="zh-CN" w:bidi="ar-SA"/>
    </w:rPr>
  </w:style>
  <w:style w:type="character" w:customStyle="1" w:styleId="416">
    <w:name w:val="font31"/>
    <w:basedOn w:val="90"/>
    <w:qFormat/>
    <w:uiPriority w:val="0"/>
    <w:rPr>
      <w:rFonts w:hint="default" w:ascii="Times New Roman" w:hAnsi="Times New Roman" w:cs="Times New Roman"/>
      <w:color w:val="000000"/>
      <w:sz w:val="20"/>
      <w:szCs w:val="20"/>
      <w:u w:val="none"/>
    </w:rPr>
  </w:style>
  <w:style w:type="character" w:customStyle="1" w:styleId="417">
    <w:name w:val="font51"/>
    <w:basedOn w:val="90"/>
    <w:qFormat/>
    <w:uiPriority w:val="0"/>
    <w:rPr>
      <w:rFonts w:ascii="Calibri" w:hAnsi="Calibri" w:cs="Calibri"/>
      <w:color w:val="000000"/>
      <w:sz w:val="20"/>
      <w:szCs w:val="20"/>
      <w:u w:val="none"/>
    </w:rPr>
  </w:style>
  <w:style w:type="paragraph" w:customStyle="1" w:styleId="41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microsoft.com/office/2006/relationships/keyMapCustomizations" Target="customizations.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wmf"/><Relationship Id="rId20" Type="http://schemas.openxmlformats.org/officeDocument/2006/relationships/oleObject" Target="embeddings/oleObject3.bin"/><Relationship Id="rId2" Type="http://schemas.openxmlformats.org/officeDocument/2006/relationships/settings" Target="settings.xml"/><Relationship Id="rId19" Type="http://schemas.openxmlformats.org/officeDocument/2006/relationships/image" Target="media/image2.wmf"/><Relationship Id="rId18" Type="http://schemas.openxmlformats.org/officeDocument/2006/relationships/oleObject" Target="embeddings/oleObject2.bin"/><Relationship Id="rId17" Type="http://schemas.openxmlformats.org/officeDocument/2006/relationships/image" Target="media/image1.wmf"/><Relationship Id="rId16" Type="http://schemas.openxmlformats.org/officeDocument/2006/relationships/oleObject" Target="embeddings/oleObject1.bin"/><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114</Pages>
  <Words>52010</Words>
  <Characters>56062</Characters>
  <Lines>702</Lines>
  <Paragraphs>197</Paragraphs>
  <TotalTime>10</TotalTime>
  <ScaleCrop>false</ScaleCrop>
  <LinksUpToDate>false</LinksUpToDate>
  <CharactersWithSpaces>59828</CharactersWithSpaces>
  <Application>WPS Office_11.1.0.12650_F1E327BC-269C-435d-A152-05C5408002CA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2023-11-28T08:43:00Z</dcterms:created>
  <dc:creator>jcx</dc:creator>
  <cp:lastModifiedBy>ZMM</cp:lastModifiedBy>
  <cp:lastPrinted>2024-05-29T18:25:00Z</cp:lastPrinted>
  <dcterms:modified xsi:type="dcterms:W3CDTF">2026-08-14T09:56:56Z</dcterms:modified>
  <dc:title>招 标 文 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2052-11.1.0.12650</vt:lpwstr>
  </property>
  <property fmtid="{D5CDD505-2E9C-101B-9397-08002B2CF9AE}" pid="3" name="ICV">
    <vt:lpwstr>9BDBD33EE89D477D8C1D87DBB5097ACC_13</vt:lpwstr>
  </property>
</Properties>
</file>