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42"/>
        <w:tblW w:w="9061" w:type="dxa"/>
        <w:tblInd w:w="0" w:type="dxa"/>
        <w:tblLayout w:type="fixed"/>
        <w:tblCellMar>
          <w:top w:w="0" w:type="dxa"/>
          <w:left w:w="108" w:type="dxa"/>
          <w:bottom w:w="0" w:type="dxa"/>
          <w:right w:w="108" w:type="dxa"/>
        </w:tblCellMar>
      </w:tblPr>
      <w:tblGrid>
        <w:gridCol w:w="2832"/>
        <w:gridCol w:w="6229"/>
      </w:tblGrid>
      <w:tr>
        <w:tblPrEx>
          <w:tblCellMar>
            <w:top w:w="0" w:type="dxa"/>
            <w:left w:w="108" w:type="dxa"/>
            <w:bottom w:w="0" w:type="dxa"/>
            <w:right w:w="108" w:type="dxa"/>
          </w:tblCellMar>
        </w:tblPrEx>
        <w:trPr>
          <w:trHeight w:val="630" w:hRule="atLeast"/>
        </w:trPr>
        <w:tc>
          <w:tcPr>
            <w:tcW w:w="2832" w:type="dxa"/>
            <w:vMerge w:val="restart"/>
          </w:tcPr>
          <w:p>
            <w:pPr>
              <w:adjustRightInd w:val="0"/>
              <w:snapToGrid w:val="0"/>
              <w:spacing w:line="440" w:lineRule="atLeast"/>
              <w:rPr>
                <w:rFonts w:ascii="黑体" w:hAnsi="宋体" w:eastAsia="黑体"/>
                <w:color w:val="000000" w:themeColor="text1"/>
                <w:sz w:val="30"/>
                <w:szCs w:val="30"/>
                <w:highlight w:val="none"/>
                <w14:textFill>
                  <w14:solidFill>
                    <w14:schemeClr w14:val="tx1"/>
                  </w14:solidFill>
                </w14:textFill>
              </w:rPr>
            </w:pPr>
          </w:p>
        </w:tc>
        <w:tc>
          <w:tcPr>
            <w:tcW w:w="6229" w:type="dxa"/>
            <w:tcBorders>
              <w:left w:val="nil"/>
            </w:tcBorders>
            <w:vAlign w:val="center"/>
          </w:tcPr>
          <w:p>
            <w:pPr>
              <w:adjustRightInd w:val="0"/>
              <w:snapToGrid w:val="0"/>
              <w:spacing w:line="440" w:lineRule="atLeast"/>
              <w:jc w:val="right"/>
              <w:rPr>
                <w:rFonts w:ascii="黑体" w:hAnsi="宋体" w:eastAsia="黑体"/>
                <w:color w:val="000000" w:themeColor="text1"/>
                <w:sz w:val="30"/>
                <w:szCs w:val="30"/>
                <w:highlight w:val="none"/>
                <w14:textFill>
                  <w14:solidFill>
                    <w14:schemeClr w14:val="tx1"/>
                  </w14:solidFill>
                </w14:textFill>
              </w:rPr>
            </w:pPr>
          </w:p>
        </w:tc>
      </w:tr>
      <w:tr>
        <w:tblPrEx>
          <w:tblCellMar>
            <w:top w:w="0" w:type="dxa"/>
            <w:left w:w="108" w:type="dxa"/>
            <w:bottom w:w="0" w:type="dxa"/>
            <w:right w:w="108" w:type="dxa"/>
          </w:tblCellMar>
        </w:tblPrEx>
        <w:trPr>
          <w:trHeight w:val="630" w:hRule="atLeast"/>
        </w:trPr>
        <w:tc>
          <w:tcPr>
            <w:tcW w:w="2832" w:type="dxa"/>
            <w:vMerge w:val="continue"/>
            <w:vAlign w:val="center"/>
          </w:tcPr>
          <w:p>
            <w:pPr>
              <w:widowControl/>
              <w:jc w:val="left"/>
              <w:rPr>
                <w:rFonts w:ascii="黑体" w:hAnsi="宋体" w:eastAsia="黑体"/>
                <w:color w:val="000000" w:themeColor="text1"/>
                <w:sz w:val="30"/>
                <w:szCs w:val="30"/>
                <w:highlight w:val="none"/>
                <w14:textFill>
                  <w14:solidFill>
                    <w14:schemeClr w14:val="tx1"/>
                  </w14:solidFill>
                </w14:textFill>
              </w:rPr>
            </w:pPr>
          </w:p>
        </w:tc>
        <w:tc>
          <w:tcPr>
            <w:tcW w:w="6229" w:type="dxa"/>
            <w:tcBorders>
              <w:left w:val="nil"/>
            </w:tcBorders>
            <w:vAlign w:val="center"/>
          </w:tcPr>
          <w:p>
            <w:pPr>
              <w:widowControl/>
              <w:jc w:val="left"/>
              <w:rPr>
                <w:rFonts w:ascii="黑体" w:hAnsi="宋体" w:eastAsia="黑体"/>
                <w:color w:val="000000" w:themeColor="text1"/>
                <w:sz w:val="30"/>
                <w:szCs w:val="30"/>
                <w:highlight w:val="none"/>
                <w14:textFill>
                  <w14:solidFill>
                    <w14:schemeClr w14:val="tx1"/>
                  </w14:solidFill>
                </w14:textFill>
              </w:rPr>
            </w:pPr>
          </w:p>
        </w:tc>
      </w:tr>
      <w:tr>
        <w:tblPrEx>
          <w:tblCellMar>
            <w:top w:w="0" w:type="dxa"/>
            <w:left w:w="108" w:type="dxa"/>
            <w:bottom w:w="0" w:type="dxa"/>
            <w:right w:w="108" w:type="dxa"/>
          </w:tblCellMar>
        </w:tblPrEx>
        <w:trPr>
          <w:trHeight w:val="630" w:hRule="atLeast"/>
        </w:trPr>
        <w:tc>
          <w:tcPr>
            <w:tcW w:w="2832" w:type="dxa"/>
            <w:vMerge w:val="continue"/>
          </w:tcPr>
          <w:p>
            <w:pPr>
              <w:widowControl/>
              <w:jc w:val="right"/>
              <w:rPr>
                <w:rFonts w:ascii="黑体" w:hAnsi="宋体" w:eastAsia="黑体"/>
                <w:sz w:val="30"/>
                <w:szCs w:val="30"/>
                <w:highlight w:val="none"/>
              </w:rPr>
            </w:pPr>
          </w:p>
        </w:tc>
        <w:tc>
          <w:tcPr>
            <w:tcW w:w="6229" w:type="dxa"/>
            <w:tcBorders>
              <w:left w:val="nil"/>
            </w:tcBorders>
          </w:tcPr>
          <w:p>
            <w:pPr>
              <w:wordWrap w:val="0"/>
              <w:adjustRightInd w:val="0"/>
              <w:snapToGrid w:val="0"/>
              <w:spacing w:line="440" w:lineRule="atLeast"/>
              <w:jc w:val="right"/>
              <w:rPr>
                <w:rFonts w:ascii="黑体" w:hAnsi="宋体" w:eastAsia="黑体"/>
                <w:sz w:val="30"/>
                <w:szCs w:val="30"/>
                <w:highlight w:val="none"/>
              </w:rPr>
            </w:pPr>
          </w:p>
        </w:tc>
      </w:tr>
      <w:tr>
        <w:tblPrEx>
          <w:tblCellMar>
            <w:top w:w="0" w:type="dxa"/>
            <w:left w:w="108" w:type="dxa"/>
            <w:bottom w:w="0" w:type="dxa"/>
            <w:right w:w="108" w:type="dxa"/>
          </w:tblCellMar>
        </w:tblPrEx>
        <w:trPr>
          <w:trHeight w:val="542" w:hRule="atLeast"/>
        </w:trPr>
        <w:tc>
          <w:tcPr>
            <w:tcW w:w="9061" w:type="dxa"/>
            <w:gridSpan w:val="2"/>
            <w:tcBorders>
              <w:top w:val="threeDEngrave" w:color="auto" w:sz="24" w:space="0"/>
              <w:left w:val="nil"/>
              <w:right w:val="nil"/>
            </w:tcBorders>
            <w:vAlign w:val="center"/>
          </w:tcPr>
          <w:p>
            <w:pPr>
              <w:adjustRightInd w:val="0"/>
              <w:snapToGrid w:val="0"/>
              <w:spacing w:line="360" w:lineRule="auto"/>
              <w:jc w:val="right"/>
              <w:rPr>
                <w:rFonts w:ascii="黑体" w:hAnsi="华文中宋" w:eastAsia="黑体"/>
                <w:b/>
                <w:bCs/>
                <w:sz w:val="48"/>
                <w:szCs w:val="48"/>
                <w:highlight w:val="none"/>
              </w:rPr>
            </w:pPr>
            <w:r>
              <w:rPr>
                <w:rFonts w:hint="eastAsia" w:ascii="黑体" w:hAnsi="黑体" w:eastAsia="黑体"/>
                <w:b/>
                <w:sz w:val="52"/>
                <w:szCs w:val="48"/>
                <w:highlight w:val="none"/>
              </w:rPr>
              <w:t>中南民族大学采购项目</w:t>
            </w:r>
          </w:p>
        </w:tc>
      </w:tr>
      <w:tr>
        <w:tblPrEx>
          <w:tblCellMar>
            <w:top w:w="0" w:type="dxa"/>
            <w:left w:w="108" w:type="dxa"/>
            <w:bottom w:w="0" w:type="dxa"/>
            <w:right w:w="108" w:type="dxa"/>
          </w:tblCellMar>
        </w:tblPrEx>
        <w:trPr>
          <w:trHeight w:val="770" w:hRule="atLeast"/>
        </w:trPr>
        <w:tc>
          <w:tcPr>
            <w:tcW w:w="9061" w:type="dxa"/>
            <w:gridSpan w:val="2"/>
            <w:tcBorders>
              <w:left w:val="nil"/>
              <w:bottom w:val="nil"/>
              <w:right w:val="nil"/>
            </w:tcBorders>
            <w:vAlign w:val="center"/>
          </w:tcPr>
          <w:p>
            <w:pPr>
              <w:wordWrap w:val="0"/>
              <w:adjustRightInd w:val="0"/>
              <w:snapToGrid w:val="0"/>
              <w:spacing w:line="360" w:lineRule="auto"/>
              <w:ind w:right="-48"/>
              <w:jc w:val="right"/>
              <w:rPr>
                <w:rFonts w:ascii="黑体" w:hAnsi="华文中宋" w:eastAsia="黑体"/>
                <w:b/>
                <w:bCs/>
                <w:sz w:val="52"/>
                <w:szCs w:val="52"/>
                <w:highlight w:val="none"/>
              </w:rPr>
            </w:pPr>
            <w:r>
              <w:rPr>
                <w:rFonts w:hint="eastAsia" w:ascii="黑体" w:hAnsi="华文中宋" w:eastAsia="黑体"/>
                <w:b/>
                <w:bCs/>
                <w:sz w:val="48"/>
                <w:szCs w:val="48"/>
                <w:highlight w:val="none"/>
                <w:lang w:eastAsia="zh-CN"/>
              </w:rPr>
              <w:t>中南民族大学学生宿舍消防防火门更换（三期）</w:t>
            </w:r>
            <w:r>
              <w:rPr>
                <w:rFonts w:hint="eastAsia" w:ascii="黑体" w:hAnsi="华文中宋" w:eastAsia="黑体"/>
                <w:b/>
                <w:bCs/>
                <w:sz w:val="48"/>
                <w:szCs w:val="48"/>
                <w:highlight w:val="none"/>
              </w:rPr>
              <w:t>项目</w:t>
            </w:r>
          </w:p>
          <w:p>
            <w:pPr>
              <w:adjustRightInd w:val="0"/>
              <w:snapToGrid w:val="0"/>
              <w:spacing w:line="360" w:lineRule="auto"/>
              <w:ind w:right="-48"/>
              <w:jc w:val="right"/>
              <w:rPr>
                <w:rFonts w:ascii="黑体" w:hAnsi="华文中宋" w:eastAsia="黑体"/>
                <w:b/>
                <w:bCs/>
                <w:sz w:val="48"/>
                <w:szCs w:val="48"/>
                <w:highlight w:val="none"/>
              </w:rPr>
            </w:pPr>
            <w:r>
              <w:rPr>
                <w:rFonts w:hint="eastAsia" w:ascii="黑体" w:hAnsi="华文中宋" w:eastAsia="黑体"/>
                <w:b/>
                <w:bCs/>
                <w:sz w:val="52"/>
                <w:szCs w:val="52"/>
                <w:highlight w:val="none"/>
              </w:rPr>
              <w:t>竞争性磋商文件</w:t>
            </w:r>
          </w:p>
        </w:tc>
      </w:tr>
      <w:tr>
        <w:tblPrEx>
          <w:tblCellMar>
            <w:top w:w="0" w:type="dxa"/>
            <w:left w:w="108" w:type="dxa"/>
            <w:bottom w:w="0" w:type="dxa"/>
            <w:right w:w="108" w:type="dxa"/>
          </w:tblCellMar>
        </w:tblPrEx>
        <w:trPr>
          <w:trHeight w:val="655" w:hRule="atLeast"/>
        </w:trPr>
        <w:tc>
          <w:tcPr>
            <w:tcW w:w="9061" w:type="dxa"/>
            <w:gridSpan w:val="2"/>
            <w:tcBorders>
              <w:top w:val="threeDEngrave" w:color="auto" w:sz="24" w:space="0"/>
              <w:left w:val="nil"/>
              <w:bottom w:val="nil"/>
              <w:right w:val="nil"/>
            </w:tcBorders>
            <w:vAlign w:val="center"/>
          </w:tcPr>
          <w:p>
            <w:pPr>
              <w:wordWrap w:val="0"/>
              <w:adjustRightInd w:val="0"/>
              <w:snapToGrid w:val="0"/>
              <w:spacing w:line="440" w:lineRule="atLeast"/>
              <w:jc w:val="right"/>
              <w:rPr>
                <w:rFonts w:hint="default" w:ascii="宋体" w:hAnsi="宋体" w:eastAsia="宋体"/>
                <w:b/>
                <w:sz w:val="30"/>
                <w:szCs w:val="30"/>
                <w:highlight w:val="none"/>
                <w:lang w:val="en-US" w:eastAsia="zh-CN"/>
              </w:rPr>
            </w:pPr>
            <w:r>
              <w:rPr>
                <w:rFonts w:hint="eastAsia" w:ascii="宋体" w:hAnsi="宋体"/>
                <w:b/>
                <w:sz w:val="30"/>
                <w:szCs w:val="30"/>
                <w:highlight w:val="none"/>
              </w:rPr>
              <w:t>项目编号：</w:t>
            </w:r>
            <w:r>
              <w:rPr>
                <w:rFonts w:hint="eastAsia" w:ascii="宋体" w:hAnsi="宋体"/>
                <w:b/>
                <w:sz w:val="30"/>
                <w:szCs w:val="30"/>
                <w:highlight w:val="none"/>
                <w:lang w:val="en-US" w:eastAsia="zh-CN"/>
              </w:rPr>
              <w:t>HBT-23125052-261179</w:t>
            </w:r>
          </w:p>
        </w:tc>
      </w:tr>
      <w:tr>
        <w:tblPrEx>
          <w:tblCellMar>
            <w:top w:w="0" w:type="dxa"/>
            <w:left w:w="108" w:type="dxa"/>
            <w:bottom w:w="0" w:type="dxa"/>
            <w:right w:w="108" w:type="dxa"/>
          </w:tblCellMar>
        </w:tblPrEx>
        <w:trPr>
          <w:trHeight w:val="555" w:hRule="atLeast"/>
        </w:trPr>
        <w:tc>
          <w:tcPr>
            <w:tcW w:w="9061" w:type="dxa"/>
            <w:gridSpan w:val="2"/>
          </w:tcPr>
          <w:p>
            <w:pPr>
              <w:adjustRightInd w:val="0"/>
              <w:snapToGrid w:val="0"/>
              <w:spacing w:line="440" w:lineRule="atLeast"/>
              <w:rPr>
                <w:rFonts w:ascii="黑体" w:hAnsi="宋体" w:eastAsia="黑体"/>
                <w:color w:val="000000" w:themeColor="text1"/>
                <w:sz w:val="30"/>
                <w:szCs w:val="30"/>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tcPr>
          <w:p>
            <w:pPr>
              <w:adjustRightInd w:val="0"/>
              <w:snapToGrid w:val="0"/>
              <w:spacing w:line="440" w:lineRule="atLeast"/>
              <w:rPr>
                <w:rFonts w:ascii="黑体" w:hAnsi="宋体" w:eastAsia="黑体"/>
                <w:color w:val="000000" w:themeColor="text1"/>
                <w:sz w:val="30"/>
                <w:szCs w:val="30"/>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tcPr>
          <w:p>
            <w:pPr>
              <w:adjustRightInd w:val="0"/>
              <w:snapToGrid w:val="0"/>
              <w:spacing w:line="440" w:lineRule="atLeast"/>
              <w:jc w:val="center"/>
              <w:rPr>
                <w:rFonts w:ascii="黑体" w:hAnsi="宋体" w:eastAsia="黑体"/>
                <w:color w:val="000000" w:themeColor="text1"/>
                <w:sz w:val="30"/>
                <w:szCs w:val="30"/>
                <w:highlight w:val="none"/>
                <w14:textFill>
                  <w14:solidFill>
                    <w14:schemeClr w14:val="tx1"/>
                  </w14:solidFill>
                </w14:textFill>
              </w:rPr>
            </w:pPr>
            <w:r>
              <w:rPr>
                <w:rFonts w:hint="eastAsia" w:ascii="黑体" w:hAnsi="黑体" w:eastAsia="黑体"/>
                <w:b/>
                <w:sz w:val="52"/>
                <w:szCs w:val="48"/>
                <w:highlight w:val="none"/>
              </w:rPr>
              <w:t>（工程类）</w:t>
            </w: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360" w:lineRule="auto"/>
              <w:ind w:right="-48"/>
              <w:jc w:val="center"/>
              <w:rPr>
                <w:rFonts w:ascii="黑体" w:hAnsi="宋体" w:eastAsia="黑体"/>
                <w:color w:val="000000" w:themeColor="text1"/>
                <w:sz w:val="32"/>
                <w:szCs w:val="32"/>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440" w:lineRule="atLeast"/>
              <w:rPr>
                <w:rFonts w:ascii="黑体" w:hAnsi="宋体" w:eastAsia="黑体"/>
                <w:color w:val="000000" w:themeColor="text1"/>
                <w:sz w:val="32"/>
                <w:szCs w:val="32"/>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440" w:lineRule="atLeast"/>
              <w:rPr>
                <w:rFonts w:ascii="黑体" w:hAnsi="宋体" w:eastAsia="黑体"/>
                <w:color w:val="000000" w:themeColor="text1"/>
                <w:sz w:val="32"/>
                <w:szCs w:val="32"/>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440" w:lineRule="atLeast"/>
              <w:rPr>
                <w:rFonts w:ascii="黑体" w:hAnsi="宋体" w:eastAsia="黑体"/>
                <w:color w:val="000000" w:themeColor="text1"/>
                <w:sz w:val="32"/>
                <w:szCs w:val="32"/>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440" w:lineRule="atLeast"/>
              <w:rPr>
                <w:rFonts w:ascii="黑体" w:hAnsi="宋体" w:eastAsia="黑体"/>
                <w:color w:val="000000" w:themeColor="text1"/>
                <w:sz w:val="32"/>
                <w:szCs w:val="32"/>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tcPr>
          <w:p>
            <w:pPr>
              <w:adjustRightInd w:val="0"/>
              <w:snapToGrid w:val="0"/>
              <w:spacing w:line="440" w:lineRule="atLeast"/>
              <w:rPr>
                <w:rFonts w:ascii="黑体" w:hAnsi="宋体" w:eastAsia="黑体"/>
                <w:color w:val="000000" w:themeColor="text1"/>
                <w:sz w:val="30"/>
                <w:szCs w:val="30"/>
                <w:highlight w:val="none"/>
                <w14:textFill>
                  <w14:solidFill>
                    <w14:schemeClr w14:val="tx1"/>
                  </w14:solidFill>
                </w14:textFill>
              </w:rPr>
            </w:pPr>
          </w:p>
        </w:tc>
      </w:tr>
      <w:tr>
        <w:tblPrEx>
          <w:tblCellMar>
            <w:top w:w="0" w:type="dxa"/>
            <w:left w:w="108" w:type="dxa"/>
            <w:bottom w:w="0" w:type="dxa"/>
            <w:right w:w="108" w:type="dxa"/>
          </w:tblCellMar>
        </w:tblPrEx>
        <w:trPr>
          <w:trHeight w:val="555" w:hRule="atLeast"/>
        </w:trPr>
        <w:tc>
          <w:tcPr>
            <w:tcW w:w="9061" w:type="dxa"/>
            <w:gridSpan w:val="2"/>
          </w:tcPr>
          <w:p>
            <w:pPr>
              <w:adjustRightInd w:val="0"/>
              <w:snapToGrid w:val="0"/>
              <w:spacing w:line="440" w:lineRule="atLeast"/>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采 购 人：中南民族大学</w:t>
            </w: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440" w:lineRule="atLeast"/>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采购代理机构：湖北省招标股份有限公司</w:t>
            </w:r>
          </w:p>
        </w:tc>
      </w:tr>
      <w:tr>
        <w:tblPrEx>
          <w:tblCellMar>
            <w:top w:w="0" w:type="dxa"/>
            <w:left w:w="108" w:type="dxa"/>
            <w:bottom w:w="0" w:type="dxa"/>
            <w:right w:w="108" w:type="dxa"/>
          </w:tblCellMar>
        </w:tblPrEx>
        <w:trPr>
          <w:trHeight w:val="555" w:hRule="atLeast"/>
        </w:trPr>
        <w:tc>
          <w:tcPr>
            <w:tcW w:w="9061" w:type="dxa"/>
            <w:gridSpan w:val="2"/>
            <w:vAlign w:val="center"/>
          </w:tcPr>
          <w:p>
            <w:pPr>
              <w:adjustRightInd w:val="0"/>
              <w:snapToGrid w:val="0"/>
              <w:spacing w:line="440" w:lineRule="atLeast"/>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办公地址：武汉市武昌区中北路108号兴业银行大厦五层</w:t>
            </w:r>
          </w:p>
        </w:tc>
      </w:tr>
    </w:tbl>
    <w:p>
      <w:pPr>
        <w:pStyle w:val="20"/>
        <w:jc w:val="right"/>
        <w:rPr>
          <w:rFonts w:hAnsi="宋体"/>
          <w:color w:val="000000" w:themeColor="text1"/>
          <w:sz w:val="32"/>
          <w:highlight w:val="none"/>
          <w14:textFill>
            <w14:solidFill>
              <w14:schemeClr w14:val="tx1"/>
            </w14:solidFill>
          </w14:textFill>
        </w:rPr>
      </w:pPr>
    </w:p>
    <w:p>
      <w:pPr>
        <w:pStyle w:val="20"/>
        <w:jc w:val="right"/>
        <w:rPr>
          <w:rFonts w:hAnsi="宋体"/>
          <w:color w:val="000000" w:themeColor="text1"/>
          <w:sz w:val="32"/>
          <w:highlight w:val="none"/>
          <w14:textFill>
            <w14:solidFill>
              <w14:schemeClr w14:val="tx1"/>
            </w14:solidFill>
          </w14:textFill>
        </w:rPr>
        <w:sectPr>
          <w:headerReference r:id="rId3" w:type="default"/>
          <w:pgSz w:w="11907" w:h="16840"/>
          <w:pgMar w:top="1247" w:right="1531" w:bottom="1134" w:left="1531" w:header="907" w:footer="907" w:gutter="0"/>
          <w:pgNumType w:start="1"/>
          <w:cols w:space="720" w:num="1"/>
          <w:docGrid w:linePitch="312" w:charSpace="0"/>
        </w:sectPr>
      </w:pPr>
    </w:p>
    <w:p>
      <w:pPr>
        <w:snapToGrid w:val="0"/>
        <w:spacing w:line="300" w:lineRule="auto"/>
        <w:jc w:val="center"/>
        <w:rPr>
          <w:rFonts w:ascii="宋体" w:hAnsi="宋体" w:eastAsiaTheme="minorEastAsia"/>
          <w:b/>
          <w:bCs/>
          <w:color w:val="000000" w:themeColor="text1"/>
          <w:sz w:val="32"/>
          <w:szCs w:val="32"/>
          <w:highlight w:val="none"/>
          <w14:textFill>
            <w14:solidFill>
              <w14:schemeClr w14:val="tx1"/>
            </w14:solidFill>
          </w14:textFill>
        </w:rPr>
      </w:pPr>
      <w:r>
        <w:rPr>
          <w:rFonts w:ascii="宋体" w:hAnsi="宋体" w:eastAsiaTheme="minorEastAsia"/>
          <w:b/>
          <w:bCs/>
          <w:color w:val="000000" w:themeColor="text1"/>
          <w:sz w:val="32"/>
          <w:szCs w:val="32"/>
          <w:highlight w:val="none"/>
          <w14:textFill>
            <w14:solidFill>
              <w14:schemeClr w14:val="tx1"/>
            </w14:solidFill>
          </w14:textFill>
        </w:rPr>
        <w:t>目  录</w:t>
      </w:r>
    </w:p>
    <w:p>
      <w:pPr>
        <w:pStyle w:val="28"/>
        <w:tabs>
          <w:tab w:val="right" w:leader="dot" w:pos="8845"/>
        </w:tabs>
      </w:pPr>
      <w:bookmarkStart w:id="0" w:name="_Hlt535815812"/>
      <w:bookmarkEnd w:id="0"/>
      <w:bookmarkStart w:id="1" w:name="_Hlt535832675"/>
      <w:bookmarkEnd w:id="1"/>
      <w:bookmarkStart w:id="2" w:name="_Hlt535832662"/>
      <w:bookmarkEnd w:id="2"/>
      <w:bookmarkStart w:id="3" w:name="_Hlt536069701"/>
      <w:bookmarkEnd w:id="3"/>
      <w:bookmarkStart w:id="4" w:name="_Hlt535891864"/>
      <w:bookmarkEnd w:id="4"/>
      <w:bookmarkStart w:id="5" w:name="_Toc535814464"/>
      <w:bookmarkStart w:id="6" w:name="_Toc535815709"/>
      <w:r>
        <w:rPr>
          <w:rFonts w:ascii="Arial" w:hAnsi="Arial" w:cs="Arial" w:eastAsiaTheme="minorEastAsia"/>
          <w:b w:val="0"/>
          <w:bCs w:val="0"/>
          <w:i w:val="0"/>
          <w:iCs w:val="0"/>
          <w:color w:val="000000" w:themeColor="text1"/>
          <w:szCs w:val="21"/>
          <w:highlight w:val="none"/>
          <w14:textFill>
            <w14:solidFill>
              <w14:schemeClr w14:val="tx1"/>
            </w14:solidFill>
          </w14:textFill>
        </w:rPr>
        <w:fldChar w:fldCharType="begin"/>
      </w:r>
      <w:r>
        <w:rPr>
          <w:rFonts w:ascii="Arial" w:hAnsi="Arial" w:cs="Arial" w:eastAsiaTheme="minorEastAsia"/>
          <w:b w:val="0"/>
          <w:bCs w:val="0"/>
          <w:i w:val="0"/>
          <w:iCs w:val="0"/>
          <w:color w:val="000000" w:themeColor="text1"/>
          <w:szCs w:val="21"/>
          <w:highlight w:val="none"/>
          <w14:textFill>
            <w14:solidFill>
              <w14:schemeClr w14:val="tx1"/>
            </w14:solidFill>
          </w14:textFill>
        </w:rPr>
        <w:instrText xml:space="preserve"> TOC \o "1-4" \h \z </w:instrText>
      </w:r>
      <w:r>
        <w:rPr>
          <w:rFonts w:ascii="Arial" w:hAnsi="Arial" w:cs="Arial" w:eastAsiaTheme="minorEastAsia"/>
          <w:b w:val="0"/>
          <w:bCs w:val="0"/>
          <w:i w:val="0"/>
          <w:iCs w:val="0"/>
          <w:color w:val="000000" w:themeColor="text1"/>
          <w:szCs w:val="21"/>
          <w:highlight w:val="none"/>
          <w14:textFill>
            <w14:solidFill>
              <w14:schemeClr w14:val="tx1"/>
            </w14:solidFill>
          </w14:textFill>
        </w:rPr>
        <w:fldChar w:fldCharType="separate"/>
      </w:r>
      <w:r>
        <w:rPr>
          <w:rFonts w:ascii="Arial" w:hAnsi="Arial" w:cs="Arial" w:eastAsiaTheme="minorEastAsia"/>
          <w:bCs w:val="0"/>
          <w:i w:val="0"/>
          <w:iCs w:val="0"/>
          <w:color w:val="000000" w:themeColor="text1"/>
          <w:szCs w:val="21"/>
          <w:highlight w:val="none"/>
          <w14:textFill>
            <w14:solidFill>
              <w14:schemeClr w14:val="tx1"/>
            </w14:solidFill>
          </w14:textFill>
        </w:rPr>
        <w:fldChar w:fldCharType="begin"/>
      </w:r>
      <w:r>
        <w:rPr>
          <w:rFonts w:ascii="Arial" w:hAnsi="Arial" w:cs="Arial" w:eastAsiaTheme="minorEastAsia"/>
          <w:bCs w:val="0"/>
          <w:i w:val="0"/>
          <w:iCs w:val="0"/>
          <w:szCs w:val="21"/>
          <w:highlight w:val="none"/>
        </w:rPr>
        <w:instrText xml:space="preserve"> HYPERLINK \l _Toc19906 </w:instrText>
      </w:r>
      <w:r>
        <w:rPr>
          <w:rFonts w:ascii="Arial" w:hAnsi="Arial" w:cs="Arial" w:eastAsiaTheme="minorEastAsia"/>
          <w:bCs w:val="0"/>
          <w:i w:val="0"/>
          <w:iCs w:val="0"/>
          <w:szCs w:val="21"/>
          <w:highlight w:val="none"/>
        </w:rPr>
        <w:fldChar w:fldCharType="separate"/>
      </w:r>
      <w:r>
        <w:rPr>
          <w:rFonts w:ascii="宋体" w:hAnsi="宋体"/>
          <w:highlight w:val="none"/>
        </w:rPr>
        <w:t>第一章</w:t>
      </w:r>
      <w:r>
        <w:rPr>
          <w:rFonts w:hint="eastAsia" w:ascii="宋体" w:hAnsi="宋体"/>
          <w:highlight w:val="none"/>
        </w:rPr>
        <w:t xml:space="preserve"> 磋商公告（代磋商邀请函）</w:t>
      </w:r>
      <w:r>
        <w:tab/>
      </w:r>
      <w:r>
        <w:fldChar w:fldCharType="begin"/>
      </w:r>
      <w:r>
        <w:instrText xml:space="preserve"> PAGEREF _Toc19906 \h </w:instrText>
      </w:r>
      <w:r>
        <w:fldChar w:fldCharType="separate"/>
      </w:r>
      <w:r>
        <w:t>1</w:t>
      </w:r>
      <w:r>
        <w:fldChar w:fldCharType="end"/>
      </w:r>
      <w:r>
        <w:rPr>
          <w:rFonts w:ascii="Arial" w:hAnsi="Arial" w:cs="Arial" w:eastAsiaTheme="minorEastAsia"/>
          <w:bCs w:val="0"/>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_Toc28932 </w:instrText>
      </w:r>
      <w:r>
        <w:rPr>
          <w:rFonts w:ascii="Arial" w:hAnsi="Arial" w:cs="Arial" w:eastAsiaTheme="minorEastAsia"/>
          <w:i w:val="0"/>
          <w:iCs w:val="0"/>
          <w:szCs w:val="21"/>
          <w:highlight w:val="none"/>
        </w:rPr>
        <w:fldChar w:fldCharType="separate"/>
      </w:r>
      <w:r>
        <w:rPr>
          <w:rFonts w:ascii="宋体" w:hAnsi="宋体"/>
          <w:highlight w:val="none"/>
        </w:rPr>
        <w:t>第二章</w:t>
      </w:r>
      <w:r>
        <w:rPr>
          <w:rFonts w:hint="eastAsia" w:ascii="宋体" w:hAnsi="宋体"/>
          <w:highlight w:val="none"/>
        </w:rPr>
        <w:t xml:space="preserve"> 供应商须知</w:t>
      </w:r>
      <w:r>
        <w:tab/>
      </w:r>
      <w:r>
        <w:fldChar w:fldCharType="begin"/>
      </w:r>
      <w:r>
        <w:instrText xml:space="preserve"> PAGEREF _Toc28932 \h </w:instrText>
      </w:r>
      <w:r>
        <w:fldChar w:fldCharType="separate"/>
      </w:r>
      <w:r>
        <w:t>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_Toc11742 </w:instrText>
      </w:r>
      <w:r>
        <w:rPr>
          <w:rFonts w:ascii="Arial" w:hAnsi="Arial" w:cs="Arial" w:eastAsiaTheme="minorEastAsia"/>
          <w:i w:val="0"/>
          <w:iCs w:val="0"/>
          <w:szCs w:val="21"/>
          <w:highlight w:val="none"/>
        </w:rPr>
        <w:fldChar w:fldCharType="separate"/>
      </w:r>
      <w:r>
        <w:rPr>
          <w:rFonts w:hint="eastAsia" w:ascii="宋体" w:hAnsi="宋体" w:eastAsiaTheme="minorEastAsia"/>
          <w:szCs w:val="21"/>
          <w:highlight w:val="none"/>
        </w:rPr>
        <w:t>《供应商须知前附表》</w:t>
      </w:r>
      <w:r>
        <w:tab/>
      </w:r>
      <w:r>
        <w:fldChar w:fldCharType="begin"/>
      </w:r>
      <w:r>
        <w:instrText xml:space="preserve"> PAGEREF _Toc11742 \h </w:instrText>
      </w:r>
      <w:r>
        <w:fldChar w:fldCharType="separate"/>
      </w:r>
      <w:r>
        <w:t>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_Toc10913 </w:instrText>
      </w:r>
      <w:r>
        <w:rPr>
          <w:rFonts w:ascii="Arial" w:hAnsi="Arial" w:cs="Arial" w:eastAsiaTheme="minorEastAsia"/>
          <w:i w:val="0"/>
          <w:iCs w:val="0"/>
          <w:szCs w:val="21"/>
          <w:highlight w:val="none"/>
        </w:rPr>
        <w:fldChar w:fldCharType="separate"/>
      </w:r>
      <w:r>
        <w:rPr>
          <w:rFonts w:hint="eastAsia" w:ascii="宋体" w:hAnsi="宋体" w:eastAsiaTheme="minorEastAsia"/>
          <w:szCs w:val="21"/>
          <w:highlight w:val="none"/>
        </w:rPr>
        <w:t>供应商须知</w:t>
      </w:r>
      <w:r>
        <w:tab/>
      </w:r>
      <w:r>
        <w:fldChar w:fldCharType="begin"/>
      </w:r>
      <w:r>
        <w:instrText xml:space="preserve"> PAGEREF _Toc10913 \h </w:instrText>
      </w:r>
      <w:r>
        <w:fldChar w:fldCharType="separate"/>
      </w:r>
      <w:r>
        <w:t>9</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_Toc25815 </w:instrText>
      </w:r>
      <w:r>
        <w:rPr>
          <w:rFonts w:ascii="Arial" w:hAnsi="Arial" w:cs="Arial" w:eastAsiaTheme="minorEastAsia"/>
          <w:i w:val="0"/>
          <w:iCs w:val="0"/>
          <w:szCs w:val="21"/>
          <w:highlight w:val="none"/>
        </w:rPr>
        <w:fldChar w:fldCharType="separate"/>
      </w:r>
      <w:r>
        <w:rPr>
          <w:rFonts w:hint="eastAsia" w:ascii="宋体" w:hAnsi="宋体" w:eastAsiaTheme="minorEastAsia"/>
          <w:szCs w:val="21"/>
          <w:highlight w:val="none"/>
        </w:rPr>
        <w:t>一、总则</w:t>
      </w:r>
      <w:r>
        <w:tab/>
      </w:r>
      <w:r>
        <w:fldChar w:fldCharType="begin"/>
      </w:r>
      <w:r>
        <w:instrText xml:space="preserve"> PAGEREF _Toc25815 \h </w:instrText>
      </w:r>
      <w:r>
        <w:fldChar w:fldCharType="separate"/>
      </w:r>
      <w:r>
        <w:t>9</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_Toc1379 </w:instrText>
      </w:r>
      <w:r>
        <w:rPr>
          <w:rFonts w:ascii="Arial" w:hAnsi="Arial" w:cs="Arial" w:eastAsiaTheme="minorEastAsia"/>
          <w:i w:val="0"/>
          <w:iCs w:val="0"/>
          <w:szCs w:val="21"/>
          <w:highlight w:val="none"/>
        </w:rPr>
        <w:fldChar w:fldCharType="separate"/>
      </w:r>
      <w:r>
        <w:rPr>
          <w:rFonts w:hint="eastAsia" w:asciiTheme="minorEastAsia" w:hAnsiTheme="minorEastAsia" w:eastAsiaTheme="minorEastAsia"/>
          <w:szCs w:val="21"/>
          <w:highlight w:val="none"/>
        </w:rPr>
        <w:t>二、</w:t>
      </w:r>
      <w:r>
        <w:rPr>
          <w:rFonts w:hint="eastAsia" w:ascii="宋体" w:hAnsi="宋体" w:eastAsiaTheme="minorEastAsia"/>
          <w:szCs w:val="21"/>
          <w:highlight w:val="none"/>
        </w:rPr>
        <w:t>磋商</w:t>
      </w:r>
      <w:r>
        <w:rPr>
          <w:rFonts w:hint="eastAsia" w:asciiTheme="minorEastAsia" w:hAnsiTheme="minorEastAsia" w:eastAsiaTheme="minorEastAsia"/>
          <w:szCs w:val="21"/>
          <w:highlight w:val="none"/>
        </w:rPr>
        <w:t>文件</w:t>
      </w:r>
      <w:r>
        <w:tab/>
      </w:r>
      <w:r>
        <w:fldChar w:fldCharType="begin"/>
      </w:r>
      <w:r>
        <w:instrText xml:space="preserve"> PAGEREF _Toc1379 \h </w:instrText>
      </w:r>
      <w:r>
        <w:fldChar w:fldCharType="separate"/>
      </w:r>
      <w:r>
        <w:t>11</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_Toc21538 </w:instrText>
      </w:r>
      <w:r>
        <w:rPr>
          <w:rFonts w:ascii="Arial" w:hAnsi="Arial" w:cs="Arial" w:eastAsiaTheme="minorEastAsia"/>
          <w:i w:val="0"/>
          <w:iCs w:val="0"/>
          <w:szCs w:val="21"/>
          <w:highlight w:val="none"/>
        </w:rPr>
        <w:fldChar w:fldCharType="separate"/>
      </w:r>
      <w:r>
        <w:rPr>
          <w:rFonts w:hint="eastAsia" w:asciiTheme="minorEastAsia" w:hAnsiTheme="minorEastAsia" w:eastAsiaTheme="minorEastAsia"/>
          <w:szCs w:val="21"/>
          <w:highlight w:val="none"/>
        </w:rPr>
        <w:t>三、磋商响应文件</w:t>
      </w:r>
      <w:r>
        <w:tab/>
      </w:r>
      <w:r>
        <w:fldChar w:fldCharType="begin"/>
      </w:r>
      <w:r>
        <w:instrText xml:space="preserve"> PAGEREF _Toc21538 \h </w:instrText>
      </w:r>
      <w:r>
        <w:fldChar w:fldCharType="separate"/>
      </w:r>
      <w:r>
        <w:t>12</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_Toc15594 </w:instrText>
      </w:r>
      <w:r>
        <w:rPr>
          <w:rFonts w:ascii="Arial" w:hAnsi="Arial" w:cs="Arial" w:eastAsiaTheme="minorEastAsia"/>
          <w:i w:val="0"/>
          <w:iCs w:val="0"/>
          <w:szCs w:val="21"/>
          <w:highlight w:val="none"/>
        </w:rPr>
        <w:fldChar w:fldCharType="separate"/>
      </w:r>
      <w:r>
        <w:rPr>
          <w:rFonts w:hint="eastAsia" w:asciiTheme="minorEastAsia" w:hAnsiTheme="minorEastAsia" w:eastAsiaTheme="minorEastAsia"/>
          <w:szCs w:val="21"/>
          <w:highlight w:val="none"/>
        </w:rPr>
        <w:t>四、响应文件的递交</w:t>
      </w:r>
      <w:r>
        <w:tab/>
      </w:r>
      <w:r>
        <w:fldChar w:fldCharType="begin"/>
      </w:r>
      <w:r>
        <w:instrText xml:space="preserve"> PAGEREF _Toc15594 \h </w:instrText>
      </w:r>
      <w:r>
        <w:fldChar w:fldCharType="separate"/>
      </w:r>
      <w:r>
        <w:t>14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_Toc4341 </w:instrText>
      </w:r>
      <w:r>
        <w:rPr>
          <w:rFonts w:ascii="Arial" w:hAnsi="Arial" w:cs="Arial" w:eastAsiaTheme="minorEastAsia"/>
          <w:i w:val="0"/>
          <w:iCs w:val="0"/>
          <w:szCs w:val="21"/>
          <w:highlight w:val="none"/>
        </w:rPr>
        <w:fldChar w:fldCharType="separate"/>
      </w:r>
      <w:r>
        <w:rPr>
          <w:rFonts w:hint="eastAsia" w:asciiTheme="minorEastAsia" w:hAnsiTheme="minorEastAsia" w:eastAsiaTheme="minorEastAsia"/>
          <w:szCs w:val="21"/>
          <w:highlight w:val="none"/>
        </w:rPr>
        <w:t>五、磋商程序</w:t>
      </w:r>
      <w:r>
        <w:tab/>
      </w:r>
      <w:r>
        <w:fldChar w:fldCharType="begin"/>
      </w:r>
      <w:r>
        <w:instrText xml:space="preserve"> PAGEREF _Toc4341 \h </w:instrText>
      </w:r>
      <w:r>
        <w:fldChar w:fldCharType="separate"/>
      </w:r>
      <w:r>
        <w:t>14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_Toc351 </w:instrText>
      </w:r>
      <w:r>
        <w:rPr>
          <w:rFonts w:ascii="Arial" w:hAnsi="Arial" w:cs="Arial" w:eastAsiaTheme="minorEastAsia"/>
          <w:i w:val="0"/>
          <w:iCs w:val="0"/>
          <w:szCs w:val="21"/>
          <w:highlight w:val="none"/>
        </w:rPr>
        <w:fldChar w:fldCharType="separate"/>
      </w:r>
      <w:r>
        <w:rPr>
          <w:rFonts w:hint="eastAsia" w:asciiTheme="minorEastAsia" w:hAnsiTheme="minorEastAsia" w:eastAsiaTheme="minorEastAsia"/>
          <w:szCs w:val="21"/>
          <w:highlight w:val="none"/>
        </w:rPr>
        <w:t>六、成交与签订合同</w:t>
      </w:r>
      <w:r>
        <w:tab/>
      </w:r>
      <w:r>
        <w:fldChar w:fldCharType="begin"/>
      </w:r>
      <w:r>
        <w:instrText xml:space="preserve"> PAGEREF _Toc351 \h </w:instrText>
      </w:r>
      <w:r>
        <w:fldChar w:fldCharType="separate"/>
      </w:r>
      <w:r>
        <w:t>17</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_Toc25459 </w:instrText>
      </w:r>
      <w:r>
        <w:rPr>
          <w:rFonts w:ascii="Arial" w:hAnsi="Arial" w:cs="Arial" w:eastAsiaTheme="minorEastAsia"/>
          <w:i w:val="0"/>
          <w:iCs w:val="0"/>
          <w:szCs w:val="21"/>
          <w:highlight w:val="none"/>
        </w:rPr>
        <w:fldChar w:fldCharType="separate"/>
      </w:r>
      <w:r>
        <w:rPr>
          <w:rFonts w:hint="eastAsia" w:cs="黑体" w:asciiTheme="minorEastAsia" w:hAnsiTheme="minorEastAsia" w:eastAsiaTheme="minorEastAsia"/>
          <w:snapToGrid w:val="0"/>
          <w:kern w:val="0"/>
          <w:szCs w:val="21"/>
          <w:highlight w:val="none"/>
          <w:lang w:val="zh-CN"/>
        </w:rPr>
        <w:t>八、政府采购政策</w:t>
      </w:r>
      <w:r>
        <w:tab/>
      </w:r>
      <w:r>
        <w:fldChar w:fldCharType="begin"/>
      </w:r>
      <w:r>
        <w:instrText xml:space="preserve"> PAGEREF _Toc25459 \h </w:instrText>
      </w:r>
      <w:r>
        <w:fldChar w:fldCharType="separate"/>
      </w:r>
      <w:r>
        <w:t>18</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_Toc30830 </w:instrText>
      </w:r>
      <w:r>
        <w:rPr>
          <w:rFonts w:ascii="Arial" w:hAnsi="Arial" w:cs="Arial" w:eastAsiaTheme="minorEastAsia"/>
          <w:i w:val="0"/>
          <w:iCs w:val="0"/>
          <w:szCs w:val="21"/>
          <w:highlight w:val="none"/>
        </w:rPr>
        <w:fldChar w:fldCharType="separate"/>
      </w:r>
      <w:r>
        <w:rPr>
          <w:rFonts w:hint="eastAsia" w:cs="黑体" w:asciiTheme="minorEastAsia" w:hAnsiTheme="minorEastAsia" w:eastAsiaTheme="minorEastAsia"/>
          <w:snapToGrid w:val="0"/>
          <w:kern w:val="0"/>
          <w:szCs w:val="21"/>
          <w:highlight w:val="none"/>
          <w:lang w:val="zh-CN"/>
        </w:rPr>
        <w:t>九、其他要求</w:t>
      </w:r>
      <w:r>
        <w:tab/>
      </w:r>
      <w:r>
        <w:fldChar w:fldCharType="begin"/>
      </w:r>
      <w:r>
        <w:instrText xml:space="preserve"> PAGEREF _Toc30830 \h </w:instrText>
      </w:r>
      <w:r>
        <w:fldChar w:fldCharType="separate"/>
      </w:r>
      <w:r>
        <w:t>19</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_Toc18507 </w:instrText>
      </w:r>
      <w:r>
        <w:rPr>
          <w:rFonts w:ascii="Arial" w:hAnsi="Arial" w:cs="Arial" w:eastAsiaTheme="minorEastAsia"/>
          <w:i w:val="0"/>
          <w:iCs w:val="0"/>
          <w:szCs w:val="21"/>
          <w:highlight w:val="none"/>
        </w:rPr>
        <w:fldChar w:fldCharType="separate"/>
      </w:r>
      <w:r>
        <w:rPr>
          <w:rFonts w:ascii="宋体" w:hAnsi="宋体"/>
          <w:highlight w:val="none"/>
        </w:rPr>
        <w:t>第</w:t>
      </w:r>
      <w:r>
        <w:rPr>
          <w:rFonts w:hint="eastAsia" w:ascii="宋体" w:hAnsi="宋体"/>
          <w:highlight w:val="none"/>
        </w:rPr>
        <w:t>三</w:t>
      </w:r>
      <w:r>
        <w:rPr>
          <w:rFonts w:ascii="宋体" w:hAnsi="宋体"/>
          <w:highlight w:val="none"/>
        </w:rPr>
        <w:t>章</w:t>
      </w:r>
      <w:r>
        <w:rPr>
          <w:rFonts w:hint="eastAsia" w:ascii="宋体" w:hAnsi="宋体"/>
          <w:highlight w:val="none"/>
        </w:rPr>
        <w:t xml:space="preserve"> 合同主要条款</w:t>
      </w:r>
      <w:r>
        <w:tab/>
      </w:r>
      <w:r>
        <w:fldChar w:fldCharType="begin"/>
      </w:r>
      <w:r>
        <w:instrText xml:space="preserve"> PAGEREF _Toc18507 \h </w:instrText>
      </w:r>
      <w:r>
        <w:fldChar w:fldCharType="separate"/>
      </w:r>
      <w:r>
        <w:t>20</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_Toc10997 </w:instrText>
      </w:r>
      <w:r>
        <w:rPr>
          <w:rFonts w:ascii="Arial" w:hAnsi="Arial" w:cs="Arial" w:eastAsiaTheme="minorEastAsia"/>
          <w:i w:val="0"/>
          <w:iCs w:val="0"/>
          <w:szCs w:val="21"/>
          <w:highlight w:val="none"/>
        </w:rPr>
        <w:fldChar w:fldCharType="separate"/>
      </w:r>
      <w:r>
        <w:rPr>
          <w:rFonts w:hint="eastAsia" w:ascii="宋体" w:hAnsi="宋体"/>
          <w:highlight w:val="none"/>
        </w:rPr>
        <w:t>第四章 评审程序、方法及标准</w:t>
      </w:r>
      <w:r>
        <w:tab/>
      </w:r>
      <w:r>
        <w:fldChar w:fldCharType="begin"/>
      </w:r>
      <w:r>
        <w:instrText xml:space="preserve"> PAGEREF _Toc10997 \h </w:instrText>
      </w:r>
      <w:r>
        <w:fldChar w:fldCharType="separate"/>
      </w:r>
      <w:r>
        <w:t>24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_Toc20518 </w:instrText>
      </w:r>
      <w:r>
        <w:rPr>
          <w:rFonts w:ascii="Arial" w:hAnsi="Arial" w:cs="Arial" w:eastAsiaTheme="minorEastAsia"/>
          <w:i w:val="0"/>
          <w:iCs w:val="0"/>
          <w:szCs w:val="21"/>
          <w:highlight w:val="none"/>
        </w:rPr>
        <w:fldChar w:fldCharType="separate"/>
      </w:r>
      <w:r>
        <w:rPr>
          <w:rFonts w:hint="eastAsia" w:ascii="宋体" w:hAnsi="宋体" w:eastAsia="宋体" w:cs="宋体"/>
          <w:bCs w:val="0"/>
          <w:szCs w:val="21"/>
          <w:highlight w:val="none"/>
        </w:rPr>
        <w:t>一、评审方法</w:t>
      </w:r>
      <w:r>
        <w:tab/>
      </w:r>
      <w:r>
        <w:fldChar w:fldCharType="begin"/>
      </w:r>
      <w:r>
        <w:instrText xml:space="preserve"> PAGEREF _Toc20518 \h </w:instrText>
      </w:r>
      <w:r>
        <w:fldChar w:fldCharType="separate"/>
      </w:r>
      <w:r>
        <w:t>24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_Toc27957 </w:instrText>
      </w:r>
      <w:r>
        <w:rPr>
          <w:rFonts w:ascii="Arial" w:hAnsi="Arial" w:cs="Arial" w:eastAsiaTheme="minorEastAsia"/>
          <w:i w:val="0"/>
          <w:iCs w:val="0"/>
          <w:szCs w:val="21"/>
          <w:highlight w:val="none"/>
        </w:rPr>
        <w:fldChar w:fldCharType="separate"/>
      </w:r>
      <w:r>
        <w:rPr>
          <w:rFonts w:hint="eastAsia" w:ascii="宋体" w:hAnsi="宋体" w:eastAsia="宋体" w:cs="宋体"/>
          <w:bCs w:val="0"/>
          <w:szCs w:val="21"/>
          <w:highlight w:val="none"/>
        </w:rPr>
        <w:t>二、评审程序</w:t>
      </w:r>
      <w:r>
        <w:tab/>
      </w:r>
      <w:r>
        <w:fldChar w:fldCharType="begin"/>
      </w:r>
      <w:r>
        <w:instrText xml:space="preserve"> PAGEREF _Toc27957 \h </w:instrText>
      </w:r>
      <w:r>
        <w:fldChar w:fldCharType="separate"/>
      </w:r>
      <w:r>
        <w:t>24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_Toc21395 </w:instrText>
      </w:r>
      <w:r>
        <w:rPr>
          <w:rFonts w:ascii="Arial" w:hAnsi="Arial" w:cs="Arial" w:eastAsiaTheme="minorEastAsia"/>
          <w:i w:val="0"/>
          <w:iCs w:val="0"/>
          <w:szCs w:val="21"/>
          <w:highlight w:val="none"/>
        </w:rPr>
        <w:fldChar w:fldCharType="separate"/>
      </w:r>
      <w:r>
        <w:rPr>
          <w:rFonts w:hint="eastAsia" w:ascii="宋体" w:hAnsi="宋体" w:eastAsia="宋体" w:cs="宋体"/>
          <w:bCs w:val="0"/>
          <w:szCs w:val="21"/>
          <w:highlight w:val="none"/>
        </w:rPr>
        <w:t>三、编写评审报告</w:t>
      </w:r>
      <w:r>
        <w:tab/>
      </w:r>
      <w:r>
        <w:fldChar w:fldCharType="begin"/>
      </w:r>
      <w:r>
        <w:instrText xml:space="preserve"> PAGEREF _Toc21395 \h </w:instrText>
      </w:r>
      <w:r>
        <w:fldChar w:fldCharType="separate"/>
      </w:r>
      <w:r>
        <w:t>28</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_Toc32140 </w:instrText>
      </w:r>
      <w:r>
        <w:rPr>
          <w:rFonts w:ascii="Arial" w:hAnsi="Arial" w:cs="Arial" w:eastAsiaTheme="minorEastAsia"/>
          <w:i w:val="0"/>
          <w:iCs w:val="0"/>
          <w:szCs w:val="21"/>
          <w:highlight w:val="none"/>
        </w:rPr>
        <w:fldChar w:fldCharType="separate"/>
      </w:r>
      <w:r>
        <w:rPr>
          <w:rFonts w:ascii="宋体" w:hAnsi="宋体"/>
          <w:highlight w:val="none"/>
        </w:rPr>
        <w:t>第</w:t>
      </w:r>
      <w:r>
        <w:rPr>
          <w:rFonts w:hint="eastAsia" w:ascii="宋体" w:hAnsi="宋体"/>
          <w:highlight w:val="none"/>
        </w:rPr>
        <w:t>五</w:t>
      </w:r>
      <w:r>
        <w:rPr>
          <w:rFonts w:ascii="宋体" w:hAnsi="宋体"/>
          <w:highlight w:val="none"/>
        </w:rPr>
        <w:t>章</w:t>
      </w:r>
      <w:r>
        <w:rPr>
          <w:rFonts w:hint="eastAsia" w:ascii="宋体" w:hAnsi="宋体"/>
          <w:highlight w:val="none"/>
        </w:rPr>
        <w:t xml:space="preserve"> 响应</w:t>
      </w:r>
      <w:r>
        <w:rPr>
          <w:rFonts w:ascii="宋体" w:hAnsi="宋体"/>
          <w:highlight w:val="none"/>
        </w:rPr>
        <w:t>文件的格式</w:t>
      </w:r>
      <w:r>
        <w:tab/>
      </w:r>
      <w:r>
        <w:fldChar w:fldCharType="begin"/>
      </w:r>
      <w:r>
        <w:instrText xml:space="preserve"> PAGEREF _Toc32140 \h </w:instrText>
      </w:r>
      <w:r>
        <w:fldChar w:fldCharType="separate"/>
      </w:r>
      <w:r>
        <w:t>29</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_Toc26455 </w:instrText>
      </w:r>
      <w:r>
        <w:rPr>
          <w:rFonts w:ascii="Arial" w:hAnsi="Arial" w:cs="Arial" w:eastAsiaTheme="minorEastAsia"/>
          <w:i w:val="0"/>
          <w:iCs w:val="0"/>
          <w:szCs w:val="21"/>
          <w:highlight w:val="none"/>
        </w:rPr>
        <w:fldChar w:fldCharType="separate"/>
      </w:r>
      <w:r>
        <w:rPr>
          <w:rFonts w:hint="eastAsia" w:ascii="宋体" w:hAnsi="宋体" w:eastAsia="宋体"/>
          <w:highlight w:val="none"/>
        </w:rPr>
        <w:t>价格部分</w:t>
      </w:r>
      <w:r>
        <w:tab/>
      </w:r>
      <w:r>
        <w:fldChar w:fldCharType="begin"/>
      </w:r>
      <w:r>
        <w:instrText xml:space="preserve"> PAGEREF _Toc26455 \h </w:instrText>
      </w:r>
      <w:r>
        <w:fldChar w:fldCharType="separate"/>
      </w:r>
      <w:r>
        <w:t>35</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19"/>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_Toc13826 </w:instrText>
      </w:r>
      <w:r>
        <w:rPr>
          <w:rFonts w:ascii="Arial" w:hAnsi="Arial" w:cs="Arial" w:eastAsiaTheme="minorEastAsia"/>
          <w:i w:val="0"/>
          <w:iCs w:val="0"/>
          <w:szCs w:val="21"/>
          <w:highlight w:val="none"/>
        </w:rPr>
        <w:fldChar w:fldCharType="separate"/>
      </w:r>
      <w:r>
        <w:rPr>
          <w:rFonts w:hint="eastAsia" w:hAnsi="宋体"/>
          <w:bCs w:val="0"/>
          <w:highlight w:val="none"/>
        </w:rPr>
        <w:t>（一）报 价 书</w:t>
      </w:r>
      <w:r>
        <w:tab/>
      </w:r>
      <w:r>
        <w:fldChar w:fldCharType="begin"/>
      </w:r>
      <w:r>
        <w:instrText xml:space="preserve"> PAGEREF _Toc13826 \h </w:instrText>
      </w:r>
      <w:r>
        <w:fldChar w:fldCharType="separate"/>
      </w:r>
      <w:r>
        <w:t>35</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_Toc7247 </w:instrText>
      </w:r>
      <w:r>
        <w:rPr>
          <w:rFonts w:ascii="Arial" w:hAnsi="Arial" w:cs="Arial" w:eastAsiaTheme="minorEastAsia"/>
          <w:i w:val="0"/>
          <w:iCs w:val="0"/>
          <w:szCs w:val="21"/>
          <w:highlight w:val="none"/>
        </w:rPr>
        <w:fldChar w:fldCharType="separate"/>
      </w:r>
      <w:r>
        <w:rPr>
          <w:rFonts w:hint="eastAsia" w:ascii="宋体" w:hAnsi="宋体" w:eastAsia="宋体"/>
          <w:highlight w:val="none"/>
        </w:rPr>
        <w:t>商务部分</w:t>
      </w:r>
      <w:r>
        <w:tab/>
      </w:r>
      <w:r>
        <w:fldChar w:fldCharType="begin"/>
      </w:r>
      <w:r>
        <w:instrText xml:space="preserve"> PAGEREF _Toc7247 \h </w:instrText>
      </w:r>
      <w:r>
        <w:fldChar w:fldCharType="separate"/>
      </w:r>
      <w:r>
        <w:t>37</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19"/>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_Toc20267 </w:instrText>
      </w:r>
      <w:r>
        <w:rPr>
          <w:rFonts w:ascii="Arial" w:hAnsi="Arial" w:cs="Arial" w:eastAsiaTheme="minorEastAsia"/>
          <w:i w:val="0"/>
          <w:iCs w:val="0"/>
          <w:szCs w:val="21"/>
          <w:highlight w:val="none"/>
        </w:rPr>
        <w:fldChar w:fldCharType="separate"/>
      </w:r>
      <w:r>
        <w:rPr>
          <w:rFonts w:hint="eastAsia" w:hAnsi="宋体"/>
          <w:bCs w:val="0"/>
          <w:highlight w:val="none"/>
        </w:rPr>
        <w:t>（一）响应函</w:t>
      </w:r>
      <w:r>
        <w:tab/>
      </w:r>
      <w:r>
        <w:fldChar w:fldCharType="begin"/>
      </w:r>
      <w:r>
        <w:instrText xml:space="preserve"> PAGEREF _Toc20267 \h </w:instrText>
      </w:r>
      <w:r>
        <w:fldChar w:fldCharType="separate"/>
      </w:r>
      <w:r>
        <w:t>37</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19"/>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_Toc12098 </w:instrText>
      </w:r>
      <w:r>
        <w:rPr>
          <w:rFonts w:ascii="Arial" w:hAnsi="Arial" w:cs="Arial" w:eastAsiaTheme="minorEastAsia"/>
          <w:i w:val="0"/>
          <w:iCs w:val="0"/>
          <w:szCs w:val="21"/>
          <w:highlight w:val="none"/>
        </w:rPr>
        <w:fldChar w:fldCharType="separate"/>
      </w:r>
      <w:r>
        <w:rPr>
          <w:rFonts w:hint="eastAsia" w:hAnsi="宋体"/>
          <w:bCs w:val="0"/>
          <w:highlight w:val="none"/>
        </w:rPr>
        <w:t>（二）</w:t>
      </w:r>
      <w:r>
        <w:rPr>
          <w:rFonts w:hint="eastAsia" w:hAnsi="宋体"/>
          <w:highlight w:val="none"/>
        </w:rPr>
        <w:t>响应</w:t>
      </w:r>
      <w:r>
        <w:rPr>
          <w:rFonts w:hint="eastAsia" w:hAnsi="宋体"/>
          <w:bCs w:val="0"/>
          <w:highlight w:val="none"/>
        </w:rPr>
        <w:t>函附录</w:t>
      </w:r>
      <w:r>
        <w:tab/>
      </w:r>
      <w:r>
        <w:fldChar w:fldCharType="begin"/>
      </w:r>
      <w:r>
        <w:instrText xml:space="preserve"> PAGEREF _Toc12098 \h </w:instrText>
      </w:r>
      <w:r>
        <w:fldChar w:fldCharType="separate"/>
      </w:r>
      <w:r>
        <w:t>39</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19"/>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_Toc26411 </w:instrText>
      </w:r>
      <w:r>
        <w:rPr>
          <w:rFonts w:ascii="Arial" w:hAnsi="Arial" w:cs="Arial" w:eastAsiaTheme="minorEastAsia"/>
          <w:i w:val="0"/>
          <w:iCs w:val="0"/>
          <w:szCs w:val="21"/>
          <w:highlight w:val="none"/>
        </w:rPr>
        <w:fldChar w:fldCharType="separate"/>
      </w:r>
      <w:r>
        <w:rPr>
          <w:rFonts w:hint="eastAsia" w:hAnsi="宋体"/>
          <w:highlight w:val="none"/>
        </w:rPr>
        <w:t>（三）已标价工程量清单</w:t>
      </w:r>
      <w:r>
        <w:tab/>
      </w:r>
      <w:r>
        <w:fldChar w:fldCharType="begin"/>
      </w:r>
      <w:r>
        <w:instrText xml:space="preserve"> PAGEREF _Toc26411 \h </w:instrText>
      </w:r>
      <w:r>
        <w:fldChar w:fldCharType="separate"/>
      </w:r>
      <w:r>
        <w:t>40</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_Toc12370 </w:instrText>
      </w:r>
      <w:r>
        <w:rPr>
          <w:rFonts w:ascii="Arial" w:hAnsi="Arial" w:cs="Arial" w:eastAsiaTheme="minorEastAsia"/>
          <w:i w:val="0"/>
          <w:iCs w:val="0"/>
          <w:szCs w:val="21"/>
          <w:highlight w:val="none"/>
        </w:rPr>
        <w:fldChar w:fldCharType="separate"/>
      </w:r>
      <w:r>
        <w:rPr>
          <w:rFonts w:hint="eastAsia" w:ascii="宋体" w:hAnsi="宋体" w:eastAsia="宋体"/>
          <w:highlight w:val="none"/>
        </w:rPr>
        <w:t>技术文件</w:t>
      </w:r>
      <w:r>
        <w:tab/>
      </w:r>
      <w:r>
        <w:fldChar w:fldCharType="begin"/>
      </w:r>
      <w:r>
        <w:instrText xml:space="preserve"> PAGEREF _Toc12370 \h </w:instrText>
      </w:r>
      <w:r>
        <w:fldChar w:fldCharType="separate"/>
      </w:r>
      <w:r>
        <w:t>43</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_Toc21992 </w:instrText>
      </w:r>
      <w:r>
        <w:rPr>
          <w:rFonts w:ascii="Arial" w:hAnsi="Arial" w:cs="Arial" w:eastAsiaTheme="minorEastAsia"/>
          <w:i w:val="0"/>
          <w:iCs w:val="0"/>
          <w:szCs w:val="21"/>
          <w:highlight w:val="none"/>
        </w:rPr>
        <w:fldChar w:fldCharType="separate"/>
      </w:r>
      <w:r>
        <w:rPr>
          <w:rFonts w:hint="eastAsia" w:cs="Arial"/>
          <w:bCs w:val="0"/>
          <w:highlight w:val="none"/>
        </w:rPr>
        <w:t>（一）施工组织设计</w:t>
      </w:r>
      <w:r>
        <w:tab/>
      </w:r>
      <w:r>
        <w:fldChar w:fldCharType="begin"/>
      </w:r>
      <w:r>
        <w:instrText xml:space="preserve"> PAGEREF _Toc21992 \h </w:instrText>
      </w:r>
      <w:r>
        <w:fldChar w:fldCharType="separate"/>
      </w:r>
      <w:r>
        <w:t>43</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_Toc9969 </w:instrText>
      </w:r>
      <w:r>
        <w:rPr>
          <w:rFonts w:ascii="Arial" w:hAnsi="Arial" w:cs="Arial" w:eastAsiaTheme="minorEastAsia"/>
          <w:i w:val="0"/>
          <w:iCs w:val="0"/>
          <w:szCs w:val="21"/>
          <w:highlight w:val="none"/>
        </w:rPr>
        <w:fldChar w:fldCharType="separate"/>
      </w:r>
      <w:r>
        <w:rPr>
          <w:rFonts w:hint="eastAsia" w:cs="Arial"/>
          <w:bCs w:val="0"/>
          <w:highlight w:val="none"/>
        </w:rPr>
        <w:t>（二）项目人员的组成</w:t>
      </w:r>
      <w:r>
        <w:tab/>
      </w:r>
      <w:r>
        <w:fldChar w:fldCharType="begin"/>
      </w:r>
      <w:r>
        <w:instrText xml:space="preserve"> PAGEREF _Toc9969 \h </w:instrText>
      </w:r>
      <w:r>
        <w:fldChar w:fldCharType="separate"/>
      </w:r>
      <w:r>
        <w:t>47</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_Toc24487 </w:instrText>
      </w:r>
      <w:r>
        <w:rPr>
          <w:rFonts w:ascii="Arial" w:hAnsi="Arial" w:cs="Arial" w:eastAsiaTheme="minorEastAsia"/>
          <w:i w:val="0"/>
          <w:iCs w:val="0"/>
          <w:szCs w:val="21"/>
          <w:highlight w:val="none"/>
        </w:rPr>
        <w:fldChar w:fldCharType="separate"/>
      </w:r>
      <w:r>
        <w:rPr>
          <w:rFonts w:hint="eastAsia" w:cs="Arial"/>
          <w:bCs w:val="0"/>
          <w:highlight w:val="none"/>
        </w:rPr>
        <w:t>（三）类似业绩一览表</w:t>
      </w:r>
      <w:r>
        <w:tab/>
      </w:r>
      <w:r>
        <w:fldChar w:fldCharType="begin"/>
      </w:r>
      <w:r>
        <w:instrText xml:space="preserve"> PAGEREF _Toc24487 \h </w:instrText>
      </w:r>
      <w:r>
        <w:fldChar w:fldCharType="separate"/>
      </w:r>
      <w:r>
        <w:t>51</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_Toc7811 </w:instrText>
      </w:r>
      <w:r>
        <w:rPr>
          <w:rFonts w:ascii="Arial" w:hAnsi="Arial" w:cs="Arial" w:eastAsiaTheme="minorEastAsia"/>
          <w:i w:val="0"/>
          <w:iCs w:val="0"/>
          <w:szCs w:val="21"/>
          <w:highlight w:val="none"/>
        </w:rPr>
        <w:fldChar w:fldCharType="separate"/>
      </w:r>
      <w:r>
        <w:rPr>
          <w:rFonts w:hint="eastAsia" w:ascii="宋体" w:hAnsi="宋体" w:eastAsia="宋体"/>
          <w:highlight w:val="none"/>
        </w:rPr>
        <w:t>资格证明文件</w:t>
      </w:r>
      <w:r>
        <w:tab/>
      </w:r>
      <w:r>
        <w:fldChar w:fldCharType="begin"/>
      </w:r>
      <w:r>
        <w:instrText xml:space="preserve"> PAGEREF _Toc7811 \h </w:instrText>
      </w:r>
      <w:r>
        <w:fldChar w:fldCharType="separate"/>
      </w:r>
      <w:r>
        <w:t>52</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_Toc8612 </w:instrText>
      </w:r>
      <w:r>
        <w:rPr>
          <w:rFonts w:ascii="Arial" w:hAnsi="Arial" w:cs="Arial" w:eastAsiaTheme="minorEastAsia"/>
          <w:i w:val="0"/>
          <w:iCs w:val="0"/>
          <w:szCs w:val="21"/>
          <w:highlight w:val="none"/>
        </w:rPr>
        <w:fldChar w:fldCharType="separate"/>
      </w:r>
      <w:r>
        <w:rPr>
          <w:rFonts w:hint="eastAsia" w:cs="Arial"/>
          <w:bCs w:val="0"/>
          <w:highlight w:val="none"/>
        </w:rPr>
        <w:t>（一）供应商基本情况表</w:t>
      </w:r>
      <w:r>
        <w:tab/>
      </w:r>
      <w:r>
        <w:fldChar w:fldCharType="begin"/>
      </w:r>
      <w:r>
        <w:instrText xml:space="preserve"> PAGEREF _Toc8612 \h </w:instrText>
      </w:r>
      <w:r>
        <w:fldChar w:fldCharType="separate"/>
      </w:r>
      <w:r>
        <w:t>52</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_Toc10520 </w:instrText>
      </w:r>
      <w:r>
        <w:rPr>
          <w:rFonts w:ascii="Arial" w:hAnsi="Arial" w:cs="Arial" w:eastAsiaTheme="minorEastAsia"/>
          <w:i w:val="0"/>
          <w:iCs w:val="0"/>
          <w:szCs w:val="21"/>
          <w:highlight w:val="none"/>
        </w:rPr>
        <w:fldChar w:fldCharType="separate"/>
      </w:r>
      <w:r>
        <w:rPr>
          <w:rFonts w:hint="eastAsia" w:cs="Arial"/>
          <w:bCs w:val="0"/>
          <w:highlight w:val="none"/>
        </w:rPr>
        <w:t>（二）</w:t>
      </w:r>
      <w:r>
        <w:rPr>
          <w:rFonts w:hint="eastAsia" w:cs="宋体" w:asciiTheme="minorEastAsia" w:hAnsiTheme="minorEastAsia" w:eastAsiaTheme="minorEastAsia"/>
          <w:bCs w:val="0"/>
          <w:szCs w:val="21"/>
          <w:highlight w:val="none"/>
        </w:rPr>
        <w:t>关于资格条件的有关承诺及声明</w:t>
      </w:r>
      <w:r>
        <w:tab/>
      </w:r>
      <w:r>
        <w:fldChar w:fldCharType="begin"/>
      </w:r>
      <w:r>
        <w:instrText xml:space="preserve"> PAGEREF _Toc10520 \h </w:instrText>
      </w:r>
      <w:r>
        <w:fldChar w:fldCharType="separate"/>
      </w:r>
      <w:r>
        <w:t>53</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_Toc12393 </w:instrText>
      </w:r>
      <w:r>
        <w:rPr>
          <w:rFonts w:ascii="Arial" w:hAnsi="Arial" w:cs="Arial" w:eastAsiaTheme="minorEastAsia"/>
          <w:i w:val="0"/>
          <w:iCs w:val="0"/>
          <w:szCs w:val="21"/>
          <w:highlight w:val="none"/>
        </w:rPr>
        <w:fldChar w:fldCharType="separate"/>
      </w:r>
      <w:r>
        <w:rPr>
          <w:rFonts w:hint="eastAsia" w:cs="Arial"/>
          <w:bCs w:val="0"/>
          <w:highlight w:val="none"/>
        </w:rPr>
        <w:t>（三）其它声明</w:t>
      </w:r>
      <w:r>
        <w:tab/>
      </w:r>
      <w:r>
        <w:fldChar w:fldCharType="begin"/>
      </w:r>
      <w:r>
        <w:instrText xml:space="preserve"> PAGEREF _Toc12393 \h </w:instrText>
      </w:r>
      <w:r>
        <w:fldChar w:fldCharType="separate"/>
      </w:r>
      <w:r>
        <w:t>54</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_Toc4318 </w:instrText>
      </w:r>
      <w:r>
        <w:rPr>
          <w:rFonts w:ascii="Arial" w:hAnsi="Arial" w:cs="Arial" w:eastAsiaTheme="minorEastAsia"/>
          <w:i w:val="0"/>
          <w:iCs w:val="0"/>
          <w:szCs w:val="21"/>
          <w:highlight w:val="none"/>
        </w:rPr>
        <w:fldChar w:fldCharType="separate"/>
      </w:r>
      <w:r>
        <w:rPr>
          <w:rFonts w:hint="eastAsia" w:ascii="宋体" w:hAnsi="宋体" w:eastAsia="宋体"/>
          <w:highlight w:val="none"/>
        </w:rPr>
        <w:t>其他证明文件</w:t>
      </w:r>
      <w:r>
        <w:tab/>
      </w:r>
      <w:r>
        <w:fldChar w:fldCharType="begin"/>
      </w:r>
      <w:r>
        <w:instrText xml:space="preserve"> PAGEREF _Toc4318 \h </w:instrText>
      </w:r>
      <w:r>
        <w:fldChar w:fldCharType="separate"/>
      </w:r>
      <w:r>
        <w:t>55</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_Toc24053 </w:instrText>
      </w:r>
      <w:r>
        <w:rPr>
          <w:rFonts w:ascii="Arial" w:hAnsi="Arial" w:cs="Arial" w:eastAsiaTheme="minorEastAsia"/>
          <w:i w:val="0"/>
          <w:iCs w:val="0"/>
          <w:szCs w:val="21"/>
          <w:highlight w:val="none"/>
        </w:rPr>
        <w:fldChar w:fldCharType="separate"/>
      </w:r>
      <w:r>
        <w:rPr>
          <w:rFonts w:hint="eastAsia" w:cs="宋体" w:asciiTheme="minorEastAsia" w:hAnsiTheme="minorEastAsia" w:eastAsiaTheme="minorEastAsia"/>
          <w:bCs w:val="0"/>
          <w:szCs w:val="21"/>
          <w:highlight w:val="none"/>
        </w:rPr>
        <w:t>（一）中小企业声明函</w:t>
      </w:r>
      <w:r>
        <w:tab/>
      </w:r>
      <w:r>
        <w:fldChar w:fldCharType="begin"/>
      </w:r>
      <w:r>
        <w:instrText xml:space="preserve"> PAGEREF _Toc24053 \h </w:instrText>
      </w:r>
      <w:r>
        <w:fldChar w:fldCharType="separate"/>
      </w:r>
      <w:r>
        <w:t>55</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_Toc30269 </w:instrText>
      </w:r>
      <w:r>
        <w:rPr>
          <w:rFonts w:ascii="Arial" w:hAnsi="Arial" w:cs="Arial" w:eastAsiaTheme="minorEastAsia"/>
          <w:i w:val="0"/>
          <w:iCs w:val="0"/>
          <w:szCs w:val="21"/>
          <w:highlight w:val="none"/>
        </w:rPr>
        <w:fldChar w:fldCharType="separate"/>
      </w:r>
      <w:r>
        <w:rPr>
          <w:rFonts w:hint="eastAsia" w:cs="宋体" w:asciiTheme="minorEastAsia" w:hAnsiTheme="minorEastAsia" w:eastAsiaTheme="minorEastAsia"/>
          <w:bCs w:val="0"/>
          <w:szCs w:val="21"/>
          <w:highlight w:val="none"/>
        </w:rPr>
        <w:t>（二）监狱企业证明文件</w:t>
      </w:r>
      <w:r>
        <w:tab/>
      </w:r>
      <w:r>
        <w:fldChar w:fldCharType="begin"/>
      </w:r>
      <w:r>
        <w:instrText xml:space="preserve"> PAGEREF _Toc30269 \h </w:instrText>
      </w:r>
      <w:r>
        <w:fldChar w:fldCharType="separate"/>
      </w:r>
      <w:r>
        <w:t>56</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35"/>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_Toc3564 </w:instrText>
      </w:r>
      <w:r>
        <w:rPr>
          <w:rFonts w:ascii="Arial" w:hAnsi="Arial" w:cs="Arial" w:eastAsiaTheme="minorEastAsia"/>
          <w:i w:val="0"/>
          <w:iCs w:val="0"/>
          <w:szCs w:val="21"/>
          <w:highlight w:val="none"/>
        </w:rPr>
        <w:fldChar w:fldCharType="separate"/>
      </w:r>
      <w:r>
        <w:rPr>
          <w:rFonts w:hint="eastAsia" w:cs="宋体" w:asciiTheme="minorEastAsia" w:hAnsiTheme="minorEastAsia" w:eastAsiaTheme="minorEastAsia"/>
          <w:bCs w:val="0"/>
          <w:szCs w:val="21"/>
          <w:highlight w:val="none"/>
        </w:rPr>
        <w:t>（三）</w:t>
      </w:r>
      <w:r>
        <w:rPr>
          <w:rFonts w:cs="宋体" w:asciiTheme="minorEastAsia" w:hAnsiTheme="minorEastAsia" w:eastAsiaTheme="minorEastAsia"/>
          <w:bCs w:val="0"/>
          <w:szCs w:val="21"/>
          <w:highlight w:val="none"/>
        </w:rPr>
        <w:t>残疾人福利性单位声明函</w:t>
      </w:r>
      <w:r>
        <w:tab/>
      </w:r>
      <w:r>
        <w:fldChar w:fldCharType="begin"/>
      </w:r>
      <w:r>
        <w:instrText xml:space="preserve"> PAGEREF _Toc3564 \h </w:instrText>
      </w:r>
      <w:r>
        <w:fldChar w:fldCharType="separate"/>
      </w:r>
      <w:r>
        <w:t>57</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_Toc18363 </w:instrText>
      </w:r>
      <w:r>
        <w:rPr>
          <w:rFonts w:ascii="Arial" w:hAnsi="Arial" w:cs="Arial" w:eastAsiaTheme="minorEastAsia"/>
          <w:i w:val="0"/>
          <w:iCs w:val="0"/>
          <w:szCs w:val="21"/>
          <w:highlight w:val="none"/>
        </w:rPr>
        <w:fldChar w:fldCharType="separate"/>
      </w:r>
      <w:r>
        <w:rPr>
          <w:rFonts w:ascii="宋体" w:hAnsi="宋体"/>
          <w:highlight w:val="none"/>
        </w:rPr>
        <w:t>第</w:t>
      </w:r>
      <w:r>
        <w:rPr>
          <w:rFonts w:hint="eastAsia" w:ascii="宋体" w:hAnsi="宋体"/>
          <w:highlight w:val="none"/>
        </w:rPr>
        <w:t>六</w:t>
      </w:r>
      <w:r>
        <w:rPr>
          <w:rFonts w:ascii="宋体" w:hAnsi="宋体"/>
          <w:highlight w:val="none"/>
        </w:rPr>
        <w:t>章</w:t>
      </w:r>
      <w:r>
        <w:rPr>
          <w:rFonts w:hint="eastAsia" w:ascii="宋体" w:hAnsi="宋体"/>
          <w:highlight w:val="none"/>
        </w:rPr>
        <w:t xml:space="preserve"> 工程量清单</w:t>
      </w:r>
      <w:r>
        <w:tab/>
      </w:r>
      <w:r>
        <w:fldChar w:fldCharType="begin"/>
      </w:r>
      <w:r>
        <w:instrText xml:space="preserve"> PAGEREF _Toc18363 \h </w:instrText>
      </w:r>
      <w:r>
        <w:fldChar w:fldCharType="separate"/>
      </w:r>
      <w:r>
        <w:t>58</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_Toc10779 </w:instrText>
      </w:r>
      <w:r>
        <w:rPr>
          <w:rFonts w:ascii="Arial" w:hAnsi="Arial" w:cs="Arial" w:eastAsiaTheme="minorEastAsia"/>
          <w:i w:val="0"/>
          <w:iCs w:val="0"/>
          <w:szCs w:val="21"/>
          <w:highlight w:val="none"/>
        </w:rPr>
        <w:fldChar w:fldCharType="separate"/>
      </w:r>
      <w:r>
        <w:rPr>
          <w:rFonts w:ascii="宋体" w:hAnsi="宋体"/>
          <w:highlight w:val="none"/>
        </w:rPr>
        <w:t>第</w:t>
      </w:r>
      <w:r>
        <w:rPr>
          <w:rFonts w:hint="eastAsia" w:ascii="宋体" w:hAnsi="宋体"/>
          <w:highlight w:val="none"/>
          <w:lang w:val="en-US" w:eastAsia="zh-CN"/>
        </w:rPr>
        <w:t>七</w:t>
      </w:r>
      <w:r>
        <w:rPr>
          <w:rFonts w:ascii="宋体" w:hAnsi="宋体"/>
          <w:highlight w:val="none"/>
        </w:rPr>
        <w:t>章</w:t>
      </w:r>
      <w:r>
        <w:rPr>
          <w:rFonts w:hint="eastAsia" w:ascii="宋体" w:hAnsi="宋体"/>
          <w:highlight w:val="none"/>
        </w:rPr>
        <w:t xml:space="preserve"> 技术标准和要求</w:t>
      </w:r>
      <w:r>
        <w:tab/>
      </w:r>
      <w:r>
        <w:fldChar w:fldCharType="begin"/>
      </w:r>
      <w:r>
        <w:instrText xml:space="preserve"> PAGEREF _Toc10779 \h </w:instrText>
      </w:r>
      <w:r>
        <w:fldChar w:fldCharType="separate"/>
      </w:r>
      <w:r>
        <w:t>59</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pStyle w:val="28"/>
        <w:tabs>
          <w:tab w:val="right" w:leader="dot" w:pos="8845"/>
        </w:tabs>
      </w:pPr>
      <w:r>
        <w:rPr>
          <w:rFonts w:ascii="Arial" w:hAnsi="Arial" w:cs="Arial" w:eastAsiaTheme="minorEastAsia"/>
          <w:i w:val="0"/>
          <w:iCs w:val="0"/>
          <w:color w:val="000000" w:themeColor="text1"/>
          <w:szCs w:val="21"/>
          <w:highlight w:val="none"/>
          <w14:textFill>
            <w14:solidFill>
              <w14:schemeClr w14:val="tx1"/>
            </w14:solidFill>
          </w14:textFill>
        </w:rPr>
        <w:fldChar w:fldCharType="begin"/>
      </w:r>
      <w:r>
        <w:rPr>
          <w:rFonts w:ascii="Arial" w:hAnsi="Arial" w:cs="Arial" w:eastAsiaTheme="minorEastAsia"/>
          <w:i w:val="0"/>
          <w:iCs w:val="0"/>
          <w:szCs w:val="21"/>
          <w:highlight w:val="none"/>
        </w:rPr>
        <w:instrText xml:space="preserve"> HYPERLINK \l _Toc16 </w:instrText>
      </w:r>
      <w:r>
        <w:rPr>
          <w:rFonts w:ascii="Arial" w:hAnsi="Arial" w:cs="Arial" w:eastAsiaTheme="minorEastAsia"/>
          <w:i w:val="0"/>
          <w:iCs w:val="0"/>
          <w:szCs w:val="21"/>
          <w:highlight w:val="none"/>
        </w:rPr>
        <w:fldChar w:fldCharType="separate"/>
      </w:r>
      <w:r>
        <w:rPr>
          <w:rFonts w:hint="eastAsia" w:ascii="宋体" w:hAnsi="宋体"/>
          <w:highlight w:val="none"/>
        </w:rPr>
        <w:t>附件：</w:t>
      </w:r>
      <w:r>
        <w:rPr>
          <w:rFonts w:cs="Arial"/>
          <w:highlight w:val="none"/>
        </w:rPr>
        <w:t>关于印发中小企业划型标准规定的通知</w:t>
      </w:r>
      <w:r>
        <w:tab/>
      </w:r>
      <w:r>
        <w:fldChar w:fldCharType="begin"/>
      </w:r>
      <w:r>
        <w:instrText xml:space="preserve"> PAGEREF _Toc16 \h </w:instrText>
      </w:r>
      <w:r>
        <w:fldChar w:fldCharType="separate"/>
      </w:r>
      <w:r>
        <w:t>67</w:t>
      </w:r>
      <w:r>
        <w:fldChar w:fldCharType="end"/>
      </w:r>
      <w:r>
        <w:rPr>
          <w:rFonts w:ascii="Arial" w:hAnsi="Arial" w:cs="Arial" w:eastAsiaTheme="minorEastAsia"/>
          <w:i w:val="0"/>
          <w:iCs w:val="0"/>
          <w:color w:val="000000" w:themeColor="text1"/>
          <w:szCs w:val="21"/>
          <w:highlight w:val="none"/>
          <w14:textFill>
            <w14:solidFill>
              <w14:schemeClr w14:val="tx1"/>
            </w14:solidFill>
          </w14:textFill>
        </w:rPr>
        <w:fldChar w:fldCharType="end"/>
      </w:r>
    </w:p>
    <w:p>
      <w:pPr>
        <w:adjustRightInd w:val="0"/>
        <w:snapToGrid w:val="0"/>
        <w:spacing w:line="300" w:lineRule="auto"/>
        <w:rPr>
          <w:rFonts w:asciiTheme="minorEastAsia" w:hAnsiTheme="minorEastAsia" w:eastAsiaTheme="minorEastAsia"/>
          <w:i w:val="0"/>
          <w:iCs w:val="0"/>
          <w:color w:val="000000" w:themeColor="text1"/>
          <w:szCs w:val="21"/>
          <w:highlight w:val="none"/>
          <w14:textFill>
            <w14:solidFill>
              <w14:schemeClr w14:val="tx1"/>
            </w14:solidFill>
          </w14:textFill>
        </w:rPr>
        <w:sectPr>
          <w:headerReference r:id="rId4" w:type="default"/>
          <w:footerReference r:id="rId5" w:type="default"/>
          <w:pgSz w:w="11907" w:h="16840"/>
          <w:pgMar w:top="1247" w:right="1531" w:bottom="1134" w:left="1531" w:header="907" w:footer="907" w:gutter="0"/>
          <w:pgNumType w:start="1"/>
          <w:cols w:space="720" w:num="1"/>
          <w:docGrid w:linePitch="312" w:charSpace="0"/>
        </w:sectPr>
      </w:pPr>
      <w:r>
        <w:rPr>
          <w:rFonts w:ascii="Arial" w:hAnsi="Arial" w:cs="Arial" w:eastAsiaTheme="minorEastAsia"/>
          <w:i w:val="0"/>
          <w:iCs w:val="0"/>
          <w:color w:val="000000" w:themeColor="text1"/>
          <w:szCs w:val="21"/>
          <w:highlight w:val="none"/>
          <w14:textFill>
            <w14:solidFill>
              <w14:schemeClr w14:val="tx1"/>
            </w14:solidFill>
          </w14:textFill>
        </w:rPr>
        <w:fldChar w:fldCharType="end"/>
      </w:r>
      <w:bookmarkStart w:id="7" w:name="_Hlt758332"/>
      <w:bookmarkEnd w:id="7"/>
      <w:bookmarkStart w:id="8" w:name="_Hlt3694704"/>
      <w:bookmarkEnd w:id="8"/>
      <w:bookmarkStart w:id="9" w:name="_Hlt536512952"/>
      <w:bookmarkEnd w:id="9"/>
      <w:bookmarkStart w:id="10" w:name="_Hlt3013568"/>
      <w:bookmarkEnd w:id="10"/>
      <w:bookmarkStart w:id="11" w:name="_Hlt755819"/>
      <w:bookmarkEnd w:id="11"/>
      <w:bookmarkStart w:id="12" w:name="_Hlt9415189"/>
      <w:bookmarkEnd w:id="12"/>
      <w:bookmarkStart w:id="13" w:name="_Hlt536244935"/>
      <w:bookmarkEnd w:id="13"/>
      <w:bookmarkStart w:id="14" w:name="_Hlt755817"/>
      <w:bookmarkEnd w:id="14"/>
      <w:bookmarkStart w:id="15" w:name="_Hlt536512945"/>
      <w:bookmarkEnd w:id="15"/>
      <w:bookmarkStart w:id="16" w:name="_Hlt755813"/>
      <w:bookmarkEnd w:id="16"/>
      <w:bookmarkStart w:id="17" w:name="_Hlt758338"/>
      <w:bookmarkEnd w:id="17"/>
      <w:bookmarkStart w:id="18" w:name="_Hlt755815"/>
      <w:bookmarkEnd w:id="18"/>
      <w:bookmarkStart w:id="19" w:name="_Hlt536512956"/>
      <w:bookmarkEnd w:id="19"/>
      <w:bookmarkStart w:id="20" w:name="_Hlt9666464"/>
      <w:bookmarkEnd w:id="20"/>
    </w:p>
    <w:p>
      <w:pPr>
        <w:pStyle w:val="3"/>
        <w:spacing w:before="240" w:after="240" w:afterLines="100"/>
        <w:rPr>
          <w:rFonts w:ascii="宋体" w:hAnsi="宋体"/>
          <w:color w:val="000000" w:themeColor="text1"/>
          <w:highlight w:val="none"/>
          <w14:textFill>
            <w14:solidFill>
              <w14:schemeClr w14:val="tx1"/>
            </w14:solidFill>
          </w14:textFill>
        </w:rPr>
      </w:pPr>
      <w:bookmarkStart w:id="21" w:name="_Hlt9666678"/>
      <w:bookmarkEnd w:id="21"/>
      <w:bookmarkStart w:id="22" w:name="_Toc19906"/>
      <w:r>
        <w:rPr>
          <w:rFonts w:ascii="宋体" w:hAnsi="宋体"/>
          <w:color w:val="000000" w:themeColor="text1"/>
          <w:highlight w:val="none"/>
          <w14:textFill>
            <w14:solidFill>
              <w14:schemeClr w14:val="tx1"/>
            </w14:solidFill>
          </w14:textFill>
        </w:rPr>
        <w:t>第一章</w:t>
      </w:r>
      <w:bookmarkEnd w:id="5"/>
      <w:bookmarkEnd w:id="6"/>
      <w:r>
        <w:rPr>
          <w:rFonts w:hint="eastAsia" w:ascii="宋体" w:hAnsi="宋体"/>
          <w:color w:val="000000" w:themeColor="text1"/>
          <w:highlight w:val="none"/>
          <w14:textFill>
            <w14:solidFill>
              <w14:schemeClr w14:val="tx1"/>
            </w14:solidFill>
          </w14:textFill>
        </w:rPr>
        <w:t xml:space="preserve"> 磋商公告（代磋商邀请函）</w:t>
      </w:r>
      <w:bookmarkEnd w:id="22"/>
    </w:p>
    <w:p>
      <w:pPr>
        <w:pStyle w:val="38"/>
        <w:pBdr>
          <w:top w:val="single" w:color="auto" w:sz="6" w:space="1"/>
          <w:left w:val="single" w:color="auto" w:sz="6" w:space="4"/>
          <w:right w:val="single" w:color="auto" w:sz="6" w:space="4"/>
        </w:pBdr>
        <w:snapToGrid w:val="0"/>
        <w:spacing w:before="0" w:beforeAutospacing="0" w:after="0" w:afterAutospacing="0" w:line="360" w:lineRule="auto"/>
        <w:jc w:val="both"/>
        <w:rPr>
          <w:rFonts w:cs="Segoe UI"/>
          <w:color w:val="333333"/>
          <w:sz w:val="21"/>
          <w:szCs w:val="21"/>
          <w:highlight w:val="none"/>
        </w:rPr>
      </w:pPr>
      <w:r>
        <w:rPr>
          <w:rFonts w:hint="eastAsia" w:cs="Segoe UI"/>
          <w:color w:val="333333"/>
          <w:sz w:val="21"/>
          <w:szCs w:val="21"/>
          <w:highlight w:val="none"/>
        </w:rPr>
        <w:t>项目概况</w:t>
      </w:r>
      <w:r>
        <w:rPr>
          <w:rFonts w:cs="Segoe UI"/>
          <w:color w:val="333333"/>
          <w:sz w:val="21"/>
          <w:szCs w:val="21"/>
          <w:highlight w:val="none"/>
        </w:rPr>
        <w:t xml:space="preserve"> </w:t>
      </w:r>
    </w:p>
    <w:p>
      <w:pPr>
        <w:pStyle w:val="38"/>
        <w:pBdr>
          <w:left w:val="single" w:color="auto" w:sz="6" w:space="4"/>
          <w:bottom w:val="single" w:color="auto" w:sz="6" w:space="1"/>
          <w:right w:val="single" w:color="auto" w:sz="6" w:space="4"/>
        </w:pBdr>
        <w:snapToGrid w:val="0"/>
        <w:spacing w:before="0" w:beforeAutospacing="0" w:after="0" w:afterAutospacing="0" w:line="360" w:lineRule="auto"/>
        <w:ind w:firstLine="420" w:firstLineChars="200"/>
        <w:jc w:val="both"/>
        <w:rPr>
          <w:rFonts w:cs="Segoe UI"/>
          <w:color w:val="333333"/>
          <w:sz w:val="21"/>
          <w:szCs w:val="21"/>
          <w:highlight w:val="none"/>
        </w:rPr>
      </w:pPr>
      <w:r>
        <w:rPr>
          <w:rFonts w:hint="eastAsia" w:cs="Segoe UI"/>
          <w:iCs/>
          <w:sz w:val="21"/>
          <w:szCs w:val="21"/>
          <w:highlight w:val="none"/>
          <w:u w:val="single"/>
          <w:lang w:eastAsia="zh-CN"/>
        </w:rPr>
        <w:t>中南民族大学学生宿舍消防防火门更换（三期）</w:t>
      </w:r>
      <w:r>
        <w:rPr>
          <w:rFonts w:hint="eastAsia" w:cs="Segoe UI"/>
          <w:sz w:val="21"/>
          <w:szCs w:val="21"/>
          <w:highlight w:val="none"/>
        </w:rPr>
        <w:t>采购项目的潜在供应商应在</w:t>
      </w:r>
      <w:r>
        <w:rPr>
          <w:rFonts w:hint="eastAsia" w:cs="Segoe UI"/>
          <w:sz w:val="21"/>
          <w:szCs w:val="21"/>
          <w:highlight w:val="none"/>
          <w:u w:val="single"/>
        </w:rPr>
        <w:t>中南民族大学采购综合管理服务平台（https://caizhao.scuec.edu.cn/zb/）网上</w:t>
      </w:r>
      <w:r>
        <w:rPr>
          <w:rFonts w:hint="eastAsia" w:cs="Segoe UI"/>
          <w:sz w:val="21"/>
          <w:szCs w:val="21"/>
          <w:highlight w:val="none"/>
        </w:rPr>
        <w:t>获取采购文件，并于</w:t>
      </w:r>
      <w:r>
        <w:rPr>
          <w:rFonts w:hint="eastAsia" w:cs="Segoe UI"/>
          <w:sz w:val="21"/>
          <w:szCs w:val="21"/>
          <w:highlight w:val="none"/>
          <w:u w:val="single"/>
        </w:rPr>
        <w:t>202</w:t>
      </w:r>
      <w:r>
        <w:rPr>
          <w:rFonts w:hint="eastAsia" w:cs="Segoe UI"/>
          <w:sz w:val="21"/>
          <w:szCs w:val="21"/>
          <w:highlight w:val="none"/>
          <w:u w:val="single"/>
          <w:lang w:val="en-US" w:eastAsia="zh-CN"/>
        </w:rPr>
        <w:t>6</w:t>
      </w:r>
      <w:r>
        <w:rPr>
          <w:rFonts w:hint="eastAsia" w:cs="Segoe UI"/>
          <w:sz w:val="21"/>
          <w:szCs w:val="21"/>
          <w:highlight w:val="none"/>
        </w:rPr>
        <w:t>年</w:t>
      </w:r>
      <w:r>
        <w:rPr>
          <w:rFonts w:hint="eastAsia" w:cs="Segoe UI"/>
          <w:sz w:val="21"/>
          <w:szCs w:val="21"/>
          <w:highlight w:val="none"/>
          <w:u w:val="single"/>
          <w:lang w:val="en-US" w:eastAsia="zh-CN"/>
        </w:rPr>
        <w:t xml:space="preserve"> 03 </w:t>
      </w:r>
      <w:r>
        <w:rPr>
          <w:rFonts w:hint="eastAsia" w:cs="Segoe UI"/>
          <w:sz w:val="21"/>
          <w:szCs w:val="21"/>
          <w:highlight w:val="none"/>
        </w:rPr>
        <w:t>月</w:t>
      </w:r>
      <w:r>
        <w:rPr>
          <w:rFonts w:hint="eastAsia" w:cs="Segoe UI"/>
          <w:sz w:val="21"/>
          <w:szCs w:val="21"/>
          <w:highlight w:val="none"/>
          <w:u w:val="single"/>
          <w:lang w:val="en-US" w:eastAsia="zh-CN"/>
        </w:rPr>
        <w:t xml:space="preserve"> 16 </w:t>
      </w:r>
      <w:r>
        <w:rPr>
          <w:rFonts w:hint="eastAsia" w:cs="Segoe UI"/>
          <w:sz w:val="21"/>
          <w:szCs w:val="21"/>
          <w:highlight w:val="none"/>
        </w:rPr>
        <w:t>日</w:t>
      </w:r>
      <w:r>
        <w:rPr>
          <w:rFonts w:hint="eastAsia" w:cs="Segoe UI"/>
          <w:sz w:val="21"/>
          <w:szCs w:val="21"/>
          <w:highlight w:val="none"/>
          <w:u w:val="single"/>
          <w:lang w:val="en-US" w:eastAsia="zh-CN"/>
        </w:rPr>
        <w:t xml:space="preserve"> 10 </w:t>
      </w:r>
      <w:r>
        <w:rPr>
          <w:rFonts w:hint="eastAsia" w:cs="Segoe UI"/>
          <w:sz w:val="21"/>
          <w:szCs w:val="21"/>
          <w:highlight w:val="none"/>
        </w:rPr>
        <w:t>点</w:t>
      </w:r>
      <w:r>
        <w:rPr>
          <w:rFonts w:hint="eastAsia" w:cs="Segoe UI"/>
          <w:sz w:val="21"/>
          <w:szCs w:val="21"/>
          <w:highlight w:val="none"/>
          <w:u w:val="single"/>
          <w:lang w:val="en-US" w:eastAsia="zh-CN"/>
        </w:rPr>
        <w:t>00</w:t>
      </w:r>
      <w:r>
        <w:rPr>
          <w:rFonts w:hint="eastAsia" w:cs="Segoe UI"/>
          <w:sz w:val="21"/>
          <w:szCs w:val="21"/>
          <w:highlight w:val="none"/>
        </w:rPr>
        <w:t>分</w:t>
      </w:r>
      <w:r>
        <w:rPr>
          <w:rFonts w:cs="Segoe UI"/>
          <w:sz w:val="21"/>
          <w:szCs w:val="21"/>
          <w:highlight w:val="none"/>
        </w:rPr>
        <w:t xml:space="preserve"> </w:t>
      </w:r>
      <w:r>
        <w:rPr>
          <w:rFonts w:hint="eastAsia" w:cs="Segoe UI"/>
          <w:color w:val="333333"/>
          <w:sz w:val="21"/>
          <w:szCs w:val="21"/>
          <w:highlight w:val="none"/>
        </w:rPr>
        <w:t>（北京时间）前提交响应文件。</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color w:val="333333"/>
          <w:sz w:val="21"/>
          <w:szCs w:val="21"/>
          <w:highlight w:val="none"/>
        </w:rPr>
        <w:t>一、项目</w:t>
      </w:r>
      <w:r>
        <w:rPr>
          <w:rFonts w:hint="eastAsia" w:cs="Segoe UI"/>
          <w:sz w:val="21"/>
          <w:szCs w:val="21"/>
          <w:highlight w:val="none"/>
        </w:rPr>
        <w:t>基本情况</w:t>
      </w:r>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hint="default" w:eastAsia="宋体" w:cs="Segoe UI"/>
          <w:sz w:val="21"/>
          <w:szCs w:val="21"/>
          <w:highlight w:val="none"/>
          <w:lang w:val="en-US" w:eastAsia="zh-CN"/>
        </w:rPr>
      </w:pPr>
      <w:r>
        <w:rPr>
          <w:rFonts w:hint="eastAsia" w:cs="Segoe UI"/>
          <w:sz w:val="21"/>
          <w:szCs w:val="21"/>
          <w:highlight w:val="none"/>
        </w:rPr>
        <w:t>1.项目编号：</w:t>
      </w:r>
      <w:bookmarkStart w:id="23" w:name="OLE_LINK21"/>
      <w:r>
        <w:rPr>
          <w:rFonts w:hint="eastAsia" w:cs="Segoe UI"/>
          <w:sz w:val="21"/>
          <w:szCs w:val="21"/>
          <w:highlight w:val="none"/>
          <w:lang w:val="en-US" w:eastAsia="zh-CN"/>
        </w:rPr>
        <w:t xml:space="preserve">HBT-23125052-261179 </w:t>
      </w:r>
      <w:bookmarkEnd w:id="23"/>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sz w:val="21"/>
          <w:szCs w:val="21"/>
          <w:highlight w:val="none"/>
          <w:lang w:val="en-US" w:eastAsia="zh-CN"/>
        </w:rPr>
        <w:t>2</w:t>
      </w:r>
      <w:r>
        <w:rPr>
          <w:rFonts w:hint="eastAsia" w:cs="Segoe UI"/>
          <w:sz w:val="21"/>
          <w:szCs w:val="21"/>
          <w:highlight w:val="none"/>
        </w:rPr>
        <w:t>.项目名称：</w:t>
      </w:r>
      <w:bookmarkStart w:id="24" w:name="OLE_LINK15"/>
      <w:r>
        <w:rPr>
          <w:rFonts w:hint="eastAsia" w:cs="Segoe UI"/>
          <w:sz w:val="21"/>
          <w:szCs w:val="21"/>
          <w:highlight w:val="none"/>
          <w:u w:val="single"/>
          <w:lang w:eastAsia="zh-CN"/>
        </w:rPr>
        <w:t>中南民族大学学生宿舍消防防火门更换（三期）</w:t>
      </w:r>
      <w:bookmarkEnd w:id="24"/>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lang w:val="en-US" w:eastAsia="zh-CN"/>
        </w:rPr>
        <w:t>3</w:t>
      </w:r>
      <w:r>
        <w:rPr>
          <w:rFonts w:hint="eastAsia" w:cs="Segoe UI"/>
          <w:color w:val="333333"/>
          <w:sz w:val="21"/>
          <w:szCs w:val="21"/>
          <w:highlight w:val="none"/>
        </w:rPr>
        <w:t>.采购方式：</w:t>
      </w:r>
      <w:r>
        <w:rPr>
          <w:rFonts w:hint="eastAsia" w:cs="Segoe UI"/>
          <w:color w:val="333333"/>
          <w:sz w:val="21"/>
          <w:szCs w:val="21"/>
          <w:highlight w:val="none"/>
          <w:u w:val="single"/>
        </w:rPr>
        <w:t>竞争性磋商</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hint="default" w:cs="Segoe UI"/>
          <w:color w:val="333333"/>
          <w:sz w:val="21"/>
          <w:szCs w:val="21"/>
          <w:highlight w:val="none"/>
          <w:lang w:val="en-US"/>
        </w:rPr>
      </w:pPr>
      <w:r>
        <w:rPr>
          <w:rFonts w:hint="eastAsia" w:cs="Segoe UI"/>
          <w:color w:val="333333"/>
          <w:sz w:val="21"/>
          <w:szCs w:val="21"/>
          <w:highlight w:val="none"/>
          <w:lang w:val="en-US" w:eastAsia="zh-CN"/>
        </w:rPr>
        <w:t>4</w:t>
      </w:r>
      <w:r>
        <w:rPr>
          <w:rFonts w:hint="eastAsia" w:cs="Segoe UI"/>
          <w:color w:val="333333"/>
          <w:sz w:val="21"/>
          <w:szCs w:val="21"/>
          <w:highlight w:val="none"/>
        </w:rPr>
        <w:t>.预算金额（万元）：</w:t>
      </w:r>
      <w:bookmarkStart w:id="25" w:name="OLE_LINK18"/>
      <w:r>
        <w:rPr>
          <w:rFonts w:hint="eastAsia" w:cs="Segoe UI"/>
          <w:sz w:val="21"/>
          <w:szCs w:val="21"/>
          <w:highlight w:val="none"/>
          <w:lang w:eastAsia="zh-CN"/>
        </w:rPr>
        <w:t>114.952628</w:t>
      </w:r>
      <w:bookmarkEnd w:id="25"/>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lang w:val="en-US" w:eastAsia="zh-CN"/>
        </w:rPr>
        <w:t>5</w:t>
      </w:r>
      <w:r>
        <w:rPr>
          <w:rFonts w:hint="eastAsia" w:cs="Segoe UI"/>
          <w:color w:val="333333"/>
          <w:sz w:val="21"/>
          <w:szCs w:val="21"/>
          <w:highlight w:val="none"/>
        </w:rPr>
        <w:t>.最高限价（万元）</w:t>
      </w:r>
      <w:r>
        <w:rPr>
          <w:rFonts w:hint="eastAsia" w:cs="Segoe UI"/>
          <w:sz w:val="21"/>
          <w:szCs w:val="21"/>
          <w:highlight w:val="none"/>
        </w:rPr>
        <w:t>：</w:t>
      </w:r>
      <w:r>
        <w:rPr>
          <w:rFonts w:hint="eastAsia" w:cs="Segoe UI"/>
          <w:sz w:val="21"/>
          <w:szCs w:val="21"/>
          <w:highlight w:val="none"/>
          <w:lang w:eastAsia="zh-CN"/>
        </w:rPr>
        <w:t>114.952628</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lang w:val="en-US" w:eastAsia="zh-CN"/>
        </w:rPr>
        <w:t>6</w:t>
      </w:r>
      <w:r>
        <w:rPr>
          <w:rFonts w:hint="eastAsia" w:cs="Segoe UI"/>
          <w:color w:val="333333"/>
          <w:sz w:val="21"/>
          <w:szCs w:val="21"/>
          <w:highlight w:val="none"/>
        </w:rPr>
        <w:t>.采购需求</w:t>
      </w:r>
      <w:r>
        <w:rPr>
          <w:rFonts w:hint="eastAsia" w:cs="Segoe UI"/>
          <w:sz w:val="21"/>
          <w:szCs w:val="21"/>
          <w:highlight w:val="none"/>
        </w:rPr>
        <w:t>：</w:t>
      </w:r>
      <w:r>
        <w:rPr>
          <w:rFonts w:hint="eastAsia" w:cs="Segoe UI" w:eastAsiaTheme="minorEastAsia"/>
          <w:sz w:val="21"/>
          <w:szCs w:val="21"/>
          <w:highlight w:val="none"/>
          <w:u w:val="single"/>
          <w:lang w:eastAsia="zh-CN"/>
        </w:rPr>
        <w:t>中南民族大学学生宿舍消防防火门更换（三期）</w:t>
      </w:r>
      <w:r>
        <w:rPr>
          <w:rFonts w:hint="eastAsia" w:asciiTheme="minorEastAsia" w:hAnsiTheme="minorEastAsia" w:eastAsiaTheme="minorEastAsia"/>
          <w:sz w:val="21"/>
          <w:szCs w:val="21"/>
          <w:highlight w:val="none"/>
          <w:u w:val="single"/>
        </w:rPr>
        <w:t>，详细技术规格、参数及要求见本项目竞争性磋商文件、工程量清单及图纸。</w:t>
      </w:r>
      <w:r>
        <w:rPr>
          <w:rFonts w:hint="eastAsia"/>
          <w:sz w:val="21"/>
          <w:szCs w:val="21"/>
          <w:highlight w:val="none"/>
          <w:u w:val="single"/>
        </w:rPr>
        <w:t>供应商参加磋商的报价超过该项目采购最高限价的，其磋商报价无效。</w:t>
      </w:r>
      <w:r>
        <w:rPr>
          <w:rFonts w:cs="Segoe UI" w:asciiTheme="minorEastAsia" w:hAnsiTheme="minorEastAsia" w:eastAsiaTheme="minorEastAsia"/>
          <w:sz w:val="21"/>
          <w:szCs w:val="21"/>
          <w:highlight w:val="none"/>
          <w:u w:val="single"/>
        </w:rPr>
        <w:t xml:space="preserve"> </w:t>
      </w:r>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color w:val="333333"/>
          <w:sz w:val="21"/>
          <w:szCs w:val="21"/>
          <w:highlight w:val="none"/>
          <w:lang w:val="en-US" w:eastAsia="zh-CN"/>
        </w:rPr>
        <w:t>7</w:t>
      </w:r>
      <w:r>
        <w:rPr>
          <w:rFonts w:hint="eastAsia" w:cs="Segoe UI"/>
          <w:color w:val="333333"/>
          <w:sz w:val="21"/>
          <w:szCs w:val="21"/>
          <w:highlight w:val="none"/>
        </w:rPr>
        <w:t>.合同履行期限</w:t>
      </w:r>
      <w:r>
        <w:rPr>
          <w:rFonts w:hint="eastAsia" w:cs="Segoe UI"/>
          <w:sz w:val="21"/>
          <w:szCs w:val="21"/>
          <w:highlight w:val="none"/>
        </w:rPr>
        <w:t>：</w:t>
      </w:r>
      <w:bookmarkStart w:id="26" w:name="OLE_LINK22"/>
      <w:r>
        <w:rPr>
          <w:rFonts w:hint="eastAsia" w:cs="Segoe UI"/>
          <w:sz w:val="21"/>
          <w:szCs w:val="21"/>
          <w:highlight w:val="none"/>
          <w:u w:val="single"/>
        </w:rPr>
        <w:t>合同签订后</w:t>
      </w:r>
      <w:r>
        <w:rPr>
          <w:rFonts w:hint="eastAsia" w:cs="Segoe UI"/>
          <w:sz w:val="21"/>
          <w:szCs w:val="21"/>
          <w:highlight w:val="none"/>
          <w:u w:val="single"/>
          <w:lang w:val="en-US" w:eastAsia="zh-CN"/>
        </w:rPr>
        <w:t xml:space="preserve"> 90 </w:t>
      </w:r>
      <w:r>
        <w:rPr>
          <w:rFonts w:hint="eastAsia" w:cs="Segoe UI"/>
          <w:sz w:val="21"/>
          <w:szCs w:val="21"/>
          <w:highlight w:val="none"/>
          <w:u w:val="single"/>
        </w:rPr>
        <w:t>个日历天（计划开工日期：以采购人书面通知为准）</w:t>
      </w:r>
      <w:bookmarkEnd w:id="26"/>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sz w:val="21"/>
          <w:szCs w:val="21"/>
          <w:highlight w:val="none"/>
          <w:lang w:val="en-US" w:eastAsia="zh-CN"/>
        </w:rPr>
        <w:t>8</w:t>
      </w:r>
      <w:r>
        <w:rPr>
          <w:rFonts w:hint="eastAsia" w:cs="Segoe UI"/>
          <w:sz w:val="21"/>
          <w:szCs w:val="21"/>
          <w:highlight w:val="none"/>
        </w:rPr>
        <w:t>.本项目（是/否）接受联合体投标：</w:t>
      </w:r>
      <w:r>
        <w:rPr>
          <w:rFonts w:hint="eastAsia" w:cs="Segoe UI"/>
          <w:sz w:val="21"/>
          <w:szCs w:val="21"/>
          <w:highlight w:val="none"/>
          <w:u w:val="single"/>
        </w:rPr>
        <w:t>否</w:t>
      </w:r>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sz w:val="21"/>
          <w:szCs w:val="21"/>
          <w:highlight w:val="none"/>
          <w:lang w:val="en-US" w:eastAsia="zh-CN"/>
        </w:rPr>
        <w:t>9</w:t>
      </w:r>
      <w:r>
        <w:rPr>
          <w:rFonts w:hint="eastAsia" w:cs="Segoe UI"/>
          <w:sz w:val="21"/>
          <w:szCs w:val="21"/>
          <w:highlight w:val="none"/>
        </w:rPr>
        <w:t>.是否可采购进口产品：</w:t>
      </w:r>
      <w:r>
        <w:rPr>
          <w:rFonts w:hint="eastAsia" w:cs="Segoe UI"/>
          <w:sz w:val="21"/>
          <w:szCs w:val="21"/>
          <w:highlight w:val="none"/>
          <w:u w:val="single"/>
        </w:rPr>
        <w:t>否</w:t>
      </w:r>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二、申请人的资格要求</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1.满足《中华人民共和国政府采购法》第二十二条规定，即：</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（1）具有独立承担民事责任的能力；</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（2）具有良好的商业信誉和健全的财务会计制度；</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（3）具有履行合同所必需的设备和专业技术能力；</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（4）有依法缴纳税收和社会保障资金的良好记录；</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（5）参加采购活动前三年内，在经营活动中没有重大违法记录；</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（6）法律、行政法规规定的其他条件。</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2.单位负责人为同一人或者存在直接控股、管理关系的不同投标人，不得参加本项目同一合同项下的采购活动。</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3.为本采购项目提供整体设计、规范编制或者项目管理、监理、检测等服务的，不得再参加本项目的其他招标采购活动。</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4.未被列入失信被执行人、重大税收违法</w:t>
      </w:r>
      <w:r>
        <w:rPr>
          <w:rFonts w:hint="eastAsia" w:cs="Segoe UI"/>
          <w:color w:val="333333"/>
          <w:sz w:val="21"/>
          <w:szCs w:val="21"/>
          <w:highlight w:val="none"/>
          <w:lang w:val="en-US" w:eastAsia="zh-CN"/>
        </w:rPr>
        <w:t>失信主体</w:t>
      </w:r>
      <w:r>
        <w:rPr>
          <w:rFonts w:hint="eastAsia" w:cs="Segoe UI"/>
          <w:color w:val="333333"/>
          <w:sz w:val="21"/>
          <w:szCs w:val="21"/>
          <w:highlight w:val="none"/>
        </w:rPr>
        <w:t>，未被列入政府采购严重违法失信行为记录名单。</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5.落实政府采购政策需满足的资格</w:t>
      </w:r>
      <w:r>
        <w:rPr>
          <w:rFonts w:hint="eastAsia" w:cs="Segoe UI"/>
          <w:color w:val="auto"/>
          <w:sz w:val="21"/>
          <w:szCs w:val="21"/>
          <w:highlight w:val="none"/>
        </w:rPr>
        <w:t>要求：</w:t>
      </w:r>
      <w:r>
        <w:rPr>
          <w:rFonts w:hint="eastAsia"/>
          <w:color w:val="auto"/>
          <w:sz w:val="21"/>
          <w:szCs w:val="21"/>
          <w:highlight w:val="none"/>
          <w:u w:val="single"/>
        </w:rPr>
        <w:t>本项目专门面向中小微企业采购，本项目所需工程应由中小企业承建，即工程施工单位为中小企业（应提供《中小企业声明函》，否则将视为无效响应文件。本磋商文件所称“中小企业”详见《政府采购促</w:t>
      </w:r>
      <w:r>
        <w:rPr>
          <w:rFonts w:hint="eastAsia"/>
          <w:sz w:val="21"/>
          <w:szCs w:val="21"/>
          <w:highlight w:val="none"/>
          <w:u w:val="single"/>
        </w:rPr>
        <w:t>进中小企业发展管理办法》第二条）</w:t>
      </w:r>
      <w:r>
        <w:rPr>
          <w:rFonts w:hint="eastAsia" w:cs="Segoe UI"/>
          <w:color w:val="333333"/>
          <w:sz w:val="21"/>
          <w:szCs w:val="21"/>
          <w:highlight w:val="none"/>
        </w:rPr>
        <w:t>。</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6.本项目的特定资格要求：</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sz w:val="21"/>
          <w:szCs w:val="21"/>
          <w:highlight w:val="none"/>
          <w:u w:val="single"/>
        </w:rPr>
      </w:pPr>
      <w:bookmarkStart w:id="27" w:name="OLE_LINK19"/>
      <w:r>
        <w:rPr>
          <w:rFonts w:hint="eastAsia" w:cs="Segoe UI"/>
          <w:sz w:val="21"/>
          <w:szCs w:val="21"/>
          <w:highlight w:val="none"/>
          <w:u w:val="single"/>
        </w:rPr>
        <w:t>（1）</w:t>
      </w:r>
      <w:r>
        <w:rPr>
          <w:rFonts w:hint="eastAsia" w:cs="Segoe UI"/>
          <w:sz w:val="21"/>
          <w:szCs w:val="21"/>
          <w:highlight w:val="none"/>
          <w:u w:val="single"/>
          <w:lang w:eastAsia="zh-CN"/>
        </w:rPr>
        <w:t>供应商须具备国家建设行政主管部门颁发的</w:t>
      </w:r>
      <w:r>
        <w:rPr>
          <w:rFonts w:hint="eastAsia" w:cs="Segoe UI"/>
          <w:sz w:val="21"/>
          <w:szCs w:val="21"/>
          <w:highlight w:val="none"/>
          <w:u w:val="single"/>
          <w:lang w:val="en-US" w:eastAsia="zh-CN"/>
        </w:rPr>
        <w:t>消防设施工程专业承包二级</w:t>
      </w:r>
      <w:r>
        <w:rPr>
          <w:rFonts w:hint="eastAsia" w:cs="Segoe UI"/>
          <w:sz w:val="21"/>
          <w:szCs w:val="21"/>
          <w:highlight w:val="none"/>
          <w:u w:val="single"/>
          <w:lang w:eastAsia="zh-CN"/>
        </w:rPr>
        <w:t>或以上资质</w:t>
      </w:r>
      <w:r>
        <w:rPr>
          <w:rFonts w:hint="eastAsia" w:cs="Segoe UI"/>
          <w:sz w:val="21"/>
          <w:szCs w:val="21"/>
          <w:highlight w:val="none"/>
          <w:u w:val="single"/>
        </w:rPr>
        <w:t xml:space="preserve">； </w:t>
      </w:r>
    </w:p>
    <w:p>
      <w:pPr>
        <w:pStyle w:val="38"/>
        <w:snapToGrid w:val="0"/>
        <w:spacing w:before="0" w:beforeAutospacing="0" w:after="0" w:afterAutospacing="0" w:line="360" w:lineRule="auto"/>
        <w:ind w:firstLine="555"/>
        <w:jc w:val="both"/>
        <w:rPr>
          <w:rFonts w:cs="Segoe UI"/>
          <w:sz w:val="21"/>
          <w:szCs w:val="21"/>
          <w:highlight w:val="none"/>
          <w:u w:val="single"/>
        </w:rPr>
      </w:pPr>
      <w:r>
        <w:rPr>
          <w:rFonts w:hint="eastAsia" w:cs="Segoe UI"/>
          <w:sz w:val="21"/>
          <w:szCs w:val="21"/>
          <w:highlight w:val="none"/>
          <w:u w:val="single"/>
        </w:rPr>
        <w:t xml:space="preserve">（2）供应商须具有有效的安全生产许可证； </w:t>
      </w:r>
    </w:p>
    <w:p>
      <w:pPr>
        <w:pStyle w:val="38"/>
        <w:snapToGrid w:val="0"/>
        <w:spacing w:before="0" w:beforeAutospacing="0" w:after="0" w:afterAutospacing="0" w:line="360" w:lineRule="auto"/>
        <w:ind w:firstLine="555"/>
        <w:jc w:val="both"/>
        <w:rPr>
          <w:rFonts w:cs="Segoe UI"/>
          <w:color w:val="0000FF"/>
          <w:sz w:val="21"/>
          <w:szCs w:val="21"/>
          <w:highlight w:val="none"/>
          <w:u w:val="single"/>
        </w:rPr>
      </w:pPr>
      <w:r>
        <w:rPr>
          <w:rFonts w:hint="eastAsia" w:cs="Segoe UI"/>
          <w:sz w:val="21"/>
          <w:szCs w:val="21"/>
          <w:highlight w:val="none"/>
          <w:u w:val="single"/>
        </w:rPr>
        <w:t>（3）供应商须在人员、设备、资金等方面具有相应的施工能力，其中，供应商拟派项目经理须具备有效的</w:t>
      </w:r>
      <w:r>
        <w:rPr>
          <w:rFonts w:hint="eastAsia" w:cs="Segoe UI"/>
          <w:sz w:val="21"/>
          <w:szCs w:val="21"/>
          <w:highlight w:val="none"/>
          <w:u w:val="single"/>
          <w:lang w:val="en-US" w:eastAsia="zh-CN"/>
        </w:rPr>
        <w:t>机电工程专业</w:t>
      </w:r>
      <w:r>
        <w:rPr>
          <w:rFonts w:hint="eastAsia" w:cs="Segoe UI"/>
          <w:sz w:val="21"/>
          <w:szCs w:val="21"/>
          <w:highlight w:val="none"/>
          <w:u w:val="single"/>
        </w:rPr>
        <w:t>二级及以上注册建造师执业</w:t>
      </w:r>
      <w:r>
        <w:rPr>
          <w:rFonts w:hint="eastAsia" w:cs="Segoe UI"/>
          <w:sz w:val="21"/>
          <w:szCs w:val="21"/>
          <w:highlight w:val="none"/>
          <w:u w:val="single"/>
          <w:lang w:val="en-US" w:eastAsia="zh-CN"/>
        </w:rPr>
        <w:t>证书</w:t>
      </w:r>
      <w:r>
        <w:rPr>
          <w:rFonts w:hint="eastAsia" w:cs="Segoe UI"/>
          <w:sz w:val="21"/>
          <w:szCs w:val="21"/>
          <w:highlight w:val="none"/>
          <w:u w:val="single"/>
        </w:rPr>
        <w:t>，具备有效的安全生产考核合格证书（B证），且未担任其他在施工建设工程项目的项目经理。</w:t>
      </w:r>
      <w:bookmarkEnd w:id="27"/>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三、获取采购文件</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1.时间：</w:t>
      </w:r>
      <w:r>
        <w:rPr>
          <w:rFonts w:hint="eastAsia" w:cs="Segoe UI"/>
          <w:sz w:val="21"/>
          <w:szCs w:val="21"/>
          <w:highlight w:val="none"/>
          <w:u w:val="single"/>
        </w:rPr>
        <w:t>20</w:t>
      </w:r>
      <w:r>
        <w:rPr>
          <w:rFonts w:hint="eastAsia" w:cs="Segoe UI"/>
          <w:sz w:val="21"/>
          <w:szCs w:val="21"/>
          <w:highlight w:val="none"/>
          <w:u w:val="single"/>
          <w:lang w:val="en-US" w:eastAsia="zh-CN"/>
        </w:rPr>
        <w:t>26</w:t>
      </w:r>
      <w:r>
        <w:rPr>
          <w:rFonts w:hint="eastAsia" w:cs="Segoe UI"/>
          <w:sz w:val="21"/>
          <w:szCs w:val="21"/>
          <w:highlight w:val="none"/>
        </w:rPr>
        <w:t>年</w:t>
      </w:r>
      <w:r>
        <w:rPr>
          <w:rFonts w:hint="eastAsia" w:cs="Segoe UI"/>
          <w:sz w:val="21"/>
          <w:szCs w:val="21"/>
          <w:highlight w:val="none"/>
          <w:u w:val="single"/>
          <w:lang w:val="en-US" w:eastAsia="zh-CN"/>
        </w:rPr>
        <w:t xml:space="preserve">  03  </w:t>
      </w:r>
      <w:r>
        <w:rPr>
          <w:rFonts w:hint="eastAsia" w:cs="Segoe UI"/>
          <w:sz w:val="21"/>
          <w:szCs w:val="21"/>
          <w:highlight w:val="none"/>
        </w:rPr>
        <w:t>月</w:t>
      </w:r>
      <w:r>
        <w:rPr>
          <w:rFonts w:hint="eastAsia" w:cs="Segoe UI"/>
          <w:sz w:val="21"/>
          <w:szCs w:val="21"/>
          <w:highlight w:val="none"/>
          <w:u w:val="single"/>
          <w:lang w:val="en-US" w:eastAsia="zh-CN"/>
        </w:rPr>
        <w:t xml:space="preserve"> 04 </w:t>
      </w:r>
      <w:r>
        <w:rPr>
          <w:rFonts w:hint="eastAsia" w:cs="Segoe UI"/>
          <w:sz w:val="21"/>
          <w:szCs w:val="21"/>
          <w:highlight w:val="none"/>
        </w:rPr>
        <w:t>日至</w:t>
      </w:r>
      <w:r>
        <w:rPr>
          <w:rFonts w:hint="eastAsia" w:cs="Segoe UI"/>
          <w:sz w:val="21"/>
          <w:szCs w:val="21"/>
          <w:highlight w:val="none"/>
          <w:u w:val="single"/>
        </w:rPr>
        <w:t>202</w:t>
      </w:r>
      <w:r>
        <w:rPr>
          <w:rFonts w:hint="eastAsia" w:cs="Segoe UI"/>
          <w:sz w:val="21"/>
          <w:szCs w:val="21"/>
          <w:highlight w:val="none"/>
          <w:u w:val="single"/>
          <w:lang w:val="en-US" w:eastAsia="zh-CN"/>
        </w:rPr>
        <w:t xml:space="preserve">6 </w:t>
      </w:r>
      <w:r>
        <w:rPr>
          <w:rFonts w:hint="eastAsia" w:cs="Segoe UI"/>
          <w:sz w:val="21"/>
          <w:szCs w:val="21"/>
          <w:highlight w:val="none"/>
        </w:rPr>
        <w:t>年</w:t>
      </w:r>
      <w:r>
        <w:rPr>
          <w:rFonts w:hint="eastAsia" w:cs="Segoe UI"/>
          <w:sz w:val="21"/>
          <w:szCs w:val="21"/>
          <w:highlight w:val="none"/>
          <w:u w:val="single"/>
          <w:lang w:val="en-US" w:eastAsia="zh-CN"/>
        </w:rPr>
        <w:t xml:space="preserve"> 03 </w:t>
      </w:r>
      <w:r>
        <w:rPr>
          <w:rFonts w:hint="eastAsia" w:cs="Segoe UI"/>
          <w:sz w:val="21"/>
          <w:szCs w:val="21"/>
          <w:highlight w:val="none"/>
        </w:rPr>
        <w:t>月</w:t>
      </w:r>
      <w:r>
        <w:rPr>
          <w:rFonts w:hint="eastAsia" w:cs="Segoe UI"/>
          <w:sz w:val="21"/>
          <w:szCs w:val="21"/>
          <w:highlight w:val="none"/>
          <w:u w:val="single"/>
          <w:lang w:val="en-US" w:eastAsia="zh-CN"/>
        </w:rPr>
        <w:t xml:space="preserve"> 10 </w:t>
      </w:r>
      <w:r>
        <w:rPr>
          <w:rFonts w:hint="eastAsia" w:cs="Segoe UI"/>
          <w:sz w:val="21"/>
          <w:szCs w:val="21"/>
          <w:highlight w:val="none"/>
        </w:rPr>
        <w:t>日，</w:t>
      </w:r>
      <w:r>
        <w:rPr>
          <w:rFonts w:hint="eastAsia" w:cs="Segoe UI"/>
          <w:color w:val="333333"/>
          <w:sz w:val="21"/>
          <w:szCs w:val="21"/>
          <w:highlight w:val="none"/>
        </w:rPr>
        <w:t>每天上午</w:t>
      </w:r>
      <w:r>
        <w:rPr>
          <w:rFonts w:hint="eastAsia"/>
          <w:sz w:val="21"/>
          <w:szCs w:val="21"/>
          <w:highlight w:val="none"/>
          <w:u w:val="single"/>
        </w:rPr>
        <w:t>8:30</w:t>
      </w:r>
      <w:r>
        <w:rPr>
          <w:rFonts w:hint="eastAsia"/>
          <w:sz w:val="21"/>
          <w:szCs w:val="21"/>
          <w:highlight w:val="none"/>
        </w:rPr>
        <w:t>至</w:t>
      </w:r>
      <w:r>
        <w:rPr>
          <w:rFonts w:hint="eastAsia"/>
          <w:sz w:val="21"/>
          <w:szCs w:val="21"/>
          <w:highlight w:val="none"/>
          <w:u w:val="single"/>
        </w:rPr>
        <w:t>12:00</w:t>
      </w:r>
      <w:r>
        <w:rPr>
          <w:rFonts w:hint="eastAsia"/>
          <w:sz w:val="21"/>
          <w:szCs w:val="21"/>
          <w:highlight w:val="none"/>
        </w:rPr>
        <w:t>，下午</w:t>
      </w:r>
      <w:r>
        <w:rPr>
          <w:rFonts w:hint="eastAsia"/>
          <w:sz w:val="21"/>
          <w:szCs w:val="21"/>
          <w:highlight w:val="none"/>
          <w:u w:val="single"/>
        </w:rPr>
        <w:t>14:00</w:t>
      </w:r>
      <w:r>
        <w:rPr>
          <w:rFonts w:hint="eastAsia"/>
          <w:sz w:val="21"/>
          <w:szCs w:val="21"/>
          <w:highlight w:val="none"/>
        </w:rPr>
        <w:t>至</w:t>
      </w:r>
      <w:r>
        <w:rPr>
          <w:rFonts w:hint="eastAsia"/>
          <w:sz w:val="21"/>
          <w:szCs w:val="21"/>
          <w:highlight w:val="none"/>
          <w:u w:val="single"/>
        </w:rPr>
        <w:t>17:00</w:t>
      </w:r>
      <w:r>
        <w:rPr>
          <w:rFonts w:hint="eastAsia" w:cs="Segoe UI"/>
          <w:color w:val="333333"/>
          <w:sz w:val="21"/>
          <w:szCs w:val="21"/>
          <w:highlight w:val="none"/>
        </w:rPr>
        <w:t>（北京时间，法定节假日除外）</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2.地点：</w:t>
      </w:r>
      <w:r>
        <w:rPr>
          <w:rFonts w:hint="eastAsia"/>
          <w:sz w:val="21"/>
          <w:szCs w:val="21"/>
          <w:highlight w:val="none"/>
          <w:u w:val="single"/>
        </w:rPr>
        <w:t>网上获取（https://caizhao.scuec.edu.cn/zb/）</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3.方式：</w:t>
      </w:r>
      <w:r>
        <w:rPr>
          <w:rFonts w:hint="eastAsia"/>
          <w:sz w:val="21"/>
          <w:szCs w:val="21"/>
          <w:highlight w:val="none"/>
          <w:u w:val="single"/>
        </w:rPr>
        <w:t>网上获取，符合条件的供应商请登录中南民族大学采购综合管理服务平台（https://caizhao.scuec.edu.cn/zb/），完成“供应商注册”（具体操作详见平台网页中“服务指南-操作指南-供应商参与中南民族大学招标项目操作指南”）。完成注册登记后，请于上述“获取采购文件”时间内获取采购文件（具体操作详见平台网页中“服务指南-操作指南-供应商参与中南民族大学招标项目操作指南”），待审核通过后，供应商下载采购文件。</w:t>
      </w:r>
      <w:r>
        <w:rPr>
          <w:rFonts w:cs="Segoe UI"/>
          <w:sz w:val="21"/>
          <w:szCs w:val="21"/>
          <w:highlight w:val="none"/>
        </w:rPr>
        <w:t xml:space="preserve"> </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4.售价（元）：</w:t>
      </w:r>
      <w:r>
        <w:rPr>
          <w:rFonts w:cs="Segoe UI"/>
          <w:color w:val="333333"/>
          <w:sz w:val="21"/>
          <w:szCs w:val="21"/>
          <w:highlight w:val="none"/>
          <w:u w:val="single"/>
        </w:rPr>
        <w:t>3</w:t>
      </w:r>
      <w:r>
        <w:rPr>
          <w:rFonts w:hint="eastAsia" w:cs="Segoe UI"/>
          <w:color w:val="333333"/>
          <w:sz w:val="21"/>
          <w:szCs w:val="21"/>
          <w:highlight w:val="none"/>
          <w:u w:val="single"/>
        </w:rPr>
        <w:t>00</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四、响应文件提交</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color w:val="333333"/>
          <w:sz w:val="21"/>
          <w:szCs w:val="21"/>
          <w:highlight w:val="none"/>
        </w:rPr>
        <w:t>1.截止时间</w:t>
      </w:r>
      <w:r>
        <w:rPr>
          <w:rFonts w:hint="eastAsia" w:cs="Segoe UI"/>
          <w:sz w:val="21"/>
          <w:szCs w:val="21"/>
          <w:highlight w:val="none"/>
        </w:rPr>
        <w:t>：</w:t>
      </w:r>
      <w:r>
        <w:rPr>
          <w:rFonts w:hint="eastAsia" w:cs="Segoe UI"/>
          <w:sz w:val="21"/>
          <w:szCs w:val="21"/>
          <w:highlight w:val="none"/>
          <w:u w:val="single"/>
        </w:rPr>
        <w:t>202</w:t>
      </w:r>
      <w:r>
        <w:rPr>
          <w:rFonts w:hint="eastAsia" w:cs="Segoe UI"/>
          <w:sz w:val="21"/>
          <w:szCs w:val="21"/>
          <w:highlight w:val="none"/>
          <w:u w:val="single"/>
          <w:lang w:val="en-US" w:eastAsia="zh-CN"/>
        </w:rPr>
        <w:t>6</w:t>
      </w:r>
      <w:r>
        <w:rPr>
          <w:rFonts w:hint="eastAsia" w:cs="Segoe UI"/>
          <w:sz w:val="21"/>
          <w:szCs w:val="21"/>
          <w:highlight w:val="none"/>
          <w:u w:val="single"/>
        </w:rPr>
        <w:t>年</w:t>
      </w:r>
      <w:r>
        <w:rPr>
          <w:rFonts w:hint="eastAsia" w:cs="Segoe UI"/>
          <w:sz w:val="21"/>
          <w:szCs w:val="21"/>
          <w:highlight w:val="none"/>
          <w:u w:val="single"/>
          <w:lang w:val="en-US" w:eastAsia="zh-CN"/>
        </w:rPr>
        <w:t xml:space="preserve"> 03 </w:t>
      </w:r>
      <w:r>
        <w:rPr>
          <w:rFonts w:hint="eastAsia" w:cs="Segoe UI"/>
          <w:sz w:val="21"/>
          <w:szCs w:val="21"/>
          <w:highlight w:val="none"/>
          <w:u w:val="single"/>
        </w:rPr>
        <w:t>月</w:t>
      </w:r>
      <w:r>
        <w:rPr>
          <w:rFonts w:hint="eastAsia" w:cs="Segoe UI"/>
          <w:sz w:val="21"/>
          <w:szCs w:val="21"/>
          <w:highlight w:val="none"/>
          <w:u w:val="single"/>
          <w:lang w:val="en-US" w:eastAsia="zh-CN"/>
        </w:rPr>
        <w:t xml:space="preserve"> 16 </w:t>
      </w:r>
      <w:r>
        <w:rPr>
          <w:rFonts w:hint="eastAsia" w:cs="Segoe UI"/>
          <w:sz w:val="21"/>
          <w:szCs w:val="21"/>
          <w:highlight w:val="none"/>
          <w:u w:val="single"/>
        </w:rPr>
        <w:t>日</w:t>
      </w:r>
      <w:r>
        <w:rPr>
          <w:rFonts w:hint="eastAsia" w:cs="Segoe UI"/>
          <w:sz w:val="21"/>
          <w:szCs w:val="21"/>
          <w:highlight w:val="none"/>
          <w:u w:val="single"/>
          <w:lang w:val="en-US" w:eastAsia="zh-CN"/>
        </w:rPr>
        <w:t>10</w:t>
      </w:r>
      <w:r>
        <w:rPr>
          <w:rFonts w:hint="eastAsia" w:cs="Segoe UI"/>
          <w:sz w:val="21"/>
          <w:szCs w:val="21"/>
          <w:highlight w:val="none"/>
          <w:u w:val="single"/>
        </w:rPr>
        <w:t>点</w:t>
      </w:r>
      <w:r>
        <w:rPr>
          <w:rFonts w:hint="eastAsia" w:cs="Segoe UI"/>
          <w:sz w:val="21"/>
          <w:szCs w:val="21"/>
          <w:highlight w:val="none"/>
          <w:u w:val="single"/>
          <w:lang w:val="en-US" w:eastAsia="zh-CN"/>
        </w:rPr>
        <w:t>00</w:t>
      </w:r>
      <w:r>
        <w:rPr>
          <w:rFonts w:hint="eastAsia" w:cs="Segoe UI"/>
          <w:sz w:val="21"/>
          <w:szCs w:val="21"/>
          <w:highlight w:val="none"/>
          <w:u w:val="single"/>
        </w:rPr>
        <w:t>分</w:t>
      </w:r>
      <w:r>
        <w:rPr>
          <w:rFonts w:hint="eastAsia" w:cs="Segoe UI"/>
          <w:sz w:val="21"/>
          <w:szCs w:val="21"/>
          <w:highlight w:val="none"/>
        </w:rPr>
        <w:t>（北京时间）</w:t>
      </w:r>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hint="default" w:eastAsia="宋体" w:cs="Segoe UI"/>
          <w:sz w:val="21"/>
          <w:szCs w:val="21"/>
          <w:highlight w:val="none"/>
          <w:lang w:val="en-US" w:eastAsia="zh-CN"/>
        </w:rPr>
      </w:pPr>
      <w:r>
        <w:rPr>
          <w:rFonts w:hint="eastAsia" w:cs="Segoe UI"/>
          <w:sz w:val="21"/>
          <w:szCs w:val="21"/>
          <w:highlight w:val="none"/>
        </w:rPr>
        <w:t>2.地点：</w:t>
      </w:r>
      <w:r>
        <w:rPr>
          <w:rFonts w:hint="eastAsia"/>
          <w:sz w:val="21"/>
          <w:szCs w:val="21"/>
          <w:highlight w:val="none"/>
          <w:u w:val="single"/>
          <w:lang w:val="en-US" w:eastAsia="zh-CN"/>
        </w:rPr>
        <w:t xml:space="preserve"> </w:t>
      </w:r>
      <w:bookmarkStart w:id="28" w:name="OLE_LINK27"/>
      <w:r>
        <w:rPr>
          <w:rFonts w:hint="eastAsia" w:cs="Segoe UI"/>
          <w:color w:val="333333"/>
          <w:sz w:val="21"/>
          <w:szCs w:val="21"/>
          <w:highlight w:val="none"/>
          <w:u w:val="single"/>
        </w:rPr>
        <w:t>武汉市洪山区民族大道1</w:t>
      </w:r>
      <w:r>
        <w:rPr>
          <w:rFonts w:cs="Segoe UI"/>
          <w:color w:val="333333"/>
          <w:sz w:val="21"/>
          <w:szCs w:val="21"/>
          <w:highlight w:val="none"/>
          <w:u w:val="single"/>
        </w:rPr>
        <w:t>82</w:t>
      </w:r>
      <w:r>
        <w:rPr>
          <w:rFonts w:hint="eastAsia" w:cs="Segoe UI"/>
          <w:color w:val="333333"/>
          <w:sz w:val="21"/>
          <w:szCs w:val="21"/>
          <w:highlight w:val="none"/>
          <w:u w:val="single"/>
        </w:rPr>
        <w:t>号</w:t>
      </w:r>
      <w:r>
        <w:rPr>
          <w:rFonts w:ascii="Times New Roman" w:hAnsi="Times New Roman" w:cs="Times New Roman"/>
          <w:color w:val="333333"/>
          <w:sz w:val="21"/>
          <w:szCs w:val="21"/>
          <w:highlight w:val="none"/>
          <w:u w:val="single"/>
        </w:rPr>
        <w:t>中南民族大学</w:t>
      </w:r>
      <w:r>
        <w:rPr>
          <w:rFonts w:hint="eastAsia" w:ascii="Times New Roman" w:hAnsi="Times New Roman" w:cs="Times New Roman"/>
          <w:color w:val="333333"/>
          <w:sz w:val="21"/>
          <w:szCs w:val="21"/>
          <w:highlight w:val="none"/>
          <w:u w:val="single"/>
          <w:lang w:val="en-US" w:eastAsia="zh-CN"/>
        </w:rPr>
        <w:t>4号教学楼一楼报告厅（八角楼）</w:t>
      </w:r>
      <w:bookmarkEnd w:id="28"/>
    </w:p>
    <w:p>
      <w:pPr>
        <w:pStyle w:val="38"/>
        <w:snapToGrid w:val="0"/>
        <w:spacing w:before="0" w:beforeAutospacing="0" w:after="0" w:afterAutospacing="0" w:line="360" w:lineRule="auto"/>
        <w:ind w:firstLine="555"/>
        <w:jc w:val="both"/>
        <w:rPr>
          <w:rFonts w:cs="Segoe UI"/>
          <w:sz w:val="21"/>
          <w:szCs w:val="21"/>
          <w:highlight w:val="none"/>
        </w:rPr>
      </w:pPr>
      <w:r>
        <w:rPr>
          <w:rFonts w:hint="eastAsia" w:cs="Segoe UI"/>
          <w:sz w:val="21"/>
          <w:szCs w:val="21"/>
          <w:highlight w:val="none"/>
        </w:rPr>
        <w:t>五、开启</w:t>
      </w:r>
      <w:r>
        <w:rPr>
          <w:rFonts w:cs="Segoe UI"/>
          <w:sz w:val="21"/>
          <w:szCs w:val="21"/>
          <w:highlight w:val="none"/>
        </w:rPr>
        <w:t xml:space="preserve"> </w:t>
      </w:r>
    </w:p>
    <w:p>
      <w:pPr>
        <w:pStyle w:val="38"/>
        <w:snapToGrid w:val="0"/>
        <w:spacing w:before="0" w:beforeAutospacing="0" w:after="0" w:afterAutospacing="0" w:line="360" w:lineRule="auto"/>
        <w:ind w:firstLine="555"/>
        <w:jc w:val="both"/>
        <w:rPr>
          <w:rFonts w:hint="eastAsia" w:cs="Segoe UI"/>
          <w:color w:val="333333"/>
          <w:sz w:val="21"/>
          <w:szCs w:val="21"/>
          <w:highlight w:val="none"/>
        </w:rPr>
      </w:pPr>
      <w:r>
        <w:rPr>
          <w:rFonts w:hint="eastAsia" w:cs="Segoe UI"/>
          <w:color w:val="333333"/>
          <w:sz w:val="21"/>
          <w:szCs w:val="21"/>
          <w:highlight w:val="none"/>
        </w:rPr>
        <w:t>1.时间：</w:t>
      </w:r>
      <w:r>
        <w:rPr>
          <w:rFonts w:hint="eastAsia" w:cs="Segoe UI"/>
          <w:color w:val="333333"/>
          <w:sz w:val="21"/>
          <w:szCs w:val="21"/>
          <w:highlight w:val="none"/>
          <w:u w:val="single"/>
        </w:rPr>
        <w:t>202</w:t>
      </w:r>
      <w:r>
        <w:rPr>
          <w:rFonts w:hint="eastAsia" w:cs="Segoe UI"/>
          <w:color w:val="333333"/>
          <w:sz w:val="21"/>
          <w:szCs w:val="21"/>
          <w:highlight w:val="none"/>
          <w:u w:val="single"/>
          <w:lang w:val="en-US" w:eastAsia="zh-CN"/>
        </w:rPr>
        <w:t>6</w:t>
      </w:r>
      <w:r>
        <w:rPr>
          <w:rFonts w:hint="eastAsia" w:cs="Segoe UI"/>
          <w:color w:val="333333"/>
          <w:sz w:val="21"/>
          <w:szCs w:val="21"/>
          <w:highlight w:val="none"/>
          <w:u w:val="single"/>
        </w:rPr>
        <w:t>年</w:t>
      </w:r>
      <w:r>
        <w:rPr>
          <w:rFonts w:hint="eastAsia" w:cs="Segoe UI"/>
          <w:color w:val="333333"/>
          <w:sz w:val="21"/>
          <w:szCs w:val="21"/>
          <w:highlight w:val="none"/>
          <w:u w:val="single"/>
          <w:lang w:val="en-US" w:eastAsia="zh-CN"/>
        </w:rPr>
        <w:t xml:space="preserve"> 03 </w:t>
      </w:r>
      <w:r>
        <w:rPr>
          <w:rFonts w:hint="eastAsia" w:cs="Segoe UI"/>
          <w:color w:val="333333"/>
          <w:sz w:val="21"/>
          <w:szCs w:val="21"/>
          <w:highlight w:val="none"/>
          <w:u w:val="single"/>
        </w:rPr>
        <w:t>月</w:t>
      </w:r>
      <w:r>
        <w:rPr>
          <w:rFonts w:hint="eastAsia" w:cs="Segoe UI"/>
          <w:color w:val="333333"/>
          <w:sz w:val="21"/>
          <w:szCs w:val="21"/>
          <w:highlight w:val="none"/>
          <w:u w:val="single"/>
          <w:lang w:val="en-US" w:eastAsia="zh-CN"/>
        </w:rPr>
        <w:t xml:space="preserve"> 16 </w:t>
      </w:r>
      <w:r>
        <w:rPr>
          <w:rFonts w:hint="eastAsia" w:cs="Segoe UI"/>
          <w:color w:val="333333"/>
          <w:sz w:val="21"/>
          <w:szCs w:val="21"/>
          <w:highlight w:val="none"/>
          <w:u w:val="single"/>
        </w:rPr>
        <w:t>日</w:t>
      </w:r>
      <w:r>
        <w:rPr>
          <w:rFonts w:hint="eastAsia" w:cs="Segoe UI"/>
          <w:color w:val="333333"/>
          <w:sz w:val="21"/>
          <w:szCs w:val="21"/>
          <w:highlight w:val="none"/>
          <w:u w:val="single"/>
          <w:lang w:val="en-US" w:eastAsia="zh-CN"/>
        </w:rPr>
        <w:t>10</w:t>
      </w:r>
      <w:r>
        <w:rPr>
          <w:rFonts w:hint="eastAsia" w:cs="Segoe UI"/>
          <w:color w:val="333333"/>
          <w:sz w:val="21"/>
          <w:szCs w:val="21"/>
          <w:highlight w:val="none"/>
          <w:u w:val="single"/>
        </w:rPr>
        <w:t>点</w:t>
      </w:r>
      <w:r>
        <w:rPr>
          <w:rFonts w:hint="eastAsia" w:cs="Segoe UI"/>
          <w:color w:val="333333"/>
          <w:sz w:val="21"/>
          <w:szCs w:val="21"/>
          <w:highlight w:val="none"/>
          <w:u w:val="single"/>
          <w:lang w:val="en-US" w:eastAsia="zh-CN"/>
        </w:rPr>
        <w:t>00</w:t>
      </w:r>
      <w:r>
        <w:rPr>
          <w:rFonts w:hint="eastAsia" w:cs="Segoe UI"/>
          <w:color w:val="333333"/>
          <w:sz w:val="21"/>
          <w:szCs w:val="21"/>
          <w:highlight w:val="none"/>
          <w:u w:val="single"/>
        </w:rPr>
        <w:t>分</w:t>
      </w:r>
      <w:r>
        <w:rPr>
          <w:rFonts w:hint="eastAsia" w:cs="Segoe UI"/>
          <w:color w:val="333333"/>
          <w:sz w:val="21"/>
          <w:szCs w:val="21"/>
          <w:highlight w:val="none"/>
        </w:rPr>
        <w:t xml:space="preserve">（北京时间） </w:t>
      </w:r>
    </w:p>
    <w:p>
      <w:pPr>
        <w:pStyle w:val="38"/>
        <w:snapToGrid w:val="0"/>
        <w:spacing w:before="0" w:beforeAutospacing="0" w:after="0" w:afterAutospacing="0" w:line="360" w:lineRule="auto"/>
        <w:ind w:firstLine="555"/>
        <w:jc w:val="both"/>
        <w:rPr>
          <w:rFonts w:hint="eastAsia" w:cs="Segoe UI"/>
          <w:color w:val="333333"/>
          <w:sz w:val="21"/>
          <w:szCs w:val="21"/>
          <w:highlight w:val="none"/>
          <w:u w:val="single"/>
        </w:rPr>
      </w:pPr>
      <w:r>
        <w:rPr>
          <w:rFonts w:hint="eastAsia" w:cs="Segoe UI"/>
          <w:color w:val="333333"/>
          <w:sz w:val="21"/>
          <w:szCs w:val="21"/>
          <w:highlight w:val="none"/>
        </w:rPr>
        <w:t>2.地点：</w:t>
      </w:r>
      <w:r>
        <w:rPr>
          <w:rFonts w:hint="eastAsia" w:cs="Segoe UI"/>
          <w:color w:val="333333"/>
          <w:sz w:val="21"/>
          <w:szCs w:val="21"/>
          <w:highlight w:val="none"/>
          <w:u w:val="single"/>
          <w:lang w:val="en-US" w:eastAsia="zh-CN"/>
        </w:rPr>
        <w:t xml:space="preserve"> </w:t>
      </w:r>
      <w:r>
        <w:rPr>
          <w:rFonts w:hint="eastAsia" w:cs="Segoe UI"/>
          <w:color w:val="333333"/>
          <w:sz w:val="21"/>
          <w:szCs w:val="21"/>
          <w:highlight w:val="none"/>
          <w:u w:val="single"/>
        </w:rPr>
        <w:t>武汉市洪山区民族大道1</w:t>
      </w:r>
      <w:r>
        <w:rPr>
          <w:rFonts w:cs="Segoe UI"/>
          <w:color w:val="333333"/>
          <w:sz w:val="21"/>
          <w:szCs w:val="21"/>
          <w:highlight w:val="none"/>
          <w:u w:val="single"/>
        </w:rPr>
        <w:t>82</w:t>
      </w:r>
      <w:r>
        <w:rPr>
          <w:rFonts w:hint="eastAsia" w:cs="Segoe UI"/>
          <w:color w:val="333333"/>
          <w:sz w:val="21"/>
          <w:szCs w:val="21"/>
          <w:highlight w:val="none"/>
          <w:u w:val="single"/>
        </w:rPr>
        <w:t>号</w:t>
      </w:r>
      <w:r>
        <w:rPr>
          <w:rFonts w:ascii="Times New Roman" w:hAnsi="Times New Roman" w:cs="Times New Roman"/>
          <w:color w:val="333333"/>
          <w:sz w:val="21"/>
          <w:szCs w:val="21"/>
          <w:highlight w:val="none"/>
          <w:u w:val="single"/>
        </w:rPr>
        <w:t>中南民族大学</w:t>
      </w:r>
      <w:r>
        <w:rPr>
          <w:rFonts w:hint="eastAsia" w:ascii="Times New Roman" w:hAnsi="Times New Roman" w:cs="Times New Roman"/>
          <w:color w:val="333333"/>
          <w:sz w:val="21"/>
          <w:szCs w:val="21"/>
          <w:highlight w:val="none"/>
          <w:u w:val="single"/>
          <w:lang w:val="en-US" w:eastAsia="zh-CN"/>
        </w:rPr>
        <w:t>4号教学楼一楼报告厅（八角楼）</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六、公告期限</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自本公告发布之日起3个工作日。</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七、其他补充事宜</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sz w:val="21"/>
          <w:szCs w:val="21"/>
          <w:highlight w:val="none"/>
          <w:u w:val="single"/>
        </w:rPr>
      </w:pPr>
      <w:r>
        <w:rPr>
          <w:rFonts w:hint="eastAsia"/>
          <w:sz w:val="21"/>
          <w:szCs w:val="21"/>
          <w:highlight w:val="none"/>
          <w:u w:val="single"/>
        </w:rPr>
        <w:t>1、采购项目需要落实的政府采购政策：本项目需落实的节能环保、中小微型企业扶持（含支持监狱企业发展、促进残疾人就业）等相关政府采购政策详见</w:t>
      </w:r>
      <w:r>
        <w:rPr>
          <w:rFonts w:hint="eastAsia"/>
          <w:sz w:val="21"/>
          <w:szCs w:val="21"/>
          <w:highlight w:val="none"/>
          <w:u w:val="single"/>
          <w:lang w:eastAsia="zh-CN"/>
        </w:rPr>
        <w:t>采购文件</w:t>
      </w:r>
      <w:r>
        <w:rPr>
          <w:rFonts w:hint="eastAsia"/>
          <w:sz w:val="21"/>
          <w:szCs w:val="21"/>
          <w:highlight w:val="none"/>
          <w:u w:val="single"/>
        </w:rPr>
        <w:t>。</w:t>
      </w:r>
    </w:p>
    <w:p>
      <w:pPr>
        <w:widowControl/>
        <w:snapToGrid w:val="0"/>
        <w:spacing w:before="0" w:beforeAutospacing="0" w:after="0" w:afterAutospacing="0" w:line="360" w:lineRule="auto"/>
        <w:ind w:firstLine="555"/>
        <w:jc w:val="both"/>
        <w:rPr>
          <w:rFonts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w:t>
      </w:r>
      <w:r>
        <w:rPr>
          <w:rFonts w:hint="eastAsia" w:ascii="宋体" w:hAnsi="宋体" w:cs="宋体"/>
          <w:kern w:val="0"/>
          <w:sz w:val="21"/>
          <w:szCs w:val="21"/>
          <w:highlight w:val="none"/>
          <w:lang w:val="en-US" w:eastAsia="zh-CN" w:bidi="ar-SA"/>
        </w:rPr>
        <w:t>缴纳报名费的</w:t>
      </w:r>
      <w:r>
        <w:rPr>
          <w:rFonts w:hint="eastAsia" w:ascii="宋体" w:hAnsi="宋体" w:eastAsia="宋体" w:cs="宋体"/>
          <w:kern w:val="0"/>
          <w:sz w:val="21"/>
          <w:szCs w:val="21"/>
          <w:highlight w:val="none"/>
          <w:lang w:val="en-US" w:eastAsia="zh-CN" w:bidi="ar-SA"/>
        </w:rPr>
        <w:t xml:space="preserve">采购代理机构银行资料： </w:t>
      </w:r>
    </w:p>
    <w:p>
      <w:pPr>
        <w:widowControl/>
        <w:snapToGrid w:val="0"/>
        <w:spacing w:before="0" w:beforeAutospacing="0" w:after="0" w:afterAutospacing="0" w:line="360" w:lineRule="auto"/>
        <w:ind w:firstLine="555"/>
        <w:jc w:val="both"/>
        <w:rPr>
          <w:rFonts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户    名：湖北省招标股份有限公司</w:t>
      </w:r>
    </w:p>
    <w:p>
      <w:pPr>
        <w:widowControl/>
        <w:snapToGrid w:val="0"/>
        <w:spacing w:before="0" w:beforeAutospacing="0" w:after="0" w:afterAutospacing="0" w:line="360" w:lineRule="auto"/>
        <w:ind w:firstLine="555"/>
        <w:jc w:val="both"/>
        <w:rPr>
          <w:rFonts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开 户 行：招商银行水果湖支行</w:t>
      </w:r>
    </w:p>
    <w:p>
      <w:pPr>
        <w:widowControl/>
        <w:snapToGrid w:val="0"/>
        <w:spacing w:before="0" w:beforeAutospacing="0" w:after="0" w:afterAutospacing="0" w:line="360" w:lineRule="auto"/>
        <w:ind w:firstLine="555"/>
        <w:jc w:val="both"/>
        <w:rPr>
          <w:rFonts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行    号：308521015186</w:t>
      </w:r>
    </w:p>
    <w:p>
      <w:pPr>
        <w:widowControl/>
        <w:snapToGrid w:val="0"/>
        <w:spacing w:before="0" w:beforeAutospacing="0" w:after="0" w:afterAutospacing="0" w:line="360" w:lineRule="auto"/>
        <w:ind w:firstLine="555"/>
        <w:jc w:val="both"/>
        <w:rPr>
          <w:rFonts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账    号：12790 54338 10603</w:t>
      </w:r>
    </w:p>
    <w:p>
      <w:pPr>
        <w:pStyle w:val="38"/>
        <w:snapToGrid w:val="0"/>
        <w:spacing w:before="0" w:beforeAutospacing="0" w:after="0" w:afterAutospacing="0" w:line="360" w:lineRule="auto"/>
        <w:ind w:firstLine="555"/>
        <w:jc w:val="both"/>
        <w:rPr>
          <w:rFonts w:hint="eastAsia" w:cs="Segoe UI"/>
          <w:color w:val="333333"/>
          <w:sz w:val="21"/>
          <w:szCs w:val="21"/>
          <w:highlight w:val="none"/>
        </w:rPr>
      </w:pPr>
      <w:r>
        <w:rPr>
          <w:rFonts w:hint="eastAsia" w:cs="Segoe UI"/>
          <w:color w:val="333333"/>
          <w:sz w:val="21"/>
          <w:szCs w:val="21"/>
          <w:highlight w:val="none"/>
          <w:lang w:val="en-US" w:eastAsia="zh-CN"/>
        </w:rPr>
        <w:t>3</w:t>
      </w:r>
      <w:r>
        <w:rPr>
          <w:rFonts w:hint="eastAsia" w:cs="Segoe UI"/>
          <w:color w:val="333333"/>
          <w:sz w:val="21"/>
          <w:szCs w:val="21"/>
          <w:highlight w:val="none"/>
        </w:rPr>
        <w:t>.供应商进入学校提交响应文件时需手持填写完整并签字盖章的《校外单位入校投标申请表》，否则由此产生的后果由供应商承担。</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八、凡对本次采购提出询问，请按以下方式联系</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1.采购人信息</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名</w:t>
      </w:r>
      <w:r>
        <w:rPr>
          <w:rFonts w:cs="Calibri"/>
          <w:color w:val="333333"/>
          <w:sz w:val="21"/>
          <w:szCs w:val="21"/>
          <w:highlight w:val="none"/>
        </w:rPr>
        <w:t>   </w:t>
      </w:r>
      <w:r>
        <w:rPr>
          <w:rFonts w:hint="eastAsia" w:cs="Segoe UI"/>
          <w:color w:val="333333"/>
          <w:sz w:val="21"/>
          <w:szCs w:val="21"/>
          <w:highlight w:val="none"/>
        </w:rPr>
        <w:t>称：</w:t>
      </w:r>
      <w:r>
        <w:rPr>
          <w:rFonts w:ascii="Times New Roman" w:hAnsi="Times New Roman" w:cs="Times New Roman"/>
          <w:color w:val="333333"/>
          <w:sz w:val="21"/>
          <w:szCs w:val="21"/>
          <w:highlight w:val="none"/>
          <w:u w:val="single"/>
        </w:rPr>
        <w:t>中南民族大学</w:t>
      </w:r>
      <w:r>
        <w:rPr>
          <w:rFonts w:cs="Segoe UI"/>
          <w:color w:val="333333"/>
          <w:sz w:val="21"/>
          <w:szCs w:val="21"/>
          <w:highlight w:val="none"/>
          <w:u w:val="singl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地</w:t>
      </w:r>
      <w:r>
        <w:rPr>
          <w:rFonts w:cs="Calibri"/>
          <w:color w:val="333333"/>
          <w:sz w:val="21"/>
          <w:szCs w:val="21"/>
          <w:highlight w:val="none"/>
        </w:rPr>
        <w:t>   </w:t>
      </w:r>
      <w:r>
        <w:rPr>
          <w:rFonts w:hint="eastAsia" w:cs="Segoe UI"/>
          <w:color w:val="333333"/>
          <w:sz w:val="21"/>
          <w:szCs w:val="21"/>
          <w:highlight w:val="none"/>
        </w:rPr>
        <w:t>址：</w:t>
      </w:r>
      <w:r>
        <w:rPr>
          <w:rFonts w:hint="eastAsia" w:cs="Segoe UI"/>
          <w:color w:val="333333"/>
          <w:sz w:val="21"/>
          <w:szCs w:val="21"/>
          <w:highlight w:val="none"/>
          <w:u w:val="single"/>
        </w:rPr>
        <w:t>武汉市洪山区民族大道1</w:t>
      </w:r>
      <w:r>
        <w:rPr>
          <w:rFonts w:cs="Segoe UI"/>
          <w:color w:val="333333"/>
          <w:sz w:val="21"/>
          <w:szCs w:val="21"/>
          <w:highlight w:val="none"/>
          <w:u w:val="single"/>
        </w:rPr>
        <w:t>82</w:t>
      </w:r>
      <w:r>
        <w:rPr>
          <w:rFonts w:hint="eastAsia" w:cs="Segoe UI"/>
          <w:color w:val="333333"/>
          <w:sz w:val="21"/>
          <w:szCs w:val="21"/>
          <w:highlight w:val="none"/>
          <w:u w:val="single"/>
        </w:rPr>
        <w:t>号</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 xml:space="preserve">联 </w:t>
      </w:r>
      <w:r>
        <w:rPr>
          <w:rFonts w:cs="Segoe UI"/>
          <w:color w:val="333333"/>
          <w:sz w:val="21"/>
          <w:szCs w:val="21"/>
          <w:highlight w:val="none"/>
        </w:rPr>
        <w:t xml:space="preserve"> </w:t>
      </w:r>
      <w:r>
        <w:rPr>
          <w:rFonts w:hint="eastAsia" w:cs="Segoe UI"/>
          <w:color w:val="333333"/>
          <w:sz w:val="21"/>
          <w:szCs w:val="21"/>
          <w:highlight w:val="none"/>
        </w:rPr>
        <w:t xml:space="preserve">系 </w:t>
      </w:r>
      <w:r>
        <w:rPr>
          <w:rFonts w:cs="Segoe UI"/>
          <w:color w:val="333333"/>
          <w:sz w:val="21"/>
          <w:szCs w:val="21"/>
          <w:highlight w:val="none"/>
        </w:rPr>
        <w:t xml:space="preserve"> </w:t>
      </w:r>
      <w:r>
        <w:rPr>
          <w:rFonts w:hint="eastAsia" w:cs="Segoe UI"/>
          <w:color w:val="333333"/>
          <w:sz w:val="21"/>
          <w:szCs w:val="21"/>
          <w:highlight w:val="none"/>
        </w:rPr>
        <w:t>人：</w:t>
      </w:r>
      <w:r>
        <w:rPr>
          <w:rFonts w:hint="eastAsia" w:cs="Segoe UI"/>
          <w:color w:val="333333"/>
          <w:sz w:val="21"/>
          <w:szCs w:val="21"/>
          <w:highlight w:val="none"/>
          <w:u w:val="single"/>
          <w:lang w:val="en-US" w:eastAsia="zh-CN"/>
        </w:rPr>
        <w:t>朱</w:t>
      </w:r>
      <w:r>
        <w:rPr>
          <w:rFonts w:hint="eastAsia" w:cs="Segoe UI"/>
          <w:color w:val="333333"/>
          <w:sz w:val="21"/>
          <w:szCs w:val="21"/>
          <w:highlight w:val="none"/>
          <w:u w:val="single"/>
        </w:rPr>
        <w:t>老师</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hint="default" w:eastAsia="宋体" w:cs="Segoe UI"/>
          <w:color w:val="333333"/>
          <w:sz w:val="21"/>
          <w:szCs w:val="21"/>
          <w:highlight w:val="none"/>
          <w:lang w:val="en-US" w:eastAsia="zh-CN"/>
        </w:rPr>
      </w:pPr>
      <w:r>
        <w:rPr>
          <w:rFonts w:hint="eastAsia" w:cs="Segoe UI"/>
          <w:color w:val="333333"/>
          <w:sz w:val="21"/>
          <w:szCs w:val="21"/>
          <w:highlight w:val="none"/>
        </w:rPr>
        <w:t>联系方式：</w:t>
      </w:r>
      <w:r>
        <w:rPr>
          <w:rFonts w:hint="eastAsia" w:cs="Segoe UI"/>
          <w:color w:val="333333"/>
          <w:sz w:val="21"/>
          <w:szCs w:val="21"/>
          <w:highlight w:val="none"/>
          <w:u w:val="single"/>
        </w:rPr>
        <w:t>0</w:t>
      </w:r>
      <w:r>
        <w:rPr>
          <w:rFonts w:cs="Segoe UI"/>
          <w:color w:val="333333"/>
          <w:sz w:val="21"/>
          <w:szCs w:val="21"/>
          <w:highlight w:val="none"/>
          <w:u w:val="single"/>
        </w:rPr>
        <w:t>27</w:t>
      </w:r>
      <w:r>
        <w:rPr>
          <w:rFonts w:hint="eastAsia" w:cs="Segoe UI"/>
          <w:color w:val="333333"/>
          <w:sz w:val="21"/>
          <w:szCs w:val="21"/>
          <w:highlight w:val="none"/>
          <w:u w:val="single"/>
        </w:rPr>
        <w:t>-</w:t>
      </w:r>
      <w:r>
        <w:rPr>
          <w:rFonts w:cs="Segoe UI"/>
          <w:color w:val="333333"/>
          <w:sz w:val="21"/>
          <w:szCs w:val="21"/>
          <w:highlight w:val="none"/>
          <w:u w:val="single"/>
        </w:rPr>
        <w:t>6784</w:t>
      </w:r>
      <w:r>
        <w:rPr>
          <w:rFonts w:hint="eastAsia" w:cs="Segoe UI"/>
          <w:color w:val="333333"/>
          <w:sz w:val="21"/>
          <w:szCs w:val="21"/>
          <w:highlight w:val="none"/>
          <w:u w:val="single"/>
          <w:lang w:val="en-US" w:eastAsia="zh-CN"/>
        </w:rPr>
        <w:t>3832</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2.采购代理机构信息</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名</w:t>
      </w:r>
      <w:r>
        <w:rPr>
          <w:rFonts w:cs="Calibri"/>
          <w:color w:val="333333"/>
          <w:sz w:val="21"/>
          <w:szCs w:val="21"/>
          <w:highlight w:val="none"/>
        </w:rPr>
        <w:t>   </w:t>
      </w:r>
      <w:r>
        <w:rPr>
          <w:rFonts w:hint="eastAsia" w:cs="Segoe UI"/>
          <w:color w:val="333333"/>
          <w:sz w:val="21"/>
          <w:szCs w:val="21"/>
          <w:highlight w:val="none"/>
        </w:rPr>
        <w:t>称：</w:t>
      </w:r>
      <w:r>
        <w:rPr>
          <w:rFonts w:hint="eastAsia" w:cs="Segoe UI"/>
          <w:color w:val="333333"/>
          <w:sz w:val="21"/>
          <w:szCs w:val="21"/>
          <w:highlight w:val="none"/>
          <w:u w:val="single"/>
        </w:rPr>
        <w:t>湖北省招标股份有限公司</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地</w:t>
      </w:r>
      <w:r>
        <w:rPr>
          <w:rFonts w:cs="Calibri"/>
          <w:color w:val="333333"/>
          <w:sz w:val="21"/>
          <w:szCs w:val="21"/>
          <w:highlight w:val="none"/>
        </w:rPr>
        <w:t>   </w:t>
      </w:r>
      <w:r>
        <w:rPr>
          <w:rFonts w:hint="eastAsia" w:cs="Segoe UI"/>
          <w:color w:val="333333"/>
          <w:sz w:val="21"/>
          <w:szCs w:val="21"/>
          <w:highlight w:val="none"/>
        </w:rPr>
        <w:t>址：</w:t>
      </w:r>
      <w:r>
        <w:rPr>
          <w:rFonts w:hint="eastAsia" w:cs="Segoe UI"/>
          <w:color w:val="333333"/>
          <w:sz w:val="21"/>
          <w:szCs w:val="21"/>
          <w:highlight w:val="none"/>
          <w:u w:val="single"/>
        </w:rPr>
        <w:t>武汉市武昌区中北路108号兴业银行大厦五层</w:t>
      </w:r>
      <w:r>
        <w:rPr>
          <w:rFonts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联系方式：027-87716883</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 xml:space="preserve">3.项目联系方式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项目联系人：</w:t>
      </w:r>
      <w:r>
        <w:rPr>
          <w:rFonts w:hint="eastAsia" w:cs="Segoe UI"/>
          <w:color w:val="333333"/>
          <w:sz w:val="21"/>
          <w:szCs w:val="21"/>
          <w:highlight w:val="none"/>
          <w:lang w:val="en-US" w:eastAsia="zh-CN"/>
        </w:rPr>
        <w:t>李彦豪、</w:t>
      </w:r>
      <w:r>
        <w:rPr>
          <w:rFonts w:hint="eastAsia" w:cs="Segoe UI"/>
          <w:sz w:val="21"/>
          <w:szCs w:val="21"/>
          <w:highlight w:val="none"/>
        </w:rPr>
        <w:t>陈芳铭、田翠</w:t>
      </w:r>
      <w:r>
        <w:rPr>
          <w:rFonts w:hint="eastAsia" w:cs="Segoe UI"/>
          <w:color w:val="333333"/>
          <w:sz w:val="21"/>
          <w:szCs w:val="21"/>
          <w:highlight w:val="none"/>
        </w:rPr>
        <w:t xml:space="preserve"> </w:t>
      </w:r>
    </w:p>
    <w:p>
      <w:pPr>
        <w:pStyle w:val="38"/>
        <w:snapToGrid w:val="0"/>
        <w:spacing w:before="0" w:beforeAutospacing="0" w:after="0" w:afterAutospacing="0" w:line="360" w:lineRule="auto"/>
        <w:ind w:firstLine="555"/>
        <w:jc w:val="both"/>
        <w:rPr>
          <w:rFonts w:cs="Segoe UI"/>
          <w:color w:val="333333"/>
          <w:sz w:val="21"/>
          <w:szCs w:val="21"/>
          <w:highlight w:val="none"/>
        </w:rPr>
      </w:pPr>
      <w:r>
        <w:rPr>
          <w:rFonts w:hint="eastAsia" w:cs="Segoe UI"/>
          <w:color w:val="333333"/>
          <w:sz w:val="21"/>
          <w:szCs w:val="21"/>
          <w:highlight w:val="none"/>
        </w:rPr>
        <w:t xml:space="preserve">电   话：027-87716883 </w:t>
      </w:r>
    </w:p>
    <w:p>
      <w:pPr>
        <w:widowControl/>
        <w:snapToGrid w:val="0"/>
        <w:spacing w:line="360" w:lineRule="auto"/>
        <w:jc w:val="right"/>
        <w:rPr>
          <w:rFonts w:ascii="宋体" w:hAnsi="宋体" w:cs="宋体"/>
          <w:szCs w:val="21"/>
          <w:highlight w:val="none"/>
        </w:rPr>
      </w:pPr>
      <w:r>
        <w:rPr>
          <w:rFonts w:hint="eastAsia" w:ascii="宋体" w:hAnsi="宋体" w:cs="宋体"/>
          <w:kern w:val="0"/>
          <w:szCs w:val="21"/>
          <w:highlight w:val="none"/>
          <w:lang w:bidi="ar"/>
        </w:rPr>
        <w:t> </w:t>
      </w:r>
    </w:p>
    <w:p>
      <w:pPr>
        <w:snapToGrid w:val="0"/>
        <w:spacing w:line="360" w:lineRule="auto"/>
        <w:jc w:val="right"/>
        <w:rPr>
          <w:rFonts w:ascii="宋体" w:hAnsi="宋体" w:cs="宋体"/>
          <w:b/>
          <w:kern w:val="0"/>
          <w:szCs w:val="21"/>
          <w:highlight w:val="none"/>
          <w:lang w:bidi="ar"/>
        </w:rPr>
      </w:pPr>
      <w:r>
        <w:rPr>
          <w:rFonts w:hint="eastAsia" w:ascii="宋体" w:hAnsi="宋体" w:cs="宋体"/>
          <w:kern w:val="0"/>
          <w:szCs w:val="21"/>
          <w:highlight w:val="none"/>
          <w:lang w:bidi="ar"/>
        </w:rPr>
        <w:t> </w:t>
      </w:r>
      <w:r>
        <w:rPr>
          <w:rFonts w:hint="eastAsia" w:ascii="宋体" w:hAnsi="宋体" w:cs="宋体"/>
          <w:b/>
          <w:kern w:val="0"/>
          <w:szCs w:val="21"/>
          <w:highlight w:val="none"/>
          <w:lang w:bidi="ar"/>
        </w:rPr>
        <w:t>湖北省招标股份有限公司</w:t>
      </w:r>
    </w:p>
    <w:p>
      <w:pPr>
        <w:snapToGrid w:val="0"/>
        <w:spacing w:line="324" w:lineRule="auto"/>
        <w:ind w:firstLine="6852" w:firstLineChars="3250"/>
        <w:rPr>
          <w:rFonts w:ascii="宋体" w:hAnsi="宋体" w:eastAsiaTheme="minorEastAsia"/>
          <w:szCs w:val="21"/>
          <w:highlight w:val="none"/>
        </w:rPr>
      </w:pPr>
      <w:r>
        <w:rPr>
          <w:rFonts w:hint="eastAsia" w:ascii="宋体" w:hAnsi="宋体" w:cs="宋体"/>
          <w:b/>
          <w:kern w:val="0"/>
          <w:szCs w:val="21"/>
          <w:highlight w:val="none"/>
          <w:lang w:bidi="ar"/>
        </w:rPr>
        <w:t>202</w:t>
      </w:r>
      <w:r>
        <w:rPr>
          <w:rFonts w:hint="eastAsia" w:ascii="宋体" w:hAnsi="宋体" w:cs="宋体"/>
          <w:b/>
          <w:kern w:val="0"/>
          <w:szCs w:val="21"/>
          <w:highlight w:val="none"/>
          <w:lang w:val="en-US" w:eastAsia="zh-CN" w:bidi="ar"/>
        </w:rPr>
        <w:t>6</w:t>
      </w:r>
      <w:r>
        <w:rPr>
          <w:rFonts w:hint="eastAsia" w:ascii="宋体" w:hAnsi="宋体" w:cs="宋体"/>
          <w:b/>
          <w:kern w:val="0"/>
          <w:szCs w:val="21"/>
          <w:highlight w:val="none"/>
          <w:lang w:bidi="ar"/>
        </w:rPr>
        <w:t>年</w:t>
      </w:r>
      <w:r>
        <w:rPr>
          <w:rFonts w:hint="eastAsia" w:ascii="宋体" w:hAnsi="宋体" w:cs="宋体"/>
          <w:b/>
          <w:kern w:val="0"/>
          <w:szCs w:val="21"/>
          <w:highlight w:val="none"/>
          <w:lang w:val="en-US" w:eastAsia="zh-CN" w:bidi="ar"/>
        </w:rPr>
        <w:t xml:space="preserve"> 03 </w:t>
      </w:r>
      <w:r>
        <w:rPr>
          <w:rFonts w:hint="eastAsia" w:ascii="宋体" w:hAnsi="宋体" w:cs="宋体"/>
          <w:b/>
          <w:kern w:val="0"/>
          <w:szCs w:val="21"/>
          <w:highlight w:val="none"/>
          <w:lang w:bidi="ar"/>
        </w:rPr>
        <w:t>月</w:t>
      </w:r>
      <w:r>
        <w:rPr>
          <w:rFonts w:hint="eastAsia" w:ascii="宋体" w:hAnsi="宋体" w:cs="宋体"/>
          <w:b/>
          <w:kern w:val="0"/>
          <w:szCs w:val="21"/>
          <w:highlight w:val="none"/>
          <w:lang w:val="en-US" w:eastAsia="zh-CN" w:bidi="ar"/>
        </w:rPr>
        <w:t xml:space="preserve"> 03 </w:t>
      </w:r>
      <w:r>
        <w:rPr>
          <w:rFonts w:hint="eastAsia" w:ascii="宋体" w:hAnsi="宋体" w:cs="宋体"/>
          <w:b/>
          <w:kern w:val="0"/>
          <w:szCs w:val="21"/>
          <w:highlight w:val="none"/>
          <w:lang w:bidi="ar"/>
        </w:rPr>
        <w:t>日</w:t>
      </w:r>
    </w:p>
    <w:p>
      <w:pPr>
        <w:widowControl/>
        <w:jc w:val="left"/>
        <w:rPr>
          <w:rFonts w:ascii="Arial" w:hAnsi="Arial" w:cs="Arial"/>
          <w:sz w:val="18"/>
          <w:szCs w:val="18"/>
          <w:highlight w:val="none"/>
        </w:rPr>
      </w:pPr>
      <w:bookmarkStart w:id="29" w:name="_Toc442343668"/>
    </w:p>
    <w:bookmarkEnd w:id="29"/>
    <w:p>
      <w:pPr>
        <w:widowControl/>
        <w:jc w:val="left"/>
        <w:rPr>
          <w:rFonts w:ascii="宋体" w:hAnsi="宋体"/>
          <w:b/>
          <w:bCs/>
          <w:color w:val="000000" w:themeColor="text1"/>
          <w:kern w:val="44"/>
          <w:sz w:val="32"/>
          <w:szCs w:val="44"/>
          <w:highlight w:val="none"/>
          <w14:textFill>
            <w14:solidFill>
              <w14:schemeClr w14:val="tx1"/>
            </w14:solidFill>
          </w14:textFill>
        </w:rPr>
      </w:pPr>
      <w:r>
        <w:rPr>
          <w:rFonts w:ascii="宋体" w:hAnsi="宋体"/>
          <w:b/>
          <w:bCs/>
          <w:color w:val="000000" w:themeColor="text1"/>
          <w:kern w:val="44"/>
          <w:sz w:val="32"/>
          <w:szCs w:val="44"/>
          <w:highlight w:val="none"/>
          <w14:textFill>
            <w14:solidFill>
              <w14:schemeClr w14:val="tx1"/>
            </w14:solidFill>
          </w14:textFill>
        </w:rPr>
        <w:br w:type="page"/>
      </w:r>
    </w:p>
    <w:p>
      <w:pPr>
        <w:pStyle w:val="3"/>
        <w:spacing w:before="120" w:beforeLines="50" w:after="120" w:afterLines="50"/>
        <w:rPr>
          <w:rFonts w:ascii="宋体" w:hAnsi="宋体"/>
          <w:color w:val="000000" w:themeColor="text1"/>
          <w:highlight w:val="none"/>
          <w14:textFill>
            <w14:solidFill>
              <w14:schemeClr w14:val="tx1"/>
            </w14:solidFill>
          </w14:textFill>
        </w:rPr>
      </w:pPr>
      <w:bookmarkStart w:id="30" w:name="_Toc28932"/>
      <w:r>
        <w:rPr>
          <w:rFonts w:ascii="宋体" w:hAnsi="宋体"/>
          <w:color w:val="000000" w:themeColor="text1"/>
          <w:highlight w:val="none"/>
          <w14:textFill>
            <w14:solidFill>
              <w14:schemeClr w14:val="tx1"/>
            </w14:solidFill>
          </w14:textFill>
        </w:rPr>
        <w:t>第二章</w:t>
      </w:r>
      <w:r>
        <w:rPr>
          <w:rFonts w:hint="eastAsia" w:ascii="宋体" w:hAnsi="宋体"/>
          <w:color w:val="000000" w:themeColor="text1"/>
          <w:highlight w:val="none"/>
          <w14:textFill>
            <w14:solidFill>
              <w14:schemeClr w14:val="tx1"/>
            </w14:solidFill>
          </w14:textFill>
        </w:rPr>
        <w:t xml:space="preserve"> 供应商须知</w:t>
      </w:r>
      <w:bookmarkEnd w:id="30"/>
    </w:p>
    <w:p>
      <w:pPr>
        <w:pStyle w:val="4"/>
        <w:tabs>
          <w:tab w:val="left" w:pos="567"/>
          <w:tab w:val="left" w:pos="709"/>
        </w:tabs>
        <w:snapToGrid w:val="0"/>
        <w:spacing w:before="0" w:after="0" w:line="324" w:lineRule="auto"/>
        <w:jc w:val="center"/>
        <w:rPr>
          <w:rFonts w:ascii="宋体" w:hAnsi="宋体" w:eastAsiaTheme="minorEastAsia"/>
          <w:b/>
          <w:sz w:val="21"/>
          <w:szCs w:val="21"/>
          <w:highlight w:val="none"/>
          <w:lang w:val="zh-CN"/>
        </w:rPr>
      </w:pPr>
      <w:bookmarkStart w:id="31" w:name="_Toc470172661"/>
      <w:bookmarkStart w:id="32" w:name="_Toc11742"/>
      <w:r>
        <w:rPr>
          <w:rFonts w:hint="eastAsia" w:ascii="宋体" w:hAnsi="宋体" w:eastAsiaTheme="minorEastAsia"/>
          <w:b/>
          <w:sz w:val="21"/>
          <w:szCs w:val="21"/>
          <w:highlight w:val="none"/>
        </w:rPr>
        <w:t>《供应商须知前附表》</w:t>
      </w:r>
      <w:bookmarkEnd w:id="31"/>
      <w:bookmarkEnd w:id="32"/>
    </w:p>
    <w:p>
      <w:pPr>
        <w:autoSpaceDE w:val="0"/>
        <w:autoSpaceDN w:val="0"/>
        <w:adjustRightInd w:val="0"/>
        <w:snapToGrid w:val="0"/>
        <w:spacing w:line="360" w:lineRule="auto"/>
        <w:ind w:firstLine="420" w:firstLineChars="200"/>
        <w:rPr>
          <w:rFonts w:ascii="宋体" w:hAnsi="宋体"/>
          <w:szCs w:val="21"/>
          <w:highlight w:val="none"/>
          <w:lang w:val="zh-CN"/>
        </w:rPr>
      </w:pPr>
      <w:r>
        <w:rPr>
          <w:rFonts w:hint="eastAsia" w:ascii="宋体" w:hAnsi="宋体"/>
          <w:szCs w:val="21"/>
          <w:highlight w:val="none"/>
        </w:rPr>
        <w:t>磋商供应商</w:t>
      </w:r>
      <w:r>
        <w:rPr>
          <w:rFonts w:ascii="宋体" w:hAnsi="宋体"/>
          <w:szCs w:val="21"/>
          <w:highlight w:val="none"/>
        </w:rPr>
        <w:t>应仔细阅读</w:t>
      </w:r>
      <w:r>
        <w:rPr>
          <w:rFonts w:hint="eastAsia" w:ascii="宋体" w:hAnsi="宋体"/>
          <w:szCs w:val="21"/>
          <w:highlight w:val="none"/>
        </w:rPr>
        <w:t>本磋商文件</w:t>
      </w:r>
      <w:r>
        <w:rPr>
          <w:rFonts w:ascii="宋体" w:hAnsi="宋体"/>
          <w:szCs w:val="21"/>
          <w:highlight w:val="none"/>
        </w:rPr>
        <w:t>的第</w:t>
      </w:r>
      <w:r>
        <w:rPr>
          <w:rFonts w:hint="eastAsia" w:ascii="宋体" w:hAnsi="宋体"/>
          <w:szCs w:val="21"/>
          <w:highlight w:val="none"/>
        </w:rPr>
        <w:t>二</w:t>
      </w:r>
      <w:r>
        <w:rPr>
          <w:rFonts w:ascii="宋体" w:hAnsi="宋体"/>
          <w:szCs w:val="21"/>
          <w:highlight w:val="none"/>
        </w:rPr>
        <w:t>章“</w:t>
      </w:r>
      <w:r>
        <w:rPr>
          <w:rFonts w:hint="eastAsia" w:ascii="宋体" w:hAnsi="宋体"/>
          <w:szCs w:val="21"/>
          <w:highlight w:val="none"/>
        </w:rPr>
        <w:t>供应商须知</w:t>
      </w:r>
      <w:r>
        <w:rPr>
          <w:rFonts w:ascii="宋体" w:hAnsi="宋体"/>
          <w:szCs w:val="21"/>
          <w:highlight w:val="none"/>
        </w:rPr>
        <w:t>”，下面所列资料是对“</w:t>
      </w:r>
      <w:r>
        <w:rPr>
          <w:rFonts w:hint="eastAsia" w:ascii="宋体" w:hAnsi="宋体"/>
          <w:szCs w:val="21"/>
          <w:highlight w:val="none"/>
        </w:rPr>
        <w:t>供应商须知</w:t>
      </w:r>
      <w:r>
        <w:rPr>
          <w:rFonts w:ascii="宋体" w:hAnsi="宋体"/>
          <w:szCs w:val="21"/>
          <w:highlight w:val="none"/>
        </w:rPr>
        <w:t>”的具体补充和说明。</w:t>
      </w:r>
      <w:r>
        <w:rPr>
          <w:rFonts w:ascii="宋体" w:hAnsi="宋体"/>
          <w:szCs w:val="21"/>
          <w:highlight w:val="none"/>
          <w:lang w:val="zh-CN"/>
        </w:rPr>
        <w:t>如有矛盾，应以本表为准。</w:t>
      </w:r>
    </w:p>
    <w:tbl>
      <w:tblPr>
        <w:tblStyle w:val="42"/>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705"/>
        <w:gridCol w:w="2320"/>
        <w:gridCol w:w="5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tblHeader/>
          <w:jc w:val="center"/>
        </w:trPr>
        <w:tc>
          <w:tcPr>
            <w:tcW w:w="705" w:type="dxa"/>
            <w:shd w:val="clear" w:color="auto" w:fill="F1F1F1"/>
            <w:vAlign w:val="center"/>
          </w:tcPr>
          <w:p>
            <w:pPr>
              <w:autoSpaceDE w:val="0"/>
              <w:autoSpaceDN w:val="0"/>
              <w:adjustRightInd w:val="0"/>
              <w:snapToGrid w:val="0"/>
              <w:spacing w:line="300" w:lineRule="auto"/>
              <w:ind w:left="21" w:leftChars="10" w:right="21" w:rightChars="10"/>
              <w:jc w:val="center"/>
              <w:rPr>
                <w:rFonts w:ascii="宋体" w:hAnsi="宋体"/>
                <w:b/>
                <w:szCs w:val="21"/>
                <w:highlight w:val="none"/>
              </w:rPr>
            </w:pPr>
            <w:r>
              <w:rPr>
                <w:rFonts w:ascii="宋体" w:hAnsi="宋体"/>
                <w:b/>
                <w:szCs w:val="21"/>
                <w:highlight w:val="none"/>
                <w:lang w:val="zh-CN"/>
              </w:rPr>
              <w:t>条款号</w:t>
            </w:r>
          </w:p>
        </w:tc>
        <w:tc>
          <w:tcPr>
            <w:tcW w:w="2320" w:type="dxa"/>
            <w:shd w:val="clear" w:color="auto" w:fill="F1F1F1"/>
            <w:vAlign w:val="center"/>
          </w:tcPr>
          <w:p>
            <w:pPr>
              <w:autoSpaceDE w:val="0"/>
              <w:autoSpaceDN w:val="0"/>
              <w:adjustRightInd w:val="0"/>
              <w:snapToGrid w:val="0"/>
              <w:spacing w:line="300" w:lineRule="auto"/>
              <w:ind w:left="21" w:leftChars="10" w:right="21" w:rightChars="10"/>
              <w:jc w:val="center"/>
              <w:rPr>
                <w:rFonts w:ascii="宋体" w:hAnsi="宋体"/>
                <w:b/>
                <w:szCs w:val="21"/>
                <w:highlight w:val="none"/>
                <w:lang w:val="zh-CN"/>
              </w:rPr>
            </w:pPr>
            <w:r>
              <w:rPr>
                <w:rFonts w:hint="eastAsia" w:ascii="宋体" w:hAnsi="宋体"/>
                <w:b/>
                <w:szCs w:val="21"/>
                <w:highlight w:val="none"/>
                <w:lang w:val="zh-CN"/>
              </w:rPr>
              <w:t>条款名称</w:t>
            </w:r>
          </w:p>
        </w:tc>
        <w:tc>
          <w:tcPr>
            <w:tcW w:w="5934" w:type="dxa"/>
            <w:shd w:val="clear" w:color="auto" w:fill="F1F1F1"/>
            <w:vAlign w:val="center"/>
          </w:tcPr>
          <w:p>
            <w:pPr>
              <w:autoSpaceDE w:val="0"/>
              <w:autoSpaceDN w:val="0"/>
              <w:adjustRightInd w:val="0"/>
              <w:snapToGrid w:val="0"/>
              <w:spacing w:line="300" w:lineRule="auto"/>
              <w:ind w:left="21" w:leftChars="10" w:right="21" w:rightChars="10"/>
              <w:jc w:val="center"/>
              <w:rPr>
                <w:rFonts w:ascii="宋体" w:hAnsi="宋体"/>
                <w:b/>
                <w:szCs w:val="21"/>
                <w:highlight w:val="none"/>
              </w:rPr>
            </w:pPr>
            <w:r>
              <w:rPr>
                <w:rFonts w:hint="eastAsia" w:ascii="宋体" w:hAnsi="宋体"/>
                <w:b/>
                <w:szCs w:val="21"/>
                <w:highlight w:val="none"/>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1</w:t>
            </w:r>
            <w:r>
              <w:rPr>
                <w:kern w:val="2"/>
                <w:sz w:val="21"/>
                <w:szCs w:val="21"/>
                <w:highlight w:val="none"/>
                <w:lang w:val="zh-CN"/>
              </w:rPr>
              <w:t>.1</w:t>
            </w:r>
            <w:r>
              <w:rPr>
                <w:rFonts w:hint="eastAsia"/>
                <w:kern w:val="2"/>
                <w:sz w:val="21"/>
                <w:szCs w:val="21"/>
                <w:highlight w:val="none"/>
                <w:lang w:val="zh-CN"/>
              </w:rPr>
              <w:t>.2</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采购人</w:t>
            </w:r>
          </w:p>
        </w:tc>
        <w:tc>
          <w:tcPr>
            <w:tcW w:w="5934" w:type="dxa"/>
            <w:vAlign w:val="center"/>
          </w:tcPr>
          <w:p>
            <w:pPr>
              <w:snapToGrid w:val="0"/>
              <w:spacing w:line="324" w:lineRule="auto"/>
              <w:rPr>
                <w:rFonts w:ascii="宋体" w:hAnsi="宋体" w:eastAsiaTheme="minorEastAsia"/>
                <w:szCs w:val="21"/>
                <w:highlight w:val="none"/>
                <w:lang w:val="hr-HR"/>
              </w:rPr>
            </w:pPr>
            <w:r>
              <w:rPr>
                <w:rFonts w:hint="eastAsia" w:ascii="宋体" w:hAnsi="宋体"/>
                <w:szCs w:val="21"/>
                <w:highlight w:val="none"/>
              </w:rPr>
              <w:t>中南民族大学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1.1.</w:t>
            </w:r>
            <w:r>
              <w:rPr>
                <w:rFonts w:ascii="宋体" w:hAnsi="宋体"/>
                <w:szCs w:val="21"/>
                <w:highlight w:val="none"/>
              </w:rPr>
              <w:t>3</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采购代理机构</w:t>
            </w:r>
          </w:p>
        </w:tc>
        <w:tc>
          <w:tcPr>
            <w:tcW w:w="5934" w:type="dxa"/>
            <w:vAlign w:val="center"/>
          </w:tcPr>
          <w:p>
            <w:pPr>
              <w:snapToGrid w:val="0"/>
              <w:spacing w:line="300" w:lineRule="auto"/>
              <w:rPr>
                <w:szCs w:val="21"/>
                <w:highlight w:val="none"/>
                <w:lang w:val="zh-CN"/>
              </w:rPr>
            </w:pPr>
            <w:r>
              <w:rPr>
                <w:rFonts w:hint="eastAsia" w:ascii="宋体" w:hAnsi="宋体"/>
                <w:bCs/>
                <w:szCs w:val="21"/>
                <w:highlight w:val="none"/>
              </w:rPr>
              <w:t>湖北省招标股份有限公司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1.1.</w:t>
            </w:r>
            <w:r>
              <w:rPr>
                <w:rFonts w:ascii="宋体" w:hAnsi="宋体"/>
                <w:szCs w:val="21"/>
                <w:highlight w:val="none"/>
              </w:rPr>
              <w:t>4</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项目名称</w:t>
            </w:r>
          </w:p>
        </w:tc>
        <w:tc>
          <w:tcPr>
            <w:tcW w:w="5934" w:type="dxa"/>
            <w:vAlign w:val="center"/>
          </w:tcPr>
          <w:p>
            <w:pPr>
              <w:snapToGrid w:val="0"/>
              <w:spacing w:line="300" w:lineRule="auto"/>
              <w:rPr>
                <w:rFonts w:hint="eastAsia" w:ascii="宋体" w:hAnsi="宋体" w:eastAsia="宋体"/>
                <w:bCs/>
                <w:szCs w:val="21"/>
                <w:highlight w:val="none"/>
                <w:lang w:eastAsia="zh-CN"/>
              </w:rPr>
            </w:pPr>
            <w:r>
              <w:rPr>
                <w:rFonts w:hint="eastAsia" w:cs="Segoe UI"/>
                <w:szCs w:val="21"/>
                <w:highlight w:val="none"/>
                <w:lang w:eastAsia="zh-CN"/>
              </w:rPr>
              <w:t>中南民族大学学生宿舍消防防火门更换（三期）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1.1.</w:t>
            </w:r>
            <w:r>
              <w:rPr>
                <w:rFonts w:ascii="宋体" w:hAnsi="宋体"/>
                <w:szCs w:val="21"/>
                <w:highlight w:val="none"/>
              </w:rPr>
              <w:t>5</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建设地点</w:t>
            </w:r>
          </w:p>
        </w:tc>
        <w:tc>
          <w:tcPr>
            <w:tcW w:w="5934" w:type="dxa"/>
            <w:vAlign w:val="center"/>
          </w:tcPr>
          <w:p>
            <w:pPr>
              <w:snapToGrid w:val="0"/>
              <w:spacing w:line="300" w:lineRule="auto"/>
              <w:rPr>
                <w:rFonts w:ascii="宋体" w:hAnsi="宋体"/>
                <w:bCs/>
                <w:szCs w:val="21"/>
                <w:highlight w:val="none"/>
              </w:rPr>
            </w:pPr>
            <w:r>
              <w:rPr>
                <w:rFonts w:hint="eastAsia" w:ascii="宋体" w:hAnsi="宋体"/>
                <w:szCs w:val="21"/>
                <w:highlight w:val="none"/>
              </w:rPr>
              <w:t>中南民族大学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1.3.1</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本次采购范围</w:t>
            </w:r>
          </w:p>
        </w:tc>
        <w:tc>
          <w:tcPr>
            <w:tcW w:w="5934" w:type="dxa"/>
            <w:vAlign w:val="center"/>
          </w:tcPr>
          <w:p>
            <w:pPr>
              <w:snapToGrid w:val="0"/>
              <w:spacing w:line="300" w:lineRule="auto"/>
              <w:rPr>
                <w:rFonts w:ascii="宋体" w:hAnsi="宋体"/>
                <w:bCs/>
                <w:szCs w:val="21"/>
                <w:highlight w:val="none"/>
              </w:rPr>
            </w:pPr>
            <w:r>
              <w:rPr>
                <w:rFonts w:hint="eastAsia" w:ascii="宋体" w:hAnsi="宋体"/>
                <w:bCs/>
                <w:szCs w:val="21"/>
                <w:highlight w:val="none"/>
              </w:rPr>
              <w:t>详见工程量清单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1.3.2</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计划工期</w:t>
            </w:r>
          </w:p>
        </w:tc>
        <w:tc>
          <w:tcPr>
            <w:tcW w:w="5934" w:type="dxa"/>
            <w:vAlign w:val="center"/>
          </w:tcPr>
          <w:p>
            <w:pPr>
              <w:snapToGrid w:val="0"/>
              <w:spacing w:line="300" w:lineRule="auto"/>
              <w:rPr>
                <w:rFonts w:ascii="宋体" w:hAnsi="宋体"/>
                <w:bCs/>
                <w:szCs w:val="21"/>
                <w:highlight w:val="none"/>
              </w:rPr>
            </w:pPr>
            <w:r>
              <w:rPr>
                <w:rFonts w:hint="eastAsia"/>
                <w:highlight w:val="none"/>
                <w:lang w:val="en-US" w:eastAsia="zh-CN"/>
              </w:rPr>
              <w:t>合同签订后90个日历天（计划开工日期：以采购人书面通知为准）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1.3.3</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质量要求</w:t>
            </w:r>
          </w:p>
        </w:tc>
        <w:tc>
          <w:tcPr>
            <w:tcW w:w="5934" w:type="dxa"/>
            <w:vAlign w:val="center"/>
          </w:tcPr>
          <w:p>
            <w:pPr>
              <w:snapToGrid w:val="0"/>
              <w:spacing w:line="300" w:lineRule="auto"/>
              <w:rPr>
                <w:rFonts w:hint="eastAsia" w:ascii="宋体" w:hAnsi="宋体"/>
                <w:bCs/>
                <w:szCs w:val="21"/>
                <w:highlight w:val="none"/>
              </w:rPr>
            </w:pPr>
            <w:r>
              <w:rPr>
                <w:rFonts w:hint="eastAsia" w:ascii="宋体" w:hAnsi="宋体"/>
                <w:bCs/>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1.3.4</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bookmarkStart w:id="33" w:name="OLE_LINK26"/>
            <w:r>
              <w:rPr>
                <w:rFonts w:hint="eastAsia"/>
                <w:kern w:val="2"/>
                <w:sz w:val="21"/>
                <w:szCs w:val="21"/>
                <w:highlight w:val="none"/>
                <w:lang w:val="zh-CN"/>
              </w:rPr>
              <w:t>付款方式</w:t>
            </w:r>
            <w:bookmarkEnd w:id="33"/>
          </w:p>
        </w:tc>
        <w:tc>
          <w:tcPr>
            <w:tcW w:w="5934" w:type="dxa"/>
            <w:vAlign w:val="center"/>
          </w:tcPr>
          <w:p>
            <w:pPr>
              <w:snapToGrid w:val="0"/>
              <w:spacing w:line="300" w:lineRule="auto"/>
              <w:rPr>
                <w:rFonts w:hint="eastAsia" w:ascii="宋体" w:hAnsi="宋体"/>
                <w:bCs/>
                <w:szCs w:val="21"/>
                <w:highlight w:val="none"/>
              </w:rPr>
            </w:pPr>
            <w:bookmarkStart w:id="34" w:name="OLE_LINK23"/>
            <w:r>
              <w:rPr>
                <w:rFonts w:hint="eastAsia" w:ascii="宋体" w:hAnsi="宋体"/>
                <w:bCs/>
                <w:szCs w:val="21"/>
                <w:highlight w:val="none"/>
                <w:lang w:eastAsia="zh-CN"/>
              </w:rPr>
              <w:t>合同签订后，支付</w:t>
            </w:r>
            <w:r>
              <w:rPr>
                <w:rFonts w:hint="eastAsia" w:ascii="宋体" w:hAnsi="宋体"/>
                <w:bCs/>
                <w:szCs w:val="21"/>
                <w:highlight w:val="none"/>
                <w:lang w:val="en-US" w:eastAsia="zh-CN"/>
              </w:rPr>
              <w:t>30</w:t>
            </w:r>
            <w:r>
              <w:rPr>
                <w:rFonts w:hint="eastAsia" w:ascii="宋体" w:hAnsi="宋体"/>
                <w:bCs/>
                <w:szCs w:val="21"/>
                <w:highlight w:val="none"/>
                <w:lang w:eastAsia="zh-CN"/>
              </w:rPr>
              <w:t>%首付款；材料进场支付至75%工程款；工程完工验收合格后，乙方向甲方提供结算书及审计</w:t>
            </w:r>
            <w:r>
              <w:rPr>
                <w:rFonts w:hint="eastAsia" w:ascii="宋体" w:hAnsi="宋体"/>
                <w:bCs/>
                <w:szCs w:val="21"/>
                <w:highlight w:val="none"/>
                <w:lang w:val="en-US" w:eastAsia="zh-CN"/>
              </w:rPr>
              <w:t>所需</w:t>
            </w:r>
            <w:r>
              <w:rPr>
                <w:rFonts w:hint="eastAsia" w:ascii="宋体" w:hAnsi="宋体"/>
                <w:bCs/>
                <w:szCs w:val="21"/>
                <w:highlight w:val="none"/>
                <w:lang w:eastAsia="zh-CN"/>
              </w:rPr>
              <w:t>等资料，经学校审计部门结算审计完毕后，乙方支付审定金额的1.5%作为质保金，甲方支付至审定金额的100%，质量保修期满2年且无任何质量问题一次性无息返还质保金。</w:t>
            </w:r>
            <w:r>
              <w:rPr>
                <w:rFonts w:hint="eastAsia" w:ascii="宋体" w:hAnsi="宋体"/>
                <w:bCs/>
                <w:szCs w:val="21"/>
                <w:highlight w:val="none"/>
                <w:lang w:val="en-US" w:eastAsia="zh-CN"/>
              </w:rPr>
              <w:t>若</w:t>
            </w:r>
            <w:r>
              <w:rPr>
                <w:rFonts w:hint="eastAsia" w:ascii="宋体" w:hAnsi="宋体"/>
                <w:bCs/>
                <w:szCs w:val="21"/>
                <w:highlight w:val="none"/>
                <w:lang w:eastAsia="zh-CN"/>
              </w:rPr>
              <w:t>结算时审减率超10%。审计费用全部由施工单位承担。</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2.</w:t>
            </w:r>
            <w:r>
              <w:rPr>
                <w:rFonts w:hint="eastAsia"/>
                <w:kern w:val="2"/>
                <w:sz w:val="21"/>
                <w:szCs w:val="21"/>
                <w:highlight w:val="none"/>
                <w:lang w:val="zh-CN"/>
              </w:rPr>
              <w:t>1</w:t>
            </w:r>
          </w:p>
        </w:tc>
        <w:tc>
          <w:tcPr>
            <w:tcW w:w="2320"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磋商供应商</w:t>
            </w:r>
          </w:p>
        </w:tc>
        <w:tc>
          <w:tcPr>
            <w:tcW w:w="5934" w:type="dxa"/>
            <w:vAlign w:val="center"/>
          </w:tcPr>
          <w:p>
            <w:pPr>
              <w:pStyle w:val="38"/>
              <w:widowControl w:val="0"/>
              <w:autoSpaceDE w:val="0"/>
              <w:autoSpaceDN w:val="0"/>
              <w:adjustRightInd w:val="0"/>
              <w:snapToGrid w:val="0"/>
              <w:spacing w:before="0" w:beforeAutospacing="0" w:after="0" w:afterAutospacing="0" w:line="300" w:lineRule="auto"/>
              <w:ind w:right="21" w:rightChars="10"/>
              <w:jc w:val="both"/>
              <w:rPr>
                <w:kern w:val="2"/>
                <w:sz w:val="21"/>
                <w:szCs w:val="21"/>
                <w:highlight w:val="none"/>
                <w:lang w:val="zh-CN"/>
              </w:rPr>
            </w:pPr>
            <w:r>
              <w:rPr>
                <w:sz w:val="21"/>
                <w:szCs w:val="21"/>
                <w:highlight w:val="none"/>
                <w:lang w:val="zh-CN"/>
              </w:rPr>
              <w:t>详见</w:t>
            </w:r>
            <w:r>
              <w:rPr>
                <w:sz w:val="21"/>
                <w:szCs w:val="21"/>
                <w:highlight w:val="none"/>
              </w:rPr>
              <w:t>第一章第</w:t>
            </w:r>
            <w:r>
              <w:rPr>
                <w:rFonts w:hint="eastAsia"/>
                <w:sz w:val="21"/>
                <w:szCs w:val="21"/>
                <w:highlight w:val="none"/>
              </w:rPr>
              <w:t>二条</w:t>
            </w:r>
            <w:r>
              <w:rPr>
                <w:sz w:val="21"/>
                <w:szCs w:val="21"/>
                <w:highlight w:val="none"/>
              </w:rPr>
              <w:t>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2.3</w:t>
            </w:r>
          </w:p>
        </w:tc>
        <w:tc>
          <w:tcPr>
            <w:tcW w:w="2320" w:type="dxa"/>
            <w:vAlign w:val="center"/>
          </w:tcPr>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供应商不得存在情形（有其中任一情形的，将被视为未实质性响应磋商文件）</w:t>
            </w:r>
          </w:p>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p>
        </w:tc>
        <w:tc>
          <w:tcPr>
            <w:tcW w:w="5934" w:type="dxa"/>
            <w:vAlign w:val="center"/>
          </w:tcPr>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（1）为采购人不具有独立法人资格的附属机构（单位）；</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（2）为本项目包前期准备提供整体设计，但设计施工总承包的除外；</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（3）为本项目包的监理人；</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（4）为本项目包的代建人（或项目管理方）；</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（5）为本项目包提供采购代理机构；</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（6）为本项目包提供工程检测服务的；</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（7）与本项目包的监理人或代建人或采购代理机构同为一个法定代表人的；</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（8）与本项目包的监理人或代建人或采购代理机构相互控股或参股的；</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（9）与本项目包的监理人或代建人或采购代理机构相互任职或工作的；</w:t>
            </w:r>
          </w:p>
          <w:p>
            <w:pPr>
              <w:tabs>
                <w:tab w:val="left" w:pos="426"/>
              </w:tabs>
              <w:autoSpaceDE w:val="0"/>
              <w:autoSpaceDN w:val="0"/>
              <w:adjustRightInd w:val="0"/>
              <w:snapToGrid w:val="0"/>
              <w:spacing w:line="360" w:lineRule="auto"/>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（10）被暂停或取消参与采购资格的；</w:t>
            </w:r>
          </w:p>
          <w:p>
            <w:pPr>
              <w:pStyle w:val="38"/>
              <w:widowControl w:val="0"/>
              <w:autoSpaceDE w:val="0"/>
              <w:autoSpaceDN w:val="0"/>
              <w:adjustRightInd w:val="0"/>
              <w:snapToGrid w:val="0"/>
              <w:spacing w:before="0" w:beforeAutospacing="0" w:after="0" w:afterAutospacing="0" w:line="300" w:lineRule="auto"/>
              <w:ind w:right="21" w:rightChars="10"/>
              <w:jc w:val="both"/>
              <w:rPr>
                <w:rFonts w:asciiTheme="minorEastAsia" w:hAnsiTheme="minorEastAsia" w:eastAsiaTheme="minorEastAsia"/>
                <w:snapToGrid w:val="0"/>
                <w:sz w:val="21"/>
                <w:szCs w:val="21"/>
                <w:highlight w:val="none"/>
              </w:rPr>
            </w:pPr>
            <w:r>
              <w:rPr>
                <w:rFonts w:hint="eastAsia" w:asciiTheme="minorEastAsia" w:hAnsiTheme="minorEastAsia" w:eastAsiaTheme="minorEastAsia"/>
                <w:snapToGrid w:val="0"/>
                <w:sz w:val="21"/>
                <w:szCs w:val="21"/>
                <w:highlight w:val="none"/>
              </w:rPr>
              <w:t>（11）单位负责人为同一人或者存在直接控股、管理关系的不同供应商，参加同一合同项下的采购活动的</w:t>
            </w:r>
            <w:r>
              <w:rPr>
                <w:rFonts w:hint="eastAsia" w:asciiTheme="minorEastAsia" w:hAnsiTheme="minorEastAsia" w:eastAsiaTheme="minorEastAsia"/>
                <w:b/>
                <w:snapToGrid w:val="0"/>
                <w:sz w:val="21"/>
                <w:szCs w:val="21"/>
                <w:highlight w:val="none"/>
              </w:rPr>
              <w:t>（备注：①“单位负责人”是指单位法定代表人或者法律、行政法规规定代表单位行使职权的主要负责人。②本条所规定的控股、管理关系仅限于直接控股、直接管理关系，不包括间接的控股或管理关系。）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3.1</w:t>
            </w:r>
          </w:p>
        </w:tc>
        <w:tc>
          <w:tcPr>
            <w:tcW w:w="2320" w:type="dxa"/>
            <w:vAlign w:val="center"/>
          </w:tcPr>
          <w:p>
            <w:pPr>
              <w:autoSpaceDE w:val="0"/>
              <w:autoSpaceDN w:val="0"/>
              <w:snapToGrid w:val="0"/>
              <w:spacing w:line="300" w:lineRule="auto"/>
              <w:jc w:val="center"/>
              <w:rPr>
                <w:rFonts w:ascii="宋体" w:hAnsi="宋体" w:cs="Arial"/>
                <w:szCs w:val="21"/>
                <w:highlight w:val="none"/>
              </w:rPr>
            </w:pPr>
            <w:r>
              <w:rPr>
                <w:rFonts w:ascii="宋体" w:hAnsi="宋体" w:cs="Arial"/>
                <w:szCs w:val="21"/>
                <w:highlight w:val="none"/>
              </w:rPr>
              <w:t>踏勘现场</w:t>
            </w:r>
          </w:p>
        </w:tc>
        <w:tc>
          <w:tcPr>
            <w:tcW w:w="5934" w:type="dxa"/>
            <w:vAlign w:val="center"/>
          </w:tcPr>
          <w:p>
            <w:pPr>
              <w:pStyle w:val="103"/>
              <w:snapToGrid w:val="0"/>
              <w:spacing w:line="300" w:lineRule="auto"/>
              <w:rPr>
                <w:rFonts w:hint="default" w:ascii="宋体" w:hAnsi="宋体" w:eastAsia="宋体" w:cs="Arial"/>
                <w:color w:val="auto"/>
                <w:kern w:val="2"/>
                <w:sz w:val="21"/>
                <w:szCs w:val="21"/>
                <w:highlight w:val="none"/>
              </w:rPr>
            </w:pPr>
            <w:r>
              <w:rPr>
                <w:rFonts w:ascii="宋体" w:hAnsi="宋体" w:eastAsia="宋体" w:cs="Arial"/>
                <w:color w:val="auto"/>
                <w:kern w:val="2"/>
                <w:sz w:val="21"/>
                <w:szCs w:val="21"/>
                <w:highlight w:val="none"/>
              </w:rPr>
              <w:sym w:font="Wingdings 2" w:char="0052"/>
            </w:r>
            <w:r>
              <w:rPr>
                <w:rFonts w:ascii="宋体" w:hAnsi="宋体" w:eastAsia="宋体" w:cs="Arial"/>
                <w:color w:val="auto"/>
                <w:kern w:val="2"/>
                <w:sz w:val="21"/>
                <w:szCs w:val="21"/>
                <w:highlight w:val="none"/>
              </w:rPr>
              <w:t>不组织</w:t>
            </w:r>
          </w:p>
          <w:p>
            <w:pPr>
              <w:pStyle w:val="103"/>
              <w:snapToGrid w:val="0"/>
              <w:spacing w:line="300" w:lineRule="auto"/>
              <w:rPr>
                <w:rFonts w:hint="default" w:ascii="宋体" w:hAnsi="宋体" w:eastAsia="宋体" w:cs="Arial"/>
                <w:color w:val="auto"/>
                <w:kern w:val="2"/>
                <w:sz w:val="21"/>
                <w:szCs w:val="21"/>
                <w:highlight w:val="none"/>
                <w:lang w:val="en-US" w:eastAsia="zh-CN"/>
              </w:rPr>
            </w:pPr>
            <w:r>
              <w:rPr>
                <w:rFonts w:ascii="宋体" w:hAnsi="宋体" w:eastAsia="宋体" w:cs="Arial"/>
                <w:color w:val="auto"/>
                <w:kern w:val="2"/>
                <w:sz w:val="21"/>
                <w:szCs w:val="21"/>
                <w:highlight w:val="none"/>
              </w:rPr>
              <w:sym w:font="Wingdings 2" w:char="00A3"/>
            </w:r>
            <w:r>
              <w:rPr>
                <w:rFonts w:ascii="宋体" w:hAnsi="宋体" w:eastAsia="宋体" w:cs="Arial"/>
                <w:color w:val="auto"/>
                <w:kern w:val="2"/>
                <w:sz w:val="21"/>
                <w:szCs w:val="21"/>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5</w:t>
            </w:r>
            <w:r>
              <w:rPr>
                <w:kern w:val="2"/>
                <w:sz w:val="21"/>
                <w:szCs w:val="21"/>
                <w:highlight w:val="none"/>
                <w:lang w:val="zh-CN"/>
              </w:rPr>
              <w:t>.</w:t>
            </w:r>
            <w:r>
              <w:rPr>
                <w:rFonts w:hint="eastAsia"/>
                <w:kern w:val="2"/>
                <w:sz w:val="21"/>
                <w:szCs w:val="21"/>
                <w:highlight w:val="none"/>
                <w:lang w:val="zh-CN"/>
              </w:rPr>
              <w:t>3</w:t>
            </w:r>
          </w:p>
        </w:tc>
        <w:tc>
          <w:tcPr>
            <w:tcW w:w="2320" w:type="dxa"/>
            <w:vAlign w:val="center"/>
          </w:tcPr>
          <w:p>
            <w:pPr>
              <w:autoSpaceDE w:val="0"/>
              <w:autoSpaceDN w:val="0"/>
              <w:adjustRightInd w:val="0"/>
              <w:snapToGrid w:val="0"/>
              <w:spacing w:line="300" w:lineRule="auto"/>
              <w:ind w:left="21" w:leftChars="10" w:right="21" w:rightChars="10"/>
              <w:jc w:val="center"/>
              <w:rPr>
                <w:szCs w:val="21"/>
                <w:highlight w:val="none"/>
                <w:lang w:val="zh-CN"/>
              </w:rPr>
            </w:pPr>
            <w:r>
              <w:rPr>
                <w:rFonts w:hint="eastAsia" w:ascii="宋体" w:hAnsi="宋体"/>
                <w:szCs w:val="21"/>
                <w:highlight w:val="none"/>
              </w:rPr>
              <w:t>采购代理服务费</w:t>
            </w:r>
          </w:p>
        </w:tc>
        <w:tc>
          <w:tcPr>
            <w:tcW w:w="5934" w:type="dxa"/>
            <w:vAlign w:val="center"/>
          </w:tcPr>
          <w:p>
            <w:pPr>
              <w:tabs>
                <w:tab w:val="left" w:pos="1260"/>
              </w:tabs>
              <w:snapToGrid w:val="0"/>
              <w:spacing w:line="300" w:lineRule="auto"/>
              <w:rPr>
                <w:rFonts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根据采购人和采购代理机构签署的委托代理协议书约定：</w:t>
            </w:r>
          </w:p>
          <w:p>
            <w:pPr>
              <w:snapToGrid w:val="0"/>
              <w:spacing w:line="300" w:lineRule="auto"/>
              <w:rPr>
                <w:rFonts w:cs="Arial"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lang w:val="en-US" w:eastAsia="zh-CN"/>
              </w:rPr>
              <w:t>1</w:t>
            </w: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采购代理服务费：</w:t>
            </w:r>
            <w:r>
              <w:rPr>
                <w:rFonts w:hint="eastAsia" w:asciiTheme="minorEastAsia" w:hAnsiTheme="minorEastAsia" w:eastAsiaTheme="minorEastAsia"/>
                <w:sz w:val="13"/>
                <w:szCs w:val="21"/>
                <w:highlight w:val="none"/>
                <w:bdr w:val="single" w:color="auto" w:sz="4" w:space="0"/>
              </w:rPr>
              <w:t>√</w:t>
            </w:r>
            <w:r>
              <w:rPr>
                <w:rFonts w:hint="eastAsia" w:asciiTheme="minorEastAsia" w:hAnsiTheme="minorEastAsia" w:eastAsiaTheme="minorEastAsia"/>
                <w:szCs w:val="21"/>
                <w:highlight w:val="none"/>
              </w:rPr>
              <w:t>由</w:t>
            </w:r>
            <w:r>
              <w:rPr>
                <w:rFonts w:hint="eastAsia" w:cs="Arial" w:asciiTheme="minorEastAsia" w:hAnsiTheme="minorEastAsia" w:eastAsiaTheme="minorEastAsia"/>
                <w:szCs w:val="21"/>
                <w:highlight w:val="none"/>
              </w:rPr>
              <w:t>成交</w:t>
            </w:r>
            <w:r>
              <w:rPr>
                <w:rFonts w:cs="Arial" w:asciiTheme="minorEastAsia" w:hAnsiTheme="minorEastAsia" w:eastAsiaTheme="minorEastAsia"/>
                <w:szCs w:val="21"/>
                <w:highlight w:val="none"/>
              </w:rPr>
              <w:t>供应商</w:t>
            </w:r>
            <w:r>
              <w:rPr>
                <w:rFonts w:hint="eastAsia" w:cs="Arial" w:asciiTheme="minorEastAsia" w:hAnsiTheme="minorEastAsia" w:eastAsiaTheme="minorEastAsia"/>
                <w:szCs w:val="21"/>
                <w:highlight w:val="none"/>
              </w:rPr>
              <w:t xml:space="preserve">支付  </w:t>
            </w:r>
            <w:r>
              <w:rPr>
                <w:rFonts w:cs="Arial" w:asciiTheme="minorEastAsia" w:hAnsiTheme="minorEastAsia" w:eastAsiaTheme="minorEastAsia"/>
                <w:szCs w:val="21"/>
                <w:highlight w:val="none"/>
              </w:rPr>
              <w:t>□</w:t>
            </w:r>
            <w:r>
              <w:rPr>
                <w:rFonts w:hint="eastAsia" w:cs="Arial" w:asciiTheme="minorEastAsia" w:hAnsiTheme="minorEastAsia" w:eastAsiaTheme="minorEastAsia"/>
                <w:szCs w:val="21"/>
                <w:highlight w:val="none"/>
              </w:rPr>
              <w:t>由</w:t>
            </w:r>
            <w:r>
              <w:rPr>
                <w:rFonts w:cs="Arial" w:asciiTheme="minorEastAsia" w:hAnsiTheme="minorEastAsia" w:eastAsiaTheme="minorEastAsia"/>
                <w:szCs w:val="21"/>
                <w:highlight w:val="none"/>
              </w:rPr>
              <w:t>采购人</w:t>
            </w:r>
            <w:r>
              <w:rPr>
                <w:rFonts w:hint="eastAsia" w:cs="Arial" w:asciiTheme="minorEastAsia" w:hAnsiTheme="minorEastAsia" w:eastAsiaTheme="minorEastAsia"/>
                <w:szCs w:val="21"/>
                <w:highlight w:val="none"/>
              </w:rPr>
              <w:t>支付</w:t>
            </w:r>
          </w:p>
          <w:p>
            <w:pPr>
              <w:tabs>
                <w:tab w:val="left" w:pos="1260"/>
              </w:tabs>
              <w:snapToGrid w:val="0"/>
              <w:spacing w:line="300" w:lineRule="auto"/>
              <w:rPr>
                <w:rFonts w:cs="Arial" w:asciiTheme="minorEastAsia" w:hAnsiTheme="minorEastAsia" w:eastAsiaTheme="minorEastAsia"/>
                <w:szCs w:val="21"/>
                <w:highlight w:val="none"/>
                <w:u w:val="single"/>
              </w:rPr>
            </w:pPr>
            <w:r>
              <w:rPr>
                <w:rFonts w:hint="eastAsia" w:asciiTheme="minorEastAsia" w:hAnsiTheme="minorEastAsia" w:eastAsiaTheme="minorEastAsia"/>
                <w:szCs w:val="21"/>
                <w:highlight w:val="none"/>
                <w:lang w:eastAsia="zh-CN"/>
              </w:rPr>
              <w:t>（</w:t>
            </w:r>
            <w:r>
              <w:rPr>
                <w:rFonts w:hint="eastAsia" w:cs="Arial" w:asciiTheme="minorEastAsia" w:hAnsiTheme="minorEastAsia" w:eastAsiaTheme="minorEastAsia"/>
                <w:szCs w:val="21"/>
                <w:highlight w:val="none"/>
              </w:rPr>
              <w:t>2）支付</w:t>
            </w:r>
            <w:r>
              <w:rPr>
                <w:rFonts w:cs="Arial" w:asciiTheme="minorEastAsia" w:hAnsiTheme="minorEastAsia" w:eastAsiaTheme="minorEastAsia"/>
                <w:szCs w:val="21"/>
                <w:highlight w:val="none"/>
              </w:rPr>
              <w:t>标准：</w:t>
            </w:r>
            <w:r>
              <w:rPr>
                <w:rFonts w:hint="eastAsia" w:ascii="宋体" w:hAnsi="宋体" w:cs="Arial"/>
                <w:szCs w:val="21"/>
                <w:highlight w:val="none"/>
              </w:rPr>
              <w:t>参照原国家计委计价格[2002]1980号规定的工程</w:t>
            </w:r>
            <w:r>
              <w:rPr>
                <w:rFonts w:hint="eastAsia" w:ascii="宋体" w:hAnsi="宋体"/>
                <w:szCs w:val="21"/>
                <w:highlight w:val="none"/>
              </w:rPr>
              <w:t>类</w:t>
            </w:r>
            <w:r>
              <w:rPr>
                <w:rFonts w:hint="eastAsia" w:ascii="宋体" w:hAnsi="宋体" w:cs="Arial"/>
                <w:szCs w:val="21"/>
                <w:highlight w:val="none"/>
              </w:rPr>
              <w:t>收费标准的7</w:t>
            </w:r>
            <w:r>
              <w:rPr>
                <w:rFonts w:ascii="宋体" w:hAnsi="宋体" w:cs="Arial"/>
                <w:szCs w:val="21"/>
                <w:highlight w:val="none"/>
              </w:rPr>
              <w:t>0</w:t>
            </w:r>
            <w:r>
              <w:rPr>
                <w:rFonts w:hint="eastAsia" w:ascii="宋体" w:hAnsi="宋体" w:cs="Arial"/>
                <w:szCs w:val="21"/>
                <w:highlight w:val="none"/>
              </w:rPr>
              <w:t>%计取，不足</w:t>
            </w:r>
            <w:r>
              <w:rPr>
                <w:rFonts w:hint="eastAsia" w:ascii="宋体" w:hAnsi="宋体" w:cs="Arial"/>
                <w:szCs w:val="21"/>
                <w:highlight w:val="none"/>
                <w:lang w:val="en-US" w:eastAsia="zh-CN"/>
              </w:rPr>
              <w:t>4</w:t>
            </w:r>
            <w:r>
              <w:rPr>
                <w:rFonts w:ascii="宋体" w:hAnsi="宋体" w:cs="Arial"/>
                <w:szCs w:val="21"/>
                <w:highlight w:val="none"/>
              </w:rPr>
              <w:t>000</w:t>
            </w:r>
            <w:r>
              <w:rPr>
                <w:rFonts w:hint="eastAsia" w:ascii="宋体" w:hAnsi="宋体" w:cs="Arial"/>
                <w:szCs w:val="21"/>
                <w:highlight w:val="none"/>
              </w:rPr>
              <w:t>元按</w:t>
            </w:r>
            <w:r>
              <w:rPr>
                <w:rFonts w:hint="eastAsia" w:ascii="宋体" w:hAnsi="宋体" w:cs="Arial"/>
                <w:szCs w:val="21"/>
                <w:highlight w:val="none"/>
                <w:lang w:val="en-US" w:eastAsia="zh-CN"/>
              </w:rPr>
              <w:t>4</w:t>
            </w:r>
            <w:r>
              <w:rPr>
                <w:rFonts w:ascii="宋体" w:hAnsi="宋体" w:cs="Arial"/>
                <w:szCs w:val="21"/>
                <w:highlight w:val="none"/>
              </w:rPr>
              <w:t>000</w:t>
            </w:r>
            <w:r>
              <w:rPr>
                <w:rFonts w:hint="eastAsia" w:ascii="宋体" w:hAnsi="宋体" w:cs="Arial"/>
                <w:szCs w:val="21"/>
                <w:highlight w:val="none"/>
              </w:rPr>
              <w:t>元支付</w:t>
            </w:r>
            <w:r>
              <w:rPr>
                <w:rFonts w:hint="eastAsia" w:cs="Arial" w:asciiTheme="minorEastAsia" w:hAnsiTheme="minorEastAsia" w:eastAsiaTheme="minorEastAsia"/>
                <w:szCs w:val="21"/>
                <w:highlight w:val="none"/>
              </w:rPr>
              <w:t>。</w:t>
            </w:r>
          </w:p>
          <w:p>
            <w:pPr>
              <w:tabs>
                <w:tab w:val="left" w:pos="1260"/>
              </w:tabs>
              <w:snapToGrid w:val="0"/>
              <w:spacing w:line="30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3）支付时间：采购代理服务费由成交供应商在领取成交通知书的同时，向代理机构支付。</w:t>
            </w:r>
          </w:p>
          <w:p>
            <w:pPr>
              <w:autoSpaceDE w:val="0"/>
              <w:autoSpaceDN w:val="0"/>
              <w:adjustRightInd w:val="0"/>
              <w:snapToGrid w:val="0"/>
              <w:spacing w:line="30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4）支付方式：银行转账等非现金方式支付。</w:t>
            </w:r>
          </w:p>
          <w:p>
            <w:pPr>
              <w:tabs>
                <w:tab w:val="left" w:pos="1260"/>
              </w:tabs>
              <w:snapToGrid w:val="0"/>
              <w:spacing w:line="30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lang w:eastAsia="zh-CN"/>
              </w:rPr>
              <w:t>（</w:t>
            </w:r>
            <w:r>
              <w:rPr>
                <w:rFonts w:hint="eastAsia" w:asciiTheme="minorEastAsia" w:hAnsiTheme="minorEastAsia" w:eastAsiaTheme="minorEastAsia"/>
                <w:szCs w:val="21"/>
                <w:highlight w:val="none"/>
              </w:rPr>
              <w:t>5）银行账户信息</w:t>
            </w:r>
          </w:p>
          <w:p>
            <w:pPr>
              <w:snapToGrid w:val="0"/>
              <w:spacing w:line="300" w:lineRule="auto"/>
              <w:ind w:firstLine="420" w:firstLineChars="200"/>
              <w:rPr>
                <w:rFonts w:ascii="宋体" w:hAnsi="宋体"/>
                <w:bCs/>
                <w:szCs w:val="21"/>
                <w:highlight w:val="none"/>
              </w:rPr>
            </w:pPr>
            <w:r>
              <w:rPr>
                <w:rFonts w:hint="eastAsia" w:ascii="宋体" w:hAnsi="宋体"/>
                <w:bCs/>
                <w:szCs w:val="21"/>
                <w:highlight w:val="none"/>
              </w:rPr>
              <w:t>户    名：湖北省招标股份有限公司</w:t>
            </w:r>
          </w:p>
          <w:p>
            <w:pPr>
              <w:snapToGrid w:val="0"/>
              <w:spacing w:line="300" w:lineRule="auto"/>
              <w:ind w:firstLine="420" w:firstLineChars="200"/>
              <w:rPr>
                <w:rFonts w:ascii="宋体" w:hAnsi="宋体"/>
                <w:bCs/>
                <w:szCs w:val="21"/>
                <w:highlight w:val="none"/>
              </w:rPr>
            </w:pPr>
            <w:r>
              <w:rPr>
                <w:rFonts w:hint="eastAsia" w:ascii="宋体" w:hAnsi="宋体"/>
                <w:bCs/>
                <w:szCs w:val="21"/>
                <w:highlight w:val="none"/>
              </w:rPr>
              <w:t>开 户 行：招商银行水果湖支行</w:t>
            </w:r>
          </w:p>
          <w:p>
            <w:pPr>
              <w:snapToGrid w:val="0"/>
              <w:spacing w:line="300" w:lineRule="auto"/>
              <w:ind w:firstLine="420" w:firstLineChars="200"/>
              <w:rPr>
                <w:rFonts w:ascii="宋体" w:hAnsi="宋体"/>
                <w:bCs/>
                <w:szCs w:val="21"/>
                <w:highlight w:val="none"/>
              </w:rPr>
            </w:pPr>
            <w:r>
              <w:rPr>
                <w:rFonts w:hint="eastAsia" w:ascii="宋体" w:hAnsi="宋体"/>
                <w:bCs/>
                <w:szCs w:val="21"/>
                <w:highlight w:val="none"/>
              </w:rPr>
              <w:t>行    号：308521015186</w:t>
            </w:r>
          </w:p>
          <w:p>
            <w:pPr>
              <w:snapToGrid w:val="0"/>
              <w:spacing w:line="300" w:lineRule="auto"/>
              <w:ind w:firstLine="420" w:firstLineChars="200"/>
              <w:rPr>
                <w:rFonts w:ascii="宋体" w:hAnsi="宋体"/>
                <w:bCs/>
                <w:szCs w:val="21"/>
                <w:highlight w:val="none"/>
              </w:rPr>
            </w:pPr>
            <w:r>
              <w:rPr>
                <w:rFonts w:hint="eastAsia" w:ascii="宋体" w:hAnsi="宋体"/>
                <w:bCs/>
                <w:szCs w:val="21"/>
                <w:highlight w:val="none"/>
              </w:rPr>
              <w:t>账    号：12790 54338 10603</w:t>
            </w:r>
          </w:p>
          <w:p>
            <w:pPr>
              <w:tabs>
                <w:tab w:val="left" w:pos="1260"/>
              </w:tabs>
              <w:snapToGrid w:val="0"/>
              <w:spacing w:line="300" w:lineRule="auto"/>
              <w:rPr>
                <w:rFonts w:ascii="宋体" w:hAnsi="宋体"/>
                <w:szCs w:val="21"/>
                <w:highlight w:val="none"/>
              </w:rPr>
            </w:pPr>
            <w:r>
              <w:rPr>
                <w:rFonts w:hint="eastAsia" w:asciiTheme="minorEastAsia" w:hAnsiTheme="minorEastAsia" w:eastAsiaTheme="minorEastAsia"/>
                <w:szCs w:val="21"/>
                <w:highlight w:val="none"/>
                <w:lang w:eastAsia="zh-CN"/>
              </w:rPr>
              <w:t>（</w:t>
            </w:r>
            <w:r>
              <w:rPr>
                <w:rFonts w:hint="eastAsia" w:cs="Arial" w:asciiTheme="minorEastAsia" w:hAnsiTheme="minorEastAsia" w:eastAsiaTheme="minorEastAsia"/>
                <w:szCs w:val="21"/>
                <w:highlight w:val="none"/>
              </w:rPr>
              <w:t>6）其他事项：</w:t>
            </w:r>
            <w:r>
              <w:rPr>
                <w:rFonts w:hint="eastAsia" w:asciiTheme="minorEastAsia" w:hAnsiTheme="minorEastAsia" w:eastAsiaTheme="minorEastAsia"/>
                <w:szCs w:val="21"/>
                <w:highlight w:val="none"/>
              </w:rPr>
              <w:t>成交供应商交纳采购代理服务费时需携带以下开票资料：</w:t>
            </w:r>
            <w:r>
              <w:rPr>
                <w:rFonts w:hint="eastAsia" w:ascii="宋体" w:hAnsi="宋体"/>
                <w:szCs w:val="21"/>
                <w:highlight w:val="none"/>
              </w:rPr>
              <w:t>①开票单位名称；②纳税人识别号（或统一社会信用代码）；③营业执照或税务登记证地址；④单位联系电话；⑤开户行及账号</w:t>
            </w:r>
            <w:r>
              <w:rPr>
                <w:rFonts w:hint="eastAsia" w:asciiTheme="minorEastAsia" w:hAnsiTheme="minorEastAsia" w:eastAsiaTheme="minorEastAsia"/>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7</w:t>
            </w:r>
            <w:r>
              <w:rPr>
                <w:kern w:val="2"/>
                <w:sz w:val="21"/>
                <w:szCs w:val="21"/>
                <w:highlight w:val="none"/>
                <w:lang w:val="zh-CN"/>
              </w:rPr>
              <w:t>.</w:t>
            </w:r>
            <w:r>
              <w:rPr>
                <w:rFonts w:hint="eastAsia"/>
                <w:kern w:val="2"/>
                <w:sz w:val="21"/>
                <w:szCs w:val="21"/>
                <w:highlight w:val="none"/>
                <w:lang w:val="zh-CN"/>
              </w:rPr>
              <w:t>3</w:t>
            </w:r>
          </w:p>
        </w:tc>
        <w:tc>
          <w:tcPr>
            <w:tcW w:w="2320" w:type="dxa"/>
            <w:vAlign w:val="center"/>
          </w:tcPr>
          <w:p>
            <w:pPr>
              <w:snapToGrid w:val="0"/>
              <w:spacing w:line="300" w:lineRule="auto"/>
              <w:jc w:val="center"/>
              <w:rPr>
                <w:rFonts w:ascii="宋体" w:hAnsi="宋体" w:cs="Arial"/>
                <w:szCs w:val="21"/>
                <w:highlight w:val="none"/>
              </w:rPr>
            </w:pPr>
            <w:r>
              <w:rPr>
                <w:rFonts w:ascii="宋体" w:hAnsi="宋体" w:cs="Arial"/>
                <w:szCs w:val="21"/>
                <w:highlight w:val="none"/>
              </w:rPr>
              <w:t>供应商确认收到</w:t>
            </w:r>
            <w:r>
              <w:rPr>
                <w:rFonts w:hint="eastAsia" w:ascii="宋体" w:hAnsi="宋体" w:cs="Arial"/>
                <w:szCs w:val="21"/>
                <w:highlight w:val="none"/>
              </w:rPr>
              <w:t>磋商</w:t>
            </w:r>
            <w:r>
              <w:rPr>
                <w:rFonts w:ascii="宋体" w:hAnsi="宋体" w:cs="Arial"/>
                <w:szCs w:val="21"/>
                <w:highlight w:val="none"/>
              </w:rPr>
              <w:t>文件</w:t>
            </w:r>
            <w:r>
              <w:rPr>
                <w:rFonts w:hint="eastAsia" w:ascii="宋体" w:hAnsi="宋体" w:cs="Arial"/>
                <w:szCs w:val="21"/>
                <w:highlight w:val="none"/>
              </w:rPr>
              <w:t>澄清或者</w:t>
            </w:r>
            <w:r>
              <w:rPr>
                <w:rFonts w:ascii="宋体" w:hAnsi="宋体" w:cs="Arial"/>
                <w:szCs w:val="21"/>
                <w:highlight w:val="none"/>
              </w:rPr>
              <w:t>修改的时间</w:t>
            </w:r>
          </w:p>
        </w:tc>
        <w:tc>
          <w:tcPr>
            <w:tcW w:w="5934" w:type="dxa"/>
            <w:vAlign w:val="center"/>
          </w:tcPr>
          <w:p>
            <w:pPr>
              <w:autoSpaceDE w:val="0"/>
              <w:autoSpaceDN w:val="0"/>
              <w:snapToGrid w:val="0"/>
              <w:spacing w:line="300" w:lineRule="auto"/>
              <w:rPr>
                <w:rFonts w:ascii="宋体" w:hAnsi="宋体" w:cs="Arial"/>
                <w:szCs w:val="21"/>
                <w:highlight w:val="none"/>
              </w:rPr>
            </w:pPr>
            <w:r>
              <w:rPr>
                <w:rFonts w:ascii="宋体" w:hAnsi="宋体" w:cs="Arial"/>
                <w:szCs w:val="21"/>
                <w:highlight w:val="none"/>
              </w:rPr>
              <w:t>在收到相应修改文件后</w:t>
            </w:r>
            <w:r>
              <w:rPr>
                <w:rFonts w:ascii="宋体" w:hAnsi="宋体" w:cs="Arial"/>
                <w:szCs w:val="21"/>
                <w:highlight w:val="none"/>
                <w:u w:val="single"/>
              </w:rPr>
              <w:t xml:space="preserve">  </w:t>
            </w:r>
            <w:r>
              <w:rPr>
                <w:rFonts w:hint="eastAsia" w:ascii="宋体" w:hAnsi="宋体" w:cs="Arial"/>
                <w:szCs w:val="21"/>
                <w:highlight w:val="none"/>
                <w:u w:val="single"/>
              </w:rPr>
              <w:t>24</w:t>
            </w:r>
            <w:r>
              <w:rPr>
                <w:rFonts w:ascii="宋体" w:hAnsi="宋体" w:cs="Arial"/>
                <w:szCs w:val="21"/>
                <w:highlight w:val="none"/>
                <w:u w:val="single"/>
              </w:rPr>
              <w:t xml:space="preserve">  </w:t>
            </w:r>
            <w:r>
              <w:rPr>
                <w:rFonts w:ascii="宋体" w:hAnsi="宋体" w:cs="Arial"/>
                <w:szCs w:val="21"/>
                <w:highlight w:val="none"/>
              </w:rPr>
              <w:t>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jc w:val="center"/>
              <w:rPr>
                <w:rFonts w:ascii="宋体" w:hAnsi="宋体"/>
                <w:szCs w:val="21"/>
                <w:highlight w:val="none"/>
              </w:rPr>
            </w:pPr>
            <w:r>
              <w:rPr>
                <w:rFonts w:hint="eastAsia" w:ascii="宋体" w:hAnsi="宋体"/>
                <w:szCs w:val="21"/>
                <w:highlight w:val="none"/>
              </w:rPr>
              <w:t>10.4</w:t>
            </w:r>
          </w:p>
        </w:tc>
        <w:tc>
          <w:tcPr>
            <w:tcW w:w="2320" w:type="dxa"/>
            <w:vAlign w:val="center"/>
          </w:tcPr>
          <w:p>
            <w:pPr>
              <w:autoSpaceDE w:val="0"/>
              <w:autoSpaceDN w:val="0"/>
              <w:adjustRightInd w:val="0"/>
              <w:snapToGrid w:val="0"/>
              <w:spacing w:line="300" w:lineRule="auto"/>
              <w:jc w:val="center"/>
              <w:rPr>
                <w:rFonts w:ascii="宋体" w:hAnsi="宋体"/>
                <w:szCs w:val="21"/>
                <w:highlight w:val="none"/>
              </w:rPr>
            </w:pPr>
            <w:r>
              <w:rPr>
                <w:rFonts w:hint="eastAsia" w:ascii="宋体" w:hAnsi="宋体" w:cs="宋体"/>
                <w:snapToGrid w:val="0"/>
                <w:kern w:val="0"/>
                <w:szCs w:val="21"/>
                <w:highlight w:val="none"/>
                <w:lang w:val="zh-CN"/>
              </w:rPr>
              <w:t>对多包采购的规定</w:t>
            </w:r>
          </w:p>
        </w:tc>
        <w:tc>
          <w:tcPr>
            <w:tcW w:w="5934" w:type="dxa"/>
            <w:vAlign w:val="center"/>
          </w:tcPr>
          <w:p>
            <w:pPr>
              <w:autoSpaceDE w:val="0"/>
              <w:autoSpaceDN w:val="0"/>
              <w:adjustRightInd w:val="0"/>
              <w:snapToGrid w:val="0"/>
              <w:spacing w:line="300" w:lineRule="auto"/>
              <w:rPr>
                <w:rFonts w:ascii="宋体" w:hAnsi="宋体"/>
                <w:szCs w:val="21"/>
                <w:highlight w:val="none"/>
                <w:lang w:val="zh-CN"/>
              </w:rPr>
            </w:pPr>
            <w:r>
              <w:rPr>
                <w:rFonts w:hint="eastAsia" w:ascii="宋体" w:hAnsi="宋体"/>
                <w:szCs w:val="21"/>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12.1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备选方案</w:t>
            </w:r>
          </w:p>
        </w:tc>
        <w:tc>
          <w:tcPr>
            <w:tcW w:w="5934" w:type="dxa"/>
            <w:vAlign w:val="center"/>
          </w:tcPr>
          <w:p>
            <w:pPr>
              <w:autoSpaceDE w:val="0"/>
              <w:autoSpaceDN w:val="0"/>
              <w:adjustRightInd w:val="0"/>
              <w:snapToGrid w:val="0"/>
              <w:spacing w:line="300" w:lineRule="auto"/>
              <w:rPr>
                <w:rFonts w:ascii="宋体" w:hAnsi="宋体"/>
                <w:szCs w:val="21"/>
                <w:highlight w:val="none"/>
                <w:lang w:val="zh-CN"/>
              </w:rPr>
            </w:pPr>
            <w:r>
              <w:rPr>
                <w:rFonts w:hint="eastAsia"/>
                <w:szCs w:val="21"/>
                <w:highlight w:val="none"/>
                <w:lang w:val="zh-CN"/>
              </w:rPr>
              <w:t>□</w:t>
            </w:r>
            <w:r>
              <w:rPr>
                <w:rFonts w:hint="eastAsia" w:ascii="宋体" w:hAnsi="宋体"/>
                <w:szCs w:val="21"/>
                <w:highlight w:val="none"/>
                <w:lang w:val="zh-CN"/>
              </w:rPr>
              <w:t xml:space="preserve">接受备选方案    </w:t>
            </w:r>
            <w:r>
              <w:rPr>
                <w:rFonts w:hint="eastAsia" w:ascii="宋体" w:hAnsi="宋体" w:cs="Arial"/>
                <w:sz w:val="15"/>
                <w:szCs w:val="15"/>
                <w:highlight w:val="none"/>
                <w:bdr w:val="single" w:color="auto" w:sz="4" w:space="0"/>
              </w:rPr>
              <w:t>√</w:t>
            </w:r>
            <w:r>
              <w:rPr>
                <w:rFonts w:hint="eastAsia" w:ascii="宋体" w:hAnsi="宋体"/>
                <w:szCs w:val="21"/>
                <w:highlight w:val="none"/>
                <w:lang w:val="zh-CN"/>
              </w:rPr>
              <w:t>不接受备选方案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13.1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联合体磋商</w:t>
            </w:r>
          </w:p>
        </w:tc>
        <w:tc>
          <w:tcPr>
            <w:tcW w:w="5934" w:type="dxa"/>
            <w:vAlign w:val="center"/>
          </w:tcPr>
          <w:p>
            <w:pPr>
              <w:autoSpaceDE w:val="0"/>
              <w:autoSpaceDN w:val="0"/>
              <w:adjustRightInd w:val="0"/>
              <w:snapToGrid w:val="0"/>
              <w:spacing w:line="300" w:lineRule="auto"/>
              <w:rPr>
                <w:rFonts w:ascii="宋体" w:hAnsi="宋体"/>
                <w:szCs w:val="21"/>
                <w:highlight w:val="none"/>
                <w:lang w:val="zh-CN"/>
              </w:rPr>
            </w:pPr>
            <w:r>
              <w:rPr>
                <w:rFonts w:hint="eastAsia"/>
                <w:szCs w:val="21"/>
                <w:highlight w:val="none"/>
                <w:lang w:val="zh-CN"/>
              </w:rPr>
              <w:t>□</w:t>
            </w:r>
            <w:r>
              <w:rPr>
                <w:rFonts w:hint="eastAsia" w:ascii="宋体" w:hAnsi="宋体"/>
                <w:szCs w:val="21"/>
                <w:highlight w:val="none"/>
                <w:lang w:val="zh-CN"/>
              </w:rPr>
              <w:t xml:space="preserve">接受联合体      </w:t>
            </w:r>
            <w:r>
              <w:rPr>
                <w:rFonts w:hint="eastAsia" w:ascii="宋体" w:hAnsi="宋体" w:cs="Arial"/>
                <w:sz w:val="15"/>
                <w:szCs w:val="15"/>
                <w:highlight w:val="none"/>
                <w:bdr w:val="single" w:color="auto" w:sz="4" w:space="0"/>
              </w:rPr>
              <w:t>√</w:t>
            </w:r>
            <w:r>
              <w:rPr>
                <w:rFonts w:hint="eastAsia" w:ascii="宋体" w:hAnsi="宋体"/>
                <w:szCs w:val="21"/>
                <w:highlight w:val="none"/>
                <w:lang w:val="zh-CN"/>
              </w:rPr>
              <w:t>不接受联合体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rFonts w:hint="eastAsia"/>
                <w:kern w:val="2"/>
                <w:sz w:val="21"/>
                <w:szCs w:val="21"/>
                <w:highlight w:val="none"/>
                <w:lang w:val="zh-CN"/>
              </w:rPr>
              <w:t>14.1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Arial"/>
                <w:szCs w:val="21"/>
                <w:highlight w:val="none"/>
              </w:rPr>
              <w:t>申请</w:t>
            </w:r>
            <w:r>
              <w:rPr>
                <w:rFonts w:ascii="宋体" w:hAnsi="宋体" w:cs="Arial"/>
                <w:szCs w:val="21"/>
                <w:highlight w:val="none"/>
              </w:rPr>
              <w:t>人资质条件、能力和信誉</w:t>
            </w:r>
          </w:p>
        </w:tc>
        <w:tc>
          <w:tcPr>
            <w:tcW w:w="5934" w:type="dxa"/>
            <w:vAlign w:val="center"/>
          </w:tcPr>
          <w:p>
            <w:pPr>
              <w:snapToGrid w:val="0"/>
              <w:spacing w:line="300" w:lineRule="auto"/>
              <w:rPr>
                <w:rFonts w:ascii="宋体" w:hAnsi="宋体" w:cs="Arial"/>
                <w:szCs w:val="21"/>
                <w:highlight w:val="none"/>
              </w:rPr>
            </w:pPr>
            <w:r>
              <w:rPr>
                <w:rFonts w:hint="eastAsia" w:ascii="宋体" w:hAnsi="宋体" w:cs="Arial"/>
                <w:szCs w:val="21"/>
                <w:highlight w:val="none"/>
              </w:rPr>
              <w:t>1.具体</w:t>
            </w:r>
            <w:r>
              <w:rPr>
                <w:rFonts w:ascii="宋体" w:hAnsi="宋体" w:cs="Arial"/>
                <w:szCs w:val="21"/>
                <w:highlight w:val="none"/>
              </w:rPr>
              <w:t>要求</w:t>
            </w:r>
            <w:r>
              <w:rPr>
                <w:rFonts w:hint="eastAsia" w:ascii="宋体" w:hAnsi="宋体" w:cs="Arial"/>
                <w:szCs w:val="21"/>
                <w:highlight w:val="none"/>
              </w:rPr>
              <w:t>详见第一章《磋商公告》第二条“申请人资格要求</w:t>
            </w:r>
            <w:r>
              <w:rPr>
                <w:rFonts w:ascii="宋体" w:hAnsi="宋体" w:cs="Arial"/>
                <w:szCs w:val="21"/>
                <w:highlight w:val="none"/>
              </w:rPr>
              <w:t>”</w:t>
            </w:r>
            <w:r>
              <w:rPr>
                <w:rFonts w:hint="eastAsia" w:ascii="宋体" w:hAnsi="宋体" w:cs="Arial"/>
                <w:szCs w:val="21"/>
                <w:highlight w:val="none"/>
              </w:rPr>
              <w:t>。</w:t>
            </w:r>
          </w:p>
          <w:p>
            <w:pPr>
              <w:autoSpaceDE w:val="0"/>
              <w:autoSpaceDN w:val="0"/>
              <w:adjustRightInd w:val="0"/>
              <w:snapToGrid w:val="0"/>
              <w:spacing w:line="300" w:lineRule="auto"/>
              <w:rPr>
                <w:szCs w:val="21"/>
                <w:highlight w:val="none"/>
                <w:lang w:val="zh-CN"/>
              </w:rPr>
            </w:pPr>
            <w:r>
              <w:rPr>
                <w:rFonts w:ascii="宋体" w:hAnsi="宋体" w:cs="Arial"/>
                <w:szCs w:val="21"/>
                <w:highlight w:val="none"/>
              </w:rPr>
              <w:t>2.</w:t>
            </w:r>
            <w:r>
              <w:rPr>
                <w:rFonts w:hint="eastAsia" w:ascii="宋体" w:hAnsi="宋体" w:cs="Arial"/>
                <w:szCs w:val="21"/>
                <w:highlight w:val="none"/>
              </w:rPr>
              <w:t>须提供的证明文件详见第四章</w:t>
            </w:r>
            <w:r>
              <w:rPr>
                <w:rFonts w:ascii="宋体" w:hAnsi="宋体" w:cs="Arial"/>
                <w:szCs w:val="21"/>
                <w:highlight w:val="none"/>
              </w:rPr>
              <w:t>《</w:t>
            </w:r>
            <w:r>
              <w:rPr>
                <w:rFonts w:hint="eastAsia" w:ascii="宋体" w:hAnsi="宋体" w:cs="Arial"/>
                <w:szCs w:val="21"/>
                <w:highlight w:val="none"/>
              </w:rPr>
              <w:t>评审程序、方法及标准</w:t>
            </w:r>
            <w:r>
              <w:rPr>
                <w:rFonts w:ascii="宋体" w:hAnsi="宋体" w:cs="Arial"/>
                <w:szCs w:val="21"/>
                <w:highlight w:val="none"/>
              </w:rPr>
              <w:t>》</w:t>
            </w:r>
            <w:r>
              <w:rPr>
                <w:rFonts w:hint="eastAsia" w:ascii="宋体" w:hAnsi="宋体" w:cs="Arial"/>
                <w:szCs w:val="21"/>
                <w:highlight w:val="none"/>
              </w:rPr>
              <w:t>中的《资格</w:t>
            </w:r>
            <w:r>
              <w:rPr>
                <w:rFonts w:ascii="宋体" w:hAnsi="宋体" w:cs="Arial"/>
                <w:szCs w:val="21"/>
                <w:highlight w:val="none"/>
              </w:rPr>
              <w:t>审查表</w:t>
            </w:r>
            <w:r>
              <w:rPr>
                <w:rFonts w:hint="eastAsia" w:ascii="宋体" w:hAnsi="宋体" w:cs="Arial"/>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15.1</w:t>
            </w:r>
          </w:p>
        </w:tc>
        <w:tc>
          <w:tcPr>
            <w:tcW w:w="2320" w:type="dxa"/>
            <w:vAlign w:val="center"/>
          </w:tcPr>
          <w:p>
            <w:pPr>
              <w:autoSpaceDE w:val="0"/>
              <w:autoSpaceDN w:val="0"/>
              <w:adjustRightInd w:val="0"/>
              <w:snapToGrid w:val="0"/>
              <w:spacing w:line="300" w:lineRule="auto"/>
              <w:jc w:val="center"/>
              <w:rPr>
                <w:rFonts w:ascii="宋体" w:hAnsi="宋体"/>
                <w:szCs w:val="21"/>
                <w:highlight w:val="none"/>
              </w:rPr>
            </w:pPr>
            <w:r>
              <w:rPr>
                <w:rFonts w:hint="eastAsia" w:ascii="宋体" w:hAnsi="宋体" w:cs="宋体"/>
                <w:snapToGrid w:val="0"/>
                <w:kern w:val="0"/>
                <w:szCs w:val="21"/>
                <w:highlight w:val="none"/>
                <w:lang w:val="zh-CN"/>
              </w:rPr>
              <w:t>证明响应内容符合磋商文件要求的文件和磋商文件规定的其他资料</w:t>
            </w:r>
          </w:p>
        </w:tc>
        <w:tc>
          <w:tcPr>
            <w:tcW w:w="5934" w:type="dxa"/>
            <w:vAlign w:val="center"/>
          </w:tcPr>
          <w:p>
            <w:pPr>
              <w:snapToGrid w:val="0"/>
              <w:spacing w:line="300" w:lineRule="auto"/>
              <w:rPr>
                <w:rFonts w:ascii="宋体" w:hAnsi="宋体"/>
                <w:szCs w:val="21"/>
                <w:highlight w:val="none"/>
              </w:rPr>
            </w:pPr>
            <w:r>
              <w:rPr>
                <w:rFonts w:hint="eastAsia" w:ascii="宋体" w:hAnsi="宋体"/>
                <w:szCs w:val="21"/>
                <w:highlight w:val="none"/>
              </w:rPr>
              <w:t>证明满足磋商文件第三章中</w:t>
            </w:r>
            <w:r>
              <w:rPr>
                <w:rFonts w:hint="eastAsia" w:ascii="宋体" w:hAnsi="宋体" w:cs="宋体"/>
                <w:kern w:val="0"/>
                <w:szCs w:val="21"/>
                <w:highlight w:val="none"/>
              </w:rPr>
              <w:t>技术要求及商务要求的所有相关规定的</w:t>
            </w:r>
            <w:r>
              <w:rPr>
                <w:rFonts w:hint="eastAsia" w:ascii="宋体" w:hAnsi="宋体"/>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16.1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投标（磋商）保证金</w:t>
            </w:r>
          </w:p>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（以下统称“投标保证金”）</w:t>
            </w:r>
          </w:p>
        </w:tc>
        <w:tc>
          <w:tcPr>
            <w:tcW w:w="5934" w:type="dxa"/>
            <w:vAlign w:val="center"/>
          </w:tcPr>
          <w:p>
            <w:pPr>
              <w:autoSpaceDE w:val="0"/>
              <w:autoSpaceDN w:val="0"/>
              <w:snapToGrid w:val="0"/>
              <w:spacing w:line="300" w:lineRule="auto"/>
              <w:rPr>
                <w:rFonts w:ascii="宋体" w:hAnsi="宋体" w:cs="Arial"/>
                <w:b/>
                <w:szCs w:val="21"/>
                <w:highlight w:val="none"/>
              </w:rPr>
            </w:pPr>
            <w:r>
              <w:rPr>
                <w:rFonts w:hint="eastAsia" w:ascii="宋体" w:hAnsi="宋体" w:cs="Arial"/>
                <w:szCs w:val="21"/>
                <w:highlight w:val="none"/>
              </w:rPr>
              <w:t>本项目不收投标保证金。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17.1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响应文件有效期</w:t>
            </w:r>
          </w:p>
        </w:tc>
        <w:tc>
          <w:tcPr>
            <w:tcW w:w="5934" w:type="dxa"/>
            <w:vAlign w:val="center"/>
          </w:tcPr>
          <w:p>
            <w:pPr>
              <w:autoSpaceDE w:val="0"/>
              <w:autoSpaceDN w:val="0"/>
              <w:adjustRightInd w:val="0"/>
              <w:snapToGrid w:val="0"/>
              <w:spacing w:line="300" w:lineRule="auto"/>
              <w:rPr>
                <w:rFonts w:ascii="宋体" w:hAnsi="宋体"/>
                <w:szCs w:val="21"/>
                <w:highlight w:val="none"/>
                <w:lang w:val="zh-CN"/>
              </w:rPr>
            </w:pPr>
            <w:r>
              <w:rPr>
                <w:rFonts w:hint="eastAsia" w:ascii="宋体" w:hAnsi="宋体" w:cs="宋体"/>
                <w:snapToGrid w:val="0"/>
                <w:kern w:val="0"/>
                <w:szCs w:val="21"/>
                <w:highlight w:val="none"/>
                <w:u w:val="single"/>
                <w:lang w:val="zh-CN"/>
              </w:rPr>
              <w:t xml:space="preserve"> </w:t>
            </w:r>
            <w:r>
              <w:rPr>
                <w:rFonts w:hint="eastAsia" w:ascii="宋体" w:hAnsi="宋体" w:cs="宋体"/>
                <w:snapToGrid w:val="0"/>
                <w:kern w:val="0"/>
                <w:szCs w:val="21"/>
                <w:highlight w:val="none"/>
                <w:u w:val="single"/>
              </w:rPr>
              <w:t>90</w:t>
            </w:r>
            <w:r>
              <w:rPr>
                <w:rFonts w:hint="eastAsia" w:ascii="宋体" w:hAnsi="宋体" w:cs="宋体"/>
                <w:snapToGrid w:val="0"/>
                <w:kern w:val="0"/>
                <w:szCs w:val="21"/>
                <w:highlight w:val="none"/>
                <w:u w:val="single"/>
                <w:lang w:val="zh-CN"/>
              </w:rPr>
              <w:t xml:space="preserve"> </w:t>
            </w:r>
            <w:r>
              <w:rPr>
                <w:rFonts w:hint="eastAsia" w:ascii="宋体" w:hAnsi="宋体" w:cs="宋体"/>
                <w:snapToGrid w:val="0"/>
                <w:kern w:val="0"/>
                <w:szCs w:val="21"/>
                <w:highlight w:val="none"/>
                <w:lang w:val="zh-CN"/>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pStyle w:val="38"/>
              <w:widowControl w:val="0"/>
              <w:autoSpaceDE w:val="0"/>
              <w:autoSpaceDN w:val="0"/>
              <w:adjustRightInd w:val="0"/>
              <w:snapToGrid w:val="0"/>
              <w:spacing w:before="0" w:beforeAutospacing="0" w:after="0" w:afterAutospacing="0" w:line="300" w:lineRule="auto"/>
              <w:ind w:left="21" w:leftChars="10" w:right="21" w:rightChars="10"/>
              <w:jc w:val="center"/>
              <w:rPr>
                <w:kern w:val="2"/>
                <w:sz w:val="21"/>
                <w:szCs w:val="21"/>
                <w:highlight w:val="none"/>
                <w:lang w:val="zh-CN"/>
              </w:rPr>
            </w:pPr>
            <w:r>
              <w:rPr>
                <w:kern w:val="2"/>
                <w:sz w:val="21"/>
                <w:szCs w:val="21"/>
                <w:highlight w:val="none"/>
                <w:lang w:val="zh-CN"/>
              </w:rPr>
              <w:t>18.1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竞争性磋商响应文件正、副本数量</w:t>
            </w:r>
          </w:p>
        </w:tc>
        <w:tc>
          <w:tcPr>
            <w:tcW w:w="5934" w:type="dxa"/>
            <w:vAlign w:val="center"/>
          </w:tcPr>
          <w:p>
            <w:pPr>
              <w:autoSpaceDE w:val="0"/>
              <w:autoSpaceDN w:val="0"/>
              <w:adjustRightInd w:val="0"/>
              <w:snapToGrid w:val="0"/>
              <w:spacing w:line="300" w:lineRule="auto"/>
              <w:rPr>
                <w:szCs w:val="21"/>
                <w:highlight w:val="none"/>
              </w:rPr>
            </w:pPr>
            <w:r>
              <w:rPr>
                <w:rFonts w:hint="eastAsia" w:ascii="宋体" w:hAnsi="宋体"/>
                <w:szCs w:val="21"/>
                <w:highlight w:val="none"/>
              </w:rPr>
              <w:t>本次采购项目</w:t>
            </w:r>
            <w:r>
              <w:rPr>
                <w:rFonts w:hint="eastAsia" w:ascii="宋体" w:hAnsi="宋体" w:cs="宋体"/>
                <w:snapToGrid w:val="0"/>
                <w:kern w:val="0"/>
                <w:szCs w:val="21"/>
                <w:highlight w:val="none"/>
                <w:lang w:val="zh-CN"/>
              </w:rPr>
              <w:t>响应文件正本一份，副本</w:t>
            </w:r>
            <w:r>
              <w:rPr>
                <w:rFonts w:hint="eastAsia" w:ascii="宋体" w:hAnsi="宋体" w:cs="宋体"/>
                <w:snapToGrid w:val="0"/>
                <w:kern w:val="0"/>
                <w:szCs w:val="21"/>
                <w:highlight w:val="none"/>
                <w:u w:val="single"/>
                <w:lang w:val="zh-CN"/>
              </w:rPr>
              <w:t xml:space="preserve"> </w:t>
            </w:r>
            <w:r>
              <w:rPr>
                <w:rFonts w:hint="eastAsia" w:ascii="宋体" w:hAnsi="宋体" w:cs="宋体"/>
                <w:snapToGrid w:val="0"/>
                <w:kern w:val="0"/>
                <w:szCs w:val="21"/>
                <w:highlight w:val="none"/>
                <w:u w:val="single"/>
                <w:lang w:val="en-US" w:eastAsia="zh-CN"/>
              </w:rPr>
              <w:t>三</w:t>
            </w:r>
            <w:r>
              <w:rPr>
                <w:rFonts w:hint="eastAsia" w:ascii="宋体" w:hAnsi="宋体" w:cs="宋体"/>
                <w:snapToGrid w:val="0"/>
                <w:kern w:val="0"/>
                <w:szCs w:val="21"/>
                <w:highlight w:val="none"/>
                <w:u w:val="single"/>
                <w:lang w:val="zh-CN"/>
              </w:rPr>
              <w:t xml:space="preserve"> </w:t>
            </w:r>
            <w:r>
              <w:rPr>
                <w:rFonts w:hint="eastAsia" w:ascii="宋体" w:hAnsi="宋体" w:cs="宋体"/>
                <w:snapToGrid w:val="0"/>
                <w:kern w:val="0"/>
                <w:szCs w:val="21"/>
                <w:highlight w:val="none"/>
                <w:lang w:val="zh-CN"/>
              </w:rPr>
              <w:t>份，所有响应文件概不退还。响应</w:t>
            </w:r>
            <w:r>
              <w:rPr>
                <w:rFonts w:hint="eastAsia"/>
                <w:szCs w:val="21"/>
                <w:highlight w:val="none"/>
              </w:rPr>
              <w:t>文件的编制应按每包要求分别装订和封装。</w:t>
            </w:r>
          </w:p>
          <w:p>
            <w:pPr>
              <w:autoSpaceDE w:val="0"/>
              <w:autoSpaceDN w:val="0"/>
              <w:adjustRightInd w:val="0"/>
              <w:snapToGrid w:val="0"/>
              <w:spacing w:line="300" w:lineRule="auto"/>
              <w:rPr>
                <w:szCs w:val="21"/>
                <w:highlight w:val="none"/>
              </w:rPr>
            </w:pPr>
            <w:r>
              <w:rPr>
                <w:rFonts w:hint="eastAsia"/>
                <w:szCs w:val="21"/>
                <w:highlight w:val="none"/>
              </w:rPr>
              <w:t>是否要求提交响应文件电子版：</w:t>
            </w:r>
            <w:r>
              <w:rPr>
                <w:szCs w:val="21"/>
                <w:highlight w:val="none"/>
              </w:rPr>
              <w:t xml:space="preserve"> </w:t>
            </w:r>
          </w:p>
          <w:p>
            <w:pPr>
              <w:autoSpaceDE w:val="0"/>
              <w:autoSpaceDN w:val="0"/>
              <w:snapToGrid w:val="0"/>
              <w:spacing w:line="300" w:lineRule="auto"/>
              <w:rPr>
                <w:rFonts w:ascii="宋体" w:hAnsi="宋体" w:cs="Arial"/>
                <w:szCs w:val="21"/>
                <w:highlight w:val="none"/>
              </w:rPr>
            </w:pPr>
            <w:r>
              <w:rPr>
                <w:rFonts w:hint="eastAsia" w:ascii="宋体" w:hAnsi="宋体" w:cs="Arial"/>
                <w:szCs w:val="21"/>
                <w:highlight w:val="none"/>
                <w:lang w:eastAsia="zh-CN"/>
              </w:rPr>
              <w:t>□</w:t>
            </w:r>
            <w:r>
              <w:rPr>
                <w:rFonts w:ascii="宋体" w:hAnsi="宋体" w:cs="Arial"/>
                <w:szCs w:val="21"/>
                <w:highlight w:val="none"/>
              </w:rPr>
              <w:t>不要求</w:t>
            </w:r>
          </w:p>
          <w:p>
            <w:pPr>
              <w:autoSpaceDE w:val="0"/>
              <w:autoSpaceDN w:val="0"/>
              <w:adjustRightInd w:val="0"/>
              <w:snapToGrid w:val="0"/>
              <w:spacing w:line="300" w:lineRule="auto"/>
              <w:rPr>
                <w:rFonts w:hint="default" w:ascii="宋体" w:hAnsi="宋体" w:eastAsia="宋体"/>
                <w:szCs w:val="21"/>
                <w:highlight w:val="none"/>
                <w:lang w:val="en-US" w:eastAsia="zh-CN"/>
              </w:rPr>
            </w:pPr>
            <w:r>
              <w:rPr>
                <w:rFonts w:hint="eastAsia" w:ascii="宋体" w:hAnsi="宋体" w:cs="Arial"/>
                <w:szCs w:val="21"/>
                <w:highlight w:val="none"/>
                <w:lang w:eastAsia="zh-CN"/>
              </w:rPr>
              <w:t>☑</w:t>
            </w:r>
            <w:r>
              <w:rPr>
                <w:rFonts w:ascii="宋体" w:hAnsi="宋体" w:cs="Arial"/>
                <w:szCs w:val="21"/>
                <w:highlight w:val="none"/>
              </w:rPr>
              <w:t>要求</w:t>
            </w:r>
            <w:r>
              <w:rPr>
                <w:rFonts w:hint="eastAsia" w:ascii="宋体" w:hAnsi="宋体" w:cs="Arial"/>
                <w:szCs w:val="21"/>
                <w:highlight w:val="none"/>
                <w:lang w:eastAsia="zh-CN"/>
              </w:rPr>
              <w:t>：</w:t>
            </w:r>
            <w:r>
              <w:rPr>
                <w:rFonts w:hint="eastAsia" w:ascii="宋体" w:hAnsi="宋体" w:cs="Arial"/>
                <w:szCs w:val="21"/>
                <w:highlight w:val="none"/>
                <w:lang w:val="en-US" w:eastAsia="zh-CN"/>
              </w:rPr>
              <w:t>1份，</w:t>
            </w:r>
            <w:r>
              <w:rPr>
                <w:rFonts w:hint="eastAsia"/>
                <w:szCs w:val="21"/>
                <w:highlight w:val="none"/>
              </w:rPr>
              <w:t>电子版</w:t>
            </w:r>
            <w:r>
              <w:rPr>
                <w:rFonts w:hint="eastAsia" w:ascii="宋体" w:hAnsi="宋体" w:cs="Arial"/>
                <w:szCs w:val="21"/>
                <w:highlight w:val="none"/>
                <w:lang w:val="en-US" w:eastAsia="zh-CN"/>
              </w:rPr>
              <w:t>与</w:t>
            </w:r>
            <w:r>
              <w:rPr>
                <w:rFonts w:hint="eastAsia"/>
                <w:szCs w:val="21"/>
                <w:highlight w:val="none"/>
              </w:rPr>
              <w:t>响应文件</w:t>
            </w:r>
            <w:r>
              <w:rPr>
                <w:rFonts w:hint="eastAsia" w:ascii="宋体" w:hAnsi="宋体" w:cs="Arial"/>
                <w:szCs w:val="21"/>
                <w:highlight w:val="none"/>
                <w:lang w:val="en-US" w:eastAsia="zh-CN"/>
              </w:rPr>
              <w:t>正本一致</w:t>
            </w:r>
          </w:p>
          <w:p>
            <w:pPr>
              <w:autoSpaceDE w:val="0"/>
              <w:autoSpaceDN w:val="0"/>
              <w:adjustRightInd w:val="0"/>
              <w:snapToGrid w:val="0"/>
              <w:spacing w:line="300" w:lineRule="auto"/>
              <w:rPr>
                <w:highlight w:val="none"/>
              </w:rPr>
            </w:pPr>
            <w:r>
              <w:rPr>
                <w:rFonts w:hint="eastAsia" w:ascii="宋体" w:hAnsi="宋体"/>
                <w:szCs w:val="21"/>
                <w:highlight w:val="none"/>
              </w:rPr>
              <w:t>以上资料均应密封提交。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19.4</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cs="宋体"/>
                <w:snapToGrid w:val="0"/>
                <w:kern w:val="0"/>
                <w:szCs w:val="21"/>
                <w:highlight w:val="none"/>
                <w:lang w:val="zh-CN"/>
              </w:rPr>
              <w:t>样品</w:t>
            </w:r>
          </w:p>
        </w:tc>
        <w:tc>
          <w:tcPr>
            <w:tcW w:w="5934" w:type="dxa"/>
            <w:vAlign w:val="center"/>
          </w:tcPr>
          <w:p>
            <w:pPr>
              <w:autoSpaceDE w:val="0"/>
              <w:autoSpaceDN w:val="0"/>
              <w:adjustRightInd w:val="0"/>
              <w:snapToGrid w:val="0"/>
              <w:spacing w:line="300" w:lineRule="auto"/>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提交及退还样品的相关规定：无</w:t>
            </w:r>
            <w:r>
              <w:rPr>
                <w:rFonts w:hint="eastAsia" w:ascii="宋体" w:hAnsi="宋体"/>
                <w:spacing w:val="-6"/>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20.1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cs="宋体"/>
                <w:snapToGrid w:val="0"/>
                <w:kern w:val="0"/>
                <w:szCs w:val="21"/>
                <w:highlight w:val="none"/>
                <w:lang w:val="zh-CN"/>
              </w:rPr>
              <w:t>磋商响应文件送达地点及递交截止时间</w:t>
            </w:r>
          </w:p>
        </w:tc>
        <w:tc>
          <w:tcPr>
            <w:tcW w:w="5934" w:type="dxa"/>
            <w:vAlign w:val="center"/>
          </w:tcPr>
          <w:p>
            <w:pPr>
              <w:autoSpaceDE w:val="0"/>
              <w:autoSpaceDN w:val="0"/>
              <w:adjustRightInd w:val="0"/>
              <w:snapToGrid w:val="0"/>
              <w:spacing w:line="300" w:lineRule="auto"/>
              <w:ind w:right="21" w:rightChars="10"/>
              <w:rPr>
                <w:szCs w:val="21"/>
                <w:highlight w:val="none"/>
              </w:rPr>
            </w:pPr>
            <w:r>
              <w:rPr>
                <w:szCs w:val="21"/>
                <w:highlight w:val="none"/>
                <w:lang w:val="zh-CN"/>
              </w:rPr>
              <w:t>详见</w:t>
            </w:r>
            <w:r>
              <w:rPr>
                <w:szCs w:val="21"/>
                <w:highlight w:val="none"/>
              </w:rPr>
              <w:t>第一章</w:t>
            </w:r>
            <w:r>
              <w:rPr>
                <w:rFonts w:hint="eastAsia"/>
                <w:szCs w:val="21"/>
                <w:highlight w:val="none"/>
              </w:rPr>
              <w:t>《磋商公告》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23.1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磋商小组人数</w:t>
            </w:r>
          </w:p>
        </w:tc>
        <w:tc>
          <w:tcPr>
            <w:tcW w:w="5934" w:type="dxa"/>
            <w:vAlign w:val="center"/>
          </w:tcPr>
          <w:p>
            <w:pPr>
              <w:autoSpaceDE w:val="0"/>
              <w:autoSpaceDN w:val="0"/>
              <w:adjustRightInd w:val="0"/>
              <w:snapToGrid w:val="0"/>
              <w:spacing w:line="300" w:lineRule="auto"/>
              <w:jc w:val="left"/>
              <w:rPr>
                <w:rFonts w:ascii="宋体" w:hAnsi="宋体" w:cs="宋体"/>
                <w:snapToGrid w:val="0"/>
                <w:kern w:val="0"/>
                <w:szCs w:val="21"/>
                <w:highlight w:val="none"/>
              </w:rPr>
            </w:pPr>
            <w:r>
              <w:rPr>
                <w:rFonts w:hint="eastAsia" w:cs="宋体" w:asciiTheme="minorEastAsia" w:hAnsiTheme="minorEastAsia" w:eastAsiaTheme="minorEastAsia"/>
                <w:snapToGrid w:val="0"/>
                <w:kern w:val="0"/>
                <w:szCs w:val="21"/>
                <w:highlight w:val="none"/>
                <w:lang w:val="zh-CN"/>
              </w:rPr>
              <w:t>磋商小组由采购人代表和评审专家共</w:t>
            </w:r>
            <w:r>
              <w:rPr>
                <w:rFonts w:hint="eastAsia" w:cs="宋体" w:asciiTheme="minorEastAsia" w:hAnsiTheme="minorEastAsia" w:eastAsiaTheme="minorEastAsia"/>
                <w:snapToGrid w:val="0"/>
                <w:kern w:val="0"/>
                <w:szCs w:val="21"/>
                <w:highlight w:val="none"/>
                <w:u w:val="single"/>
                <w:lang w:val="zh-CN"/>
              </w:rPr>
              <w:t xml:space="preserve"> 3 </w:t>
            </w:r>
            <w:r>
              <w:rPr>
                <w:rFonts w:hint="eastAsia" w:cs="宋体" w:asciiTheme="minorEastAsia" w:hAnsiTheme="minorEastAsia" w:eastAsiaTheme="minorEastAsia"/>
                <w:snapToGrid w:val="0"/>
                <w:kern w:val="0"/>
                <w:szCs w:val="21"/>
                <w:highlight w:val="none"/>
                <w:lang w:val="zh-CN"/>
              </w:rPr>
              <w:t>人组成。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23.2</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评审专家的产生</w:t>
            </w:r>
          </w:p>
        </w:tc>
        <w:tc>
          <w:tcPr>
            <w:tcW w:w="5934" w:type="dxa"/>
            <w:vAlign w:val="center"/>
          </w:tcPr>
          <w:p>
            <w:pPr>
              <w:autoSpaceDE w:val="0"/>
              <w:autoSpaceDN w:val="0"/>
              <w:adjustRightInd w:val="0"/>
              <w:snapToGrid w:val="0"/>
              <w:spacing w:line="300" w:lineRule="auto"/>
              <w:jc w:val="left"/>
              <w:rPr>
                <w:szCs w:val="21"/>
                <w:highlight w:val="none"/>
                <w:lang w:val="zh-CN"/>
              </w:rPr>
            </w:pPr>
            <w:r>
              <w:rPr>
                <w:rFonts w:hint="eastAsia" w:ascii="宋体" w:hAnsi="宋体" w:cs="Arial"/>
                <w:sz w:val="15"/>
                <w:szCs w:val="15"/>
                <w:highlight w:val="none"/>
                <w:bdr w:val="single" w:color="auto" w:sz="4" w:space="0"/>
              </w:rPr>
              <w:t>√</w:t>
            </w:r>
            <w:r>
              <w:rPr>
                <w:rFonts w:hint="eastAsia"/>
                <w:szCs w:val="21"/>
                <w:highlight w:val="none"/>
                <w:lang w:val="zh-CN"/>
              </w:rPr>
              <w:t>政府采购专家库中随机抽取</w:t>
            </w:r>
          </w:p>
          <w:p>
            <w:pPr>
              <w:autoSpaceDE w:val="0"/>
              <w:autoSpaceDN w:val="0"/>
              <w:adjustRightInd w:val="0"/>
              <w:snapToGrid w:val="0"/>
              <w:spacing w:line="300" w:lineRule="auto"/>
              <w:jc w:val="left"/>
              <w:rPr>
                <w:rFonts w:cs="宋体" w:asciiTheme="minorEastAsia" w:hAnsiTheme="minorEastAsia" w:eastAsiaTheme="minorEastAsia"/>
                <w:snapToGrid w:val="0"/>
                <w:kern w:val="0"/>
                <w:szCs w:val="21"/>
                <w:highlight w:val="none"/>
                <w:lang w:val="zh-CN"/>
              </w:rPr>
            </w:pPr>
            <w:r>
              <w:rPr>
                <w:rFonts w:hint="eastAsia"/>
                <w:szCs w:val="21"/>
                <w:highlight w:val="none"/>
                <w:lang w:val="zh-CN"/>
              </w:rPr>
              <w:t>□其他：</w:t>
            </w:r>
            <w:r>
              <w:rPr>
                <w:rFonts w:hint="eastAsia"/>
                <w:szCs w:val="21"/>
                <w:highlight w:val="none"/>
                <w:u w:val="single"/>
                <w:lang w:val="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2"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26.4</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确定提交最后报价供应商的方式</w:t>
            </w:r>
          </w:p>
        </w:tc>
        <w:tc>
          <w:tcPr>
            <w:tcW w:w="5934" w:type="dxa"/>
            <w:vAlign w:val="center"/>
          </w:tcPr>
          <w:p>
            <w:pPr>
              <w:autoSpaceDE w:val="0"/>
              <w:autoSpaceDN w:val="0"/>
              <w:adjustRightInd w:val="0"/>
              <w:snapToGrid w:val="0"/>
              <w:spacing w:line="300" w:lineRule="auto"/>
              <w:jc w:val="left"/>
              <w:rPr>
                <w:szCs w:val="21"/>
                <w:highlight w:val="none"/>
                <w:lang w:val="zh-CN"/>
              </w:rPr>
            </w:pPr>
            <w:r>
              <w:rPr>
                <w:rFonts w:hint="eastAsia" w:ascii="宋体" w:hAnsi="宋体" w:cs="Arial"/>
                <w:sz w:val="15"/>
                <w:szCs w:val="15"/>
                <w:highlight w:val="none"/>
                <w:bdr w:val="single" w:color="auto" w:sz="4" w:space="0"/>
              </w:rPr>
              <w:t>√</w:t>
            </w:r>
            <w:r>
              <w:rPr>
                <w:rFonts w:hint="eastAsia"/>
                <w:szCs w:val="21"/>
                <w:highlight w:val="none"/>
                <w:lang w:val="zh-CN"/>
              </w:rPr>
              <w:t>本项目按照</w:t>
            </w:r>
            <w:r>
              <w:rPr>
                <w:rFonts w:hint="eastAsia" w:cs="宋体" w:asciiTheme="minorEastAsia" w:hAnsiTheme="minorEastAsia" w:eastAsiaTheme="minorEastAsia"/>
                <w:snapToGrid w:val="0"/>
                <w:kern w:val="0"/>
                <w:szCs w:val="21"/>
                <w:highlight w:val="none"/>
                <w:lang w:val="zh-CN"/>
              </w:rPr>
              <w:t>第（1）条规定确定</w:t>
            </w:r>
            <w:r>
              <w:rPr>
                <w:rFonts w:hint="eastAsia" w:ascii="宋体" w:hAnsi="宋体" w:cs="宋体"/>
                <w:snapToGrid w:val="0"/>
                <w:kern w:val="0"/>
                <w:szCs w:val="21"/>
                <w:highlight w:val="none"/>
                <w:lang w:val="zh-CN"/>
              </w:rPr>
              <w:t>提交最后报价供应商</w:t>
            </w:r>
          </w:p>
          <w:p>
            <w:pPr>
              <w:autoSpaceDE w:val="0"/>
              <w:autoSpaceDN w:val="0"/>
              <w:adjustRightInd w:val="0"/>
              <w:snapToGrid w:val="0"/>
              <w:spacing w:line="300" w:lineRule="auto"/>
              <w:jc w:val="left"/>
              <w:rPr>
                <w:rFonts w:ascii="宋体" w:hAnsi="宋体" w:cs="宋体"/>
                <w:snapToGrid w:val="0"/>
                <w:kern w:val="0"/>
                <w:szCs w:val="21"/>
                <w:highlight w:val="none"/>
                <w:lang w:val="zh-CN"/>
              </w:rPr>
            </w:pPr>
            <w:r>
              <w:rPr>
                <w:rFonts w:hint="eastAsia"/>
                <w:szCs w:val="21"/>
                <w:highlight w:val="none"/>
                <w:lang w:val="zh-CN"/>
              </w:rPr>
              <w:t>□本项目适用</w:t>
            </w:r>
            <w:r>
              <w:rPr>
                <w:rFonts w:hint="eastAsia" w:cs="宋体" w:asciiTheme="minorEastAsia" w:hAnsiTheme="minorEastAsia" w:eastAsiaTheme="minorEastAsia"/>
                <w:snapToGrid w:val="0"/>
                <w:kern w:val="0"/>
                <w:szCs w:val="21"/>
                <w:highlight w:val="none"/>
                <w:lang w:val="zh-CN"/>
              </w:rPr>
              <w:t>第（2）条规定确定</w:t>
            </w:r>
            <w:r>
              <w:rPr>
                <w:rFonts w:hint="eastAsia" w:ascii="宋体" w:hAnsi="宋体" w:cs="宋体"/>
                <w:snapToGrid w:val="0"/>
                <w:kern w:val="0"/>
                <w:szCs w:val="21"/>
                <w:highlight w:val="none"/>
                <w:lang w:val="zh-CN"/>
              </w:rPr>
              <w:t>提交最后报价供应商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2"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hint="eastAsia" w:ascii="宋体" w:hAnsi="宋体"/>
                <w:szCs w:val="21"/>
                <w:highlight w:val="none"/>
              </w:rPr>
            </w:pPr>
            <w:r>
              <w:rPr>
                <w:rFonts w:hint="eastAsia" w:ascii="宋体" w:hAnsi="宋体"/>
                <w:szCs w:val="21"/>
                <w:highlight w:val="none"/>
                <w:lang w:val="en-US" w:eastAsia="zh-CN"/>
              </w:rPr>
              <w:t>26.6</w:t>
            </w:r>
          </w:p>
        </w:tc>
        <w:tc>
          <w:tcPr>
            <w:tcW w:w="2320" w:type="dxa"/>
            <w:vAlign w:val="center"/>
          </w:tcPr>
          <w:p>
            <w:pPr>
              <w:autoSpaceDE w:val="0"/>
              <w:autoSpaceDN w:val="0"/>
              <w:adjustRightInd w:val="0"/>
              <w:snapToGrid w:val="0"/>
              <w:spacing w:line="300" w:lineRule="auto"/>
              <w:ind w:left="21" w:leftChars="10" w:right="21" w:rightChars="10"/>
              <w:jc w:val="center"/>
              <w:rPr>
                <w:rFonts w:hint="eastAsia" w:ascii="宋体" w:hAnsi="宋体" w:cs="宋体"/>
                <w:snapToGrid w:val="0"/>
                <w:kern w:val="0"/>
                <w:szCs w:val="21"/>
                <w:highlight w:val="none"/>
                <w:lang w:val="zh-CN"/>
              </w:rPr>
            </w:pPr>
            <w:r>
              <w:rPr>
                <w:rFonts w:hint="eastAsia" w:ascii="宋体" w:hAnsi="宋体" w:cs="宋体"/>
                <w:snapToGrid w:val="0"/>
                <w:kern w:val="0"/>
                <w:szCs w:val="21"/>
                <w:highlight w:val="none"/>
                <w:lang w:val="en-US" w:eastAsia="zh-CN"/>
              </w:rPr>
              <w:t>异常低价情形</w:t>
            </w:r>
          </w:p>
        </w:tc>
        <w:tc>
          <w:tcPr>
            <w:tcW w:w="5934" w:type="dxa"/>
            <w:vAlign w:val="center"/>
          </w:tcPr>
          <w:p>
            <w:pPr>
              <w:autoSpaceDE w:val="0"/>
              <w:autoSpaceDN w:val="0"/>
              <w:adjustRightInd w:val="0"/>
              <w:snapToGrid w:val="0"/>
              <w:spacing w:line="300" w:lineRule="auto"/>
              <w:jc w:val="left"/>
              <w:rPr>
                <w:rFonts w:hint="eastAsia"/>
                <w:szCs w:val="21"/>
                <w:highlight w:val="none"/>
                <w:lang w:val="zh-CN"/>
              </w:rPr>
            </w:pPr>
            <w:r>
              <w:rPr>
                <w:rFonts w:hint="eastAsia"/>
                <w:szCs w:val="21"/>
                <w:highlight w:val="none"/>
                <w:lang w:val="zh-CN"/>
              </w:rPr>
              <w:t>异常低价情形如下：</w:t>
            </w:r>
          </w:p>
          <w:p>
            <w:pPr>
              <w:autoSpaceDE w:val="0"/>
              <w:autoSpaceDN w:val="0"/>
              <w:adjustRightInd w:val="0"/>
              <w:snapToGrid w:val="0"/>
              <w:spacing w:line="300" w:lineRule="auto"/>
              <w:jc w:val="left"/>
              <w:rPr>
                <w:rFonts w:hint="eastAsia"/>
                <w:szCs w:val="21"/>
                <w:highlight w:val="none"/>
                <w:lang w:val="zh-CN"/>
              </w:rPr>
            </w:pPr>
            <w:r>
              <w:rPr>
                <w:rFonts w:hint="eastAsia"/>
                <w:szCs w:val="21"/>
                <w:highlight w:val="none"/>
                <w:lang w:val="zh-CN"/>
              </w:rPr>
              <w:t>1.最后报价低于全部供应商最后报价平均值65%的，即最后报价＜全部供应商最后报价平均值×65%；</w:t>
            </w:r>
          </w:p>
          <w:p>
            <w:pPr>
              <w:autoSpaceDE w:val="0"/>
              <w:autoSpaceDN w:val="0"/>
              <w:adjustRightInd w:val="0"/>
              <w:snapToGrid w:val="0"/>
              <w:spacing w:line="300" w:lineRule="auto"/>
              <w:jc w:val="left"/>
              <w:rPr>
                <w:rFonts w:hint="eastAsia"/>
                <w:szCs w:val="21"/>
                <w:highlight w:val="none"/>
                <w:lang w:val="zh-CN"/>
              </w:rPr>
            </w:pPr>
            <w:r>
              <w:rPr>
                <w:rFonts w:hint="eastAsia"/>
                <w:szCs w:val="21"/>
                <w:highlight w:val="none"/>
                <w:lang w:val="zh-CN"/>
              </w:rPr>
              <w:t>2.最后报价低于最后报价中的次低报价供应商报价65%的，即最后报价＜最后报价中的次低报价供应商报价×65%；</w:t>
            </w:r>
          </w:p>
          <w:p>
            <w:pPr>
              <w:autoSpaceDE w:val="0"/>
              <w:autoSpaceDN w:val="0"/>
              <w:adjustRightInd w:val="0"/>
              <w:snapToGrid w:val="0"/>
              <w:spacing w:line="300" w:lineRule="auto"/>
              <w:jc w:val="left"/>
              <w:rPr>
                <w:rFonts w:hint="eastAsia"/>
                <w:szCs w:val="21"/>
                <w:highlight w:val="none"/>
                <w:lang w:val="zh-CN"/>
              </w:rPr>
            </w:pPr>
            <w:r>
              <w:rPr>
                <w:rFonts w:hint="eastAsia"/>
                <w:szCs w:val="21"/>
                <w:highlight w:val="none"/>
                <w:lang w:val="zh-CN"/>
              </w:rPr>
              <w:t>3.最后报价低于采购项目最高限价65%的，即最后报价＜采购项目最高限价×65%；</w:t>
            </w:r>
          </w:p>
          <w:p>
            <w:pPr>
              <w:autoSpaceDE w:val="0"/>
              <w:autoSpaceDN w:val="0"/>
              <w:adjustRightInd w:val="0"/>
              <w:snapToGrid w:val="0"/>
              <w:spacing w:line="300" w:lineRule="auto"/>
              <w:jc w:val="left"/>
              <w:rPr>
                <w:rFonts w:hint="eastAsia"/>
                <w:szCs w:val="21"/>
                <w:highlight w:val="none"/>
                <w:lang w:val="zh-CN"/>
              </w:rPr>
            </w:pPr>
            <w:r>
              <w:rPr>
                <w:rFonts w:hint="eastAsia"/>
                <w:szCs w:val="21"/>
                <w:highlight w:val="none"/>
                <w:lang w:val="zh-CN"/>
              </w:rPr>
              <w:t>4.磋商小组基于专业判断，认为供应商最后报价过低，有可能影响产品质量或者不能诚信履约的其他情形。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2"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27.2</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推荐成交候选供应商数量</w:t>
            </w:r>
          </w:p>
        </w:tc>
        <w:tc>
          <w:tcPr>
            <w:tcW w:w="5934" w:type="dxa"/>
            <w:vAlign w:val="center"/>
          </w:tcPr>
          <w:p>
            <w:pPr>
              <w:snapToGrid w:val="0"/>
              <w:spacing w:line="300" w:lineRule="auto"/>
              <w:rPr>
                <w:highlight w:val="none"/>
              </w:rPr>
            </w:pPr>
            <w:r>
              <w:rPr>
                <w:rFonts w:hint="eastAsia"/>
                <w:highlight w:val="none"/>
              </w:rPr>
              <w:t>本项目推荐</w:t>
            </w:r>
            <w:r>
              <w:rPr>
                <w:rFonts w:hint="eastAsia"/>
                <w:highlight w:val="none"/>
                <w:u w:val="single"/>
              </w:rPr>
              <w:t xml:space="preserve"> 3 </w:t>
            </w:r>
            <w:r>
              <w:rPr>
                <w:rFonts w:hint="eastAsia"/>
                <w:highlight w:val="none"/>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2"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28.4</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成交通知书的领取时间</w:t>
            </w:r>
          </w:p>
        </w:tc>
        <w:tc>
          <w:tcPr>
            <w:tcW w:w="5934" w:type="dxa"/>
            <w:vAlign w:val="center"/>
          </w:tcPr>
          <w:p>
            <w:pPr>
              <w:snapToGrid w:val="0"/>
              <w:spacing w:line="300" w:lineRule="auto"/>
              <w:rPr>
                <w:highlight w:val="none"/>
                <w:bdr w:val="single" w:color="auto" w:sz="4" w:space="0"/>
              </w:rPr>
            </w:pPr>
            <w:r>
              <w:rPr>
                <w:rFonts w:hint="eastAsia"/>
                <w:highlight w:val="none"/>
              </w:rPr>
              <w:t>成交通知书与成交结果公告同时发出，成交供应商在成交结果公告发布以后即可领取。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adjustRightInd w:val="0"/>
              <w:snapToGrid w:val="0"/>
              <w:spacing w:line="300" w:lineRule="auto"/>
              <w:ind w:left="21" w:leftChars="10" w:right="21" w:rightChars="10"/>
              <w:jc w:val="center"/>
              <w:rPr>
                <w:rFonts w:ascii="宋体" w:hAnsi="宋体"/>
                <w:szCs w:val="21"/>
                <w:highlight w:val="none"/>
              </w:rPr>
            </w:pPr>
            <w:r>
              <w:rPr>
                <w:rFonts w:hint="eastAsia" w:ascii="宋体" w:hAnsi="宋体"/>
                <w:szCs w:val="21"/>
                <w:highlight w:val="none"/>
              </w:rPr>
              <w:t>29.1</w:t>
            </w:r>
          </w:p>
        </w:tc>
        <w:tc>
          <w:tcPr>
            <w:tcW w:w="2320" w:type="dxa"/>
            <w:vAlign w:val="center"/>
          </w:tcPr>
          <w:p>
            <w:pPr>
              <w:autoSpaceDE w:val="0"/>
              <w:autoSpaceDN w:val="0"/>
              <w:adjustRightInd w:val="0"/>
              <w:snapToGrid w:val="0"/>
              <w:spacing w:line="300" w:lineRule="auto"/>
              <w:ind w:left="21" w:leftChars="10" w:right="21" w:rightChars="10"/>
              <w:jc w:val="center"/>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履约保证金</w:t>
            </w:r>
          </w:p>
        </w:tc>
        <w:tc>
          <w:tcPr>
            <w:tcW w:w="5934" w:type="dxa"/>
            <w:vAlign w:val="center"/>
          </w:tcPr>
          <w:p>
            <w:pPr>
              <w:tabs>
                <w:tab w:val="left" w:pos="1260"/>
              </w:tabs>
              <w:snapToGrid w:val="0"/>
              <w:spacing w:line="300" w:lineRule="auto"/>
              <w:rPr>
                <w:rFonts w:ascii="宋体" w:hAnsi="宋体" w:cs="Arial"/>
                <w:b/>
                <w:szCs w:val="21"/>
                <w:highlight w:val="none"/>
              </w:rPr>
            </w:pPr>
            <w:r>
              <w:rPr>
                <w:rFonts w:ascii="宋体" w:hAnsi="宋体" w:cs="Arial"/>
                <w:szCs w:val="21"/>
                <w:highlight w:val="none"/>
              </w:rPr>
              <w:t>□有</w:t>
            </w:r>
          </w:p>
          <w:p>
            <w:pPr>
              <w:tabs>
                <w:tab w:val="left" w:pos="1260"/>
              </w:tabs>
              <w:snapToGrid w:val="0"/>
              <w:spacing w:line="300" w:lineRule="auto"/>
              <w:rPr>
                <w:rFonts w:ascii="宋体" w:hAnsi="宋体" w:cs="Arial"/>
                <w:szCs w:val="21"/>
                <w:highlight w:val="none"/>
              </w:rPr>
            </w:pPr>
            <w:r>
              <w:rPr>
                <w:rFonts w:hint="eastAsia" w:ascii="宋体" w:hAnsi="宋体" w:cs="Arial"/>
                <w:sz w:val="15"/>
                <w:szCs w:val="15"/>
                <w:highlight w:val="none"/>
                <w:bdr w:val="single" w:color="auto" w:sz="4" w:space="0"/>
              </w:rPr>
              <w:t>√</w:t>
            </w:r>
            <w:r>
              <w:rPr>
                <w:rFonts w:ascii="宋体" w:hAnsi="宋体" w:cs="Arial"/>
                <w:szCs w:val="21"/>
                <w:highlight w:val="none"/>
              </w:rPr>
              <w:t>无</w:t>
            </w:r>
          </w:p>
          <w:p>
            <w:pPr>
              <w:tabs>
                <w:tab w:val="left" w:pos="1260"/>
              </w:tabs>
              <w:snapToGrid w:val="0"/>
              <w:spacing w:line="300" w:lineRule="auto"/>
              <w:rPr>
                <w:rFonts w:ascii="宋体" w:hAnsi="宋体" w:cs="Arial"/>
                <w:szCs w:val="21"/>
                <w:highlight w:val="none"/>
                <w:u w:val="single"/>
              </w:rPr>
            </w:pPr>
            <w:r>
              <w:rPr>
                <w:rFonts w:ascii="宋体" w:hAnsi="宋体" w:cs="Arial"/>
                <w:szCs w:val="21"/>
                <w:highlight w:val="none"/>
              </w:rPr>
              <w:t>履约担保金额：</w:t>
            </w:r>
            <w:r>
              <w:rPr>
                <w:rFonts w:ascii="宋体" w:hAnsi="宋体" w:cs="Arial"/>
                <w:szCs w:val="21"/>
                <w:highlight w:val="none"/>
                <w:u w:val="single"/>
              </w:rPr>
              <w:t xml:space="preserve"> </w:t>
            </w:r>
            <w:r>
              <w:rPr>
                <w:rFonts w:hint="eastAsia" w:ascii="宋体" w:hAnsi="宋体" w:cs="Arial"/>
                <w:szCs w:val="21"/>
                <w:highlight w:val="none"/>
                <w:u w:val="single"/>
              </w:rPr>
              <w:t>/</w:t>
            </w:r>
            <w:r>
              <w:rPr>
                <w:rFonts w:ascii="宋体" w:hAnsi="宋体" w:cs="Arial"/>
                <w:szCs w:val="21"/>
                <w:highlight w:val="none"/>
                <w:u w:val="single"/>
              </w:rPr>
              <w:t xml:space="preserve"> </w:t>
            </w:r>
          </w:p>
          <w:p>
            <w:pPr>
              <w:autoSpaceDE w:val="0"/>
              <w:autoSpaceDN w:val="0"/>
              <w:adjustRightInd w:val="0"/>
              <w:snapToGrid w:val="0"/>
              <w:spacing w:line="300" w:lineRule="auto"/>
              <w:ind w:right="21" w:rightChars="10"/>
              <w:jc w:val="left"/>
              <w:rPr>
                <w:rFonts w:ascii="宋体" w:hAnsi="宋体"/>
                <w:color w:val="FF0000"/>
                <w:szCs w:val="21"/>
                <w:highlight w:val="none"/>
              </w:rPr>
            </w:pPr>
            <w:r>
              <w:rPr>
                <w:rFonts w:ascii="宋体" w:hAnsi="宋体" w:cs="Arial"/>
                <w:szCs w:val="21"/>
                <w:highlight w:val="none"/>
              </w:rPr>
              <w:t>履约担保形式：支票、汇票、本票或者金融机构、担保机构出具的保函等非现金形式提交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30.1</w:t>
            </w:r>
          </w:p>
        </w:tc>
        <w:tc>
          <w:tcPr>
            <w:tcW w:w="2320"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质疑期</w:t>
            </w:r>
          </w:p>
        </w:tc>
        <w:tc>
          <w:tcPr>
            <w:tcW w:w="5934" w:type="dxa"/>
            <w:vAlign w:val="center"/>
          </w:tcPr>
          <w:p>
            <w:pPr>
              <w:tabs>
                <w:tab w:val="left" w:pos="1260"/>
              </w:tabs>
              <w:snapToGrid w:val="0"/>
              <w:spacing w:line="300" w:lineRule="auto"/>
              <w:rPr>
                <w:rFonts w:ascii="宋体" w:hAnsi="宋体" w:cs="Arial"/>
                <w:szCs w:val="21"/>
                <w:highlight w:val="none"/>
              </w:rPr>
            </w:pPr>
            <w:r>
              <w:rPr>
                <w:rFonts w:hint="eastAsia" w:cs="宋体" w:asciiTheme="minorEastAsia" w:hAnsiTheme="minorEastAsia" w:eastAsiaTheme="minorEastAsia"/>
                <w:snapToGrid w:val="0"/>
                <w:kern w:val="0"/>
                <w:szCs w:val="21"/>
                <w:highlight w:val="none"/>
                <w:lang w:val="zh-CN"/>
              </w:rPr>
              <w:t>供应商认为磋商文件、磋商过程和成交结果使自己的权益受到损害的，可以在知道或者应知其权益受到损害之日起7个工作日内，以书面形式一次性向采购人或采购代理机构提出质疑。我公司受理项目质疑部门为运营管理部，联系人：刘刚，联系电话：027-87816246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31.1</w:t>
            </w:r>
          </w:p>
        </w:tc>
        <w:tc>
          <w:tcPr>
            <w:tcW w:w="2320"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质疑回复</w:t>
            </w:r>
          </w:p>
        </w:tc>
        <w:tc>
          <w:tcPr>
            <w:tcW w:w="5934" w:type="dxa"/>
            <w:vAlign w:val="center"/>
          </w:tcPr>
          <w:p>
            <w:pPr>
              <w:tabs>
                <w:tab w:val="left" w:pos="1260"/>
              </w:tabs>
              <w:snapToGrid w:val="0"/>
              <w:spacing w:line="300" w:lineRule="auto"/>
              <w:rPr>
                <w:rFonts w:ascii="Arial" w:hAnsi="Arial" w:cs="Arial"/>
                <w:highlight w:val="none"/>
              </w:rPr>
            </w:pPr>
            <w:r>
              <w:rPr>
                <w:rFonts w:hint="eastAsia" w:ascii="宋体" w:hAnsi="宋体"/>
                <w:szCs w:val="21"/>
                <w:highlight w:val="none"/>
              </w:rPr>
              <w:t>采购人或采购代理机构应当在收到供应商的书面质疑后7个工作日内作出答复，并以书面形式通知质疑供应商和其他有关供应商，但答复的内容不得涉及商业秘密。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Merge w:val="restart"/>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八</w:t>
            </w:r>
          </w:p>
        </w:tc>
        <w:tc>
          <w:tcPr>
            <w:tcW w:w="2320" w:type="dxa"/>
            <w:vAlign w:val="center"/>
          </w:tcPr>
          <w:p>
            <w:pPr>
              <w:autoSpaceDE w:val="0"/>
              <w:autoSpaceDN w:val="0"/>
              <w:snapToGrid w:val="0"/>
              <w:spacing w:line="300" w:lineRule="auto"/>
              <w:jc w:val="center"/>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是否接受进口产品</w:t>
            </w:r>
          </w:p>
        </w:tc>
        <w:tc>
          <w:tcPr>
            <w:tcW w:w="5934" w:type="dxa"/>
            <w:vAlign w:val="center"/>
          </w:tcPr>
          <w:p>
            <w:pPr>
              <w:pStyle w:val="15"/>
              <w:topLinePunct/>
              <w:snapToGrid w:val="0"/>
              <w:spacing w:line="300" w:lineRule="auto"/>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接  受</w:t>
            </w:r>
          </w:p>
          <w:p>
            <w:pPr>
              <w:pStyle w:val="15"/>
              <w:topLinePunct/>
              <w:snapToGrid w:val="0"/>
              <w:spacing w:line="300" w:lineRule="auto"/>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 w:val="15"/>
                <w:szCs w:val="15"/>
                <w:highlight w:val="none"/>
                <w:bdr w:val="single" w:color="auto" w:sz="4" w:space="0"/>
                <w14:textFill>
                  <w14:solidFill>
                    <w14:schemeClr w14:val="tx1"/>
                  </w14:solidFill>
                </w14:textFill>
              </w:rPr>
              <w:t>√</w:t>
            </w:r>
            <w:r>
              <w:rPr>
                <w:rFonts w:hint="eastAsia" w:ascii="宋体" w:hAnsi="宋体" w:cs="Arial"/>
                <w:color w:val="000000" w:themeColor="text1"/>
                <w:szCs w:val="21"/>
                <w:highlight w:val="none"/>
                <w14:textFill>
                  <w14:solidFill>
                    <w14:schemeClr w14:val="tx1"/>
                  </w14:solidFill>
                </w14:textFill>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Merge w:val="continue"/>
            <w:vAlign w:val="center"/>
          </w:tcPr>
          <w:p>
            <w:pPr>
              <w:autoSpaceDE w:val="0"/>
              <w:autoSpaceDN w:val="0"/>
              <w:snapToGrid w:val="0"/>
              <w:spacing w:line="300" w:lineRule="auto"/>
              <w:jc w:val="center"/>
              <w:rPr>
                <w:rFonts w:ascii="宋体" w:hAnsi="宋体" w:cs="Arial"/>
                <w:szCs w:val="21"/>
                <w:highlight w:val="none"/>
              </w:rPr>
            </w:pPr>
          </w:p>
        </w:tc>
        <w:tc>
          <w:tcPr>
            <w:tcW w:w="2320"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支持中小企业政策</w:t>
            </w:r>
          </w:p>
        </w:tc>
        <w:tc>
          <w:tcPr>
            <w:tcW w:w="5934" w:type="dxa"/>
            <w:vAlign w:val="center"/>
          </w:tcPr>
          <w:p>
            <w:pPr>
              <w:pStyle w:val="15"/>
              <w:topLinePunct/>
              <w:snapToGrid w:val="0"/>
              <w:spacing w:line="300" w:lineRule="auto"/>
              <w:rPr>
                <w:rFonts w:ascii="宋体" w:hAnsi="宋体" w:cs="Arial"/>
                <w:color w:val="auto"/>
                <w:szCs w:val="21"/>
                <w:highlight w:val="none"/>
              </w:rPr>
            </w:pPr>
            <w:r>
              <w:rPr>
                <w:rFonts w:ascii="宋体" w:hAnsi="宋体" w:cs="Arial"/>
                <w:color w:val="auto"/>
                <w:szCs w:val="21"/>
                <w:highlight w:val="none"/>
              </w:rPr>
              <w:fldChar w:fldCharType="begin"/>
            </w:r>
            <w:r>
              <w:rPr>
                <w:rFonts w:ascii="宋体" w:hAnsi="宋体" w:cs="Arial"/>
                <w:color w:val="auto"/>
                <w:szCs w:val="21"/>
                <w:highlight w:val="none"/>
              </w:rPr>
              <w:instrText xml:space="preserve"> </w:instrText>
            </w:r>
            <w:r>
              <w:rPr>
                <w:rFonts w:hint="eastAsia" w:ascii="宋体" w:hAnsi="宋体" w:cs="Arial"/>
                <w:color w:val="auto"/>
                <w:szCs w:val="21"/>
                <w:highlight w:val="none"/>
              </w:rPr>
              <w:instrText xml:space="preserve">eq \o\ac(□,</w:instrText>
            </w:r>
            <w:r>
              <w:rPr>
                <w:rFonts w:hint="eastAsia" w:ascii="宋体" w:hAnsi="宋体" w:cs="Arial"/>
                <w:color w:val="auto"/>
                <w:position w:val="2"/>
                <w:sz w:val="14"/>
                <w:szCs w:val="21"/>
                <w:highlight w:val="none"/>
              </w:rPr>
              <w:instrText xml:space="preserve">√</w:instrText>
            </w:r>
            <w:r>
              <w:rPr>
                <w:rFonts w:hint="eastAsia" w:ascii="宋体" w:hAnsi="宋体" w:cs="Arial"/>
                <w:color w:val="auto"/>
                <w:szCs w:val="21"/>
                <w:highlight w:val="none"/>
              </w:rPr>
              <w:instrText xml:space="preserve">)</w:instrText>
            </w:r>
            <w:r>
              <w:rPr>
                <w:rFonts w:ascii="宋体" w:hAnsi="宋体" w:cs="Arial"/>
                <w:color w:val="auto"/>
                <w:szCs w:val="21"/>
                <w:highlight w:val="none"/>
              </w:rPr>
              <w:fldChar w:fldCharType="end"/>
            </w:r>
            <w:r>
              <w:rPr>
                <w:rFonts w:hint="eastAsia" w:ascii="宋体" w:hAnsi="宋体" w:cs="Arial"/>
                <w:color w:val="auto"/>
                <w:szCs w:val="21"/>
                <w:highlight w:val="none"/>
              </w:rPr>
              <w:t>本项目专门面向中小企业采购：</w:t>
            </w:r>
          </w:p>
          <w:p>
            <w:pPr>
              <w:snapToGrid w:val="0"/>
              <w:spacing w:line="300" w:lineRule="auto"/>
              <w:ind w:firstLine="359" w:firstLineChars="171"/>
              <w:rPr>
                <w:rFonts w:ascii="宋体" w:hAnsi="宋体" w:cs="Arial"/>
                <w:szCs w:val="21"/>
                <w:highlight w:val="none"/>
              </w:rPr>
            </w:pPr>
            <w:r>
              <w:rPr>
                <w:rFonts w:hint="eastAsia" w:ascii="宋体" w:hAnsi="宋体" w:cs="Arial"/>
                <w:szCs w:val="21"/>
                <w:highlight w:val="none"/>
              </w:rPr>
              <w:t>根据工业和信息化部 国家统计局 国家发展和改革委员会 财政部《中小企业划型标准规定》（工信部联企业〔2011〕300号）的规定，本项目采购标的对应的中小企业划分标准所属行业为</w:t>
            </w:r>
            <w:r>
              <w:rPr>
                <w:rFonts w:hint="eastAsia" w:ascii="宋体" w:hAnsi="宋体" w:cs="Arial"/>
                <w:szCs w:val="21"/>
                <w:highlight w:val="none"/>
                <w:u w:val="single"/>
              </w:rPr>
              <w:t xml:space="preserve"> </w:t>
            </w:r>
            <w:r>
              <w:rPr>
                <w:rFonts w:ascii="宋体" w:hAnsi="宋体" w:cs="Arial"/>
                <w:szCs w:val="21"/>
                <w:highlight w:val="none"/>
                <w:u w:val="single"/>
              </w:rPr>
              <w:t xml:space="preserve"> </w:t>
            </w:r>
            <w:r>
              <w:rPr>
                <w:rFonts w:hint="eastAsia" w:ascii="宋体" w:hAnsi="宋体" w:cs="Arial"/>
                <w:b/>
                <w:szCs w:val="21"/>
                <w:highlight w:val="none"/>
                <w:u w:val="single"/>
              </w:rPr>
              <w:t>建筑业</w:t>
            </w:r>
            <w:r>
              <w:rPr>
                <w:rFonts w:ascii="宋体" w:hAnsi="宋体" w:cs="Arial"/>
                <w:szCs w:val="21"/>
                <w:highlight w:val="none"/>
                <w:u w:val="single"/>
              </w:rPr>
              <w:t xml:space="preserve"> </w:t>
            </w:r>
            <w:r>
              <w:rPr>
                <w:rFonts w:hint="eastAsia" w:ascii="宋体" w:hAnsi="宋体" w:cs="Arial"/>
                <w:szCs w:val="21"/>
                <w:highlight w:val="none"/>
              </w:rPr>
              <w:t>。</w:t>
            </w:r>
          </w:p>
          <w:p>
            <w:pPr>
              <w:snapToGrid w:val="0"/>
              <w:spacing w:line="300" w:lineRule="auto"/>
              <w:ind w:firstLine="359" w:firstLineChars="171"/>
              <w:rPr>
                <w:rFonts w:ascii="宋体" w:hAnsi="宋体" w:cs="Arial"/>
                <w:szCs w:val="21"/>
                <w:highlight w:val="none"/>
              </w:rPr>
            </w:pPr>
            <w:r>
              <w:rPr>
                <w:rFonts w:hint="eastAsia" w:ascii="宋体" w:hAnsi="宋体" w:cs="Arial"/>
                <w:szCs w:val="21"/>
                <w:highlight w:val="none"/>
              </w:rPr>
              <w:t>依据财政部 司法部《关于政府采购支持监狱企业发展有关问题的通知》（财库[2014]68号）的规定，监狱企业视同小型、微型企业，</w:t>
            </w:r>
            <w:r>
              <w:rPr>
                <w:rFonts w:ascii="宋体" w:hAnsi="宋体" w:cs="Arial"/>
                <w:szCs w:val="21"/>
                <w:highlight w:val="none"/>
              </w:rPr>
              <w:t>享受预留份额、评审中价格扣除等促进中小企业发展的政府采购政策</w:t>
            </w:r>
            <w:r>
              <w:rPr>
                <w:rFonts w:hint="eastAsia" w:ascii="宋体" w:hAnsi="宋体" w:cs="Arial"/>
                <w:szCs w:val="21"/>
                <w:highlight w:val="none"/>
              </w:rPr>
              <w:t>。监狱企业应当提供由省级以上监狱管理局、戒毒管理局(含新疆生产建设兵团)出具的属于监狱企业的证明文件。</w:t>
            </w:r>
          </w:p>
          <w:p>
            <w:pPr>
              <w:snapToGrid w:val="0"/>
              <w:spacing w:line="300" w:lineRule="auto"/>
              <w:ind w:firstLine="359" w:firstLineChars="171"/>
              <w:jc w:val="left"/>
              <w:rPr>
                <w:rFonts w:ascii="宋体" w:hAnsi="宋体" w:cs="Arial"/>
                <w:szCs w:val="21"/>
                <w:highlight w:val="none"/>
              </w:rPr>
            </w:pPr>
            <w:r>
              <w:rPr>
                <w:rFonts w:hint="eastAsia" w:ascii="宋体" w:hAnsi="宋体" w:cs="Arial"/>
                <w:szCs w:val="21"/>
                <w:highlight w:val="none"/>
              </w:rPr>
              <w:t>依据财政部 民政部 中国残疾人联合会《关于促进残疾人就业政府采购政策的通知》（财库[2017]141号）的规定，</w:t>
            </w:r>
            <w:r>
              <w:rPr>
                <w:rFonts w:ascii="宋体" w:hAnsi="宋体" w:cs="Arial"/>
                <w:szCs w:val="21"/>
                <w:highlight w:val="none"/>
              </w:rPr>
              <w:t>残疾人福利性单位视同小型、微型企业，享受预留份额、评审中价格扣除等促进中小企业发展的政府采购政策。残疾人福利性单位属于小型、微型企业的，不重复享受政策。</w:t>
            </w:r>
            <w:r>
              <w:rPr>
                <w:rFonts w:hint="eastAsia" w:ascii="宋体" w:hAnsi="宋体" w:cs="Arial"/>
                <w:szCs w:val="21"/>
                <w:highlight w:val="none"/>
              </w:rPr>
              <w:t>符合该通知规定条件的残疾人福利性单位应当提供《残疾人福利性单位声明函》（见附件）。</w:t>
            </w:r>
          </w:p>
          <w:p>
            <w:pPr>
              <w:snapToGrid w:val="0"/>
              <w:spacing w:line="300" w:lineRule="auto"/>
              <w:ind w:firstLine="361" w:firstLineChars="171"/>
              <w:jc w:val="left"/>
              <w:rPr>
                <w:rFonts w:ascii="宋体" w:hAnsi="宋体" w:cs="Arial"/>
                <w:b/>
                <w:szCs w:val="21"/>
                <w:highlight w:val="none"/>
              </w:rPr>
            </w:pPr>
            <w:r>
              <w:rPr>
                <w:rFonts w:ascii="宋体" w:hAnsi="宋体" w:cs="Arial"/>
                <w:b/>
                <w:szCs w:val="21"/>
                <w:highlight w:val="none"/>
              </w:rPr>
              <w:t>供应商</w:t>
            </w:r>
            <w:r>
              <w:rPr>
                <w:rFonts w:hint="eastAsia" w:ascii="宋体" w:hAnsi="宋体" w:cs="Arial"/>
                <w:b/>
                <w:szCs w:val="21"/>
                <w:highlight w:val="none"/>
              </w:rPr>
              <w:t>应当对《中小企业声明函》、监狱企业证明文件、</w:t>
            </w:r>
            <w:r>
              <w:rPr>
                <w:rFonts w:ascii="宋体" w:hAnsi="宋体" w:cs="Arial"/>
                <w:b/>
                <w:szCs w:val="21"/>
                <w:highlight w:val="none"/>
              </w:rPr>
              <w:t>《残疾人福利性单位声明函》</w:t>
            </w:r>
            <w:r>
              <w:rPr>
                <w:rFonts w:hint="eastAsia" w:ascii="宋体" w:hAnsi="宋体" w:cs="Arial"/>
                <w:b/>
                <w:szCs w:val="21"/>
                <w:highlight w:val="none"/>
              </w:rPr>
              <w:t>的真实性负责，上述材料</w:t>
            </w:r>
            <w:r>
              <w:rPr>
                <w:rFonts w:ascii="宋体" w:hAnsi="宋体" w:cs="Arial"/>
                <w:b/>
                <w:szCs w:val="21"/>
                <w:highlight w:val="none"/>
              </w:rPr>
              <w:t>与事实不符的，依照《政府采购法》第七十七条第一款的规定</w:t>
            </w:r>
            <w:r>
              <w:rPr>
                <w:rFonts w:hint="eastAsia" w:ascii="宋体" w:hAnsi="宋体" w:cs="Arial"/>
                <w:b/>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Merge w:val="continue"/>
            <w:vAlign w:val="center"/>
          </w:tcPr>
          <w:p>
            <w:pPr>
              <w:autoSpaceDE w:val="0"/>
              <w:autoSpaceDN w:val="0"/>
              <w:snapToGrid w:val="0"/>
              <w:spacing w:line="300" w:lineRule="auto"/>
              <w:jc w:val="center"/>
              <w:rPr>
                <w:rFonts w:ascii="宋体" w:hAnsi="宋体" w:cs="Arial"/>
                <w:szCs w:val="21"/>
                <w:highlight w:val="none"/>
              </w:rPr>
            </w:pPr>
          </w:p>
        </w:tc>
        <w:tc>
          <w:tcPr>
            <w:tcW w:w="2320"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采购节能产品政策</w:t>
            </w:r>
          </w:p>
        </w:tc>
        <w:tc>
          <w:tcPr>
            <w:tcW w:w="5934" w:type="dxa"/>
            <w:vAlign w:val="center"/>
          </w:tcPr>
          <w:p>
            <w:pPr>
              <w:snapToGrid w:val="0"/>
              <w:spacing w:line="300" w:lineRule="auto"/>
              <w:ind w:firstLine="359" w:firstLineChars="171"/>
              <w:rPr>
                <w:rFonts w:ascii="宋体" w:hAnsi="宋体" w:cs="Arial"/>
                <w:szCs w:val="21"/>
                <w:highlight w:val="none"/>
              </w:rPr>
            </w:pPr>
            <w:r>
              <w:rPr>
                <w:rFonts w:hint="eastAsia" w:ascii="宋体" w:hAnsi="宋体" w:cs="Arial"/>
                <w:szCs w:val="21"/>
                <w:highlight w:val="none"/>
                <w:lang w:val="en-US" w:eastAsia="zh-CN"/>
              </w:rPr>
              <w:t>按相关政策执行</w:t>
            </w:r>
            <w:r>
              <w:rPr>
                <w:rFonts w:hint="eastAsia" w:ascii="宋体" w:hAnsi="宋体" w:cs="Arial"/>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705" w:type="dxa"/>
            <w:vMerge w:val="continue"/>
            <w:vAlign w:val="center"/>
          </w:tcPr>
          <w:p>
            <w:pPr>
              <w:autoSpaceDE w:val="0"/>
              <w:autoSpaceDN w:val="0"/>
              <w:snapToGrid w:val="0"/>
              <w:spacing w:line="300" w:lineRule="auto"/>
              <w:jc w:val="center"/>
              <w:rPr>
                <w:rFonts w:ascii="宋体" w:hAnsi="宋体" w:cs="Arial"/>
                <w:szCs w:val="21"/>
                <w:highlight w:val="none"/>
              </w:rPr>
            </w:pPr>
          </w:p>
        </w:tc>
        <w:tc>
          <w:tcPr>
            <w:tcW w:w="2320" w:type="dxa"/>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采购环保产品政策</w:t>
            </w:r>
          </w:p>
        </w:tc>
        <w:tc>
          <w:tcPr>
            <w:tcW w:w="5934" w:type="dxa"/>
            <w:vAlign w:val="center"/>
          </w:tcPr>
          <w:p>
            <w:pPr>
              <w:snapToGrid w:val="0"/>
              <w:spacing w:line="300" w:lineRule="auto"/>
              <w:ind w:firstLine="359" w:firstLineChars="171"/>
              <w:rPr>
                <w:rFonts w:ascii="宋体" w:hAnsi="宋体" w:cs="Arial"/>
                <w:szCs w:val="21"/>
                <w:highlight w:val="none"/>
              </w:rPr>
            </w:pPr>
            <w:r>
              <w:rPr>
                <w:rFonts w:hint="eastAsia" w:ascii="宋体" w:hAnsi="宋体" w:cs="Arial"/>
                <w:szCs w:val="21"/>
                <w:highlight w:val="none"/>
                <w:lang w:val="en-US" w:eastAsia="zh-CN"/>
              </w:rPr>
              <w:t>按相关政策执行</w:t>
            </w:r>
            <w:r>
              <w:rPr>
                <w:rFonts w:hint="eastAsia" w:ascii="宋体" w:hAnsi="宋体" w:cs="Arial"/>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959" w:type="dxa"/>
            <w:gridSpan w:val="3"/>
            <w:vAlign w:val="center"/>
          </w:tcPr>
          <w:p>
            <w:pPr>
              <w:autoSpaceDE w:val="0"/>
              <w:autoSpaceDN w:val="0"/>
              <w:adjustRightInd w:val="0"/>
              <w:snapToGrid w:val="0"/>
              <w:spacing w:line="300" w:lineRule="auto"/>
              <w:jc w:val="center"/>
              <w:rPr>
                <w:rFonts w:ascii="宋体" w:hAnsi="宋体"/>
                <w:szCs w:val="21"/>
                <w:highlight w:val="none"/>
              </w:rPr>
            </w:pPr>
            <w:r>
              <w:rPr>
                <w:rFonts w:hint="eastAsia" w:ascii="宋体" w:hAnsi="宋体"/>
                <w:szCs w:val="21"/>
                <w:highlight w:val="none"/>
              </w:rPr>
              <w:t>其他补充事项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959" w:type="dxa"/>
            <w:gridSpan w:val="3"/>
            <w:vAlign w:val="center"/>
          </w:tcPr>
          <w:p>
            <w:pPr>
              <w:autoSpaceDE w:val="0"/>
              <w:autoSpaceDN w:val="0"/>
              <w:snapToGrid w:val="0"/>
              <w:spacing w:line="300" w:lineRule="auto"/>
              <w:ind w:firstLine="420" w:firstLineChars="200"/>
              <w:jc w:val="left"/>
              <w:rPr>
                <w:rFonts w:ascii="宋体" w:hAnsi="宋体"/>
                <w:szCs w:val="21"/>
                <w:highlight w:val="none"/>
              </w:rPr>
            </w:pPr>
            <w:r>
              <w:rPr>
                <w:rFonts w:hint="eastAsia" w:ascii="宋体" w:hAnsi="宋体"/>
                <w:szCs w:val="21"/>
                <w:highlight w:val="none"/>
              </w:rPr>
              <w:t>1）除本磋商文件另有规定外，磋商文件中出现的类似于“近三年”或“前三年”、“近五年”或“前五年”均指递交响应文件时间以前3年或前5年，以此类推。如：递交响应文件时间为2019年3月1日，则“近三年”是指2016年3月1日至2019年3月1日。</w:t>
            </w:r>
          </w:p>
          <w:p>
            <w:pPr>
              <w:autoSpaceDE w:val="0"/>
              <w:autoSpaceDN w:val="0"/>
              <w:snapToGrid w:val="0"/>
              <w:spacing w:line="300" w:lineRule="auto"/>
              <w:ind w:firstLine="420" w:firstLineChars="200"/>
              <w:jc w:val="left"/>
              <w:rPr>
                <w:rFonts w:ascii="宋体" w:hAnsi="宋体"/>
                <w:szCs w:val="21"/>
                <w:highlight w:val="none"/>
              </w:rPr>
            </w:pPr>
            <w:r>
              <w:rPr>
                <w:rFonts w:hint="eastAsia" w:ascii="宋体" w:hAnsi="宋体"/>
                <w:szCs w:val="21"/>
                <w:highlight w:val="none"/>
              </w:rPr>
              <w:t>2）本磋商文件所称的“以上”、“以下”、“内”、“以内”，包括本数；所称的“不足”，不包括本数。</w:t>
            </w:r>
          </w:p>
          <w:p>
            <w:pPr>
              <w:autoSpaceDE w:val="0"/>
              <w:autoSpaceDN w:val="0"/>
              <w:adjustRightInd w:val="0"/>
              <w:snapToGrid w:val="0"/>
              <w:spacing w:line="300" w:lineRule="auto"/>
              <w:ind w:firstLine="420" w:firstLineChars="200"/>
              <w:rPr>
                <w:rFonts w:ascii="宋体" w:hAnsi="宋体"/>
                <w:szCs w:val="21"/>
                <w:highlight w:val="none"/>
              </w:rPr>
            </w:pPr>
            <w:r>
              <w:rPr>
                <w:rFonts w:ascii="宋体" w:hAnsi="宋体"/>
                <w:szCs w:val="21"/>
                <w:highlight w:val="none"/>
              </w:rPr>
              <w:t>3</w:t>
            </w:r>
            <w:r>
              <w:rPr>
                <w:rFonts w:hint="eastAsia" w:ascii="宋体" w:hAnsi="宋体"/>
                <w:szCs w:val="21"/>
                <w:highlight w:val="none"/>
              </w:rPr>
              <w:t>）供应商须知前附表中，“</w:t>
            </w:r>
            <w:r>
              <w:rPr>
                <w:rFonts w:hint="eastAsia" w:ascii="宋体" w:hAnsi="宋体" w:cs="Arial"/>
                <w:sz w:val="15"/>
                <w:szCs w:val="15"/>
                <w:highlight w:val="none"/>
                <w:bdr w:val="single" w:color="auto" w:sz="4" w:space="0"/>
              </w:rPr>
              <w:t>√</w:t>
            </w:r>
            <w:r>
              <w:rPr>
                <w:rFonts w:hint="eastAsia" w:ascii="宋体" w:hAnsi="宋体"/>
                <w:szCs w:val="21"/>
                <w:highlight w:val="none"/>
              </w:rPr>
              <w:t>”代表选中，“</w:t>
            </w:r>
            <w:r>
              <w:rPr>
                <w:rFonts w:ascii="宋体" w:hAnsi="宋体"/>
                <w:szCs w:val="21"/>
                <w:highlight w:val="none"/>
              </w:rPr>
              <w:t>□</w:t>
            </w:r>
            <w:r>
              <w:rPr>
                <w:rFonts w:hint="eastAsia" w:ascii="宋体" w:hAnsi="宋体"/>
                <w:szCs w:val="21"/>
                <w:highlight w:val="none"/>
              </w:rPr>
              <w:t>”代表未选中。</w:t>
            </w:r>
          </w:p>
        </w:tc>
      </w:tr>
    </w:tbl>
    <w:p>
      <w:pPr>
        <w:widowControl/>
        <w:jc w:val="left"/>
        <w:rPr>
          <w:rFonts w:ascii="宋体" w:hAnsi="宋体"/>
          <w:highlight w:val="none"/>
        </w:rPr>
      </w:pPr>
    </w:p>
    <w:p>
      <w:pPr>
        <w:rPr>
          <w:rFonts w:ascii="宋体" w:hAnsi="宋体"/>
          <w:highlight w:val="none"/>
        </w:rPr>
      </w:pPr>
    </w:p>
    <w:p>
      <w:pPr>
        <w:pStyle w:val="4"/>
        <w:tabs>
          <w:tab w:val="left" w:pos="567"/>
          <w:tab w:val="left" w:pos="709"/>
        </w:tabs>
        <w:snapToGrid w:val="0"/>
        <w:spacing w:before="0" w:after="0" w:line="324" w:lineRule="auto"/>
        <w:jc w:val="center"/>
        <w:rPr>
          <w:rFonts w:ascii="宋体" w:hAnsi="宋体" w:eastAsiaTheme="minorEastAsia"/>
          <w:b/>
          <w:sz w:val="21"/>
          <w:szCs w:val="21"/>
          <w:highlight w:val="none"/>
        </w:rPr>
      </w:pPr>
      <w:r>
        <w:rPr>
          <w:rFonts w:ascii="宋体" w:hAnsi="宋体"/>
          <w:b/>
          <w:szCs w:val="21"/>
          <w:highlight w:val="none"/>
        </w:rPr>
        <w:br w:type="page"/>
      </w:r>
      <w:bookmarkStart w:id="35" w:name="_Toc10913"/>
      <w:bookmarkStart w:id="36" w:name="_Toc470172662"/>
      <w:r>
        <w:rPr>
          <w:rFonts w:hint="eastAsia" w:ascii="宋体" w:hAnsi="宋体" w:eastAsiaTheme="minorEastAsia"/>
          <w:b/>
          <w:sz w:val="21"/>
          <w:szCs w:val="21"/>
          <w:highlight w:val="none"/>
        </w:rPr>
        <w:t>供应商须知</w:t>
      </w:r>
      <w:bookmarkEnd w:id="35"/>
      <w:bookmarkEnd w:id="36"/>
    </w:p>
    <w:p>
      <w:pPr>
        <w:pStyle w:val="4"/>
        <w:tabs>
          <w:tab w:val="left" w:pos="567"/>
          <w:tab w:val="left" w:pos="709"/>
        </w:tabs>
        <w:snapToGrid w:val="0"/>
        <w:spacing w:before="0" w:after="0" w:line="324" w:lineRule="auto"/>
        <w:rPr>
          <w:rFonts w:ascii="宋体" w:hAnsi="宋体" w:eastAsiaTheme="minorEastAsia"/>
          <w:b/>
          <w:sz w:val="21"/>
          <w:szCs w:val="21"/>
          <w:highlight w:val="none"/>
        </w:rPr>
      </w:pPr>
      <w:bookmarkStart w:id="37" w:name="_Toc25815"/>
      <w:bookmarkStart w:id="38" w:name="_Toc524277813"/>
      <w:bookmarkStart w:id="39" w:name="_Toc470172663"/>
      <w:r>
        <w:rPr>
          <w:rFonts w:hint="eastAsia" w:ascii="宋体" w:hAnsi="宋体" w:eastAsiaTheme="minorEastAsia"/>
          <w:b/>
          <w:sz w:val="21"/>
          <w:szCs w:val="21"/>
          <w:highlight w:val="none"/>
        </w:rPr>
        <w:t>一、总则</w:t>
      </w:r>
      <w:bookmarkEnd w:id="37"/>
      <w:bookmarkEnd w:id="38"/>
      <w:bookmarkEnd w:id="39"/>
    </w:p>
    <w:p>
      <w:pPr>
        <w:numPr>
          <w:ilvl w:val="0"/>
          <w:numId w:val="1"/>
        </w:numPr>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项目概况</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1.1 </w:t>
      </w:r>
      <w:r>
        <w:rPr>
          <w:rFonts w:hint="eastAsia" w:cs="宋体" w:asciiTheme="minorEastAsia" w:hAnsiTheme="minorEastAsia" w:eastAsiaTheme="minorEastAsia"/>
          <w:snapToGrid w:val="0"/>
          <w:kern w:val="0"/>
          <w:szCs w:val="21"/>
          <w:highlight w:val="none"/>
        </w:rPr>
        <w:t>项目概况</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1.1.1 </w:t>
      </w:r>
      <w:r>
        <w:rPr>
          <w:rFonts w:hint="eastAsia" w:cs="宋体" w:asciiTheme="minorEastAsia" w:hAnsiTheme="minorEastAsia" w:eastAsiaTheme="minorEastAsia"/>
          <w:snapToGrid w:val="0"/>
          <w:kern w:val="0"/>
          <w:szCs w:val="21"/>
          <w:highlight w:val="none"/>
        </w:rPr>
        <w:t>参照《中华人民共和国政府采购法》等有关法律、法规和规章的规定，本项目已具备采购条件，现对本项目进行竞争性磋商采购。</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1.1.2 </w:t>
      </w:r>
      <w:r>
        <w:rPr>
          <w:rFonts w:hint="eastAsia" w:cs="宋体" w:asciiTheme="minorEastAsia" w:hAnsiTheme="minorEastAsia" w:eastAsiaTheme="minorEastAsia"/>
          <w:snapToGrid w:val="0"/>
          <w:kern w:val="0"/>
          <w:szCs w:val="21"/>
          <w:highlight w:val="none"/>
        </w:rPr>
        <w:t>本采购项目采购人：见供应商须知前附表。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1.1.3 </w:t>
      </w:r>
      <w:r>
        <w:rPr>
          <w:rFonts w:hint="eastAsia" w:cs="宋体" w:asciiTheme="minorEastAsia" w:hAnsiTheme="minorEastAsia" w:eastAsiaTheme="minorEastAsia"/>
          <w:snapToGrid w:val="0"/>
          <w:kern w:val="0"/>
          <w:szCs w:val="21"/>
          <w:highlight w:val="none"/>
        </w:rPr>
        <w:t>本项目包采购代理机构：见供应商须知前附表。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1.1.4</w:t>
      </w:r>
      <w:r>
        <w:rPr>
          <w:rFonts w:hint="eastAsia" w:cs="宋体" w:asciiTheme="minorEastAsia" w:hAnsiTheme="minorEastAsia" w:eastAsiaTheme="minorEastAsia"/>
          <w:snapToGrid w:val="0"/>
          <w:kern w:val="0"/>
          <w:szCs w:val="21"/>
          <w:highlight w:val="none"/>
        </w:rPr>
        <w:t>本采购项目名称：见供应商须知前附表。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1.1.5 </w:t>
      </w:r>
      <w:r>
        <w:rPr>
          <w:rFonts w:hint="eastAsia" w:cs="宋体" w:asciiTheme="minorEastAsia" w:hAnsiTheme="minorEastAsia" w:eastAsiaTheme="minorEastAsia"/>
          <w:snapToGrid w:val="0"/>
          <w:kern w:val="0"/>
          <w:szCs w:val="21"/>
          <w:highlight w:val="none"/>
        </w:rPr>
        <w:t>本项目包建设地点：见供应商须知前附表。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1.2 </w:t>
      </w:r>
      <w:r>
        <w:rPr>
          <w:rFonts w:hint="eastAsia" w:cs="宋体" w:asciiTheme="minorEastAsia" w:hAnsiTheme="minorEastAsia" w:eastAsiaTheme="minorEastAsia"/>
          <w:snapToGrid w:val="0"/>
          <w:kern w:val="0"/>
          <w:szCs w:val="21"/>
          <w:highlight w:val="none"/>
        </w:rPr>
        <w:t>资金来源和落实情况</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1.2.1 </w:t>
      </w:r>
      <w:r>
        <w:rPr>
          <w:rFonts w:hint="eastAsia" w:cs="宋体" w:asciiTheme="minorEastAsia" w:hAnsiTheme="minorEastAsia" w:eastAsiaTheme="minorEastAsia"/>
          <w:snapToGrid w:val="0"/>
          <w:kern w:val="0"/>
          <w:szCs w:val="21"/>
          <w:highlight w:val="none"/>
        </w:rPr>
        <w:t>本采购项目的资金来源：见第一章竞争性磋商公告“一、项目概况”。</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1.2.2 </w:t>
      </w:r>
      <w:r>
        <w:rPr>
          <w:rFonts w:hint="eastAsia" w:cs="宋体" w:asciiTheme="minorEastAsia" w:hAnsiTheme="minorEastAsia" w:eastAsiaTheme="minorEastAsia"/>
          <w:snapToGrid w:val="0"/>
          <w:kern w:val="0"/>
          <w:szCs w:val="21"/>
          <w:highlight w:val="none"/>
        </w:rPr>
        <w:t>本采购项目的出资比例：见第一章竞争性磋商公告“一、项目概况”。</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1.3 </w:t>
      </w:r>
      <w:r>
        <w:rPr>
          <w:rFonts w:hint="eastAsia" w:cs="宋体" w:asciiTheme="minorEastAsia" w:hAnsiTheme="minorEastAsia" w:eastAsiaTheme="minorEastAsia"/>
          <w:snapToGrid w:val="0"/>
          <w:kern w:val="0"/>
          <w:szCs w:val="21"/>
          <w:highlight w:val="none"/>
        </w:rPr>
        <w:t>采购范围、计划工期和质量要求</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1.3.1 </w:t>
      </w:r>
      <w:r>
        <w:rPr>
          <w:rFonts w:hint="eastAsia" w:cs="宋体" w:asciiTheme="minorEastAsia" w:hAnsiTheme="minorEastAsia" w:eastAsiaTheme="minorEastAsia"/>
          <w:snapToGrid w:val="0"/>
          <w:kern w:val="0"/>
          <w:szCs w:val="21"/>
          <w:highlight w:val="none"/>
        </w:rPr>
        <w:t>本次采购范围：见供应商须知前附表。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1.3.2 </w:t>
      </w:r>
      <w:r>
        <w:rPr>
          <w:rFonts w:hint="eastAsia" w:cs="宋体" w:asciiTheme="minorEastAsia" w:hAnsiTheme="minorEastAsia" w:eastAsiaTheme="minorEastAsia"/>
          <w:snapToGrid w:val="0"/>
          <w:kern w:val="0"/>
          <w:szCs w:val="21"/>
          <w:highlight w:val="none"/>
        </w:rPr>
        <w:t>本项目包的计划工期：见供应商须知前附表。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cs="宋体" w:asciiTheme="minorEastAsia" w:hAnsiTheme="minorEastAsia" w:eastAsiaTheme="minorEastAsia"/>
          <w:snapToGrid w:val="0"/>
          <w:kern w:val="0"/>
          <w:szCs w:val="21"/>
          <w:highlight w:val="none"/>
        </w:rPr>
        <w:t xml:space="preserve">1.3.3 </w:t>
      </w:r>
      <w:r>
        <w:rPr>
          <w:rFonts w:hint="eastAsia" w:cs="宋体" w:asciiTheme="minorEastAsia" w:hAnsiTheme="minorEastAsia" w:eastAsiaTheme="minorEastAsia"/>
          <w:snapToGrid w:val="0"/>
          <w:kern w:val="0"/>
          <w:szCs w:val="21"/>
          <w:highlight w:val="none"/>
        </w:rPr>
        <w:t>本项目包的质量要求：见供应商须知前附表。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1.3.4本项目包的付款方式：见供应商须知前附表。</w:t>
      </w:r>
    </w:p>
    <w:p>
      <w:pPr>
        <w:numPr>
          <w:ilvl w:val="0"/>
          <w:numId w:val="1"/>
        </w:numPr>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供应商资格要求</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2.1 供应商应具备承担本项目施工的资质条件、能力和信誉，并满足以下资格条件：详见第一章竞争性磋商公告“二、申请人资格要求”</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2.2 供应商须知前附表规定接受联合体磋商的，除应符合本章第2.1条和供应商须知前附表的要求外，还应遵守以下规定：</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两个以上的自然人、法人或者其他组织可以组成一个联合体，以一个供应商的身份共同参加采购。以联合体形式进行采购的，参加联合体的供应商均应当具备《中华人民共和国政府采购法》第二十二条规定的条件，并应当向采购人提交联合协议，载明联合体各方承担的工作和义务；</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（2）联合体各方应当共同与采购人签订采购合同，就采购合同约定的事项对采购人承担连带责任；</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（3）联合体中有同类资质的供应商按照联合体分工承担相同工作的，应当按照资质等级较低的供应商确定资质等级；</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（4）以联合体形式参加采购活动的，联合体各方不得再单独参加或者与其他供应商另外组成联合体参加同一合同项下的采购活动。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2.3 供应商不得存在下列情形之一：</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（1）为采购人不具有独立法人资格的附属机构（单位）；</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（2）为本项目包前期准备提供整体设计，但设计施工总承包的除外；</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（3）为本项目包的监理人；</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（4）为本项目包的代建人（或项目管理方）；</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（5）为本项目包提供采购代理机构；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（6）为本项目包提供工程检测服务的；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（7）与本项目包的监理人或代建人或采购代理机构同为一个法定代表人的；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（8）与本项目包的监理人或代建人或采购代理机构相互控股或参股的；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（9）与本项目包的监理人或代建人或采购代理机构相互任职或工作的；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（10）被暂停或取消参与采购资格的；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asciiTheme="minorEastAsia" w:hAnsiTheme="minorEastAsia" w:eastAsiaTheme="minorEastAsia"/>
          <w:snapToGrid w:val="0"/>
          <w:szCs w:val="21"/>
          <w:highlight w:val="none"/>
        </w:rPr>
        <w:t>（11）单位负责人为同一人或者存在直接控股、管理关系的不同供应商，参加同一合同项下的采购活动的</w:t>
      </w:r>
      <w:r>
        <w:rPr>
          <w:rFonts w:hint="eastAsia" w:asciiTheme="minorEastAsia" w:hAnsiTheme="minorEastAsia" w:eastAsiaTheme="minorEastAsia"/>
          <w:b/>
          <w:snapToGrid w:val="0"/>
          <w:szCs w:val="21"/>
          <w:highlight w:val="none"/>
        </w:rPr>
        <w:t>（备注：①“单位负责人”是指单位法定代表人或者法律、行政法规规定代表单位行使职权的主要负责人。②本条所规定的控股、管理关系仅限于直接控股、直接管理关系，不包括间接的控股或管理关系。）</w:t>
      </w:r>
    </w:p>
    <w:p>
      <w:pPr>
        <w:numPr>
          <w:ilvl w:val="0"/>
          <w:numId w:val="1"/>
        </w:numPr>
        <w:snapToGrid w:val="0"/>
        <w:spacing w:line="360" w:lineRule="auto"/>
        <w:ind w:hanging="540"/>
        <w:outlineLvl w:val="1"/>
        <w:rPr>
          <w:rFonts w:ascii="宋体" w:hAnsi="宋体" w:cs="宋体"/>
          <w:b/>
          <w:snapToGrid w:val="0"/>
          <w:kern w:val="0"/>
          <w:szCs w:val="21"/>
          <w:highlight w:val="none"/>
          <w:lang w:val="zh-CN"/>
        </w:rPr>
      </w:pPr>
      <w:r>
        <w:rPr>
          <w:rFonts w:ascii="宋体" w:hAnsi="宋体" w:cs="宋体"/>
          <w:b/>
          <w:snapToGrid w:val="0"/>
          <w:kern w:val="0"/>
          <w:szCs w:val="21"/>
          <w:highlight w:val="none"/>
          <w:lang w:val="zh-CN"/>
        </w:rPr>
        <w:t>踏勘现场</w:t>
      </w:r>
    </w:p>
    <w:p>
      <w:pPr>
        <w:tabs>
          <w:tab w:val="left" w:pos="426"/>
        </w:tabs>
        <w:autoSpaceDE w:val="0"/>
        <w:autoSpaceDN w:val="0"/>
        <w:adjustRightInd w:val="0"/>
        <w:snapToGrid w:val="0"/>
        <w:spacing w:line="360" w:lineRule="auto"/>
        <w:ind w:firstLine="420" w:firstLineChars="200"/>
        <w:jc w:val="left"/>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3</w:t>
      </w:r>
      <w:r>
        <w:rPr>
          <w:rFonts w:ascii="宋体" w:hAnsi="宋体" w:cs="宋体"/>
          <w:snapToGrid w:val="0"/>
          <w:kern w:val="0"/>
          <w:szCs w:val="21"/>
          <w:highlight w:val="none"/>
          <w:lang w:val="zh-CN"/>
        </w:rPr>
        <w:t>.1 供应商须知前附表规定组织踏勘现场的，采购代理机构按</w:t>
      </w:r>
      <w:r>
        <w:rPr>
          <w:rFonts w:hint="eastAsia" w:ascii="宋体" w:hAnsi="宋体" w:cs="宋体"/>
          <w:snapToGrid w:val="0"/>
          <w:kern w:val="0"/>
          <w:szCs w:val="21"/>
          <w:highlight w:val="none"/>
          <w:lang w:val="zh-CN"/>
        </w:rPr>
        <w:t>《</w:t>
      </w:r>
      <w:r>
        <w:rPr>
          <w:rFonts w:ascii="宋体" w:hAnsi="宋体" w:cs="宋体"/>
          <w:snapToGrid w:val="0"/>
          <w:kern w:val="0"/>
          <w:szCs w:val="21"/>
          <w:highlight w:val="none"/>
          <w:lang w:val="zh-CN"/>
        </w:rPr>
        <w:t>供应商须知前附表</w:t>
      </w:r>
      <w:r>
        <w:rPr>
          <w:rFonts w:hint="eastAsia" w:ascii="宋体" w:hAnsi="宋体" w:cs="宋体"/>
          <w:snapToGrid w:val="0"/>
          <w:kern w:val="0"/>
          <w:szCs w:val="21"/>
          <w:highlight w:val="none"/>
          <w:lang w:val="zh-CN"/>
        </w:rPr>
        <w:t>》</w:t>
      </w:r>
      <w:r>
        <w:rPr>
          <w:rFonts w:ascii="宋体" w:hAnsi="宋体" w:cs="宋体"/>
          <w:snapToGrid w:val="0"/>
          <w:kern w:val="0"/>
          <w:szCs w:val="21"/>
          <w:highlight w:val="none"/>
          <w:lang w:val="zh-CN"/>
        </w:rPr>
        <w:t xml:space="preserve">规定的时间、地点组织供应商踏勘项目现场。 </w:t>
      </w:r>
    </w:p>
    <w:p>
      <w:pPr>
        <w:tabs>
          <w:tab w:val="left" w:pos="426"/>
        </w:tabs>
        <w:autoSpaceDE w:val="0"/>
        <w:autoSpaceDN w:val="0"/>
        <w:adjustRightInd w:val="0"/>
        <w:snapToGrid w:val="0"/>
        <w:spacing w:line="360" w:lineRule="auto"/>
        <w:ind w:firstLine="420" w:firstLineChars="200"/>
        <w:jc w:val="left"/>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3</w:t>
      </w:r>
      <w:r>
        <w:rPr>
          <w:rFonts w:ascii="宋体" w:hAnsi="宋体" w:cs="宋体"/>
          <w:snapToGrid w:val="0"/>
          <w:kern w:val="0"/>
          <w:szCs w:val="21"/>
          <w:highlight w:val="none"/>
          <w:lang w:val="zh-CN"/>
        </w:rPr>
        <w:t>.2 供应商踏勘现场发生的费用自理。</w:t>
      </w:r>
    </w:p>
    <w:p>
      <w:pPr>
        <w:tabs>
          <w:tab w:val="left" w:pos="426"/>
        </w:tabs>
        <w:autoSpaceDE w:val="0"/>
        <w:autoSpaceDN w:val="0"/>
        <w:adjustRightInd w:val="0"/>
        <w:snapToGrid w:val="0"/>
        <w:spacing w:line="360" w:lineRule="auto"/>
        <w:ind w:firstLine="420" w:firstLineChars="200"/>
        <w:jc w:val="left"/>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3</w:t>
      </w:r>
      <w:r>
        <w:rPr>
          <w:rFonts w:ascii="宋体" w:hAnsi="宋体" w:cs="宋体"/>
          <w:snapToGrid w:val="0"/>
          <w:kern w:val="0"/>
          <w:szCs w:val="21"/>
          <w:highlight w:val="none"/>
          <w:lang w:val="zh-CN"/>
        </w:rPr>
        <w:t>.3 除采购人和采购代理机构的原因外，供应商自行负责在踏勘现场中所发生的人员伤亡和财产损失。</w:t>
      </w:r>
    </w:p>
    <w:p>
      <w:pPr>
        <w:tabs>
          <w:tab w:val="left" w:pos="426"/>
        </w:tabs>
        <w:autoSpaceDE w:val="0"/>
        <w:autoSpaceDN w:val="0"/>
        <w:adjustRightInd w:val="0"/>
        <w:snapToGrid w:val="0"/>
        <w:spacing w:line="360" w:lineRule="auto"/>
        <w:ind w:firstLine="420" w:firstLineChars="200"/>
        <w:jc w:val="left"/>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3</w:t>
      </w:r>
      <w:r>
        <w:rPr>
          <w:rFonts w:ascii="宋体" w:hAnsi="宋体" w:cs="宋体"/>
          <w:snapToGrid w:val="0"/>
          <w:kern w:val="0"/>
          <w:szCs w:val="21"/>
          <w:highlight w:val="none"/>
          <w:lang w:val="zh-CN"/>
        </w:rPr>
        <w:t>.4 采购人在踏勘现场中介绍的</w:t>
      </w:r>
      <w:r>
        <w:rPr>
          <w:rFonts w:hint="eastAsia" w:ascii="宋体" w:hAnsi="宋体" w:cs="宋体"/>
          <w:snapToGrid w:val="0"/>
          <w:kern w:val="0"/>
          <w:szCs w:val="21"/>
          <w:highlight w:val="none"/>
          <w:lang w:val="zh-CN"/>
        </w:rPr>
        <w:t>项目</w:t>
      </w:r>
      <w:r>
        <w:rPr>
          <w:rFonts w:ascii="宋体" w:hAnsi="宋体" w:cs="宋体"/>
          <w:snapToGrid w:val="0"/>
          <w:kern w:val="0"/>
          <w:szCs w:val="21"/>
          <w:highlight w:val="none"/>
          <w:lang w:val="zh-CN"/>
        </w:rPr>
        <w:t>场地和相关的周边环境情况，供应商在编制响应文件时参考，采购人和采购代理机构不对供应商据此作出的判断和决策负责。</w:t>
      </w:r>
    </w:p>
    <w:p>
      <w:pPr>
        <w:numPr>
          <w:ilvl w:val="0"/>
          <w:numId w:val="1"/>
        </w:numPr>
        <w:snapToGrid w:val="0"/>
        <w:spacing w:line="360" w:lineRule="auto"/>
        <w:ind w:hanging="540"/>
        <w:outlineLvl w:val="1"/>
        <w:rPr>
          <w:rFonts w:ascii="宋体" w:hAnsi="宋体" w:cs="宋体"/>
          <w:b/>
          <w:snapToGrid w:val="0"/>
          <w:kern w:val="0"/>
          <w:szCs w:val="21"/>
          <w:highlight w:val="none"/>
          <w:lang w:val="zh-CN"/>
        </w:rPr>
      </w:pPr>
      <w:r>
        <w:rPr>
          <w:rFonts w:hint="eastAsia" w:ascii="宋体" w:hAnsi="宋体" w:cs="宋体"/>
          <w:b/>
          <w:snapToGrid w:val="0"/>
          <w:kern w:val="0"/>
          <w:szCs w:val="21"/>
          <w:highlight w:val="none"/>
          <w:lang w:val="zh-CN"/>
        </w:rPr>
        <w:t>预备会</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4.1 供应商须知前附表规定召开预备会的，采购人按供应商须知前附表规定的时间和地点召开预备会。</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4.2 供应商应以书面形式将提出的问题送达采购人，以便采购人澄清。</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4.3 预备会后，采购人在本章第7.2 条规定的时间内，将对供应商所提问题的澄清，澄清或者修改的内容可能影响响应文件编制的，以书面形式通知所有领取竞争性磋商文件的供应商。该澄清内容为竞争性磋商文件的组成部分。</w:t>
      </w:r>
    </w:p>
    <w:p>
      <w:pPr>
        <w:numPr>
          <w:ilvl w:val="0"/>
          <w:numId w:val="1"/>
        </w:numPr>
        <w:snapToGrid w:val="0"/>
        <w:spacing w:line="360" w:lineRule="auto"/>
        <w:ind w:hanging="540"/>
        <w:outlineLvl w:val="1"/>
        <w:rPr>
          <w:rFonts w:asciiTheme="minorEastAsia" w:hAnsiTheme="minorEastAsia" w:eastAsiaTheme="minorEastAsia"/>
          <w:b/>
          <w:szCs w:val="21"/>
          <w:highlight w:val="none"/>
        </w:rPr>
      </w:pPr>
      <w:bookmarkStart w:id="40" w:name="_Toc9974"/>
      <w:bookmarkStart w:id="41" w:name="_Toc470172667"/>
      <w:r>
        <w:rPr>
          <w:rFonts w:hint="eastAsia" w:asciiTheme="minorEastAsia" w:hAnsiTheme="minorEastAsia" w:eastAsiaTheme="minorEastAsia"/>
          <w:b/>
          <w:szCs w:val="21"/>
          <w:highlight w:val="none"/>
        </w:rPr>
        <w:t>费用</w:t>
      </w:r>
      <w:bookmarkEnd w:id="40"/>
      <w:bookmarkEnd w:id="41"/>
      <w:r>
        <w:rPr>
          <w:rFonts w:hint="eastAsia" w:asciiTheme="minorEastAsia" w:hAnsiTheme="minorEastAsia" w:eastAsiaTheme="minorEastAsia"/>
          <w:b/>
          <w:szCs w:val="21"/>
          <w:highlight w:val="none"/>
        </w:rPr>
        <w:t xml:space="preserve">  </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5.1供应商应承担所有与准备和参加磋商有关的费用，不论磋商的结果如何，采购人和采购代理机构均无义务和责任承担这些费用。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5.2采购代理服务费：成交供应商须在收到成交通知书时向采购代理机构支付采购代理服务费。服务费支付标准和方法详见《供应商须知前附表》。</w:t>
      </w:r>
    </w:p>
    <w:p>
      <w:pPr>
        <w:snapToGrid w:val="0"/>
        <w:spacing w:line="360" w:lineRule="auto"/>
        <w:ind w:firstLine="420" w:firstLineChars="200"/>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5.3国家计委计价格[2002]1980号规定标准收费：</w:t>
      </w:r>
    </w:p>
    <w:tbl>
      <w:tblPr>
        <w:tblStyle w:val="42"/>
        <w:tblW w:w="8100" w:type="dxa"/>
        <w:jc w:val="center"/>
        <w:tblLayout w:type="fixed"/>
        <w:tblCellMar>
          <w:top w:w="0" w:type="dxa"/>
          <w:left w:w="0" w:type="dxa"/>
          <w:bottom w:w="0" w:type="dxa"/>
          <w:right w:w="0" w:type="dxa"/>
        </w:tblCellMar>
      </w:tblPr>
      <w:tblGrid>
        <w:gridCol w:w="2116"/>
        <w:gridCol w:w="2024"/>
        <w:gridCol w:w="1800"/>
        <w:gridCol w:w="2160"/>
      </w:tblGrid>
      <w:tr>
        <w:tblPrEx>
          <w:tblCellMar>
            <w:top w:w="0" w:type="dxa"/>
            <w:left w:w="0" w:type="dxa"/>
            <w:bottom w:w="0" w:type="dxa"/>
            <w:right w:w="0" w:type="dxa"/>
          </w:tblCellMar>
        </w:tblPrEx>
        <w:trPr>
          <w:trHeight w:val="340" w:hRule="atLeast"/>
          <w:tblHeader/>
          <w:jc w:val="center"/>
        </w:trPr>
        <w:tc>
          <w:tcPr>
            <w:tcW w:w="2116" w:type="dxa"/>
            <w:tcBorders>
              <w:top w:val="single" w:color="auto" w:sz="4"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kern w:val="0"/>
                <w:szCs w:val="21"/>
                <w:highlight w:val="none"/>
              </w:rPr>
              <w:t>货物招标</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kern w:val="0"/>
                <w:szCs w:val="21"/>
                <w:highlight w:val="none"/>
              </w:rPr>
              <w:t>服务招标</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kern w:val="0"/>
                <w:szCs w:val="21"/>
                <w:highlight w:val="none"/>
              </w:rPr>
              <w:t>工程招标</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100以下</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1.5%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1.5%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1.0%</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lOO-500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1.1%</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0.8%</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0.7%</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500-1000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0.8%</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0.45%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0.55%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l000—5000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0.25%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0.35%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5000-lOOOO</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0.25%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0.1%</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0.2%</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0.05%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0.05%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0.05%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0.01%</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0.01%</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kern w:val="0"/>
                <w:szCs w:val="21"/>
                <w:highlight w:val="none"/>
              </w:rPr>
              <w:t>0.01%</w:t>
            </w:r>
          </w:p>
        </w:tc>
      </w:tr>
    </w:tbl>
    <w:p>
      <w:pPr>
        <w:snapToGrid w:val="0"/>
        <w:spacing w:line="360" w:lineRule="auto"/>
        <w:ind w:firstLine="420" w:firstLineChars="200"/>
        <w:rPr>
          <w:rFonts w:ascii="Arial" w:hAnsi="Arial" w:cs="Arial"/>
          <w:highlight w:val="none"/>
        </w:rPr>
      </w:pPr>
      <w:r>
        <w:rPr>
          <w:rFonts w:hint="eastAsia" w:ascii="Arial" w:hAnsi="Arial" w:cs="Arial"/>
          <w:highlight w:val="none"/>
        </w:rPr>
        <w:t>注：招标代理服务收费按差额定率累进法计算。例如：某工程招标代理业务中标金额为6000万元，计算招标代理服务收费额如下：</w:t>
      </w:r>
    </w:p>
    <w:p>
      <w:pPr>
        <w:snapToGrid w:val="0"/>
        <w:spacing w:line="360" w:lineRule="auto"/>
        <w:rPr>
          <w:rFonts w:ascii="Arial" w:hAnsi="Arial" w:cs="Arial"/>
          <w:highlight w:val="none"/>
        </w:rPr>
      </w:pPr>
      <w:r>
        <w:rPr>
          <w:rFonts w:hint="eastAsia" w:ascii="Arial" w:hAnsi="Arial" w:cs="Arial"/>
          <w:highlight w:val="none"/>
        </w:rPr>
        <w:t xml:space="preserve">    100万元×1.0%=1万元</w:t>
      </w:r>
    </w:p>
    <w:p>
      <w:pPr>
        <w:snapToGrid w:val="0"/>
        <w:spacing w:line="360" w:lineRule="auto"/>
        <w:rPr>
          <w:rFonts w:ascii="Arial" w:hAnsi="Arial" w:cs="Arial"/>
          <w:highlight w:val="none"/>
        </w:rPr>
      </w:pPr>
      <w:r>
        <w:rPr>
          <w:rFonts w:hint="eastAsia" w:ascii="Arial" w:hAnsi="Arial" w:cs="Arial"/>
          <w:highlight w:val="none"/>
        </w:rPr>
        <w:t xml:space="preserve">    (500-100)万元×0.7%=2.8万元</w:t>
      </w:r>
    </w:p>
    <w:p>
      <w:pPr>
        <w:snapToGrid w:val="0"/>
        <w:spacing w:line="360" w:lineRule="auto"/>
        <w:rPr>
          <w:rFonts w:ascii="Arial" w:hAnsi="Arial" w:cs="Arial"/>
          <w:highlight w:val="none"/>
        </w:rPr>
      </w:pPr>
      <w:r>
        <w:rPr>
          <w:rFonts w:hint="eastAsia" w:ascii="Arial" w:hAnsi="Arial" w:cs="Arial"/>
          <w:highlight w:val="none"/>
        </w:rPr>
        <w:t xml:space="preserve">    (1000-500)万元×0.55%=2.75万元</w:t>
      </w:r>
    </w:p>
    <w:p>
      <w:pPr>
        <w:snapToGrid w:val="0"/>
        <w:spacing w:line="360" w:lineRule="auto"/>
        <w:rPr>
          <w:rFonts w:ascii="Arial" w:hAnsi="Arial" w:cs="Arial"/>
          <w:highlight w:val="none"/>
        </w:rPr>
      </w:pPr>
      <w:r>
        <w:rPr>
          <w:rFonts w:hint="eastAsia" w:ascii="Arial" w:hAnsi="Arial" w:cs="Arial"/>
          <w:highlight w:val="none"/>
        </w:rPr>
        <w:t xml:space="preserve">    (5000-</w:t>
      </w:r>
      <w:r>
        <w:rPr>
          <w:rFonts w:ascii="Arial" w:hAnsi="Arial" w:cs="Arial"/>
          <w:highlight w:val="none"/>
        </w:rPr>
        <w:t>1</w:t>
      </w:r>
      <w:r>
        <w:rPr>
          <w:rFonts w:hint="eastAsia" w:ascii="Arial" w:hAnsi="Arial" w:cs="Arial"/>
          <w:highlight w:val="none"/>
        </w:rPr>
        <w:t>000)万元×0.35%=14万元</w:t>
      </w:r>
    </w:p>
    <w:p>
      <w:pPr>
        <w:snapToGrid w:val="0"/>
        <w:spacing w:line="360" w:lineRule="auto"/>
        <w:rPr>
          <w:rFonts w:ascii="Arial" w:hAnsi="Arial" w:cs="Arial"/>
          <w:highlight w:val="none"/>
        </w:rPr>
      </w:pPr>
      <w:r>
        <w:rPr>
          <w:rFonts w:hint="eastAsia" w:ascii="Arial" w:hAnsi="Arial" w:cs="Arial"/>
          <w:highlight w:val="none"/>
        </w:rPr>
        <w:t xml:space="preserve">    (6000-5000)万元×0.2%=2万元</w:t>
      </w:r>
    </w:p>
    <w:p>
      <w:pPr>
        <w:snapToGrid w:val="0"/>
        <w:spacing w:line="360" w:lineRule="auto"/>
        <w:rPr>
          <w:rFonts w:ascii="Arial" w:hAnsi="Arial" w:cs="Arial"/>
          <w:highlight w:val="none"/>
        </w:rPr>
      </w:pPr>
      <w:r>
        <w:rPr>
          <w:rFonts w:hint="eastAsia" w:ascii="Arial" w:hAnsi="Arial" w:cs="Arial"/>
          <w:highlight w:val="none"/>
        </w:rPr>
        <w:t xml:space="preserve">    合计收费=</w:t>
      </w:r>
      <w:r>
        <w:rPr>
          <w:rFonts w:ascii="Arial" w:hAnsi="Arial" w:cs="Arial"/>
          <w:highlight w:val="none"/>
        </w:rPr>
        <w:t>1</w:t>
      </w:r>
      <w:r>
        <w:rPr>
          <w:rFonts w:hint="eastAsia" w:ascii="Arial" w:hAnsi="Arial" w:cs="Arial"/>
          <w:highlight w:val="none"/>
        </w:rPr>
        <w:t>+2.8+2.75+14+2=22.55(万元)</w:t>
      </w:r>
    </w:p>
    <w:p>
      <w:pPr>
        <w:pStyle w:val="4"/>
        <w:tabs>
          <w:tab w:val="left" w:pos="567"/>
          <w:tab w:val="left" w:pos="709"/>
        </w:tabs>
        <w:snapToGrid w:val="0"/>
        <w:spacing w:before="0" w:after="0" w:line="324" w:lineRule="auto"/>
        <w:rPr>
          <w:rFonts w:asciiTheme="minorEastAsia" w:hAnsiTheme="minorEastAsia" w:eastAsiaTheme="minorEastAsia"/>
          <w:b/>
          <w:sz w:val="21"/>
          <w:szCs w:val="21"/>
          <w:highlight w:val="none"/>
        </w:rPr>
      </w:pPr>
      <w:bookmarkStart w:id="42" w:name="_Toc1379"/>
      <w:bookmarkStart w:id="43" w:name="_Toc470172669"/>
      <w:bookmarkStart w:id="44" w:name="_Toc4547"/>
      <w:r>
        <w:rPr>
          <w:rFonts w:hint="eastAsia" w:asciiTheme="minorEastAsia" w:hAnsiTheme="minorEastAsia" w:eastAsiaTheme="minorEastAsia"/>
          <w:b/>
          <w:sz w:val="21"/>
          <w:szCs w:val="21"/>
          <w:highlight w:val="none"/>
        </w:rPr>
        <w:t>二、</w:t>
      </w:r>
      <w:r>
        <w:rPr>
          <w:rFonts w:hint="eastAsia" w:ascii="宋体" w:hAnsi="宋体" w:eastAsiaTheme="minorEastAsia"/>
          <w:b/>
          <w:sz w:val="21"/>
          <w:szCs w:val="21"/>
          <w:highlight w:val="none"/>
        </w:rPr>
        <w:t>磋商</w:t>
      </w:r>
      <w:r>
        <w:rPr>
          <w:rFonts w:hint="eastAsia" w:asciiTheme="minorEastAsia" w:hAnsiTheme="minorEastAsia" w:eastAsiaTheme="minorEastAsia"/>
          <w:b/>
          <w:sz w:val="21"/>
          <w:szCs w:val="21"/>
          <w:highlight w:val="none"/>
        </w:rPr>
        <w:t>文件</w:t>
      </w:r>
      <w:bookmarkEnd w:id="42"/>
      <w:bookmarkEnd w:id="43"/>
      <w:bookmarkEnd w:id="44"/>
    </w:p>
    <w:p>
      <w:pPr>
        <w:numPr>
          <w:ilvl w:val="0"/>
          <w:numId w:val="1"/>
        </w:numPr>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磋商文件的构成</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6.1本磋商文件包括：</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（1）磋商公告（代磋商邀请函）</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（2）供应商须知</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（3）合同主要条款</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（4）评审程序、方法及标准</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（5）响应文件的格式</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（6）工程量清单</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（7）图纸</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（8）技术标准和要求</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（9）采购过程中由采购代理机构发出的澄清和修正文件（如有）</w:t>
      </w:r>
    </w:p>
    <w:p>
      <w:pPr>
        <w:tabs>
          <w:tab w:val="left" w:pos="525"/>
        </w:tabs>
        <w:autoSpaceDE w:val="0"/>
        <w:autoSpaceDN w:val="0"/>
        <w:adjustRightInd w:val="0"/>
        <w:snapToGrid w:val="0"/>
        <w:spacing w:line="360" w:lineRule="auto"/>
        <w:ind w:left="54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（10）磋商小组在磋商过程中发出的对本磋商文件的实质性变动（如有）</w:t>
      </w:r>
    </w:p>
    <w:p>
      <w:pPr>
        <w:numPr>
          <w:ilvl w:val="0"/>
          <w:numId w:val="1"/>
        </w:numPr>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45" w:name="_Toc470172670"/>
      <w:bookmarkStart w:id="46" w:name="_Toc29700"/>
      <w:r>
        <w:rPr>
          <w:rFonts w:hint="eastAsia" w:cs="宋体" w:asciiTheme="minorEastAsia" w:hAnsiTheme="minorEastAsia" w:eastAsiaTheme="minorEastAsia"/>
          <w:b/>
          <w:snapToGrid w:val="0"/>
          <w:kern w:val="0"/>
          <w:szCs w:val="21"/>
          <w:highlight w:val="none"/>
          <w:lang w:val="zh-CN"/>
        </w:rPr>
        <w:t>磋商文件的澄清</w:t>
      </w:r>
      <w:bookmarkEnd w:id="45"/>
      <w:bookmarkEnd w:id="46"/>
      <w:r>
        <w:rPr>
          <w:rFonts w:hint="eastAsia" w:cs="宋体" w:asciiTheme="minorEastAsia" w:hAnsiTheme="minorEastAsia" w:eastAsiaTheme="minorEastAsia"/>
          <w:b/>
          <w:snapToGrid w:val="0"/>
          <w:kern w:val="0"/>
          <w:szCs w:val="21"/>
          <w:highlight w:val="none"/>
          <w:lang w:val="zh-CN"/>
        </w:rPr>
        <w:t>或者修改</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bookmarkStart w:id="47" w:name="_Toc470172671"/>
      <w:bookmarkStart w:id="48" w:name="_Toc31761"/>
      <w:r>
        <w:rPr>
          <w:rFonts w:hint="eastAsia" w:cs="宋体" w:asciiTheme="minorEastAsia" w:hAnsiTheme="minorEastAsia" w:eastAsiaTheme="minorEastAsia"/>
          <w:snapToGrid w:val="0"/>
          <w:kern w:val="0"/>
          <w:szCs w:val="21"/>
          <w:highlight w:val="none"/>
          <w:lang w:val="zh-CN"/>
        </w:rPr>
        <w:t>7.1提交首次响应文件截止之日前，采购人、采购代理机构或者磋商小组可以对已发出的磋商文件进行必要的澄清或者修改，澄清或者修改的内容作为磋商文件的组成部分。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7.2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7.3 供应商在收到澄清或者修改通知后，应在《供应商须知前附表》规定的时间内以书面形式通知采购代理机构，确认已收到该澄清或者修改通知。</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7.4上述书面形式通知包括纸质的文件、信件，也包括电报、电传、传真、电子数据交换和电子邮件等数据电文。</w:t>
      </w:r>
    </w:p>
    <w:bookmarkEnd w:id="47"/>
    <w:bookmarkEnd w:id="48"/>
    <w:p>
      <w:pPr>
        <w:numPr>
          <w:ilvl w:val="0"/>
          <w:numId w:val="1"/>
        </w:numPr>
        <w:snapToGrid w:val="0"/>
        <w:spacing w:line="360" w:lineRule="auto"/>
        <w:ind w:hanging="540"/>
        <w:outlineLvl w:val="1"/>
        <w:rPr>
          <w:rFonts w:cs="宋体" w:asciiTheme="minorEastAsia" w:hAnsiTheme="minorEastAsia" w:eastAsiaTheme="minorEastAsia"/>
          <w:snapToGrid w:val="0"/>
          <w:kern w:val="0"/>
          <w:szCs w:val="21"/>
          <w:highlight w:val="none"/>
          <w:lang w:val="zh-CN"/>
        </w:rPr>
      </w:pPr>
      <w:bookmarkStart w:id="49" w:name="_Toc470172673"/>
      <w:bookmarkStart w:id="50" w:name="_Toc30987"/>
      <w:r>
        <w:rPr>
          <w:rFonts w:hint="eastAsia" w:cs="宋体" w:asciiTheme="minorEastAsia" w:hAnsiTheme="minorEastAsia" w:eastAsiaTheme="minorEastAsia"/>
          <w:b/>
          <w:snapToGrid w:val="0"/>
          <w:kern w:val="0"/>
          <w:szCs w:val="21"/>
          <w:highlight w:val="none"/>
          <w:lang w:val="zh-CN"/>
        </w:rPr>
        <w:t>语言和计量单位</w:t>
      </w:r>
      <w:bookmarkEnd w:id="49"/>
      <w:bookmarkEnd w:id="50"/>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8.1供应商提交的竞争性磋商响应文件以及供应商与采购人或采购代理机构就有关磋商的所有来往函电均应使用中文。供应商提交的支持文件或印刷的文献可以用另一种语言，但相应内容应附有中文翻译本，在解释竞争性磋商响应文件时以中文翻译本为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8.2</w:t>
      </w:r>
      <w:r>
        <w:rPr>
          <w:rFonts w:cs="宋体" w:asciiTheme="minorEastAsia" w:hAnsiTheme="minorEastAsia" w:eastAsiaTheme="minorEastAsia"/>
          <w:snapToGrid w:val="0"/>
          <w:kern w:val="0"/>
          <w:szCs w:val="21"/>
          <w:highlight w:val="none"/>
          <w:lang w:val="zh-CN"/>
        </w:rPr>
        <w:t>除非</w:t>
      </w:r>
      <w:r>
        <w:rPr>
          <w:rFonts w:hint="eastAsia" w:cs="宋体" w:asciiTheme="minorEastAsia" w:hAnsiTheme="minorEastAsia" w:eastAsiaTheme="minorEastAsia"/>
          <w:snapToGrid w:val="0"/>
          <w:kern w:val="0"/>
          <w:szCs w:val="21"/>
          <w:highlight w:val="none"/>
          <w:lang w:val="zh-CN"/>
        </w:rPr>
        <w:t>磋商文件</w:t>
      </w:r>
      <w:r>
        <w:rPr>
          <w:rFonts w:cs="宋体" w:asciiTheme="minorEastAsia" w:hAnsiTheme="minorEastAsia" w:eastAsiaTheme="minorEastAsia"/>
          <w:snapToGrid w:val="0"/>
          <w:kern w:val="0"/>
          <w:szCs w:val="21"/>
          <w:highlight w:val="none"/>
          <w:lang w:val="zh-CN"/>
        </w:rPr>
        <w:t>中另有规定，计量单位均采用中华人民共和国法定的计量单位。</w:t>
      </w:r>
    </w:p>
    <w:p>
      <w:pPr>
        <w:pStyle w:val="4"/>
        <w:tabs>
          <w:tab w:val="left" w:pos="567"/>
          <w:tab w:val="left" w:pos="709"/>
        </w:tabs>
        <w:snapToGrid w:val="0"/>
        <w:spacing w:before="0" w:after="0" w:line="324" w:lineRule="auto"/>
        <w:rPr>
          <w:rFonts w:asciiTheme="minorEastAsia" w:hAnsiTheme="minorEastAsia" w:eastAsiaTheme="minorEastAsia"/>
          <w:b/>
          <w:szCs w:val="21"/>
          <w:highlight w:val="none"/>
        </w:rPr>
      </w:pPr>
      <w:bookmarkStart w:id="51" w:name="_Toc21538"/>
      <w:r>
        <w:rPr>
          <w:rFonts w:hint="eastAsia" w:asciiTheme="minorEastAsia" w:hAnsiTheme="minorEastAsia" w:eastAsiaTheme="minorEastAsia"/>
          <w:b/>
          <w:sz w:val="21"/>
          <w:szCs w:val="21"/>
          <w:highlight w:val="none"/>
        </w:rPr>
        <w:t>三、磋商响应文件</w:t>
      </w:r>
      <w:bookmarkEnd w:id="51"/>
    </w:p>
    <w:p>
      <w:pPr>
        <w:numPr>
          <w:ilvl w:val="0"/>
          <w:numId w:val="1"/>
        </w:numPr>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52" w:name="_Toc32272"/>
      <w:bookmarkStart w:id="53" w:name="_Toc470172674"/>
      <w:r>
        <w:rPr>
          <w:rFonts w:hint="eastAsia" w:cs="宋体" w:asciiTheme="minorEastAsia" w:hAnsiTheme="minorEastAsia" w:eastAsiaTheme="minorEastAsia"/>
          <w:b/>
          <w:snapToGrid w:val="0"/>
          <w:kern w:val="0"/>
          <w:szCs w:val="21"/>
          <w:highlight w:val="none"/>
          <w:lang w:val="zh-CN"/>
        </w:rPr>
        <w:t>竞争性磋商响应文件的构成</w:t>
      </w:r>
      <w:bookmarkEnd w:id="52"/>
      <w:bookmarkEnd w:id="53"/>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9.1供应商编制的竞争性磋商响应件应包括的内容详见本文件第五章要求。</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注：响应文件目录及内容每页须按顺序编写页码。</w:t>
      </w:r>
    </w:p>
    <w:p>
      <w:pPr>
        <w:numPr>
          <w:ilvl w:val="0"/>
          <w:numId w:val="1"/>
        </w:numPr>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54" w:name="_Toc25217"/>
      <w:bookmarkStart w:id="55" w:name="_Toc470172675"/>
      <w:r>
        <w:rPr>
          <w:rFonts w:hint="eastAsia" w:cs="宋体" w:asciiTheme="minorEastAsia" w:hAnsiTheme="minorEastAsia" w:eastAsiaTheme="minorEastAsia"/>
          <w:b/>
          <w:snapToGrid w:val="0"/>
          <w:kern w:val="0"/>
          <w:szCs w:val="21"/>
          <w:highlight w:val="none"/>
          <w:lang w:val="zh-CN"/>
        </w:rPr>
        <w:t>竞争性磋商响应文件的编制</w:t>
      </w:r>
      <w:bookmarkEnd w:id="54"/>
      <w:bookmarkEnd w:id="55"/>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10.1供应商应当按照本磋商文件的要求编制响应文件，并对其提交的响应文件及全部资料的真实性、合法性承担法律责任，并接受采购代理机构对其中任何资料进一步核实的要求。</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 xml:space="preserve">10.2供应商应认真阅读本磋商文件中的所有内容，并对本磋商文件提出的要求和条件作出实质性响应。如供应商没有按照本磋商文件的要求提交全部资料，或者没有对本磋商文件在各方面都做出实质性响应的，其响应文件将被视为无效文件。 </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10.3供应商应完整地按本磋商文件的要求提交所有资料并按要求的格式填写规定的所有内容，无相应内容可填项的，应填写“无”、“未测试”、“没有相应指标”等明确的回答文字。如未规定格式的，相关格式由供应商自定。</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t>10.4供应商在编制响应文件时应注意本次采购对多包采购的规定，多包采购的规定见《供应商须知前附表》。</w:t>
      </w:r>
    </w:p>
    <w:p>
      <w:pPr>
        <w:numPr>
          <w:ilvl w:val="0"/>
          <w:numId w:val="1"/>
        </w:numPr>
        <w:snapToGrid w:val="0"/>
        <w:spacing w:line="360" w:lineRule="auto"/>
        <w:ind w:hanging="540"/>
        <w:outlineLvl w:val="1"/>
        <w:rPr>
          <w:rFonts w:cs="宋体" w:asciiTheme="minorEastAsia" w:hAnsiTheme="minorEastAsia" w:eastAsiaTheme="minorEastAsia"/>
          <w:b/>
          <w:snapToGrid w:val="0"/>
          <w:color w:val="000000" w:themeColor="text1"/>
          <w:kern w:val="0"/>
          <w:szCs w:val="21"/>
          <w:highlight w:val="none"/>
          <w:lang w:val="zh-CN"/>
          <w14:textFill>
            <w14:solidFill>
              <w14:schemeClr w14:val="tx1"/>
            </w14:solidFill>
          </w14:textFill>
        </w:rPr>
      </w:pPr>
      <w:bookmarkStart w:id="56" w:name="_Toc470172676"/>
      <w:bookmarkStart w:id="57" w:name="_Toc24544"/>
      <w:r>
        <w:rPr>
          <w:rFonts w:hint="eastAsia" w:cs="宋体" w:asciiTheme="minorEastAsia" w:hAnsiTheme="minorEastAsia" w:eastAsiaTheme="minorEastAsia"/>
          <w:b/>
          <w:snapToGrid w:val="0"/>
          <w:color w:val="000000" w:themeColor="text1"/>
          <w:kern w:val="0"/>
          <w:szCs w:val="21"/>
          <w:highlight w:val="none"/>
          <w:lang w:val="zh-CN"/>
          <w14:textFill>
            <w14:solidFill>
              <w14:schemeClr w14:val="tx1"/>
            </w14:solidFill>
          </w14:textFill>
        </w:rPr>
        <w:t>磋商报价</w:t>
      </w:r>
      <w:bookmarkEnd w:id="56"/>
      <w:bookmarkEnd w:id="57"/>
    </w:p>
    <w:p>
      <w:pPr>
        <w:pStyle w:val="23"/>
        <w:spacing w:line="300" w:lineRule="auto"/>
        <w:ind w:left="0" w:leftChars="0" w:firstLine="420" w:firstLineChars="200"/>
        <w:rPr>
          <w:rFonts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t>11.1本工程磋商报价的计价方式采用工程量清单计价方式，执行标准为建设部发布的《建设工程工程量清单计价规范》(GB50500-2013)。</w:t>
      </w:r>
    </w:p>
    <w:p>
      <w:pPr>
        <w:pStyle w:val="23"/>
        <w:spacing w:line="300" w:lineRule="auto"/>
        <w:ind w:left="420" w:leftChars="200" w:firstLine="73" w:firstLineChars="35"/>
        <w:rPr>
          <w:rFonts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t>11.2磋商报价为供应商在磋商文件中提出的各项支付金额的总和。</w:t>
      </w:r>
    </w:p>
    <w:p>
      <w:pPr>
        <w:pStyle w:val="23"/>
        <w:spacing w:line="300" w:lineRule="auto"/>
        <w:ind w:left="0" w:leftChars="0" w:firstLine="420" w:firstLineChars="200"/>
        <w:rPr>
          <w:rFonts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t>11.3供应商的磋商报价，应是本项目所列采购工程范围及工期的全部，不得以任何理由予以重复，作为供应商计算单价或总价的依据。</w:t>
      </w:r>
    </w:p>
    <w:p>
      <w:pPr>
        <w:pStyle w:val="23"/>
        <w:spacing w:line="300" w:lineRule="auto"/>
        <w:ind w:left="0" w:leftChars="0" w:firstLine="420" w:firstLineChars="200"/>
        <w:rPr>
          <w:rFonts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t>11.4供应商的报价应基于供应商自身的技术水平、能力和对市场的了解，参照国家有关规范和最新的武汉地区造价信息等相关文件自行报价。</w:t>
      </w:r>
    </w:p>
    <w:p>
      <w:pPr>
        <w:pStyle w:val="23"/>
        <w:spacing w:line="300" w:lineRule="auto"/>
        <w:ind w:left="0" w:leftChars="0" w:firstLine="420" w:firstLineChars="200"/>
        <w:rPr>
          <w:rFonts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snapToGrid w:val="0"/>
          <w:color w:val="000000" w:themeColor="text1"/>
          <w:kern w:val="0"/>
          <w:szCs w:val="21"/>
          <w:highlight w:val="none"/>
          <w:lang w:val="zh-CN"/>
          <w14:textFill>
            <w14:solidFill>
              <w14:schemeClr w14:val="tx1"/>
            </w14:solidFill>
          </w14:textFill>
        </w:rPr>
        <w:t>11.5供应商可以对采购人提供的清单的项目和项目的工程量进行复核，但不能在原清单的基础上直接进行调整，即不能直接修改原清单的工程量，不能直接删除或在中间插入需补充的清单项目。供应商对采购人提供的清单的项目和项目的工程量需要进行修订时，应在清单发出之日起三天内书面告之采购人。否则视为供应商认同所有工程量。</w:t>
      </w:r>
    </w:p>
    <w:p>
      <w:pPr>
        <w:numPr>
          <w:ilvl w:val="0"/>
          <w:numId w:val="1"/>
        </w:numPr>
        <w:tabs>
          <w:tab w:val="left" w:pos="864"/>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58" w:name="_Toc470172677"/>
      <w:bookmarkStart w:id="59" w:name="_Toc6176"/>
      <w:r>
        <w:rPr>
          <w:rFonts w:hint="eastAsia" w:cs="宋体" w:asciiTheme="minorEastAsia" w:hAnsiTheme="minorEastAsia" w:eastAsiaTheme="minorEastAsia"/>
          <w:b/>
          <w:snapToGrid w:val="0"/>
          <w:kern w:val="0"/>
          <w:szCs w:val="21"/>
          <w:highlight w:val="none"/>
          <w:lang w:val="zh-CN"/>
        </w:rPr>
        <w:t>备选方案</w:t>
      </w:r>
      <w:bookmarkEnd w:id="58"/>
      <w:bookmarkEnd w:id="59"/>
    </w:p>
    <w:p>
      <w:pPr>
        <w:tabs>
          <w:tab w:val="left" w:pos="426"/>
        </w:tabs>
        <w:autoSpaceDE w:val="0"/>
        <w:autoSpaceDN w:val="0"/>
        <w:adjustRightInd w:val="0"/>
        <w:snapToGrid w:val="0"/>
        <w:spacing w:line="360" w:lineRule="auto"/>
        <w:ind w:firstLine="420" w:firstLineChars="200"/>
        <w:jc w:val="left"/>
        <w:rPr>
          <w:rFonts w:ascii="宋体" w:hAnsi="宋体" w:cs="Arial"/>
          <w:highlight w:val="none"/>
        </w:rPr>
      </w:pPr>
      <w:r>
        <w:rPr>
          <w:rFonts w:ascii="宋体" w:hAnsi="宋体" w:cs="宋体"/>
          <w:snapToGrid w:val="0"/>
          <w:kern w:val="0"/>
          <w:szCs w:val="21"/>
          <w:highlight w:val="none"/>
          <w:lang w:val="zh-CN"/>
        </w:rPr>
        <w:t>12.1</w:t>
      </w:r>
      <w:r>
        <w:rPr>
          <w:rFonts w:hint="eastAsia" w:ascii="宋体" w:hAnsi="宋体" w:cs="Arial"/>
          <w:highlight w:val="none"/>
        </w:rPr>
        <w:t>本项目</w:t>
      </w:r>
      <w:r>
        <w:rPr>
          <w:rFonts w:ascii="宋体" w:hAnsi="宋体" w:cs="Arial"/>
          <w:highlight w:val="none"/>
        </w:rPr>
        <w:t>是否</w:t>
      </w:r>
      <w:r>
        <w:rPr>
          <w:rFonts w:hint="eastAsia" w:ascii="宋体" w:hAnsi="宋体" w:cs="Arial"/>
          <w:highlight w:val="none"/>
        </w:rPr>
        <w:t>接受</w:t>
      </w:r>
      <w:r>
        <w:rPr>
          <w:rFonts w:ascii="宋体" w:hAnsi="宋体" w:cs="Arial"/>
          <w:highlight w:val="none"/>
        </w:rPr>
        <w:t>备选方案</w:t>
      </w:r>
      <w:r>
        <w:rPr>
          <w:rFonts w:hint="eastAsia" w:ascii="宋体" w:hAnsi="宋体" w:cs="Arial"/>
          <w:highlight w:val="none"/>
        </w:rPr>
        <w:t>详见《供应商</w:t>
      </w:r>
      <w:r>
        <w:rPr>
          <w:rFonts w:ascii="宋体" w:hAnsi="宋体" w:cs="Arial"/>
          <w:highlight w:val="none"/>
        </w:rPr>
        <w:t>须知前附表</w:t>
      </w:r>
      <w:r>
        <w:rPr>
          <w:rFonts w:hint="eastAsia" w:ascii="宋体" w:hAnsi="宋体" w:cs="Arial"/>
          <w:highlight w:val="none"/>
        </w:rPr>
        <w:t>》的</w:t>
      </w:r>
      <w:r>
        <w:rPr>
          <w:rFonts w:ascii="宋体" w:hAnsi="宋体" w:cs="Arial"/>
          <w:highlight w:val="none"/>
        </w:rPr>
        <w:t>规定。</w:t>
      </w:r>
    </w:p>
    <w:p>
      <w:pPr>
        <w:tabs>
          <w:tab w:val="left" w:pos="426"/>
        </w:tabs>
        <w:autoSpaceDE w:val="0"/>
        <w:autoSpaceDN w:val="0"/>
        <w:adjustRightInd w:val="0"/>
        <w:snapToGrid w:val="0"/>
        <w:spacing w:line="360" w:lineRule="auto"/>
        <w:ind w:firstLine="420" w:firstLineChars="200"/>
        <w:jc w:val="left"/>
        <w:rPr>
          <w:rFonts w:ascii="宋体" w:hAnsi="宋体" w:cs="Arial"/>
          <w:highlight w:val="none"/>
        </w:rPr>
      </w:pPr>
      <w:r>
        <w:rPr>
          <w:rFonts w:ascii="宋体" w:hAnsi="宋体" w:cs="宋体"/>
          <w:snapToGrid w:val="0"/>
          <w:kern w:val="0"/>
          <w:szCs w:val="21"/>
          <w:highlight w:val="none"/>
          <w:lang w:val="zh-CN"/>
        </w:rPr>
        <w:t>12.1.1</w:t>
      </w:r>
      <w:r>
        <w:rPr>
          <w:rFonts w:hint="eastAsia" w:ascii="宋体" w:hAnsi="宋体" w:cs="宋体"/>
          <w:snapToGrid w:val="0"/>
          <w:kern w:val="0"/>
          <w:szCs w:val="21"/>
          <w:highlight w:val="none"/>
          <w:lang w:val="zh-CN"/>
        </w:rPr>
        <w:t>本项目接受</w:t>
      </w:r>
      <w:r>
        <w:rPr>
          <w:rFonts w:ascii="宋体" w:hAnsi="宋体" w:cs="Arial"/>
          <w:highlight w:val="none"/>
        </w:rPr>
        <w:t>备选方案的，只有</w:t>
      </w:r>
      <w:r>
        <w:rPr>
          <w:rFonts w:hint="eastAsia" w:ascii="宋体" w:hAnsi="宋体" w:cs="Arial"/>
          <w:highlight w:val="none"/>
        </w:rPr>
        <w:t>成交供应商</w:t>
      </w:r>
      <w:r>
        <w:rPr>
          <w:rFonts w:ascii="宋体" w:hAnsi="宋体" w:cs="Arial"/>
          <w:highlight w:val="none"/>
        </w:rPr>
        <w:t>所</w:t>
      </w:r>
      <w:r>
        <w:rPr>
          <w:rFonts w:hint="eastAsia" w:ascii="宋体" w:hAnsi="宋体" w:cs="Arial"/>
          <w:highlight w:val="none"/>
        </w:rPr>
        <w:t>提交</w:t>
      </w:r>
      <w:r>
        <w:rPr>
          <w:rFonts w:ascii="宋体" w:hAnsi="宋体" w:cs="Arial"/>
          <w:highlight w:val="none"/>
        </w:rPr>
        <w:t>的备选方案方可予以考虑。</w:t>
      </w:r>
      <w:r>
        <w:rPr>
          <w:rFonts w:hint="eastAsia" w:ascii="宋体" w:hAnsi="宋体" w:cs="Arial"/>
          <w:highlight w:val="none"/>
        </w:rPr>
        <w:t>磋商小组</w:t>
      </w:r>
      <w:r>
        <w:rPr>
          <w:rFonts w:ascii="宋体" w:hAnsi="宋体" w:cs="Arial"/>
          <w:highlight w:val="none"/>
        </w:rPr>
        <w:t>认为</w:t>
      </w:r>
      <w:r>
        <w:rPr>
          <w:rFonts w:hint="eastAsia" w:ascii="宋体" w:hAnsi="宋体" w:cs="Arial"/>
          <w:highlight w:val="none"/>
        </w:rPr>
        <w:t>成交供应商</w:t>
      </w:r>
      <w:r>
        <w:rPr>
          <w:rFonts w:ascii="宋体" w:hAnsi="宋体" w:cs="Arial"/>
          <w:highlight w:val="none"/>
        </w:rPr>
        <w:t>的备选方案优于其按照</w:t>
      </w:r>
      <w:r>
        <w:rPr>
          <w:rFonts w:hint="eastAsia" w:ascii="宋体" w:hAnsi="宋体" w:cs="Arial"/>
          <w:highlight w:val="none"/>
        </w:rPr>
        <w:t>磋商</w:t>
      </w:r>
      <w:r>
        <w:rPr>
          <w:rFonts w:ascii="宋体" w:hAnsi="宋体" w:cs="Arial"/>
          <w:highlight w:val="none"/>
        </w:rPr>
        <w:t>文件要求编制的</w:t>
      </w:r>
      <w:r>
        <w:rPr>
          <w:rFonts w:hint="eastAsia" w:ascii="宋体" w:hAnsi="宋体" w:cs="Arial"/>
          <w:highlight w:val="none"/>
        </w:rPr>
        <w:t>响应</w:t>
      </w:r>
      <w:r>
        <w:rPr>
          <w:rFonts w:ascii="宋体" w:hAnsi="宋体" w:cs="Arial"/>
          <w:highlight w:val="none"/>
        </w:rPr>
        <w:t>方案的，采购人可以接受该备选方案。</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ascii="宋体" w:hAnsi="宋体" w:cs="宋体"/>
          <w:snapToGrid w:val="0"/>
          <w:kern w:val="0"/>
          <w:szCs w:val="21"/>
          <w:highlight w:val="none"/>
          <w:lang w:val="zh-CN"/>
        </w:rPr>
        <w:t>12.</w:t>
      </w:r>
      <w:r>
        <w:rPr>
          <w:rFonts w:ascii="宋体" w:hAnsi="宋体" w:cs="宋体"/>
          <w:snapToGrid w:val="0"/>
          <w:kern w:val="0"/>
          <w:szCs w:val="21"/>
          <w:highlight w:val="none"/>
          <w:lang w:val="zh-CN"/>
        </w:rPr>
        <w:t>1.2</w:t>
      </w:r>
      <w:r>
        <w:rPr>
          <w:rFonts w:hint="eastAsia" w:ascii="宋体" w:hAnsi="宋体" w:cs="宋体"/>
          <w:snapToGrid w:val="0"/>
          <w:kern w:val="0"/>
          <w:szCs w:val="21"/>
          <w:highlight w:val="none"/>
          <w:lang w:val="zh-CN"/>
        </w:rPr>
        <w:t>本项目</w:t>
      </w:r>
      <w:r>
        <w:rPr>
          <w:rFonts w:hint="eastAsia" w:ascii="宋体" w:hAnsi="宋体" w:cs="Arial"/>
          <w:highlight w:val="none"/>
        </w:rPr>
        <w:t>不接受备选方案的，若在响应文件中提交了备选方案，</w:t>
      </w:r>
      <w:r>
        <w:rPr>
          <w:rFonts w:hint="eastAsia" w:ascii="宋体" w:hAnsi="宋体" w:cs="Arial"/>
          <w:b/>
          <w:highlight w:val="none"/>
        </w:rPr>
        <w:t>其响应文件将被视为无效文件。</w:t>
      </w:r>
    </w:p>
    <w:p>
      <w:pPr>
        <w:numPr>
          <w:ilvl w:val="0"/>
          <w:numId w:val="1"/>
        </w:numPr>
        <w:tabs>
          <w:tab w:val="left" w:pos="864"/>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60" w:name="_Toc470172678"/>
      <w:bookmarkStart w:id="61" w:name="_Toc3324"/>
      <w:r>
        <w:rPr>
          <w:rFonts w:hint="eastAsia" w:cs="宋体" w:asciiTheme="minorEastAsia" w:hAnsiTheme="minorEastAsia" w:eastAsiaTheme="minorEastAsia"/>
          <w:b/>
          <w:snapToGrid w:val="0"/>
          <w:kern w:val="0"/>
          <w:szCs w:val="21"/>
          <w:highlight w:val="none"/>
          <w:lang w:val="zh-CN"/>
        </w:rPr>
        <w:t>联合体</w:t>
      </w:r>
      <w:bookmarkEnd w:id="60"/>
      <w:bookmarkEnd w:id="61"/>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 xml:space="preserve">13.1本次采购是否允许联合体参加详见《供应商须知前附表》。 </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13.2本次采购允许联合体参与磋商的，联合体各方不得再单独或者与其他供应商另外组成联合体参加本项目的磋商，否则相关响应文件均告无效。具体要求详见第2.2条的规定。</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62" w:name="_Toc2434"/>
      <w:bookmarkStart w:id="63" w:name="_Toc470172679"/>
      <w:r>
        <w:rPr>
          <w:rFonts w:hint="eastAsia" w:cs="宋体" w:asciiTheme="minorEastAsia" w:hAnsiTheme="minorEastAsia" w:eastAsiaTheme="minorEastAsia"/>
          <w:b/>
          <w:snapToGrid w:val="0"/>
          <w:kern w:val="0"/>
          <w:szCs w:val="21"/>
          <w:highlight w:val="none"/>
          <w:lang w:val="zh-CN"/>
        </w:rPr>
        <w:t>供应商资格证明文件</w:t>
      </w:r>
      <w:bookmarkEnd w:id="62"/>
      <w:bookmarkEnd w:id="63"/>
    </w:p>
    <w:p>
      <w:pPr>
        <w:snapToGrid w:val="0"/>
        <w:spacing w:line="360" w:lineRule="auto"/>
        <w:ind w:firstLine="420" w:firstLineChars="200"/>
        <w:rPr>
          <w:rFonts w:ascii="Arial" w:hAnsi="Arial" w:cs="Arial"/>
          <w:highlight w:val="none"/>
        </w:rPr>
      </w:pPr>
      <w:r>
        <w:rPr>
          <w:rFonts w:hint="eastAsia" w:cs="宋体" w:asciiTheme="minorEastAsia" w:hAnsiTheme="minorEastAsia" w:eastAsiaTheme="minorEastAsia"/>
          <w:snapToGrid w:val="0"/>
          <w:kern w:val="0"/>
          <w:szCs w:val="21"/>
          <w:highlight w:val="none"/>
          <w:lang w:val="zh-CN"/>
        </w:rPr>
        <w:t>14.1供应商应在响应文件提交证明其有资格参加磋商的证明文件，</w:t>
      </w:r>
      <w:r>
        <w:rPr>
          <w:rFonts w:hint="eastAsia" w:ascii="宋体" w:hAnsi="宋体" w:cs="Arial"/>
          <w:szCs w:val="21"/>
          <w:highlight w:val="none"/>
        </w:rPr>
        <w:t>第四章</w:t>
      </w:r>
      <w:r>
        <w:rPr>
          <w:rFonts w:ascii="宋体" w:hAnsi="宋体" w:cs="Arial"/>
          <w:szCs w:val="21"/>
          <w:highlight w:val="none"/>
        </w:rPr>
        <w:t>《</w:t>
      </w:r>
      <w:r>
        <w:rPr>
          <w:rFonts w:hint="eastAsia" w:ascii="宋体" w:hAnsi="宋体" w:cs="Arial"/>
          <w:szCs w:val="21"/>
          <w:highlight w:val="none"/>
        </w:rPr>
        <w:t>评审程序、方法及标准</w:t>
      </w:r>
      <w:r>
        <w:rPr>
          <w:rFonts w:ascii="宋体" w:hAnsi="宋体" w:cs="Arial"/>
          <w:szCs w:val="21"/>
          <w:highlight w:val="none"/>
        </w:rPr>
        <w:t>》</w:t>
      </w:r>
      <w:r>
        <w:rPr>
          <w:rFonts w:hint="eastAsia" w:ascii="宋体" w:hAnsi="宋体" w:cs="Arial"/>
          <w:szCs w:val="21"/>
          <w:highlight w:val="none"/>
        </w:rPr>
        <w:t>中的《资格</w:t>
      </w:r>
      <w:r>
        <w:rPr>
          <w:rFonts w:ascii="宋体" w:hAnsi="宋体" w:cs="Arial"/>
          <w:szCs w:val="21"/>
          <w:highlight w:val="none"/>
        </w:rPr>
        <w:t>审查表</w:t>
      </w:r>
      <w:r>
        <w:rPr>
          <w:rFonts w:hint="eastAsia" w:ascii="宋体" w:hAnsi="宋体" w:cs="Arial"/>
          <w:szCs w:val="21"/>
          <w:highlight w:val="none"/>
        </w:rPr>
        <w:t>》。</w:t>
      </w:r>
    </w:p>
    <w:p>
      <w:pPr>
        <w:tabs>
          <w:tab w:val="left" w:pos="426"/>
        </w:tabs>
        <w:autoSpaceDE w:val="0"/>
        <w:autoSpaceDN w:val="0"/>
        <w:adjustRightInd w:val="0"/>
        <w:snapToGrid w:val="0"/>
        <w:spacing w:line="360" w:lineRule="auto"/>
        <w:ind w:firstLine="420" w:firstLineChars="200"/>
        <w:jc w:val="left"/>
        <w:rPr>
          <w:rFonts w:ascii="Arial" w:hAnsi="Arial" w:cs="Arial"/>
          <w:highlight w:val="none"/>
        </w:rPr>
      </w:pPr>
      <w:r>
        <w:rPr>
          <w:rFonts w:hint="eastAsia" w:cs="宋体" w:asciiTheme="minorEastAsia" w:hAnsiTheme="minorEastAsia" w:eastAsiaTheme="minorEastAsia"/>
          <w:snapToGrid w:val="0"/>
          <w:kern w:val="0"/>
          <w:szCs w:val="21"/>
          <w:highlight w:val="none"/>
          <w:lang w:val="zh-CN"/>
        </w:rPr>
        <w:t>14.</w:t>
      </w:r>
      <w:r>
        <w:rPr>
          <w:rFonts w:cs="宋体" w:asciiTheme="minorEastAsia" w:hAnsiTheme="minorEastAsia" w:eastAsiaTheme="minorEastAsia"/>
          <w:snapToGrid w:val="0"/>
          <w:kern w:val="0"/>
          <w:szCs w:val="21"/>
          <w:highlight w:val="none"/>
          <w:lang w:val="zh-CN"/>
        </w:rPr>
        <w:t>2</w:t>
      </w:r>
      <w:r>
        <w:rPr>
          <w:rFonts w:hint="eastAsia" w:ascii="宋体" w:hAnsi="宋体"/>
          <w:szCs w:val="21"/>
          <w:highlight w:val="none"/>
          <w:lang w:val="zh-CN"/>
        </w:rPr>
        <w:t>所有证书、证明文件包括按要求提供的官网截图必须是真实可查证的，须注明资料来源。响应文件中须编入清晰的扫描件或复印件。所有证明材料须清晰可辨认，如因证明材料模糊无法辨认，缺页、漏页导致无法进行评审认定的责任由供应商自负。如发现弄虚作假将按照有关规定严肃处理。</w:t>
      </w:r>
      <w:r>
        <w:rPr>
          <w:rFonts w:hint="eastAsia" w:ascii="宋体" w:hAnsi="宋体" w:cs="宋体"/>
          <w:szCs w:val="21"/>
          <w:highlight w:val="none"/>
          <w:lang w:val="zh-CN"/>
        </w:rPr>
        <w:t>证明材料仅限于参与磋商供应商单位本身，参股或控股单位及独立法人子公司的材料不能作为证明材料，但参与磋商供应商单位兼并的企业的材料可作为证明材料。</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64" w:name="_Toc470172680"/>
      <w:bookmarkStart w:id="65" w:name="_Toc9935"/>
      <w:r>
        <w:rPr>
          <w:rFonts w:hint="eastAsia" w:cs="宋体" w:asciiTheme="minorEastAsia" w:hAnsiTheme="minorEastAsia" w:eastAsiaTheme="minorEastAsia"/>
          <w:b/>
          <w:snapToGrid w:val="0"/>
          <w:kern w:val="0"/>
          <w:szCs w:val="21"/>
          <w:highlight w:val="none"/>
          <w:lang w:val="zh-CN"/>
        </w:rPr>
        <w:t>证明报价内容、服务合格性和符合磋商文件规定的文件</w:t>
      </w:r>
      <w:bookmarkEnd w:id="64"/>
      <w:bookmarkEnd w:id="65"/>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15.1证明报价内容符合磋商文件要求的文件和磋商文件规定的其他资料，具体要求见《供应商须知前附表》。</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r>
        <w:rPr>
          <w:rFonts w:hint="eastAsia" w:cs="宋体" w:asciiTheme="minorEastAsia" w:hAnsiTheme="minorEastAsia" w:eastAsiaTheme="minorEastAsia"/>
          <w:b/>
          <w:snapToGrid w:val="0"/>
          <w:kern w:val="0"/>
          <w:szCs w:val="21"/>
          <w:highlight w:val="none"/>
          <w:lang w:val="zh-CN"/>
        </w:rPr>
        <w:t>投标保证金</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16.1本项目不收投标保证金。</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66" w:name="_Toc470172682"/>
      <w:bookmarkStart w:id="67" w:name="_Toc5668"/>
      <w:r>
        <w:rPr>
          <w:rFonts w:hint="eastAsia" w:cs="宋体" w:asciiTheme="minorEastAsia" w:hAnsiTheme="minorEastAsia" w:eastAsiaTheme="minorEastAsia"/>
          <w:b/>
          <w:snapToGrid w:val="0"/>
          <w:kern w:val="0"/>
          <w:szCs w:val="21"/>
          <w:highlight w:val="none"/>
          <w:lang w:val="zh-CN"/>
        </w:rPr>
        <w:t>响应文件有效期</w:t>
      </w:r>
      <w:bookmarkEnd w:id="66"/>
      <w:bookmarkEnd w:id="67"/>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17.1响应文件有效期从磋商结束之日起计算，本项目响应文件有效期见《供应商须知前附表》，供应商承诺的响应文件有效期不足的，其响应文件视为无效。</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17.2特殊情况下，在原响应文件有效期截止之前，采购人或采购代理机构可要求供应商延长响应文件有效期。需要延长响应文件有效期时，采购人或采购代理机构将以书面形式通知所有磋商供应商，供应商应以书面形式答复是否同意延长响应文件有效期。</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17.3供应商同意延长的，不得要求或被允许修改或撤销其响应文件；供应商拒绝延长的，其响应文件在原响应文件有效期满后将不再有效。</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68" w:name="_Toc8272"/>
      <w:bookmarkStart w:id="69" w:name="_Toc470172683"/>
      <w:r>
        <w:rPr>
          <w:rFonts w:hint="eastAsia" w:cs="宋体" w:asciiTheme="minorEastAsia" w:hAnsiTheme="minorEastAsia" w:eastAsiaTheme="minorEastAsia"/>
          <w:b/>
          <w:snapToGrid w:val="0"/>
          <w:kern w:val="0"/>
          <w:szCs w:val="21"/>
          <w:highlight w:val="none"/>
          <w:lang w:val="zh-CN"/>
        </w:rPr>
        <w:t>响应文件的装订、签署和数量</w:t>
      </w:r>
      <w:bookmarkEnd w:id="68"/>
      <w:bookmarkEnd w:id="69"/>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18.1供应商提交的响应文件应包括正本、副本、</w:t>
      </w:r>
      <w:r>
        <w:rPr>
          <w:rFonts w:hint="eastAsia"/>
          <w:szCs w:val="21"/>
          <w:highlight w:val="none"/>
        </w:rPr>
        <w:t>响应文件电子版</w:t>
      </w:r>
      <w:r>
        <w:rPr>
          <w:rFonts w:hint="eastAsia" w:cs="宋体" w:asciiTheme="minorEastAsia" w:hAnsiTheme="minorEastAsia" w:eastAsiaTheme="minorEastAsia"/>
          <w:snapToGrid w:val="0"/>
          <w:kern w:val="0"/>
          <w:szCs w:val="21"/>
          <w:highlight w:val="none"/>
          <w:lang w:val="zh-CN"/>
        </w:rPr>
        <w:t>（如果供应商须知前附表要求提交</w:t>
      </w:r>
      <w:r>
        <w:rPr>
          <w:rFonts w:hint="eastAsia"/>
          <w:szCs w:val="21"/>
          <w:highlight w:val="none"/>
        </w:rPr>
        <w:t>响应文件电子版</w:t>
      </w:r>
      <w:r>
        <w:rPr>
          <w:rFonts w:hint="eastAsia" w:cs="宋体" w:asciiTheme="minorEastAsia" w:hAnsiTheme="minorEastAsia" w:eastAsiaTheme="minorEastAsia"/>
          <w:snapToGrid w:val="0"/>
          <w:kern w:val="0"/>
          <w:szCs w:val="21"/>
          <w:highlight w:val="none"/>
          <w:lang w:val="zh-CN"/>
        </w:rPr>
        <w:t>）及单独提供的</w:t>
      </w:r>
      <w:r>
        <w:rPr>
          <w:rFonts w:cs="宋体" w:asciiTheme="minorEastAsia" w:hAnsiTheme="minorEastAsia" w:eastAsiaTheme="minorEastAsia"/>
          <w:snapToGrid w:val="0"/>
          <w:kern w:val="0"/>
          <w:szCs w:val="21"/>
          <w:highlight w:val="none"/>
          <w:lang w:val="zh-CN"/>
        </w:rPr>
        <w:t>法</w:t>
      </w:r>
      <w:r>
        <w:rPr>
          <w:rFonts w:hint="eastAsia" w:cs="宋体" w:asciiTheme="minorEastAsia" w:hAnsiTheme="minorEastAsia" w:eastAsiaTheme="minorEastAsia"/>
          <w:snapToGrid w:val="0"/>
          <w:kern w:val="0"/>
          <w:szCs w:val="21"/>
          <w:highlight w:val="none"/>
          <w:lang w:val="zh-CN"/>
        </w:rPr>
        <w:t>定代表</w:t>
      </w:r>
      <w:r>
        <w:rPr>
          <w:rFonts w:cs="宋体" w:asciiTheme="minorEastAsia" w:hAnsiTheme="minorEastAsia" w:eastAsiaTheme="minorEastAsia"/>
          <w:snapToGrid w:val="0"/>
          <w:kern w:val="0"/>
          <w:szCs w:val="21"/>
          <w:highlight w:val="none"/>
          <w:lang w:val="zh-CN"/>
        </w:rPr>
        <w:t>人授权</w:t>
      </w:r>
      <w:r>
        <w:rPr>
          <w:rFonts w:hint="eastAsia" w:cs="宋体" w:asciiTheme="minorEastAsia" w:hAnsiTheme="minorEastAsia" w:eastAsiaTheme="minorEastAsia"/>
          <w:snapToGrid w:val="0"/>
          <w:kern w:val="0"/>
          <w:szCs w:val="21"/>
          <w:highlight w:val="none"/>
          <w:lang w:val="zh-CN"/>
        </w:rPr>
        <w:t>委托</w:t>
      </w:r>
      <w:r>
        <w:rPr>
          <w:rFonts w:cs="宋体" w:asciiTheme="minorEastAsia" w:hAnsiTheme="minorEastAsia" w:eastAsiaTheme="minorEastAsia"/>
          <w:snapToGrid w:val="0"/>
          <w:kern w:val="0"/>
          <w:szCs w:val="21"/>
          <w:highlight w:val="none"/>
          <w:lang w:val="zh-CN"/>
        </w:rPr>
        <w:t>书</w:t>
      </w:r>
      <w:r>
        <w:rPr>
          <w:rFonts w:hint="eastAsia" w:cs="宋体" w:asciiTheme="minorEastAsia" w:hAnsiTheme="minorEastAsia" w:eastAsiaTheme="minorEastAsia"/>
          <w:snapToGrid w:val="0"/>
          <w:kern w:val="0"/>
          <w:szCs w:val="21"/>
          <w:highlight w:val="none"/>
          <w:lang w:val="zh-CN"/>
        </w:rPr>
        <w:t>（或法定代表人身份证明书）、报价</w:t>
      </w:r>
      <w:r>
        <w:rPr>
          <w:rFonts w:cs="宋体" w:asciiTheme="minorEastAsia" w:hAnsiTheme="minorEastAsia" w:eastAsiaTheme="minorEastAsia"/>
          <w:snapToGrid w:val="0"/>
          <w:kern w:val="0"/>
          <w:szCs w:val="21"/>
          <w:highlight w:val="none"/>
          <w:lang w:val="zh-CN"/>
        </w:rPr>
        <w:t>一览表、优惠声明</w:t>
      </w:r>
      <w:r>
        <w:rPr>
          <w:rFonts w:hint="eastAsia" w:cs="宋体" w:asciiTheme="minorEastAsia" w:hAnsiTheme="minorEastAsia" w:eastAsiaTheme="minorEastAsia"/>
          <w:snapToGrid w:val="0"/>
          <w:kern w:val="0"/>
          <w:szCs w:val="21"/>
          <w:highlight w:val="none"/>
          <w:lang w:val="zh-CN"/>
        </w:rPr>
        <w:t>（如有）。本次磋商供应商提交响应文件正、副本数量和是否需要提供</w:t>
      </w:r>
      <w:r>
        <w:rPr>
          <w:rFonts w:hint="eastAsia"/>
          <w:szCs w:val="21"/>
          <w:highlight w:val="none"/>
        </w:rPr>
        <w:t>响应文件电子版</w:t>
      </w:r>
      <w:r>
        <w:rPr>
          <w:rFonts w:hint="eastAsia" w:cs="宋体" w:asciiTheme="minorEastAsia" w:hAnsiTheme="minorEastAsia" w:eastAsiaTheme="minorEastAsia"/>
          <w:snapToGrid w:val="0"/>
          <w:kern w:val="0"/>
          <w:szCs w:val="21"/>
          <w:highlight w:val="none"/>
          <w:lang w:val="zh-CN"/>
        </w:rPr>
        <w:t>详见《供应商须知前附表》。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每套响应文件须清楚地标明“正本”、“副本”，响应文件的副本可采用正本的复印件，若副本与正本不符，以正本为准；如单独提供的</w:t>
      </w:r>
      <w:r>
        <w:rPr>
          <w:rFonts w:cs="宋体" w:asciiTheme="minorEastAsia" w:hAnsiTheme="minorEastAsia" w:eastAsiaTheme="minorEastAsia"/>
          <w:snapToGrid w:val="0"/>
          <w:kern w:val="0"/>
          <w:szCs w:val="21"/>
          <w:highlight w:val="none"/>
          <w:lang w:val="zh-CN"/>
        </w:rPr>
        <w:t>法</w:t>
      </w:r>
      <w:r>
        <w:rPr>
          <w:rFonts w:hint="eastAsia" w:cs="宋体" w:asciiTheme="minorEastAsia" w:hAnsiTheme="minorEastAsia" w:eastAsiaTheme="minorEastAsia"/>
          <w:snapToGrid w:val="0"/>
          <w:kern w:val="0"/>
          <w:szCs w:val="21"/>
          <w:highlight w:val="none"/>
          <w:lang w:val="zh-CN"/>
        </w:rPr>
        <w:t>定代表</w:t>
      </w:r>
      <w:r>
        <w:rPr>
          <w:rFonts w:cs="宋体" w:asciiTheme="minorEastAsia" w:hAnsiTheme="minorEastAsia" w:eastAsiaTheme="minorEastAsia"/>
          <w:snapToGrid w:val="0"/>
          <w:kern w:val="0"/>
          <w:szCs w:val="21"/>
          <w:highlight w:val="none"/>
          <w:lang w:val="zh-CN"/>
        </w:rPr>
        <w:t>人授权</w:t>
      </w:r>
      <w:r>
        <w:rPr>
          <w:rFonts w:hint="eastAsia" w:cs="宋体" w:asciiTheme="minorEastAsia" w:hAnsiTheme="minorEastAsia" w:eastAsiaTheme="minorEastAsia"/>
          <w:snapToGrid w:val="0"/>
          <w:kern w:val="0"/>
          <w:szCs w:val="21"/>
          <w:highlight w:val="none"/>
          <w:lang w:val="zh-CN"/>
        </w:rPr>
        <w:t>委托</w:t>
      </w:r>
      <w:r>
        <w:rPr>
          <w:rFonts w:cs="宋体" w:asciiTheme="minorEastAsia" w:hAnsiTheme="minorEastAsia" w:eastAsiaTheme="minorEastAsia"/>
          <w:snapToGrid w:val="0"/>
          <w:kern w:val="0"/>
          <w:szCs w:val="21"/>
          <w:highlight w:val="none"/>
          <w:lang w:val="zh-CN"/>
        </w:rPr>
        <w:t>书</w:t>
      </w:r>
      <w:r>
        <w:rPr>
          <w:rFonts w:hint="eastAsia" w:cs="宋体" w:asciiTheme="minorEastAsia" w:hAnsiTheme="minorEastAsia" w:eastAsiaTheme="minorEastAsia"/>
          <w:snapToGrid w:val="0"/>
          <w:kern w:val="0"/>
          <w:szCs w:val="21"/>
          <w:highlight w:val="none"/>
          <w:lang w:val="zh-CN"/>
        </w:rPr>
        <w:t>（或法定代表人身份证明书）、报价</w:t>
      </w:r>
      <w:r>
        <w:rPr>
          <w:rFonts w:cs="宋体" w:asciiTheme="minorEastAsia" w:hAnsiTheme="minorEastAsia" w:eastAsiaTheme="minorEastAsia"/>
          <w:snapToGrid w:val="0"/>
          <w:kern w:val="0"/>
          <w:szCs w:val="21"/>
          <w:highlight w:val="none"/>
          <w:lang w:val="zh-CN"/>
        </w:rPr>
        <w:t>一览表、优惠声明</w:t>
      </w:r>
      <w:r>
        <w:rPr>
          <w:rFonts w:hint="eastAsia" w:cs="宋体" w:asciiTheme="minorEastAsia" w:hAnsiTheme="minorEastAsia" w:eastAsiaTheme="minorEastAsia"/>
          <w:snapToGrid w:val="0"/>
          <w:kern w:val="0"/>
          <w:szCs w:val="21"/>
          <w:highlight w:val="none"/>
          <w:lang w:val="zh-CN"/>
        </w:rPr>
        <w:t>（如有）与响应文件正本不符，</w:t>
      </w:r>
      <w:r>
        <w:rPr>
          <w:rFonts w:cs="宋体" w:asciiTheme="minorEastAsia" w:hAnsiTheme="minorEastAsia" w:eastAsiaTheme="minorEastAsia"/>
          <w:snapToGrid w:val="0"/>
          <w:kern w:val="0"/>
          <w:szCs w:val="21"/>
          <w:highlight w:val="none"/>
          <w:lang w:val="zh-CN"/>
        </w:rPr>
        <w:t>以正本为准</w:t>
      </w:r>
      <w:r>
        <w:rPr>
          <w:rFonts w:hint="eastAsia" w:cs="宋体" w:asciiTheme="minorEastAsia" w:hAnsiTheme="minorEastAsia" w:eastAsiaTheme="minorEastAsia"/>
          <w:snapToGrid w:val="0"/>
          <w:kern w:val="0"/>
          <w:szCs w:val="21"/>
          <w:highlight w:val="none"/>
          <w:lang w:val="zh-CN"/>
        </w:rPr>
        <w:t>。</w:t>
      </w:r>
      <w:r>
        <w:rPr>
          <w:rFonts w:cs="宋体" w:asciiTheme="minorEastAsia" w:hAnsiTheme="minorEastAsia" w:eastAsiaTheme="minorEastAsia"/>
          <w:snapToGrid w:val="0"/>
          <w:kern w:val="0"/>
          <w:szCs w:val="21"/>
          <w:highlight w:val="none"/>
          <w:lang w:val="zh-CN"/>
        </w:rPr>
        <w:t>电子文</w:t>
      </w:r>
      <w:r>
        <w:rPr>
          <w:rFonts w:hint="eastAsia" w:cs="宋体" w:asciiTheme="minorEastAsia" w:hAnsiTheme="minorEastAsia" w:eastAsiaTheme="minorEastAsia"/>
          <w:snapToGrid w:val="0"/>
          <w:kern w:val="0"/>
          <w:szCs w:val="21"/>
          <w:highlight w:val="none"/>
          <w:lang w:val="zh-CN"/>
        </w:rPr>
        <w:t>件（如果供应商须知前附表要求提交</w:t>
      </w:r>
      <w:r>
        <w:rPr>
          <w:rFonts w:hint="eastAsia"/>
          <w:szCs w:val="21"/>
          <w:highlight w:val="none"/>
        </w:rPr>
        <w:t>响应文件电子版</w:t>
      </w:r>
      <w:r>
        <w:rPr>
          <w:rFonts w:hint="eastAsia" w:cs="宋体" w:asciiTheme="minorEastAsia" w:hAnsiTheme="minorEastAsia" w:eastAsiaTheme="minorEastAsia"/>
          <w:snapToGrid w:val="0"/>
          <w:kern w:val="0"/>
          <w:szCs w:val="21"/>
          <w:highlight w:val="none"/>
          <w:lang w:val="zh-CN"/>
        </w:rPr>
        <w:t>）</w:t>
      </w:r>
      <w:r>
        <w:rPr>
          <w:rFonts w:cs="宋体" w:asciiTheme="minorEastAsia" w:hAnsiTheme="minorEastAsia" w:eastAsiaTheme="minorEastAsia"/>
          <w:snapToGrid w:val="0"/>
          <w:kern w:val="0"/>
          <w:szCs w:val="21"/>
          <w:highlight w:val="none"/>
          <w:lang w:val="zh-CN"/>
        </w:rPr>
        <w:t>与</w:t>
      </w:r>
      <w:r>
        <w:rPr>
          <w:rFonts w:hint="eastAsia" w:cs="宋体" w:asciiTheme="minorEastAsia" w:hAnsiTheme="minorEastAsia" w:eastAsiaTheme="minorEastAsia"/>
          <w:snapToGrid w:val="0"/>
          <w:kern w:val="0"/>
          <w:szCs w:val="21"/>
          <w:highlight w:val="none"/>
          <w:lang w:val="zh-CN"/>
        </w:rPr>
        <w:t>纸质</w:t>
      </w:r>
      <w:r>
        <w:rPr>
          <w:rFonts w:cs="宋体" w:asciiTheme="minorEastAsia" w:hAnsiTheme="minorEastAsia" w:eastAsiaTheme="minorEastAsia"/>
          <w:snapToGrid w:val="0"/>
          <w:kern w:val="0"/>
          <w:szCs w:val="21"/>
          <w:highlight w:val="none"/>
          <w:lang w:val="zh-CN"/>
        </w:rPr>
        <w:t>文件不符，以</w:t>
      </w:r>
      <w:r>
        <w:rPr>
          <w:rFonts w:hint="eastAsia" w:cs="宋体" w:asciiTheme="minorEastAsia" w:hAnsiTheme="minorEastAsia" w:eastAsiaTheme="minorEastAsia"/>
          <w:snapToGrid w:val="0"/>
          <w:kern w:val="0"/>
          <w:szCs w:val="21"/>
          <w:highlight w:val="none"/>
          <w:lang w:val="zh-CN"/>
        </w:rPr>
        <w:t>纸质</w:t>
      </w:r>
      <w:r>
        <w:rPr>
          <w:rFonts w:cs="宋体" w:asciiTheme="minorEastAsia" w:hAnsiTheme="minorEastAsia" w:eastAsiaTheme="minorEastAsia"/>
          <w:snapToGrid w:val="0"/>
          <w:kern w:val="0"/>
          <w:szCs w:val="21"/>
          <w:highlight w:val="none"/>
          <w:lang w:val="zh-CN"/>
        </w:rPr>
        <w:t>文件为准。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18.2正本需打印或用不褪色墨水书写，并由法定代表人或授权代表签字并加盖公章。由授权代表签字的，响应文件中应提交《法定代表人授权书》。供应商为自然人的，由供应商本人签字并附身份证明。</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18.3竞争性磋商响应文件中的任何行间插字、涂改和增删，必须由法定代表人或授权代表在旁边签字才有效。</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18.4响应文件应当采用不可拆卸的方法的装订，对未经装订的竞争性磋商响应文件可能发生的文件散落或缺损及由此产生的后果由磋商供应商承担。</w:t>
      </w:r>
    </w:p>
    <w:p>
      <w:pPr>
        <w:pStyle w:val="4"/>
        <w:tabs>
          <w:tab w:val="left" w:pos="567"/>
          <w:tab w:val="left" w:pos="709"/>
        </w:tabs>
        <w:snapToGrid w:val="0"/>
        <w:spacing w:before="0" w:after="0" w:line="324" w:lineRule="auto"/>
        <w:rPr>
          <w:rFonts w:asciiTheme="minorEastAsia" w:hAnsiTheme="minorEastAsia" w:eastAsiaTheme="minorEastAsia"/>
          <w:b/>
          <w:sz w:val="21"/>
          <w:szCs w:val="21"/>
          <w:highlight w:val="none"/>
        </w:rPr>
      </w:pPr>
      <w:bookmarkStart w:id="70" w:name="_Toc470172684"/>
      <w:bookmarkStart w:id="71" w:name="_Toc15594"/>
      <w:r>
        <w:rPr>
          <w:rFonts w:hint="eastAsia" w:asciiTheme="minorEastAsia" w:hAnsiTheme="minorEastAsia" w:eastAsiaTheme="minorEastAsia"/>
          <w:b/>
          <w:sz w:val="21"/>
          <w:szCs w:val="21"/>
          <w:highlight w:val="none"/>
        </w:rPr>
        <w:t>四、响应文件</w:t>
      </w:r>
      <w:bookmarkEnd w:id="70"/>
      <w:r>
        <w:rPr>
          <w:rFonts w:hint="eastAsia" w:asciiTheme="minorEastAsia" w:hAnsiTheme="minorEastAsia" w:eastAsiaTheme="minorEastAsia"/>
          <w:b/>
          <w:sz w:val="21"/>
          <w:szCs w:val="21"/>
          <w:highlight w:val="none"/>
        </w:rPr>
        <w:t>的递交</w:t>
      </w:r>
      <w:bookmarkEnd w:id="71"/>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72" w:name="_Toc470172685"/>
      <w:bookmarkStart w:id="73" w:name="_Toc27305"/>
      <w:r>
        <w:rPr>
          <w:rFonts w:hint="eastAsia" w:asciiTheme="minorEastAsia" w:hAnsiTheme="minorEastAsia" w:eastAsiaTheme="minorEastAsia"/>
          <w:b/>
          <w:szCs w:val="21"/>
          <w:highlight w:val="none"/>
        </w:rPr>
        <w:t>响应文件</w:t>
      </w:r>
      <w:r>
        <w:rPr>
          <w:rFonts w:hint="eastAsia" w:cs="宋体" w:asciiTheme="minorEastAsia" w:hAnsiTheme="minorEastAsia" w:eastAsiaTheme="minorEastAsia"/>
          <w:b/>
          <w:snapToGrid w:val="0"/>
          <w:kern w:val="0"/>
          <w:szCs w:val="21"/>
          <w:highlight w:val="none"/>
          <w:lang w:val="zh-CN"/>
        </w:rPr>
        <w:t>的密封和标记</w:t>
      </w:r>
      <w:bookmarkEnd w:id="72"/>
      <w:bookmarkEnd w:id="73"/>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19.1响应文件的正本、所有副本和电子文档必须密封和加盖供应商公章后递交，包装上应注明项目编号、项目名称、包号、供应商名称及“</w:t>
      </w:r>
      <w:r>
        <w:rPr>
          <w:rFonts w:hint="eastAsia" w:cs="宋体" w:asciiTheme="minorEastAsia" w:hAnsiTheme="minorEastAsia" w:eastAsiaTheme="minorEastAsia"/>
          <w:snapToGrid w:val="0"/>
          <w:kern w:val="0"/>
          <w:szCs w:val="21"/>
          <w:highlight w:val="none"/>
          <w:u w:val="single"/>
          <w:lang w:val="zh-CN"/>
        </w:rPr>
        <w:t xml:space="preserve">  （磋商时间）  前不得启封</w:t>
      </w:r>
      <w:r>
        <w:rPr>
          <w:rFonts w:hint="eastAsia" w:cs="宋体" w:asciiTheme="minorEastAsia" w:hAnsiTheme="minorEastAsia" w:eastAsiaTheme="minorEastAsia"/>
          <w:snapToGrid w:val="0"/>
          <w:kern w:val="0"/>
          <w:szCs w:val="21"/>
          <w:highlight w:val="none"/>
          <w:lang w:val="zh-CN"/>
        </w:rPr>
        <w:t>”的字样。</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19.2未密封响应文件，采购人、采购代理机构将拒收。</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19.3要求在磋商时提交样品的，应在样品上标明磋商供应商名称。有关提交及退还样品的相关规定见《供应商须知前附表》。</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74" w:name="_Toc17857"/>
      <w:bookmarkStart w:id="75" w:name="_Toc470172686"/>
      <w:r>
        <w:rPr>
          <w:rFonts w:hint="eastAsia" w:cs="宋体" w:asciiTheme="minorEastAsia" w:hAnsiTheme="minorEastAsia" w:eastAsiaTheme="minorEastAsia"/>
          <w:b/>
          <w:snapToGrid w:val="0"/>
          <w:kern w:val="0"/>
          <w:szCs w:val="21"/>
          <w:highlight w:val="none"/>
          <w:lang w:val="zh-CN"/>
        </w:rPr>
        <w:t>响应文件的送达地点及截止时间</w:t>
      </w:r>
      <w:bookmarkEnd w:id="74"/>
      <w:bookmarkEnd w:id="75"/>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20.1截止时间是竞争性磋商文件中规定的首次送达、提交响应文件的最后时间。本次磋商响应文件的送达地点及截止时间见《供应商须知前附表》。</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76" w:name="_Toc31376"/>
      <w:bookmarkStart w:id="77" w:name="_Toc470172687"/>
      <w:r>
        <w:rPr>
          <w:rFonts w:hint="eastAsia" w:cs="宋体" w:asciiTheme="minorEastAsia" w:hAnsiTheme="minorEastAsia" w:eastAsiaTheme="minorEastAsia"/>
          <w:b/>
          <w:snapToGrid w:val="0"/>
          <w:kern w:val="0"/>
          <w:szCs w:val="21"/>
          <w:highlight w:val="none"/>
          <w:lang w:val="zh-CN"/>
        </w:rPr>
        <w:t>迟交的响应文件</w:t>
      </w:r>
      <w:bookmarkEnd w:id="76"/>
      <w:bookmarkEnd w:id="77"/>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21.1</w:t>
      </w:r>
      <w:r>
        <w:rPr>
          <w:rFonts w:cs="宋体" w:asciiTheme="minorEastAsia" w:hAnsiTheme="minorEastAsia" w:eastAsiaTheme="minorEastAsia"/>
          <w:snapToGrid w:val="0"/>
          <w:kern w:val="0"/>
          <w:szCs w:val="21"/>
          <w:highlight w:val="none"/>
          <w:lang w:val="zh-CN"/>
        </w:rPr>
        <w:t>在</w:t>
      </w:r>
      <w:r>
        <w:rPr>
          <w:rFonts w:hint="eastAsia" w:cs="宋体" w:asciiTheme="minorEastAsia" w:hAnsiTheme="minorEastAsia" w:eastAsiaTheme="minorEastAsia"/>
          <w:snapToGrid w:val="0"/>
          <w:kern w:val="0"/>
          <w:szCs w:val="21"/>
          <w:highlight w:val="none"/>
          <w:lang w:val="zh-CN"/>
        </w:rPr>
        <w:t>本次递交响应文件的</w:t>
      </w:r>
      <w:r>
        <w:rPr>
          <w:rFonts w:cs="宋体" w:asciiTheme="minorEastAsia" w:hAnsiTheme="minorEastAsia" w:eastAsiaTheme="minorEastAsia"/>
          <w:snapToGrid w:val="0"/>
          <w:kern w:val="0"/>
          <w:szCs w:val="21"/>
          <w:highlight w:val="none"/>
          <w:lang w:val="zh-CN"/>
        </w:rPr>
        <w:t>截止时间以后送达的</w:t>
      </w:r>
      <w:r>
        <w:rPr>
          <w:rFonts w:hint="eastAsia" w:cs="宋体" w:asciiTheme="minorEastAsia" w:hAnsiTheme="minorEastAsia" w:eastAsiaTheme="minorEastAsia"/>
          <w:snapToGrid w:val="0"/>
          <w:kern w:val="0"/>
          <w:szCs w:val="21"/>
          <w:highlight w:val="none"/>
          <w:lang w:val="zh-CN"/>
        </w:rPr>
        <w:t>响应</w:t>
      </w:r>
      <w:r>
        <w:rPr>
          <w:rFonts w:cs="宋体" w:asciiTheme="minorEastAsia" w:hAnsiTheme="minorEastAsia" w:eastAsiaTheme="minorEastAsia"/>
          <w:snapToGrid w:val="0"/>
          <w:kern w:val="0"/>
          <w:szCs w:val="21"/>
          <w:highlight w:val="none"/>
          <w:lang w:val="zh-CN"/>
        </w:rPr>
        <w:t>文件，不论何种原因，</w:t>
      </w:r>
      <w:r>
        <w:rPr>
          <w:rFonts w:hint="eastAsia" w:cs="宋体" w:asciiTheme="minorEastAsia" w:hAnsiTheme="minorEastAsia" w:eastAsiaTheme="minorEastAsia"/>
          <w:snapToGrid w:val="0"/>
          <w:kern w:val="0"/>
          <w:szCs w:val="21"/>
          <w:highlight w:val="none"/>
          <w:lang w:val="zh-CN"/>
        </w:rPr>
        <w:t>采购代理机构将拒收。</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78" w:name="_Toc31760"/>
      <w:bookmarkStart w:id="79" w:name="_Toc470172688"/>
      <w:r>
        <w:rPr>
          <w:rFonts w:hint="eastAsia" w:cs="宋体" w:asciiTheme="minorEastAsia" w:hAnsiTheme="minorEastAsia" w:eastAsiaTheme="minorEastAsia"/>
          <w:b/>
          <w:snapToGrid w:val="0"/>
          <w:kern w:val="0"/>
          <w:szCs w:val="21"/>
          <w:highlight w:val="none"/>
          <w:lang w:val="zh-CN"/>
        </w:rPr>
        <w:t>响应文件的补充、修改或者撤回</w:t>
      </w:r>
      <w:bookmarkEnd w:id="78"/>
      <w:bookmarkEnd w:id="79"/>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22.1在提交响应文件截止时间前，供应商可以对已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22.2从提交响应文件截止时间至响应文件有效期期满这段时间，供应商不得修改或撤销其响应文件。</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22.3供应商所提交的响应文件在磋商结束后，无论成交与否都不退还。</w:t>
      </w:r>
    </w:p>
    <w:p>
      <w:pPr>
        <w:pStyle w:val="4"/>
        <w:tabs>
          <w:tab w:val="left" w:pos="567"/>
          <w:tab w:val="left" w:pos="709"/>
        </w:tabs>
        <w:snapToGrid w:val="0"/>
        <w:spacing w:before="0" w:after="0" w:line="324" w:lineRule="auto"/>
        <w:rPr>
          <w:rFonts w:asciiTheme="minorEastAsia" w:hAnsiTheme="minorEastAsia" w:eastAsiaTheme="minorEastAsia"/>
          <w:b/>
          <w:sz w:val="21"/>
          <w:szCs w:val="21"/>
          <w:highlight w:val="none"/>
        </w:rPr>
      </w:pPr>
      <w:bookmarkStart w:id="80" w:name="_Toc470172689"/>
      <w:bookmarkStart w:id="81" w:name="_Toc4341"/>
      <w:r>
        <w:rPr>
          <w:rFonts w:hint="eastAsia" w:asciiTheme="minorEastAsia" w:hAnsiTheme="minorEastAsia" w:eastAsiaTheme="minorEastAsia"/>
          <w:b/>
          <w:sz w:val="21"/>
          <w:szCs w:val="21"/>
          <w:highlight w:val="none"/>
        </w:rPr>
        <w:t>五、磋商程序</w:t>
      </w:r>
      <w:bookmarkEnd w:id="80"/>
      <w:bookmarkEnd w:id="81"/>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82" w:name="_Toc470172690"/>
      <w:bookmarkStart w:id="83" w:name="_Toc22624"/>
      <w:r>
        <w:rPr>
          <w:rFonts w:hint="eastAsia" w:asciiTheme="minorEastAsia" w:hAnsiTheme="minorEastAsia" w:eastAsiaTheme="minorEastAsia"/>
          <w:b/>
          <w:szCs w:val="21"/>
          <w:highlight w:val="none"/>
        </w:rPr>
        <w:t>磋商小组</w:t>
      </w:r>
      <w:bookmarkEnd w:id="82"/>
      <w:bookmarkEnd w:id="83"/>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23.1 采购人参照《中华人民共和国政府采购法》、《中华人民共和国政府采购法实施条例》、《政府采购竞争性磋商采购方式管理暂行办法》及现行法律规定组建磋商小组，磋商小组由采购人代表和评审专家共3人以上单数组成。磋商小组人数详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23.2 磋商小组中的评审专家人数不少于磋商小组成员总数的2/3，采购人代表不得以评审专家身份参加本项目的评审，采购代理机构人员不得参加本项目的评审。评审专家的产生详见《供应商须知前附表》。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23.3 磋商小组所有成员按事先抽取的磋商顺序，集中与单一供应商分别进行磋商，并给予所有参加磋商的供应商平等的磋商机会。</w:t>
      </w:r>
    </w:p>
    <w:p>
      <w:pPr>
        <w:numPr>
          <w:ilvl w:val="0"/>
          <w:numId w:val="1"/>
        </w:numPr>
        <w:tabs>
          <w:tab w:val="left" w:pos="864"/>
          <w:tab w:val="left" w:pos="1080"/>
        </w:tabs>
        <w:snapToGrid w:val="0"/>
        <w:spacing w:line="360" w:lineRule="auto"/>
        <w:ind w:hanging="540"/>
        <w:outlineLvl w:val="1"/>
        <w:rPr>
          <w:rFonts w:cs="宋体" w:asciiTheme="minorEastAsia" w:hAnsiTheme="minorEastAsia" w:eastAsiaTheme="minorEastAsia"/>
          <w:b/>
          <w:snapToGrid w:val="0"/>
          <w:kern w:val="0"/>
          <w:szCs w:val="21"/>
          <w:highlight w:val="none"/>
          <w:lang w:val="zh-CN"/>
        </w:rPr>
      </w:pPr>
      <w:bookmarkStart w:id="84" w:name="_Toc470172691"/>
      <w:bookmarkStart w:id="85" w:name="_Toc21483"/>
      <w:r>
        <w:rPr>
          <w:rFonts w:hint="eastAsia" w:asciiTheme="minorEastAsia" w:hAnsiTheme="minorEastAsia" w:eastAsiaTheme="minorEastAsia"/>
          <w:b/>
          <w:szCs w:val="21"/>
          <w:highlight w:val="none"/>
        </w:rPr>
        <w:t>磋商代表</w:t>
      </w:r>
      <w:bookmarkEnd w:id="84"/>
      <w:bookmarkEnd w:id="85"/>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bookmarkStart w:id="86" w:name="_Toc32662"/>
      <w:bookmarkStart w:id="87" w:name="_Toc9967"/>
      <w:r>
        <w:rPr>
          <w:rFonts w:hint="eastAsia" w:cs="宋体" w:asciiTheme="minorEastAsia" w:hAnsiTheme="minorEastAsia" w:eastAsiaTheme="minorEastAsia"/>
          <w:snapToGrid w:val="0"/>
          <w:kern w:val="0"/>
          <w:szCs w:val="21"/>
          <w:highlight w:val="none"/>
          <w:lang w:val="zh-CN"/>
        </w:rPr>
        <w:t>24.1 参与磋商的供应商法定代表人或授权代表应携带本人身份证明参加磋商，授权代表参加磋商的，还应携带法定代表人授权书原件。磋商代表经磋商小组核对身份后，方可参加磋商。</w:t>
      </w:r>
      <w:bookmarkEnd w:id="86"/>
      <w:bookmarkEnd w:id="87"/>
    </w:p>
    <w:p>
      <w:pPr>
        <w:numPr>
          <w:ilvl w:val="0"/>
          <w:numId w:val="1"/>
        </w:numPr>
        <w:tabs>
          <w:tab w:val="left" w:pos="864"/>
          <w:tab w:val="left" w:pos="1080"/>
        </w:tabs>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资格审查和符合性审查</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25.1在正式磋商前，磋商小组按照本磋商文件第四章规定的程序、方法和标准，对供应商进行资格性审查和符合性审查，通过资格性审查和符合性审查的供应商方可进入磋商程序。资格性审查和符合性审查内容详见第四章“评审程序、方法及标准”。</w:t>
      </w:r>
    </w:p>
    <w:p>
      <w:pPr>
        <w:numPr>
          <w:ilvl w:val="0"/>
          <w:numId w:val="1"/>
        </w:numPr>
        <w:tabs>
          <w:tab w:val="left" w:pos="864"/>
          <w:tab w:val="left" w:pos="1080"/>
        </w:tabs>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磋商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26.1磋商小组将根据本磋商文件规定的程序、方法和标准与供应商进行磋商。在磋商过程中，磋商的任何一方不得透露与磋商有关的其他供应商的技术资料、价格和其他信息。</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26.2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26.4最后报价</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（1）磋商文件能够详细列明采购标的的技术、服务要求的，磋商结束后，磋商小组应当要求所有继续参加磋商的供应商在规定时间内提交最后报价，提交最后报价的供应商不得少于3家。</w:t>
      </w:r>
    </w:p>
    <w:p>
      <w:pPr>
        <w:tabs>
          <w:tab w:val="left" w:pos="426"/>
        </w:tabs>
        <w:autoSpaceDE w:val="0"/>
        <w:autoSpaceDN w:val="0"/>
        <w:adjustRightInd w:val="0"/>
        <w:snapToGrid w:val="0"/>
        <w:spacing w:line="360" w:lineRule="auto"/>
        <w:ind w:firstLine="420" w:firstLineChars="200"/>
        <w:jc w:val="left"/>
        <w:rPr>
          <w:rFonts w:ascii="宋体" w:hAnsi="宋体" w:cs="宋体"/>
          <w:snapToGrid w:val="0"/>
          <w:kern w:val="0"/>
          <w:szCs w:val="21"/>
          <w:highlight w:val="none"/>
          <w:lang w:val="zh-CN"/>
        </w:rPr>
      </w:pPr>
      <w:r>
        <w:rPr>
          <w:rFonts w:hint="eastAsia" w:ascii="宋体" w:hAnsi="宋体" w:cs="宋体"/>
          <w:snapToGrid w:val="0"/>
          <w:kern w:val="0"/>
          <w:szCs w:val="21"/>
          <w:highlight w:val="none"/>
          <w:lang w:val="zh-CN"/>
        </w:rPr>
        <w:t>已提交响应文件的供应商，在提交最后报价之前，可以根据磋商情况退出磋商。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 xml:space="preserve">（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本采购项目提交最后报价供应商的确定方式详见《供应商须知前附表》。</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26.5如有需要，磋商小组可进行多轮磋商，直至最终确定磋商文件中的技术、服务要求以及合同草案条款。</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en-US" w:eastAsia="zh-CN"/>
        </w:rPr>
        <w:t>26.6</w:t>
      </w:r>
      <w:r>
        <w:rPr>
          <w:rFonts w:hint="eastAsia" w:cs="宋体" w:asciiTheme="minorEastAsia" w:hAnsiTheme="minorEastAsia" w:eastAsiaTheme="minorEastAsia"/>
          <w:snapToGrid w:val="0"/>
          <w:kern w:val="0"/>
          <w:szCs w:val="21"/>
          <w:highlight w:val="none"/>
          <w:lang w:val="zh-CN"/>
        </w:rPr>
        <w:t>异常低价投标（响应）审查</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w:t>
      </w:r>
      <w:r>
        <w:rPr>
          <w:rFonts w:hint="eastAsia" w:cs="宋体" w:asciiTheme="minorEastAsia" w:hAnsiTheme="minorEastAsia" w:eastAsiaTheme="minorEastAsia"/>
          <w:snapToGrid w:val="0"/>
          <w:kern w:val="0"/>
          <w:szCs w:val="21"/>
          <w:highlight w:val="none"/>
          <w:lang w:val="en-US" w:eastAsia="zh-CN"/>
        </w:rPr>
        <w:t>1</w:t>
      </w:r>
      <w:r>
        <w:rPr>
          <w:rFonts w:hint="eastAsia" w:cs="宋体" w:asciiTheme="minorEastAsia" w:hAnsiTheme="minorEastAsia" w:eastAsiaTheme="minorEastAsia"/>
          <w:snapToGrid w:val="0"/>
          <w:kern w:val="0"/>
          <w:szCs w:val="21"/>
          <w:highlight w:val="none"/>
          <w:lang w:val="zh-CN"/>
        </w:rPr>
        <w:t>）政府采购评审中出现异常低价情形的，磋商小组应当启动异常低价投标（响应）审查程序。</w:t>
      </w:r>
      <w:bookmarkStart w:id="88" w:name="OLE_LINK11"/>
      <w:r>
        <w:rPr>
          <w:rFonts w:hint="eastAsia" w:cs="宋体" w:asciiTheme="minorEastAsia" w:hAnsiTheme="minorEastAsia" w:eastAsiaTheme="minorEastAsia"/>
          <w:snapToGrid w:val="0"/>
          <w:kern w:val="0"/>
          <w:szCs w:val="21"/>
          <w:highlight w:val="none"/>
          <w:lang w:val="zh-CN"/>
        </w:rPr>
        <w:t>异常低价情形</w:t>
      </w:r>
      <w:r>
        <w:rPr>
          <w:rFonts w:hint="eastAsia" w:cs="宋体" w:asciiTheme="minorEastAsia" w:hAnsiTheme="minorEastAsia" w:eastAsiaTheme="minorEastAsia"/>
          <w:snapToGrid w:val="0"/>
          <w:kern w:val="0"/>
          <w:szCs w:val="21"/>
          <w:highlight w:val="none"/>
          <w:lang w:val="en-US" w:eastAsia="zh-CN"/>
        </w:rPr>
        <w:t>如下</w:t>
      </w:r>
      <w:r>
        <w:rPr>
          <w:rFonts w:hint="eastAsia" w:cs="宋体" w:asciiTheme="minorEastAsia" w:hAnsiTheme="minorEastAsia" w:eastAsiaTheme="minorEastAsia"/>
          <w:snapToGrid w:val="0"/>
          <w:kern w:val="0"/>
          <w:szCs w:val="21"/>
          <w:highlight w:val="none"/>
          <w:lang w:val="zh-CN"/>
        </w:rPr>
        <w:t>：</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en-US" w:eastAsia="zh-CN"/>
        </w:rPr>
        <w:t>1.</w:t>
      </w:r>
      <w:r>
        <w:rPr>
          <w:rFonts w:hint="eastAsia" w:cs="宋体" w:asciiTheme="minorEastAsia" w:hAnsiTheme="minorEastAsia" w:eastAsiaTheme="minorEastAsia"/>
          <w:snapToGrid w:val="0"/>
          <w:kern w:val="0"/>
          <w:szCs w:val="21"/>
          <w:highlight w:val="none"/>
          <w:lang w:val="zh-CN"/>
        </w:rPr>
        <w:t>最后报价低于全部供应商最后报价平均值</w:t>
      </w:r>
      <w:bookmarkStart w:id="89" w:name="OLE_LINK10"/>
      <w:r>
        <w:rPr>
          <w:rFonts w:hint="eastAsia" w:cs="宋体" w:asciiTheme="minorEastAsia" w:hAnsiTheme="minorEastAsia" w:eastAsiaTheme="minorEastAsia"/>
          <w:snapToGrid w:val="0"/>
          <w:kern w:val="0"/>
          <w:szCs w:val="21"/>
          <w:highlight w:val="none"/>
          <w:lang w:val="en-US" w:eastAsia="zh-CN"/>
        </w:rPr>
        <w:t>65</w:t>
      </w:r>
      <w:bookmarkEnd w:id="89"/>
      <w:r>
        <w:rPr>
          <w:rFonts w:hint="eastAsia" w:cs="宋体" w:asciiTheme="minorEastAsia" w:hAnsiTheme="minorEastAsia" w:eastAsiaTheme="minorEastAsia"/>
          <w:snapToGrid w:val="0"/>
          <w:kern w:val="0"/>
          <w:szCs w:val="21"/>
          <w:highlight w:val="none"/>
          <w:lang w:val="zh-CN"/>
        </w:rPr>
        <w:t>%的，即最后报价＜全部供应商最后报价平均值×</w:t>
      </w:r>
      <w:r>
        <w:rPr>
          <w:rFonts w:hint="eastAsia" w:cs="宋体" w:asciiTheme="minorEastAsia" w:hAnsiTheme="minorEastAsia" w:eastAsiaTheme="minorEastAsia"/>
          <w:snapToGrid w:val="0"/>
          <w:kern w:val="0"/>
          <w:szCs w:val="21"/>
          <w:highlight w:val="none"/>
          <w:lang w:val="en-US" w:eastAsia="zh-CN"/>
        </w:rPr>
        <w:t>65</w:t>
      </w:r>
      <w:r>
        <w:rPr>
          <w:rFonts w:hint="eastAsia" w:cs="宋体" w:asciiTheme="minorEastAsia" w:hAnsiTheme="minorEastAsia" w:eastAsiaTheme="minorEastAsia"/>
          <w:snapToGrid w:val="0"/>
          <w:kern w:val="0"/>
          <w:szCs w:val="21"/>
          <w:highlight w:val="none"/>
          <w:lang w:val="zh-CN"/>
        </w:rPr>
        <w:t>%；</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en-US" w:eastAsia="zh-CN"/>
        </w:rPr>
        <w:t>2.</w:t>
      </w:r>
      <w:r>
        <w:rPr>
          <w:rFonts w:hint="eastAsia" w:cs="宋体" w:asciiTheme="minorEastAsia" w:hAnsiTheme="minorEastAsia" w:eastAsiaTheme="minorEastAsia"/>
          <w:snapToGrid w:val="0"/>
          <w:kern w:val="0"/>
          <w:szCs w:val="21"/>
          <w:highlight w:val="none"/>
          <w:lang w:val="zh-CN"/>
        </w:rPr>
        <w:t>最后报价低于最后报价中的次低报价供应商报价</w:t>
      </w:r>
      <w:r>
        <w:rPr>
          <w:rFonts w:hint="eastAsia" w:cs="宋体" w:asciiTheme="minorEastAsia" w:hAnsiTheme="minorEastAsia" w:eastAsiaTheme="minorEastAsia"/>
          <w:snapToGrid w:val="0"/>
          <w:kern w:val="0"/>
          <w:szCs w:val="21"/>
          <w:highlight w:val="none"/>
          <w:lang w:val="en-US" w:eastAsia="zh-CN"/>
        </w:rPr>
        <w:t>65</w:t>
      </w:r>
      <w:r>
        <w:rPr>
          <w:rFonts w:hint="eastAsia" w:cs="宋体" w:asciiTheme="minorEastAsia" w:hAnsiTheme="minorEastAsia" w:eastAsiaTheme="minorEastAsia"/>
          <w:snapToGrid w:val="0"/>
          <w:kern w:val="0"/>
          <w:szCs w:val="21"/>
          <w:highlight w:val="none"/>
          <w:lang w:val="zh-CN"/>
        </w:rPr>
        <w:t>%的，即最后报价＜最后报价中的次低报价供应商报价×</w:t>
      </w:r>
      <w:r>
        <w:rPr>
          <w:rFonts w:hint="eastAsia" w:cs="宋体" w:asciiTheme="minorEastAsia" w:hAnsiTheme="minorEastAsia" w:eastAsiaTheme="minorEastAsia"/>
          <w:snapToGrid w:val="0"/>
          <w:kern w:val="0"/>
          <w:szCs w:val="21"/>
          <w:highlight w:val="none"/>
          <w:lang w:val="en-US" w:eastAsia="zh-CN"/>
        </w:rPr>
        <w:t>65</w:t>
      </w:r>
      <w:r>
        <w:rPr>
          <w:rFonts w:hint="eastAsia" w:cs="宋体" w:asciiTheme="minorEastAsia" w:hAnsiTheme="minorEastAsia" w:eastAsiaTheme="minorEastAsia"/>
          <w:snapToGrid w:val="0"/>
          <w:kern w:val="0"/>
          <w:szCs w:val="21"/>
          <w:highlight w:val="none"/>
          <w:lang w:val="zh-CN"/>
        </w:rPr>
        <w:t>%；</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en-US" w:eastAsia="zh-CN"/>
        </w:rPr>
        <w:t>3.</w:t>
      </w:r>
      <w:r>
        <w:rPr>
          <w:rFonts w:hint="eastAsia" w:cs="宋体" w:asciiTheme="minorEastAsia" w:hAnsiTheme="minorEastAsia" w:eastAsiaTheme="minorEastAsia"/>
          <w:snapToGrid w:val="0"/>
          <w:kern w:val="0"/>
          <w:szCs w:val="21"/>
          <w:highlight w:val="none"/>
          <w:lang w:val="zh-CN"/>
        </w:rPr>
        <w:t>最后报价低于采购项目最高限价</w:t>
      </w:r>
      <w:r>
        <w:rPr>
          <w:rFonts w:hint="eastAsia" w:cs="宋体" w:asciiTheme="minorEastAsia" w:hAnsiTheme="minorEastAsia" w:eastAsiaTheme="minorEastAsia"/>
          <w:snapToGrid w:val="0"/>
          <w:kern w:val="0"/>
          <w:szCs w:val="21"/>
          <w:highlight w:val="none"/>
          <w:lang w:val="en-US" w:eastAsia="zh-CN"/>
        </w:rPr>
        <w:t>65</w:t>
      </w:r>
      <w:r>
        <w:rPr>
          <w:rFonts w:hint="eastAsia" w:cs="宋体" w:asciiTheme="minorEastAsia" w:hAnsiTheme="minorEastAsia" w:eastAsiaTheme="minorEastAsia"/>
          <w:snapToGrid w:val="0"/>
          <w:kern w:val="0"/>
          <w:szCs w:val="21"/>
          <w:highlight w:val="none"/>
          <w:lang w:val="zh-CN"/>
        </w:rPr>
        <w:t>%的，即最后报价＜采购项目最高限价×</w:t>
      </w:r>
      <w:r>
        <w:rPr>
          <w:rFonts w:hint="eastAsia" w:cs="宋体" w:asciiTheme="minorEastAsia" w:hAnsiTheme="minorEastAsia" w:eastAsiaTheme="minorEastAsia"/>
          <w:snapToGrid w:val="0"/>
          <w:kern w:val="0"/>
          <w:szCs w:val="21"/>
          <w:highlight w:val="none"/>
          <w:lang w:val="en-US" w:eastAsia="zh-CN"/>
        </w:rPr>
        <w:t>65</w:t>
      </w:r>
      <w:r>
        <w:rPr>
          <w:rFonts w:hint="eastAsia" w:cs="宋体" w:asciiTheme="minorEastAsia" w:hAnsiTheme="minorEastAsia" w:eastAsiaTheme="minorEastAsia"/>
          <w:snapToGrid w:val="0"/>
          <w:kern w:val="0"/>
          <w:szCs w:val="21"/>
          <w:highlight w:val="none"/>
          <w:lang w:val="zh-CN"/>
        </w:rPr>
        <w:t>%；</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en-US" w:eastAsia="zh-CN"/>
        </w:rPr>
        <w:t>4.</w:t>
      </w:r>
      <w:r>
        <w:rPr>
          <w:rFonts w:hint="eastAsia" w:cs="宋体" w:asciiTheme="minorEastAsia" w:hAnsiTheme="minorEastAsia" w:eastAsiaTheme="minorEastAsia"/>
          <w:snapToGrid w:val="0"/>
          <w:kern w:val="0"/>
          <w:szCs w:val="21"/>
          <w:highlight w:val="none"/>
          <w:lang w:val="zh-CN"/>
        </w:rPr>
        <w:t>磋商小组基于专业判断，认为供应商最后报价过低，有可能影响产品质量或者不能诚信履约的其他情形。</w:t>
      </w:r>
    </w:p>
    <w:bookmarkEnd w:id="88"/>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w:t>
      </w:r>
      <w:r>
        <w:rPr>
          <w:rFonts w:hint="eastAsia" w:cs="宋体" w:asciiTheme="minorEastAsia" w:hAnsiTheme="minorEastAsia" w:eastAsiaTheme="minorEastAsia"/>
          <w:snapToGrid w:val="0"/>
          <w:kern w:val="0"/>
          <w:szCs w:val="21"/>
          <w:highlight w:val="none"/>
          <w:lang w:val="en-US" w:eastAsia="zh-CN"/>
        </w:rPr>
        <w:t>2</w:t>
      </w:r>
      <w:r>
        <w:rPr>
          <w:rFonts w:hint="eastAsia" w:cs="宋体" w:asciiTheme="minorEastAsia" w:hAnsiTheme="minorEastAsia" w:eastAsiaTheme="minorEastAsia"/>
          <w:snapToGrid w:val="0"/>
          <w:kern w:val="0"/>
          <w:szCs w:val="21"/>
          <w:highlight w:val="none"/>
          <w:lang w:val="zh-CN"/>
        </w:rPr>
        <w:t>）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w:t>
      </w:r>
      <w:r>
        <w:rPr>
          <w:rFonts w:hint="eastAsia" w:cs="宋体" w:asciiTheme="minorEastAsia" w:hAnsiTheme="minorEastAsia" w:eastAsiaTheme="minorEastAsia"/>
          <w:snapToGrid w:val="0"/>
          <w:kern w:val="0"/>
          <w:szCs w:val="21"/>
          <w:highlight w:val="none"/>
          <w:lang w:val="en-US" w:eastAsia="zh-CN"/>
        </w:rPr>
        <w:t>3</w:t>
      </w:r>
      <w:r>
        <w:rPr>
          <w:rFonts w:hint="eastAsia" w:cs="宋体" w:asciiTheme="minorEastAsia" w:hAnsiTheme="minorEastAsia" w:eastAsiaTheme="minorEastAsia"/>
          <w:snapToGrid w:val="0"/>
          <w:kern w:val="0"/>
          <w:szCs w:val="21"/>
          <w:highlight w:val="none"/>
          <w:lang w:val="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w:t>
      </w:r>
      <w:r>
        <w:rPr>
          <w:rFonts w:hint="eastAsia" w:cs="宋体" w:asciiTheme="minorEastAsia" w:hAnsiTheme="minorEastAsia" w:eastAsiaTheme="minorEastAsia"/>
          <w:snapToGrid w:val="0"/>
          <w:kern w:val="0"/>
          <w:szCs w:val="21"/>
          <w:highlight w:val="none"/>
          <w:lang w:val="en-US" w:eastAsia="zh-CN"/>
        </w:rPr>
        <w:t>4</w:t>
      </w:r>
      <w:r>
        <w:rPr>
          <w:rFonts w:hint="eastAsia" w:cs="宋体" w:asciiTheme="minorEastAsia" w:hAnsiTheme="minorEastAsia" w:eastAsiaTheme="minorEastAsia"/>
          <w:snapToGrid w:val="0"/>
          <w:kern w:val="0"/>
          <w:szCs w:val="21"/>
          <w:highlight w:val="none"/>
          <w:lang w:val="zh-CN"/>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w:t>
      </w:r>
      <w:r>
        <w:rPr>
          <w:rFonts w:hint="eastAsia" w:cs="宋体" w:asciiTheme="minorEastAsia" w:hAnsiTheme="minorEastAsia" w:eastAsiaTheme="minorEastAsia"/>
          <w:snapToGrid w:val="0"/>
          <w:kern w:val="0"/>
          <w:szCs w:val="21"/>
          <w:highlight w:val="none"/>
          <w:lang w:val="en-US" w:eastAsia="zh-CN"/>
        </w:rPr>
        <w:t>5</w:t>
      </w:r>
      <w:r>
        <w:rPr>
          <w:rFonts w:hint="eastAsia" w:cs="宋体" w:asciiTheme="minorEastAsia" w:hAnsiTheme="minorEastAsia" w:eastAsiaTheme="minorEastAsia"/>
          <w:snapToGrid w:val="0"/>
          <w:kern w:val="0"/>
          <w:szCs w:val="21"/>
          <w:highlight w:val="none"/>
          <w:lang w:val="zh-CN"/>
        </w:rPr>
        <w:t>）异常低价投标（响应）审查的启动原因、审查意见和审查结果应当在评审报告中记录，并随供应商提供的相关书面说明及证明材料，以及磋商小组有关互联网浏览、查询历史一并归档。</w:t>
      </w:r>
    </w:p>
    <w:p>
      <w:pPr>
        <w:tabs>
          <w:tab w:val="left" w:pos="426"/>
        </w:tabs>
        <w:autoSpaceDE w:val="0"/>
        <w:autoSpaceDN w:val="0"/>
        <w:adjustRightInd w:val="0"/>
        <w:snapToGrid w:val="0"/>
        <w:spacing w:line="360" w:lineRule="auto"/>
        <w:ind w:firstLine="420" w:firstLineChars="200"/>
        <w:jc w:val="left"/>
        <w:rPr>
          <w:rFonts w:hint="eastAsia"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w:t>
      </w:r>
      <w:r>
        <w:rPr>
          <w:rFonts w:hint="eastAsia" w:cs="宋体" w:asciiTheme="minorEastAsia" w:hAnsiTheme="minorEastAsia" w:eastAsiaTheme="minorEastAsia"/>
          <w:snapToGrid w:val="0"/>
          <w:kern w:val="0"/>
          <w:szCs w:val="21"/>
          <w:highlight w:val="none"/>
          <w:lang w:val="en-US" w:eastAsia="zh-CN"/>
        </w:rPr>
        <w:t>6</w:t>
      </w:r>
      <w:r>
        <w:rPr>
          <w:rFonts w:hint="eastAsia" w:cs="宋体" w:asciiTheme="minorEastAsia" w:hAnsiTheme="minorEastAsia" w:eastAsiaTheme="minorEastAsia"/>
          <w:snapToGrid w:val="0"/>
          <w:kern w:val="0"/>
          <w:szCs w:val="21"/>
          <w:highlight w:val="none"/>
          <w:lang w:val="zh-CN"/>
        </w:rPr>
        <w:t>）对报价触发异常低价投标（响应）审查程序后仍中标（成交）的供应商，采购人要重点关注其履约承诺、实际履约情况等。如供应商中标（成交）后无正当理由拒不签订政府采购合同的，依法予以处理；如供应商不履行合同或者未按合同约定履行合同导致验收不合格的，采购人应当依法追究其违约责任。</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w:t>
      </w:r>
      <w:r>
        <w:rPr>
          <w:rFonts w:hint="eastAsia" w:cs="宋体" w:asciiTheme="minorEastAsia" w:hAnsiTheme="minorEastAsia" w:eastAsiaTheme="minorEastAsia"/>
          <w:snapToGrid w:val="0"/>
          <w:kern w:val="0"/>
          <w:szCs w:val="21"/>
          <w:highlight w:val="none"/>
          <w:lang w:val="en-US" w:eastAsia="zh-CN"/>
        </w:rPr>
        <w:t>7</w:t>
      </w:r>
      <w:r>
        <w:rPr>
          <w:rFonts w:hint="eastAsia" w:cs="宋体" w:asciiTheme="minorEastAsia" w:hAnsiTheme="minorEastAsia" w:eastAsiaTheme="minorEastAsia"/>
          <w:snapToGrid w:val="0"/>
          <w:kern w:val="0"/>
          <w:szCs w:val="21"/>
          <w:highlight w:val="none"/>
          <w:lang w:val="zh-CN"/>
        </w:rPr>
        <w:t xml:space="preserve"> 磋商小组审核完最后报价后，根据磋商文件规定的评审程序、方法和标准推荐成交候选供应商或根据采购人的书面授权直接确定成交供应商。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26.</w:t>
      </w:r>
      <w:r>
        <w:rPr>
          <w:rFonts w:hint="eastAsia" w:cs="宋体" w:asciiTheme="minorEastAsia" w:hAnsiTheme="minorEastAsia" w:eastAsiaTheme="minorEastAsia"/>
          <w:snapToGrid w:val="0"/>
          <w:kern w:val="0"/>
          <w:szCs w:val="21"/>
          <w:highlight w:val="none"/>
          <w:lang w:val="en-US" w:eastAsia="zh-CN"/>
        </w:rPr>
        <w:t>8</w:t>
      </w:r>
      <w:r>
        <w:rPr>
          <w:rFonts w:hint="eastAsia" w:cs="宋体" w:asciiTheme="minorEastAsia" w:hAnsiTheme="minorEastAsia" w:eastAsiaTheme="minorEastAsia"/>
          <w:snapToGrid w:val="0"/>
          <w:kern w:val="0"/>
          <w:szCs w:val="21"/>
          <w:highlight w:val="none"/>
          <w:lang w:val="zh-CN"/>
        </w:rPr>
        <w:t>采购代理机构对磋商过程和重要磋商内容进行记录，磋商双方在记录上签字确认。</w:t>
      </w:r>
    </w:p>
    <w:p>
      <w:pPr>
        <w:numPr>
          <w:ilvl w:val="0"/>
          <w:numId w:val="1"/>
        </w:numPr>
        <w:tabs>
          <w:tab w:val="left" w:pos="864"/>
          <w:tab w:val="left" w:pos="1080"/>
        </w:tabs>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推荐成交候选供应商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27.1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五章“评审程序、方法及标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27.2磋商小组根据综合评分情况，按照评审得分由高到低的顺序及《供应商须知前附表》规定的数量推荐成交候选供应商，并编写评审报告。评审报告应当有磋商小组全体成员签字认可。</w:t>
      </w:r>
    </w:p>
    <w:p>
      <w:pPr>
        <w:pStyle w:val="4"/>
        <w:tabs>
          <w:tab w:val="left" w:pos="567"/>
          <w:tab w:val="left" w:pos="709"/>
        </w:tabs>
        <w:snapToGrid w:val="0"/>
        <w:spacing w:before="0" w:after="0" w:line="324" w:lineRule="auto"/>
        <w:rPr>
          <w:rFonts w:asciiTheme="minorEastAsia" w:hAnsiTheme="minorEastAsia" w:eastAsiaTheme="minorEastAsia"/>
          <w:b/>
          <w:sz w:val="21"/>
          <w:szCs w:val="21"/>
          <w:highlight w:val="none"/>
        </w:rPr>
      </w:pPr>
      <w:bookmarkStart w:id="90" w:name="_Toc351"/>
      <w:bookmarkStart w:id="91" w:name="_Toc470172692"/>
      <w:r>
        <w:rPr>
          <w:rFonts w:hint="eastAsia" w:asciiTheme="minorEastAsia" w:hAnsiTheme="minorEastAsia" w:eastAsiaTheme="minorEastAsia"/>
          <w:b/>
          <w:sz w:val="21"/>
          <w:szCs w:val="21"/>
          <w:highlight w:val="none"/>
        </w:rPr>
        <w:t>六、成交与签订合同</w:t>
      </w:r>
      <w:bookmarkEnd w:id="90"/>
      <w:bookmarkEnd w:id="91"/>
    </w:p>
    <w:p>
      <w:pPr>
        <w:numPr>
          <w:ilvl w:val="0"/>
          <w:numId w:val="1"/>
        </w:numPr>
        <w:tabs>
          <w:tab w:val="left" w:pos="864"/>
          <w:tab w:val="left" w:pos="1080"/>
        </w:tabs>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确定成交供应商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28.1采购代理机构应当在评审结束后2个工作日内将评审报告送采购人确认。</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28.2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28.3采购人或者采购代理机构应当在成交供应商确定后2个工作日内，在指定的采购信息发布媒体上公告成交结果，同时向成交供应商发出成交通知书，并将磋商文件随成交结果同时公告。</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28.4成交通知书的领取时间详见《供应商须知前附表》。</w:t>
      </w:r>
    </w:p>
    <w:p>
      <w:pPr>
        <w:numPr>
          <w:ilvl w:val="0"/>
          <w:numId w:val="1"/>
        </w:numPr>
        <w:tabs>
          <w:tab w:val="left" w:pos="864"/>
          <w:tab w:val="left" w:pos="1080"/>
        </w:tabs>
        <w:snapToGrid w:val="0"/>
        <w:spacing w:line="360" w:lineRule="auto"/>
        <w:ind w:hanging="540"/>
        <w:outlineLvl w:val="1"/>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签订合同</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29.1磋商文件对履约保证金有规定的，成交供应商应按规定在签订合同前交纳履约保证金。有关履约保证金的规定详见《供应商须知前附表》。</w:t>
      </w:r>
    </w:p>
    <w:p>
      <w:pPr>
        <w:tabs>
          <w:tab w:val="left" w:pos="426"/>
        </w:tabs>
        <w:autoSpaceDE w:val="0"/>
        <w:autoSpaceDN w:val="0"/>
        <w:adjustRightInd w:val="0"/>
        <w:snapToGrid w:val="0"/>
        <w:spacing w:line="360" w:lineRule="auto"/>
        <w:ind w:firstLine="420" w:firstLineChars="200"/>
        <w:jc w:val="left"/>
        <w:rPr>
          <w:rFonts w:asciiTheme="minorEastAsia" w:hAnsiTheme="minorEastAsia" w:eastAsiaTheme="minorEastAsia"/>
          <w:szCs w:val="21"/>
          <w:highlight w:val="none"/>
        </w:rPr>
      </w:pPr>
      <w:r>
        <w:rPr>
          <w:rFonts w:hint="eastAsia" w:cs="宋体" w:asciiTheme="minorEastAsia" w:hAnsiTheme="minorEastAsia" w:eastAsiaTheme="minorEastAsia"/>
          <w:snapToGrid w:val="0"/>
          <w:szCs w:val="21"/>
          <w:highlight w:val="none"/>
          <w:lang w:val="zh-CN"/>
        </w:rPr>
        <w:t>29.2采购人与成交供应商应当在成交通知书发出之日起30日内，按照磋商文件确定的合同文本以及采购标的、规格型号、采购金额、采购数量、技术和服务要求等事项签订采购合同。</w:t>
      </w:r>
    </w:p>
    <w:p>
      <w:pPr>
        <w:autoSpaceDE w:val="0"/>
        <w:autoSpaceDN w:val="0"/>
        <w:adjustRightInd w:val="0"/>
        <w:snapToGrid w:val="0"/>
        <w:spacing w:line="360" w:lineRule="auto"/>
        <w:ind w:firstLine="420" w:firstLineChars="200"/>
        <w:jc w:val="lef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29.3</w:t>
      </w:r>
      <w:r>
        <w:rPr>
          <w:rFonts w:hint="eastAsia" w:asciiTheme="minorEastAsia" w:hAnsiTheme="minorEastAsia" w:eastAsiaTheme="minorEastAsia"/>
          <w:szCs w:val="21"/>
          <w:highlight w:val="none"/>
          <w:lang w:val="zh-CN"/>
        </w:rPr>
        <w:t>成交供应商拒绝签订采购合同的，采购人可以参照《政府采购竞争性磋商采购方式管理暂行办法》（财库[2014]214号）第二十八条第二款规定的原则确定其他供应商作为成交供应商并签订采购合同，也可以重新开展采购活动。拒绝签订采购合同的成交供应商不得参加对该项目重新开展的采购活动。</w:t>
      </w:r>
    </w:p>
    <w:p>
      <w:pPr>
        <w:tabs>
          <w:tab w:val="left" w:pos="540"/>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szCs w:val="21"/>
          <w:highlight w:val="none"/>
          <w:lang w:val="zh-CN"/>
        </w:rPr>
        <w:t>29.4除不可抗力等因素外，成交通知书发出后，采购人改变成交结果，或者成交供应商拒绝签订采购合同的，应当承担相应的法律责任。</w:t>
      </w:r>
    </w:p>
    <w:p>
      <w:pPr>
        <w:tabs>
          <w:tab w:val="left" w:pos="540"/>
        </w:tabs>
        <w:snapToGrid w:val="0"/>
        <w:spacing w:line="360" w:lineRule="auto"/>
        <w:outlineLvl w:val="1"/>
        <w:rPr>
          <w:rFonts w:eastAsiaTheme="minorEastAsia"/>
          <w:b/>
          <w:snapToGrid w:val="0"/>
          <w:kern w:val="0"/>
          <w:szCs w:val="21"/>
          <w:highlight w:val="none"/>
          <w:lang w:val="zh-CN"/>
        </w:rPr>
      </w:pPr>
      <w:bookmarkStart w:id="92" w:name="_Toc470172693"/>
      <w:r>
        <w:rPr>
          <w:rFonts w:eastAsiaTheme="minorEastAsia"/>
          <w:b/>
          <w:snapToGrid w:val="0"/>
          <w:kern w:val="0"/>
          <w:szCs w:val="21"/>
          <w:highlight w:val="none"/>
          <w:lang w:val="zh-CN"/>
        </w:rPr>
        <w:t>七、质疑</w:t>
      </w:r>
    </w:p>
    <w:p>
      <w:pPr>
        <w:numPr>
          <w:ilvl w:val="0"/>
          <w:numId w:val="1"/>
        </w:numPr>
        <w:tabs>
          <w:tab w:val="left" w:pos="864"/>
          <w:tab w:val="left" w:pos="1080"/>
        </w:tabs>
        <w:snapToGrid w:val="0"/>
        <w:spacing w:line="360" w:lineRule="auto"/>
        <w:ind w:hanging="540"/>
        <w:outlineLvl w:val="1"/>
        <w:rPr>
          <w:rFonts w:eastAsiaTheme="minorEastAsia"/>
          <w:b/>
          <w:szCs w:val="21"/>
          <w:highlight w:val="none"/>
        </w:rPr>
      </w:pPr>
      <w:r>
        <w:rPr>
          <w:rFonts w:eastAsiaTheme="minorEastAsia"/>
          <w:b/>
          <w:szCs w:val="21"/>
          <w:highlight w:val="none"/>
        </w:rPr>
        <w:t>质疑</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30.1供应商认为磋商文件、磋商过程和成交结果使自己的权益受到损害的，可以在知道或者应知其权益受到损害之日起7个工作日内，</w:t>
      </w:r>
      <w:r>
        <w:rPr>
          <w:rFonts w:eastAsiaTheme="minorEastAsia"/>
          <w:szCs w:val="21"/>
          <w:highlight w:val="none"/>
        </w:rPr>
        <w:t>以书面形式向采购人或采购代理机构一次性提出针对同一采购程序环节的质疑。提出质疑的供应商应当是参与本项目采购活动的供应商</w:t>
      </w:r>
      <w:r>
        <w:rPr>
          <w:rFonts w:eastAsiaTheme="minorEastAsia"/>
          <w:snapToGrid w:val="0"/>
          <w:kern w:val="0"/>
          <w:szCs w:val="21"/>
          <w:highlight w:val="none"/>
          <w:lang w:val="zh-CN"/>
        </w:rPr>
        <w:t>。</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我公司受理项目质疑部门为</w:t>
      </w:r>
      <w:r>
        <w:rPr>
          <w:rFonts w:hint="eastAsia" w:eastAsiaTheme="minorEastAsia"/>
          <w:snapToGrid w:val="0"/>
          <w:kern w:val="0"/>
          <w:szCs w:val="21"/>
          <w:highlight w:val="none"/>
          <w:lang w:val="zh-CN"/>
        </w:rPr>
        <w:t>运营管理部</w:t>
      </w:r>
      <w:r>
        <w:rPr>
          <w:rFonts w:eastAsiaTheme="minorEastAsia"/>
          <w:snapToGrid w:val="0"/>
          <w:kern w:val="0"/>
          <w:szCs w:val="21"/>
          <w:highlight w:val="none"/>
          <w:lang w:val="zh-CN"/>
        </w:rPr>
        <w:t>，联系人：</w:t>
      </w:r>
      <w:r>
        <w:rPr>
          <w:rFonts w:hint="eastAsia" w:eastAsiaTheme="minorEastAsia"/>
          <w:snapToGrid w:val="0"/>
          <w:kern w:val="0"/>
          <w:szCs w:val="21"/>
          <w:highlight w:val="none"/>
          <w:lang w:val="zh-CN"/>
        </w:rPr>
        <w:t>刘刚</w:t>
      </w:r>
      <w:r>
        <w:rPr>
          <w:rFonts w:eastAsiaTheme="minorEastAsia"/>
          <w:snapToGrid w:val="0"/>
          <w:kern w:val="0"/>
          <w:szCs w:val="21"/>
          <w:highlight w:val="none"/>
          <w:lang w:val="zh-CN"/>
        </w:rPr>
        <w:t>，联系电话：027-87816246。</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30.2供应商提出质疑应当提交质疑函和必要的证明材料。质疑函应当包括下列内容：</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（1）供应商的姓名或者名称、地址、邮编、联系人及联系电话；</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（2）质疑项目的名称、编号；</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（3）具体、明确的质疑事项和与质疑事项相关的请求；</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（4）事实依据；</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（5）必要的法律依据；</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（6）提出质疑的日期。</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供应商为自然人的，应当由本人签字；供应商为法人或者其他组织的，应当由法定代表人、主要负责人，或者其授权代表签字或者盖章，并加盖公章。</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质疑函不符合上述要求的，采购人或代理机构应书面告知具体事项，质疑人应当按要求进行修改或补充，并在质疑有效期限内提交。</w:t>
      </w:r>
    </w:p>
    <w:p>
      <w:pPr>
        <w:numPr>
          <w:ilvl w:val="0"/>
          <w:numId w:val="1"/>
        </w:numPr>
        <w:tabs>
          <w:tab w:val="left" w:pos="864"/>
          <w:tab w:val="left" w:pos="1080"/>
        </w:tabs>
        <w:snapToGrid w:val="0"/>
        <w:spacing w:line="360" w:lineRule="auto"/>
        <w:ind w:hanging="540"/>
        <w:outlineLvl w:val="1"/>
        <w:rPr>
          <w:rFonts w:eastAsiaTheme="minorEastAsia"/>
          <w:b/>
          <w:szCs w:val="21"/>
          <w:highlight w:val="none"/>
        </w:rPr>
      </w:pPr>
      <w:r>
        <w:rPr>
          <w:rFonts w:eastAsiaTheme="minorEastAsia"/>
          <w:b/>
          <w:szCs w:val="21"/>
          <w:highlight w:val="none"/>
        </w:rPr>
        <w:t>质疑回复</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31.1采购人或采购代理机构应当在收到供应商的书面质疑后7个工作日内作出答复，并以书面形式通知质疑供应商和其他有关供应商，但答复的内容不得涉及商业秘密。</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31.2质疑答复应当包括下列内容：</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（1）质疑供应商的姓名或者名称；</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（2）收到质疑函的日期、质疑项目名称及编号；</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（3）质疑事项、质疑答复的具体内容、事实依据和法律依据；</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w:t>
      </w:r>
      <w:r>
        <w:rPr>
          <w:rFonts w:hint="eastAsia" w:eastAsiaTheme="minorEastAsia"/>
          <w:snapToGrid w:val="0"/>
          <w:kern w:val="0"/>
          <w:szCs w:val="21"/>
          <w:highlight w:val="none"/>
          <w:lang w:val="en-US" w:eastAsia="zh-CN"/>
        </w:rPr>
        <w:t>4</w:t>
      </w:r>
      <w:r>
        <w:rPr>
          <w:rFonts w:eastAsiaTheme="minorEastAsia"/>
          <w:snapToGrid w:val="0"/>
          <w:kern w:val="0"/>
          <w:szCs w:val="21"/>
          <w:highlight w:val="none"/>
          <w:lang w:val="zh-CN"/>
        </w:rPr>
        <w:t>）质疑答复人名称；</w:t>
      </w:r>
    </w:p>
    <w:p>
      <w:pPr>
        <w:tabs>
          <w:tab w:val="left" w:pos="426"/>
        </w:tabs>
        <w:autoSpaceDE w:val="0"/>
        <w:autoSpaceDN w:val="0"/>
        <w:adjustRightInd w:val="0"/>
        <w:snapToGrid w:val="0"/>
        <w:spacing w:line="360" w:lineRule="auto"/>
        <w:ind w:firstLine="420" w:firstLineChars="200"/>
        <w:jc w:val="left"/>
        <w:rPr>
          <w:rFonts w:eastAsiaTheme="minorEastAsia"/>
          <w:snapToGrid w:val="0"/>
          <w:kern w:val="0"/>
          <w:szCs w:val="21"/>
          <w:highlight w:val="none"/>
          <w:lang w:val="zh-CN"/>
        </w:rPr>
      </w:pPr>
      <w:r>
        <w:rPr>
          <w:rFonts w:eastAsiaTheme="minorEastAsia"/>
          <w:snapToGrid w:val="0"/>
          <w:kern w:val="0"/>
          <w:szCs w:val="21"/>
          <w:highlight w:val="none"/>
          <w:lang w:val="zh-CN"/>
        </w:rPr>
        <w:t>（</w:t>
      </w:r>
      <w:r>
        <w:rPr>
          <w:rFonts w:hint="eastAsia" w:eastAsiaTheme="minorEastAsia"/>
          <w:snapToGrid w:val="0"/>
          <w:kern w:val="0"/>
          <w:szCs w:val="21"/>
          <w:highlight w:val="none"/>
          <w:lang w:val="en-US" w:eastAsia="zh-CN"/>
        </w:rPr>
        <w:t>5</w:t>
      </w:r>
      <w:r>
        <w:rPr>
          <w:rFonts w:eastAsiaTheme="minorEastAsia"/>
          <w:snapToGrid w:val="0"/>
          <w:kern w:val="0"/>
          <w:szCs w:val="21"/>
          <w:highlight w:val="none"/>
          <w:lang w:val="zh-CN"/>
        </w:rPr>
        <w:t>）答复质疑的日期。</w:t>
      </w:r>
    </w:p>
    <w:p>
      <w:pPr>
        <w:autoSpaceDE w:val="0"/>
        <w:autoSpaceDN w:val="0"/>
        <w:adjustRightIn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采购人或采购代理机构认为供应商质疑不成立，或者成立但未对成交结果构成影响的，继续开展采购活动；认为供应商质疑成立且影响或者可能影响成交结果的，按照下列情况处理：</w:t>
      </w:r>
    </w:p>
    <w:p>
      <w:pPr>
        <w:spacing w:line="360" w:lineRule="auto"/>
        <w:ind w:firstLine="420" w:firstLineChars="200"/>
        <w:rPr>
          <w:highlight w:val="none"/>
        </w:rPr>
      </w:pPr>
      <w:r>
        <w:rPr>
          <w:rFonts w:hint="eastAsia"/>
          <w:highlight w:val="none"/>
        </w:rPr>
        <w:t>（1）对采购文件提出的质疑，依法通过澄清或者修改可以继续开展采购活动的，澄清或者修改采购文件后继续开展采购活动；否则应当修改采购文件后重新开展采购活动。</w:t>
      </w:r>
    </w:p>
    <w:p>
      <w:pPr>
        <w:tabs>
          <w:tab w:val="left" w:pos="426"/>
        </w:tabs>
        <w:autoSpaceDE w:val="0"/>
        <w:autoSpaceDN w:val="0"/>
        <w:adjustRightInd w:val="0"/>
        <w:snapToGrid w:val="0"/>
        <w:spacing w:line="360" w:lineRule="auto"/>
        <w:ind w:firstLine="420" w:firstLineChars="200"/>
        <w:jc w:val="left"/>
        <w:rPr>
          <w:highlight w:val="none"/>
        </w:rPr>
      </w:pPr>
      <w:r>
        <w:rPr>
          <w:rFonts w:hint="eastAsia"/>
          <w:highlight w:val="none"/>
        </w:rPr>
        <w:t>（2）对采购过程、成交结果提出的质疑，合格供应商符合法定数量时，可以从合格的成交候选人中另行确定成交供应商的，应当依法另行确定成交供应商；否则应当重新开展采购活动。</w:t>
      </w:r>
    </w:p>
    <w:p>
      <w:pPr>
        <w:pStyle w:val="4"/>
        <w:tabs>
          <w:tab w:val="left" w:pos="567"/>
          <w:tab w:val="left" w:pos="709"/>
        </w:tabs>
        <w:snapToGrid w:val="0"/>
        <w:spacing w:before="0" w:after="0" w:line="324" w:lineRule="auto"/>
        <w:rPr>
          <w:rFonts w:cs="黑体" w:asciiTheme="minorEastAsia" w:hAnsiTheme="minorEastAsia" w:eastAsiaTheme="minorEastAsia"/>
          <w:b/>
          <w:snapToGrid w:val="0"/>
          <w:kern w:val="0"/>
          <w:sz w:val="21"/>
          <w:szCs w:val="21"/>
          <w:highlight w:val="none"/>
          <w:lang w:val="zh-CN"/>
        </w:rPr>
      </w:pPr>
      <w:bookmarkStart w:id="93" w:name="_Toc25459"/>
      <w:r>
        <w:rPr>
          <w:rFonts w:hint="eastAsia" w:cs="黑体" w:asciiTheme="minorEastAsia" w:hAnsiTheme="minorEastAsia" w:eastAsiaTheme="minorEastAsia"/>
          <w:b/>
          <w:snapToGrid w:val="0"/>
          <w:kern w:val="0"/>
          <w:sz w:val="21"/>
          <w:szCs w:val="21"/>
          <w:highlight w:val="none"/>
          <w:lang w:val="zh-CN"/>
        </w:rPr>
        <w:t>八、政府采购政策</w:t>
      </w:r>
      <w:bookmarkEnd w:id="93"/>
    </w:p>
    <w:p>
      <w:pPr>
        <w:snapToGrid w:val="0"/>
        <w:spacing w:line="360" w:lineRule="auto"/>
        <w:ind w:firstLine="359" w:firstLineChars="171"/>
        <w:rPr>
          <w:rFonts w:cs="Arial" w:asciiTheme="minorEastAsia" w:hAnsiTheme="minorEastAsia" w:eastAsiaTheme="minorEastAsia"/>
          <w:highlight w:val="none"/>
        </w:rPr>
      </w:pPr>
      <w:r>
        <w:rPr>
          <w:rFonts w:hint="eastAsia" w:cs="Arial" w:asciiTheme="minorEastAsia" w:hAnsiTheme="minorEastAsia" w:eastAsiaTheme="minorEastAsia"/>
          <w:highlight w:val="none"/>
        </w:rPr>
        <w:t>33.1 除非</w:t>
      </w:r>
      <w:r>
        <w:rPr>
          <w:rFonts w:hint="eastAsia" w:cs="Arial" w:asciiTheme="minorEastAsia" w:hAnsiTheme="minorEastAsia" w:eastAsiaTheme="minorEastAsia"/>
          <w:b/>
          <w:highlight w:val="none"/>
        </w:rPr>
        <w:t>《供应商须知前附表》</w:t>
      </w:r>
      <w:r>
        <w:rPr>
          <w:rFonts w:hint="eastAsia" w:cs="Arial" w:asciiTheme="minorEastAsia" w:hAnsiTheme="minorEastAsia" w:eastAsiaTheme="minorEastAsia"/>
          <w:highlight w:val="none"/>
        </w:rPr>
        <w:t>中有特殊规定，本项目所承建的工程物应当为中华人民共和国境内提供。</w:t>
      </w:r>
    </w:p>
    <w:p>
      <w:pPr>
        <w:adjustRightInd w:val="0"/>
        <w:snapToGrid w:val="0"/>
        <w:spacing w:line="360" w:lineRule="auto"/>
        <w:ind w:firstLine="359" w:firstLineChars="171"/>
        <w:rPr>
          <w:rFonts w:ascii="宋体" w:hAnsi="宋体" w:cs="Arial"/>
          <w:szCs w:val="21"/>
          <w:highlight w:val="none"/>
        </w:rPr>
      </w:pPr>
      <w:r>
        <w:rPr>
          <w:rFonts w:hint="eastAsia" w:cs="Arial" w:asciiTheme="minorEastAsia" w:hAnsiTheme="minorEastAsia" w:eastAsiaTheme="minorEastAsia"/>
          <w:highlight w:val="none"/>
        </w:rPr>
        <w:t>33.2</w:t>
      </w:r>
      <w:r>
        <w:rPr>
          <w:rFonts w:hint="eastAsia" w:ascii="宋体" w:hAnsi="宋体" w:cs="Arial"/>
          <w:highlight w:val="none"/>
        </w:rPr>
        <w:t>为促进中小企业发展，</w:t>
      </w:r>
      <w:r>
        <w:rPr>
          <w:rFonts w:hint="eastAsia" w:ascii="宋体" w:hAnsi="宋体" w:cs="Arial"/>
          <w:szCs w:val="21"/>
          <w:highlight w:val="none"/>
        </w:rPr>
        <w:t>依据</w:t>
      </w:r>
      <w:r>
        <w:rPr>
          <w:rFonts w:hint="eastAsia" w:cs="Arial"/>
          <w:color w:val="333333"/>
          <w:highlight w:val="none"/>
        </w:rPr>
        <w:t>财政部、工业和信息化部</w:t>
      </w:r>
      <w:r>
        <w:rPr>
          <w:rFonts w:hint="eastAsia" w:ascii="宋体" w:hAnsi="宋体" w:cs="Arial"/>
          <w:szCs w:val="21"/>
          <w:highlight w:val="none"/>
        </w:rPr>
        <w:t>《</w:t>
      </w:r>
      <w:r>
        <w:rPr>
          <w:rFonts w:ascii="宋体" w:hAnsi="宋体" w:cs="Arial"/>
          <w:szCs w:val="21"/>
          <w:highlight w:val="none"/>
        </w:rPr>
        <w:t>关于印发</w:t>
      </w:r>
      <w:r>
        <w:rPr>
          <w:rFonts w:hint="eastAsia" w:ascii="宋体" w:hAnsi="宋体" w:cs="Arial"/>
          <w:szCs w:val="21"/>
          <w:highlight w:val="none"/>
        </w:rPr>
        <w:t>&lt;</w:t>
      </w:r>
      <w:r>
        <w:rPr>
          <w:rFonts w:ascii="宋体" w:hAnsi="宋体" w:cs="Arial"/>
          <w:szCs w:val="21"/>
          <w:highlight w:val="none"/>
        </w:rPr>
        <w:t>政府采购促进中小企业发展管理办法</w:t>
      </w:r>
      <w:r>
        <w:rPr>
          <w:rFonts w:hint="eastAsia" w:ascii="宋体" w:hAnsi="宋体" w:cs="Arial"/>
          <w:szCs w:val="21"/>
          <w:highlight w:val="none"/>
        </w:rPr>
        <w:t>&gt;</w:t>
      </w:r>
      <w:r>
        <w:rPr>
          <w:rFonts w:ascii="宋体" w:hAnsi="宋体" w:cs="Arial"/>
          <w:szCs w:val="21"/>
          <w:highlight w:val="none"/>
        </w:rPr>
        <w:t>的通知</w:t>
      </w:r>
      <w:r>
        <w:rPr>
          <w:rFonts w:hint="eastAsia" w:ascii="宋体" w:hAnsi="宋体" w:cs="Arial"/>
          <w:szCs w:val="21"/>
          <w:highlight w:val="none"/>
        </w:rPr>
        <w:t>》（财库[2020]46号）、财政部 司法部《关于政府采购支持监狱企业发展有关问题的通知》（财库[2014]68号）、财政部 民政部 中国残疾人联合会《关于促进残疾人就业政府采购政策的通知》（财库[2017]141号），本项目供应商如符合上述文件规定的，需提供《中小企业声明函》、监狱企业证明文件、</w:t>
      </w:r>
      <w:r>
        <w:rPr>
          <w:rFonts w:ascii="宋体" w:hAnsi="宋体" w:cs="Arial"/>
          <w:szCs w:val="21"/>
          <w:highlight w:val="none"/>
        </w:rPr>
        <w:t>《残疾人福利性单位声明函》</w:t>
      </w:r>
      <w:r>
        <w:rPr>
          <w:rFonts w:hint="eastAsia" w:ascii="宋体" w:hAnsi="宋体" w:cs="Arial"/>
          <w:szCs w:val="21"/>
          <w:highlight w:val="none"/>
        </w:rPr>
        <w:t>。</w:t>
      </w:r>
    </w:p>
    <w:p>
      <w:pPr>
        <w:snapToGrid w:val="0"/>
        <w:spacing w:line="300" w:lineRule="auto"/>
        <w:ind w:firstLine="359" w:firstLineChars="171"/>
        <w:rPr>
          <w:rFonts w:ascii="宋体" w:hAnsi="宋体" w:cs="Arial"/>
          <w:szCs w:val="21"/>
          <w:highlight w:val="none"/>
        </w:rPr>
      </w:pPr>
      <w:r>
        <w:rPr>
          <w:rFonts w:hint="eastAsia" w:ascii="宋体" w:hAnsi="宋体" w:cs="Arial"/>
          <w:szCs w:val="21"/>
          <w:highlight w:val="none"/>
        </w:rPr>
        <w:t>中小企业划型标准详见附件：工业和信息化部 国家统计局 国家发展和改革委员会 财政部《中小企业划型标准规定》（工信部联企业〔2011〕300号）。</w:t>
      </w:r>
    </w:p>
    <w:p>
      <w:pPr>
        <w:snapToGrid w:val="0"/>
        <w:spacing w:line="300" w:lineRule="auto"/>
        <w:ind w:firstLine="359" w:firstLineChars="171"/>
        <w:rPr>
          <w:rFonts w:ascii="宋体" w:hAnsi="宋体" w:cs="Arial"/>
          <w:szCs w:val="21"/>
          <w:highlight w:val="none"/>
        </w:rPr>
      </w:pPr>
      <w:r>
        <w:rPr>
          <w:rFonts w:hint="eastAsia" w:ascii="宋体" w:hAnsi="宋体" w:cs="Arial"/>
          <w:szCs w:val="21"/>
          <w:highlight w:val="none"/>
        </w:rPr>
        <w:t>依据财政部 司法部《关于政府采购支持监狱企业发展有关问题的通知》（财库[2014]68号）的规定，监狱企业视同小型、微型企业，</w:t>
      </w:r>
      <w:r>
        <w:rPr>
          <w:rFonts w:ascii="宋体" w:hAnsi="宋体" w:cs="Arial"/>
          <w:szCs w:val="21"/>
          <w:highlight w:val="none"/>
        </w:rPr>
        <w:t>享受预留份额、评审中价格扣除等促进中小企业发展的政府采购政策</w:t>
      </w:r>
      <w:r>
        <w:rPr>
          <w:rFonts w:hint="eastAsia" w:ascii="宋体" w:hAnsi="宋体" w:cs="Arial"/>
          <w:szCs w:val="21"/>
          <w:highlight w:val="none"/>
        </w:rPr>
        <w:t>。监狱企业应当提供由省级以上监狱管理局、戒毒管理局(含新疆生产建设兵团)出具的属于监狱企业的证明文件。</w:t>
      </w:r>
    </w:p>
    <w:p>
      <w:pPr>
        <w:snapToGrid w:val="0"/>
        <w:spacing w:line="300" w:lineRule="auto"/>
        <w:ind w:firstLine="359" w:firstLineChars="171"/>
        <w:jc w:val="left"/>
        <w:rPr>
          <w:rFonts w:ascii="宋体" w:hAnsi="宋体" w:cs="Arial"/>
          <w:szCs w:val="21"/>
          <w:highlight w:val="none"/>
        </w:rPr>
      </w:pPr>
      <w:r>
        <w:rPr>
          <w:rFonts w:hint="eastAsia" w:ascii="宋体" w:hAnsi="宋体" w:cs="Arial"/>
          <w:szCs w:val="21"/>
          <w:highlight w:val="none"/>
        </w:rPr>
        <w:t>依据财政部 民政部 中国残疾人联合会《关于促进残疾人就业政府采购政策的通知》（财库[2017]141号）的规定，</w:t>
      </w:r>
      <w:r>
        <w:rPr>
          <w:rFonts w:ascii="宋体" w:hAnsi="宋体" w:cs="Arial"/>
          <w:szCs w:val="21"/>
          <w:highlight w:val="none"/>
        </w:rPr>
        <w:t>残疾人福利性单位视同小型、微型企业，享受预留份额、评审中价格扣除等促进中小企业发展的政府采购政策。残疾人福利性单位属于小型、微型企业的，不重复享受政策。</w:t>
      </w:r>
      <w:r>
        <w:rPr>
          <w:rFonts w:hint="eastAsia" w:ascii="宋体" w:hAnsi="宋体" w:cs="Arial"/>
          <w:szCs w:val="21"/>
          <w:highlight w:val="none"/>
        </w:rPr>
        <w:t>符合该通知规定条件的残疾人福利性单位应当提供《残疾人福利性单位声明函》（见附件）。</w:t>
      </w:r>
    </w:p>
    <w:p>
      <w:pPr>
        <w:snapToGrid w:val="0"/>
        <w:spacing w:line="360" w:lineRule="auto"/>
        <w:ind w:firstLine="361" w:firstLineChars="171"/>
        <w:rPr>
          <w:rFonts w:cs="Arial" w:asciiTheme="minorEastAsia" w:hAnsiTheme="minorEastAsia" w:eastAsiaTheme="minorEastAsia"/>
          <w:highlight w:val="none"/>
        </w:rPr>
      </w:pPr>
      <w:r>
        <w:rPr>
          <w:rFonts w:ascii="宋体" w:hAnsi="宋体" w:cs="Arial"/>
          <w:b/>
          <w:szCs w:val="21"/>
          <w:highlight w:val="none"/>
        </w:rPr>
        <w:t>供应商</w:t>
      </w:r>
      <w:r>
        <w:rPr>
          <w:rFonts w:hint="eastAsia" w:ascii="宋体" w:hAnsi="宋体" w:cs="Arial"/>
          <w:b/>
          <w:szCs w:val="21"/>
          <w:highlight w:val="none"/>
        </w:rPr>
        <w:t>应当对《中小企业声明函》、监狱企业证明文件、</w:t>
      </w:r>
      <w:r>
        <w:rPr>
          <w:rFonts w:ascii="宋体" w:hAnsi="宋体" w:cs="Arial"/>
          <w:b/>
          <w:szCs w:val="21"/>
          <w:highlight w:val="none"/>
        </w:rPr>
        <w:t>《残疾人福利性单位声明函》</w:t>
      </w:r>
      <w:r>
        <w:rPr>
          <w:rFonts w:hint="eastAsia" w:ascii="宋体" w:hAnsi="宋体" w:cs="Arial"/>
          <w:b/>
          <w:szCs w:val="21"/>
          <w:highlight w:val="none"/>
        </w:rPr>
        <w:t>的真实性负责，上述材料</w:t>
      </w:r>
      <w:r>
        <w:rPr>
          <w:rFonts w:ascii="宋体" w:hAnsi="宋体" w:cs="Arial"/>
          <w:b/>
          <w:szCs w:val="21"/>
          <w:highlight w:val="none"/>
        </w:rPr>
        <w:t>与事实不符的，依照《政府采购法》第七十七条第一款的规定</w:t>
      </w:r>
      <w:r>
        <w:rPr>
          <w:rFonts w:hint="eastAsia" w:ascii="宋体" w:hAnsi="宋体" w:cs="Arial"/>
          <w:b/>
          <w:szCs w:val="21"/>
          <w:highlight w:val="none"/>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snapToGrid w:val="0"/>
        <w:spacing w:line="360" w:lineRule="auto"/>
        <w:ind w:firstLine="359" w:firstLineChars="171"/>
        <w:rPr>
          <w:rFonts w:cs="黑体" w:asciiTheme="minorEastAsia" w:hAnsiTheme="minorEastAsia" w:eastAsiaTheme="minorEastAsia"/>
          <w:b/>
          <w:snapToGrid w:val="0"/>
          <w:kern w:val="0"/>
          <w:szCs w:val="21"/>
          <w:highlight w:val="none"/>
          <w:lang w:val="zh-CN"/>
        </w:rPr>
      </w:pPr>
      <w:r>
        <w:rPr>
          <w:rFonts w:hint="eastAsia" w:cs="Arial" w:asciiTheme="minorEastAsia" w:hAnsiTheme="minorEastAsia" w:eastAsiaTheme="minorEastAsia"/>
          <w:highlight w:val="none"/>
        </w:rPr>
        <w:t>33.4</w:t>
      </w:r>
      <w:r>
        <w:rPr>
          <w:rFonts w:hint="eastAsia" w:ascii="Arial" w:hAnsi="Arial" w:cs="Arial"/>
          <w:highlight w:val="none"/>
        </w:rPr>
        <w:t>上述政府</w:t>
      </w:r>
      <w:r>
        <w:rPr>
          <w:rFonts w:ascii="Arial" w:hAnsi="Arial" w:cs="Arial"/>
          <w:highlight w:val="none"/>
        </w:rPr>
        <w:t>采购政策优惠</w:t>
      </w:r>
      <w:r>
        <w:rPr>
          <w:rFonts w:hint="eastAsia" w:ascii="Arial" w:hAnsi="Arial" w:cs="Arial"/>
          <w:highlight w:val="none"/>
        </w:rPr>
        <w:t>须经磋商小组评审后</w:t>
      </w:r>
      <w:r>
        <w:rPr>
          <w:rFonts w:ascii="Arial" w:hAnsi="Arial" w:cs="Arial"/>
          <w:highlight w:val="none"/>
        </w:rPr>
        <w:t>执行，</w:t>
      </w:r>
      <w:r>
        <w:rPr>
          <w:rFonts w:hint="eastAsia" w:ascii="Arial" w:hAnsi="Arial" w:cs="Arial"/>
          <w:highlight w:val="none"/>
        </w:rPr>
        <w:t>未提供单独分项报价或未提供有效证明材料</w:t>
      </w:r>
      <w:r>
        <w:rPr>
          <w:rFonts w:ascii="Arial" w:hAnsi="Arial" w:cs="Arial"/>
          <w:highlight w:val="none"/>
        </w:rPr>
        <w:t>的</w:t>
      </w:r>
      <w:r>
        <w:rPr>
          <w:rFonts w:hint="eastAsia" w:ascii="Arial" w:hAnsi="Arial" w:cs="Arial"/>
          <w:highlight w:val="none"/>
        </w:rPr>
        <w:t>不给予</w:t>
      </w:r>
      <w:r>
        <w:rPr>
          <w:rFonts w:ascii="Arial" w:hAnsi="Arial" w:cs="Arial"/>
          <w:highlight w:val="none"/>
        </w:rPr>
        <w:t>价格扣除。</w:t>
      </w:r>
    </w:p>
    <w:p>
      <w:pPr>
        <w:pStyle w:val="4"/>
        <w:tabs>
          <w:tab w:val="left" w:pos="567"/>
          <w:tab w:val="left" w:pos="709"/>
        </w:tabs>
        <w:snapToGrid w:val="0"/>
        <w:spacing w:before="0" w:after="0" w:line="324" w:lineRule="auto"/>
        <w:rPr>
          <w:rFonts w:cs="黑体" w:asciiTheme="minorEastAsia" w:hAnsiTheme="minorEastAsia" w:eastAsiaTheme="minorEastAsia"/>
          <w:b/>
          <w:snapToGrid w:val="0"/>
          <w:kern w:val="0"/>
          <w:sz w:val="21"/>
          <w:szCs w:val="21"/>
          <w:highlight w:val="none"/>
          <w:lang w:val="zh-CN"/>
        </w:rPr>
      </w:pPr>
      <w:bookmarkStart w:id="94" w:name="_Toc30830"/>
      <w:r>
        <w:rPr>
          <w:rFonts w:hint="eastAsia" w:cs="黑体" w:asciiTheme="minorEastAsia" w:hAnsiTheme="minorEastAsia" w:eastAsiaTheme="minorEastAsia"/>
          <w:b/>
          <w:snapToGrid w:val="0"/>
          <w:kern w:val="0"/>
          <w:sz w:val="21"/>
          <w:szCs w:val="21"/>
          <w:highlight w:val="none"/>
          <w:lang w:val="zh-CN"/>
        </w:rPr>
        <w:t>九、其他要求</w:t>
      </w:r>
      <w:bookmarkEnd w:id="92"/>
      <w:bookmarkEnd w:id="94"/>
    </w:p>
    <w:p>
      <w:pPr>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lang w:val="zh-CN"/>
        </w:rPr>
      </w:pPr>
      <w:r>
        <w:rPr>
          <w:rFonts w:hint="eastAsia" w:cs="宋体" w:asciiTheme="minorEastAsia" w:hAnsiTheme="minorEastAsia" w:eastAsiaTheme="minorEastAsia"/>
          <w:snapToGrid w:val="0"/>
          <w:kern w:val="0"/>
          <w:szCs w:val="21"/>
          <w:highlight w:val="none"/>
          <w:lang w:val="zh-CN"/>
        </w:rPr>
        <w:t>见《供应商须知前附表》。</w:t>
      </w:r>
    </w:p>
    <w:p>
      <w:pPr>
        <w:autoSpaceDE w:val="0"/>
        <w:autoSpaceDN w:val="0"/>
        <w:adjustRightInd w:val="0"/>
        <w:snapToGrid w:val="0"/>
        <w:spacing w:line="360" w:lineRule="auto"/>
        <w:ind w:firstLine="420" w:firstLineChars="200"/>
        <w:jc w:val="left"/>
        <w:rPr>
          <w:highlight w:val="none"/>
        </w:rPr>
      </w:pPr>
      <w:r>
        <w:rPr>
          <w:highlight w:val="none"/>
        </w:rPr>
        <w:br w:type="page"/>
      </w:r>
    </w:p>
    <w:p>
      <w:pPr>
        <w:pStyle w:val="3"/>
        <w:spacing w:before="240" w:after="120"/>
        <w:rPr>
          <w:rFonts w:ascii="宋体" w:hAnsi="宋体"/>
          <w:color w:val="000000" w:themeColor="text1"/>
          <w:highlight w:val="none"/>
          <w14:textFill>
            <w14:solidFill>
              <w14:schemeClr w14:val="tx1"/>
            </w14:solidFill>
          </w14:textFill>
        </w:rPr>
      </w:pPr>
      <w:bookmarkStart w:id="95" w:name="_Hlt3694737"/>
      <w:bookmarkEnd w:id="95"/>
      <w:bookmarkStart w:id="96" w:name="_Hlt10450950"/>
      <w:bookmarkEnd w:id="96"/>
      <w:bookmarkStart w:id="97" w:name="_Hlt9486019"/>
      <w:bookmarkEnd w:id="97"/>
      <w:bookmarkStart w:id="98" w:name="_Hlt3013640"/>
      <w:bookmarkEnd w:id="98"/>
      <w:bookmarkStart w:id="99" w:name="_Toc535891855"/>
      <w:bookmarkStart w:id="100" w:name="_Toc535891688"/>
      <w:bookmarkStart w:id="101" w:name="_Toc18507"/>
      <w:bookmarkStart w:id="102" w:name="_Toc535832555"/>
      <w:bookmarkStart w:id="103" w:name="_Toc535814466"/>
      <w:bookmarkStart w:id="104" w:name="_Toc535815711"/>
      <w:r>
        <w:rPr>
          <w:rFonts w:ascii="宋体" w:hAnsi="宋体"/>
          <w:color w:val="000000" w:themeColor="text1"/>
          <w:highlight w:val="none"/>
          <w14:textFill>
            <w14:solidFill>
              <w14:schemeClr w14:val="tx1"/>
            </w14:solidFill>
          </w14:textFill>
        </w:rPr>
        <w:t>第</w:t>
      </w:r>
      <w:r>
        <w:rPr>
          <w:rFonts w:hint="eastAsia" w:ascii="宋体" w:hAnsi="宋体"/>
          <w:color w:val="000000" w:themeColor="text1"/>
          <w:highlight w:val="none"/>
          <w14:textFill>
            <w14:solidFill>
              <w14:schemeClr w14:val="tx1"/>
            </w14:solidFill>
          </w14:textFill>
        </w:rPr>
        <w:t>三</w:t>
      </w:r>
      <w:r>
        <w:rPr>
          <w:rFonts w:ascii="宋体" w:hAnsi="宋体"/>
          <w:color w:val="000000" w:themeColor="text1"/>
          <w:highlight w:val="none"/>
          <w14:textFill>
            <w14:solidFill>
              <w14:schemeClr w14:val="tx1"/>
            </w14:solidFill>
          </w14:textFill>
        </w:rPr>
        <w:t>章</w:t>
      </w:r>
      <w:r>
        <w:rPr>
          <w:rFonts w:hint="eastAsia" w:ascii="宋体" w:hAnsi="宋体"/>
          <w:color w:val="000000" w:themeColor="text1"/>
          <w:highlight w:val="none"/>
          <w14:textFill>
            <w14:solidFill>
              <w14:schemeClr w14:val="tx1"/>
            </w14:solidFill>
          </w14:textFill>
        </w:rPr>
        <w:t xml:space="preserve"> </w:t>
      </w:r>
      <w:bookmarkEnd w:id="99"/>
      <w:bookmarkEnd w:id="100"/>
      <w:r>
        <w:rPr>
          <w:rFonts w:hint="eastAsia" w:ascii="宋体" w:hAnsi="宋体"/>
          <w:color w:val="000000" w:themeColor="text1"/>
          <w:highlight w:val="none"/>
          <w14:textFill>
            <w14:solidFill>
              <w14:schemeClr w14:val="tx1"/>
            </w14:solidFill>
          </w14:textFill>
        </w:rPr>
        <w:t>合同主要条款</w:t>
      </w:r>
      <w:bookmarkEnd w:id="101"/>
      <w:bookmarkStart w:id="105" w:name="_Toc7654"/>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甲方：</w:t>
      </w:r>
      <w:r>
        <w:rPr>
          <w:rFonts w:hint="eastAsia" w:ascii="宋体" w:hAnsi="宋体" w:eastAsia="宋体" w:cs="宋体"/>
          <w:szCs w:val="22"/>
          <w:highlight w:val="none"/>
          <w:u w:val="single"/>
        </w:rPr>
        <w:t>中南民族大学</w:t>
      </w:r>
      <w:r>
        <w:rPr>
          <w:rFonts w:hint="eastAsia" w:ascii="宋体" w:hAnsi="宋体" w:eastAsia="宋体" w:cs="宋体"/>
          <w:szCs w:val="22"/>
          <w:highlight w:val="none"/>
        </w:rPr>
        <w:t xml:space="preserve">             （以下简称甲方）</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乙方：</w:t>
      </w:r>
      <w:r>
        <w:rPr>
          <w:rFonts w:hint="eastAsia" w:ascii="宋体" w:hAnsi="宋体" w:eastAsia="宋体" w:cs="宋体"/>
          <w:szCs w:val="22"/>
          <w:highlight w:val="none"/>
          <w:u w:val="single"/>
          <w:lang w:eastAsia="zh-CN"/>
        </w:rPr>
        <w:t>xxxxxx</w:t>
      </w:r>
      <w:r>
        <w:rPr>
          <w:rFonts w:hint="eastAsia" w:ascii="宋体" w:hAnsi="宋体" w:eastAsia="宋体" w:cs="宋体"/>
          <w:szCs w:val="22"/>
          <w:highlight w:val="none"/>
          <w:u w:val="single"/>
        </w:rPr>
        <w:t>公司</w:t>
      </w:r>
      <w:r>
        <w:rPr>
          <w:rFonts w:hint="eastAsia" w:ascii="宋体" w:hAnsi="宋体" w:eastAsia="宋体" w:cs="宋体"/>
          <w:szCs w:val="22"/>
          <w:highlight w:val="none"/>
        </w:rPr>
        <w:t xml:space="preserve">    </w:t>
      </w:r>
      <w:r>
        <w:rPr>
          <w:rFonts w:ascii="宋体" w:hAnsi="宋体" w:eastAsia="宋体" w:cs="宋体"/>
          <w:szCs w:val="22"/>
          <w:highlight w:val="none"/>
        </w:rPr>
        <w:t xml:space="preserve">          </w:t>
      </w:r>
      <w:r>
        <w:rPr>
          <w:rFonts w:hint="eastAsia" w:ascii="宋体" w:hAnsi="宋体" w:eastAsia="宋体" w:cs="宋体"/>
          <w:szCs w:val="22"/>
          <w:highlight w:val="none"/>
        </w:rPr>
        <w:t>（以下简称乙方）</w:t>
      </w:r>
    </w:p>
    <w:p>
      <w:pPr>
        <w:ind w:firstLine="420" w:firstLineChars="200"/>
        <w:rPr>
          <w:rFonts w:ascii="宋体" w:hAnsi="宋体" w:eastAsia="宋体" w:cs="宋体"/>
          <w:szCs w:val="22"/>
          <w:highlight w:val="none"/>
        </w:rPr>
      </w:pPr>
      <w:r>
        <w:rPr>
          <w:rFonts w:hint="eastAsia" w:ascii="宋体" w:hAnsi="宋体" w:eastAsia="宋体" w:cs="宋体"/>
          <w:szCs w:val="22"/>
          <w:highlight w:val="none"/>
        </w:rPr>
        <w:t>鉴于： 经合法</w:t>
      </w:r>
      <w:r>
        <w:rPr>
          <w:rFonts w:hint="eastAsia" w:ascii="宋体" w:hAnsi="宋体" w:eastAsia="宋体" w:cs="宋体"/>
          <w:szCs w:val="22"/>
          <w:highlight w:val="none"/>
          <w:lang w:val="en-US" w:eastAsia="zh-CN"/>
        </w:rPr>
        <w:t>采购</w:t>
      </w:r>
      <w:r>
        <w:rPr>
          <w:rFonts w:hint="eastAsia" w:ascii="宋体" w:hAnsi="宋体" w:eastAsia="宋体" w:cs="宋体"/>
          <w:szCs w:val="22"/>
          <w:highlight w:val="none"/>
        </w:rPr>
        <w:t>程序确定，乙方</w:t>
      </w:r>
      <w:r>
        <w:rPr>
          <w:rFonts w:hint="eastAsia" w:ascii="宋体" w:hAnsi="宋体" w:eastAsia="宋体" w:cs="宋体"/>
          <w:szCs w:val="22"/>
          <w:highlight w:val="none"/>
          <w:lang w:val="en-US" w:eastAsia="zh-CN"/>
        </w:rPr>
        <w:t>为成交供应商</w:t>
      </w:r>
      <w:r>
        <w:rPr>
          <w:rFonts w:hint="eastAsia" w:ascii="宋体" w:hAnsi="宋体" w:eastAsia="宋体" w:cs="宋体"/>
          <w:szCs w:val="22"/>
          <w:highlight w:val="none"/>
        </w:rPr>
        <w:t xml:space="preserve">并承接  </w:t>
      </w:r>
      <w:r>
        <w:rPr>
          <w:rFonts w:hint="eastAsia" w:ascii="宋体" w:hAnsi="宋体" w:eastAsia="宋体" w:cs="宋体"/>
          <w:szCs w:val="21"/>
          <w:highlight w:val="none"/>
          <w:u w:val="single"/>
          <w:lang w:eastAsia="zh-CN"/>
        </w:rPr>
        <w:t>xxxxxx工程/项目</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。甲、乙双方经协商一致，在平等、自愿、诚实信用原则的基础上，依据《中华人民共和国民法典》及相关法律、法规的规定，就甲方发包、乙方承包甲方</w:t>
      </w:r>
      <w:r>
        <w:rPr>
          <w:rFonts w:hint="eastAsia" w:ascii="宋体" w:hAnsi="宋体" w:eastAsia="宋体" w:cs="宋体"/>
          <w:szCs w:val="22"/>
          <w:highlight w:val="none"/>
          <w:u w:val="single"/>
        </w:rPr>
        <w:t xml:space="preserve"> </w:t>
      </w:r>
      <w:r>
        <w:rPr>
          <w:rFonts w:hint="eastAsia" w:ascii="宋体" w:hAnsi="宋体" w:eastAsia="宋体" w:cs="宋体"/>
          <w:szCs w:val="21"/>
          <w:highlight w:val="none"/>
          <w:u w:val="single"/>
          <w:lang w:eastAsia="zh-CN"/>
        </w:rPr>
        <w:t>xxxxxx工程/项目</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none"/>
          <w:lang w:val="en-US" w:eastAsia="zh-CN"/>
        </w:rPr>
        <w:t>事宜</w:t>
      </w:r>
      <w:r>
        <w:rPr>
          <w:rFonts w:hint="eastAsia" w:ascii="宋体" w:hAnsi="宋体" w:eastAsia="宋体" w:cs="宋体"/>
          <w:szCs w:val="22"/>
          <w:highlight w:val="none"/>
        </w:rPr>
        <w:t>，达成如下协议：</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lang w:val="en-US" w:eastAsia="zh-CN"/>
        </w:rPr>
        <w:t>一、</w:t>
      </w:r>
      <w:r>
        <w:rPr>
          <w:rFonts w:hint="eastAsia" w:ascii="宋体" w:hAnsi="宋体" w:eastAsia="宋体" w:cs="宋体"/>
          <w:szCs w:val="22"/>
          <w:highlight w:val="none"/>
        </w:rPr>
        <w:t>项目名称：</w:t>
      </w:r>
      <w:r>
        <w:rPr>
          <w:rFonts w:hint="eastAsia" w:ascii="宋体" w:hAnsi="宋体" w:eastAsia="宋体" w:cs="宋体"/>
          <w:szCs w:val="22"/>
          <w:highlight w:val="none"/>
          <w:u w:val="single"/>
        </w:rPr>
        <w:t xml:space="preserve">     </w:t>
      </w:r>
      <w:r>
        <w:rPr>
          <w:rFonts w:hint="eastAsia" w:ascii="宋体" w:hAnsi="宋体" w:eastAsia="宋体" w:cs="宋体"/>
          <w:szCs w:val="21"/>
          <w:highlight w:val="none"/>
          <w:u w:val="single"/>
          <w:lang w:eastAsia="zh-CN"/>
        </w:rPr>
        <w:t>xxxxxx工程/项目</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二、项目内容：详见</w:t>
      </w:r>
      <w:r>
        <w:rPr>
          <w:rFonts w:hint="eastAsia" w:ascii="宋体" w:hAnsi="宋体" w:eastAsia="宋体" w:cs="宋体"/>
          <w:szCs w:val="22"/>
          <w:highlight w:val="none"/>
          <w:u w:val="single"/>
        </w:rPr>
        <w:t xml:space="preserve">    </w:t>
      </w:r>
      <w:r>
        <w:rPr>
          <w:rFonts w:hint="eastAsia" w:ascii="宋体" w:hAnsi="宋体" w:eastAsia="宋体" w:cs="宋体"/>
          <w:szCs w:val="21"/>
          <w:highlight w:val="none"/>
          <w:u w:val="single"/>
          <w:lang w:eastAsia="zh-CN"/>
        </w:rPr>
        <w:t>xxxxxx工程/项目</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项目</w:t>
      </w:r>
      <w:r>
        <w:rPr>
          <w:rFonts w:hint="eastAsia" w:ascii="宋体" w:hAnsi="宋体" w:eastAsia="宋体" w:cs="宋体"/>
          <w:szCs w:val="22"/>
          <w:highlight w:val="none"/>
          <w:lang w:val="en-US" w:eastAsia="zh-CN"/>
        </w:rPr>
        <w:t>采购</w:t>
      </w:r>
      <w:r>
        <w:rPr>
          <w:rFonts w:hint="eastAsia" w:ascii="宋体" w:hAnsi="宋体" w:eastAsia="宋体" w:cs="宋体"/>
          <w:szCs w:val="22"/>
          <w:highlight w:val="none"/>
        </w:rPr>
        <w:t>文件、工程量清单、</w:t>
      </w:r>
      <w:r>
        <w:rPr>
          <w:rFonts w:hint="eastAsia" w:ascii="宋体" w:hAnsi="宋体" w:eastAsia="宋体" w:cs="宋体"/>
          <w:szCs w:val="22"/>
          <w:highlight w:val="none"/>
          <w:lang w:val="en-US" w:eastAsia="zh-CN"/>
        </w:rPr>
        <w:t>施工图文件、</w:t>
      </w:r>
      <w:r>
        <w:rPr>
          <w:rFonts w:hint="eastAsia" w:ascii="宋体" w:hAnsi="宋体" w:eastAsia="宋体" w:cs="宋体"/>
          <w:szCs w:val="22"/>
          <w:highlight w:val="none"/>
        </w:rPr>
        <w:t>答疑等其他资料。</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三、项目工期及承诺：</w:t>
      </w:r>
    </w:p>
    <w:p>
      <w:pPr>
        <w:widowControl/>
        <w:spacing w:line="360" w:lineRule="auto"/>
        <w:ind w:firstLine="420" w:firstLineChars="200"/>
        <w:textAlignment w:val="baseline"/>
        <w:rPr>
          <w:rFonts w:hint="default" w:ascii="宋体" w:hAnsi="宋体" w:eastAsia="宋体" w:cs="宋体"/>
          <w:szCs w:val="22"/>
          <w:highlight w:val="none"/>
          <w:lang w:val="en-US" w:eastAsia="zh-CN"/>
        </w:rPr>
      </w:pPr>
      <w:r>
        <w:rPr>
          <w:rFonts w:hint="eastAsia" w:ascii="宋体" w:hAnsi="宋体" w:eastAsia="宋体" w:cs="宋体"/>
          <w:szCs w:val="22"/>
          <w:highlight w:val="none"/>
        </w:rPr>
        <w:t xml:space="preserve">   1、合同工期</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lang w:val="en-US" w:eastAsia="zh-CN"/>
        </w:rPr>
        <w:t>xx</w:t>
      </w:r>
      <w:r>
        <w:rPr>
          <w:rFonts w:hint="eastAsia" w:ascii="宋体" w:hAnsi="宋体" w:eastAsia="宋体" w:cs="宋体"/>
          <w:szCs w:val="22"/>
          <w:highlight w:val="none"/>
          <w:u w:val="single"/>
        </w:rPr>
        <w:t xml:space="preserve">日历天 </w:t>
      </w:r>
      <w:r>
        <w:rPr>
          <w:rFonts w:hint="eastAsia" w:ascii="宋体" w:hAnsi="宋体" w:eastAsia="宋体" w:cs="宋体"/>
          <w:szCs w:val="22"/>
          <w:highlight w:val="none"/>
          <w:lang w:eastAsia="zh-CN"/>
        </w:rPr>
        <w:t>，</w:t>
      </w:r>
      <w:r>
        <w:rPr>
          <w:rFonts w:hint="eastAsia" w:ascii="宋体" w:hAnsi="宋体" w:eastAsia="宋体" w:cs="宋体"/>
          <w:szCs w:val="22"/>
          <w:highlight w:val="none"/>
          <w:lang w:val="en-US" w:eastAsia="zh-CN"/>
        </w:rPr>
        <w:t>开工时间以甲方书面通知时间为准。</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   2、在规定工期内如遇不可抗拒的原因或甲方原因而造成工期延误，需与甲方协商，经甲方书面同意后，工期方可顺延。</w:t>
      </w:r>
    </w:p>
    <w:p>
      <w:pPr>
        <w:widowControl/>
        <w:spacing w:line="360" w:lineRule="auto"/>
        <w:ind w:firstLine="420" w:firstLineChars="200"/>
        <w:textAlignment w:val="baseline"/>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   3、如无法定原因或合同约定原因，乙方工期每延误一天罚款人民币1000元，甲方不设提前工期奖。若</w:t>
      </w:r>
      <w:r>
        <w:rPr>
          <w:rFonts w:hint="eastAsia" w:ascii="宋体" w:hAnsi="宋体" w:eastAsia="宋体" w:cs="宋体"/>
          <w:szCs w:val="22"/>
          <w:highlight w:val="none"/>
          <w:lang w:eastAsia="zh-CN"/>
        </w:rPr>
        <w:t>乙方</w:t>
      </w:r>
      <w:r>
        <w:rPr>
          <w:rFonts w:hint="eastAsia" w:ascii="宋体" w:hAnsi="宋体" w:eastAsia="宋体" w:cs="宋体"/>
          <w:szCs w:val="22"/>
          <w:highlight w:val="none"/>
        </w:rPr>
        <w:t>逾期超过30天的，</w:t>
      </w:r>
      <w:r>
        <w:rPr>
          <w:rFonts w:hint="eastAsia" w:ascii="宋体" w:hAnsi="宋体" w:eastAsia="宋体" w:cs="宋体"/>
          <w:szCs w:val="22"/>
          <w:highlight w:val="none"/>
          <w:lang w:val="en-US" w:eastAsia="zh-CN"/>
        </w:rPr>
        <w:t>甲</w:t>
      </w:r>
      <w:r>
        <w:rPr>
          <w:rFonts w:hint="eastAsia" w:ascii="宋体" w:hAnsi="宋体" w:eastAsia="宋体" w:cs="宋体"/>
          <w:szCs w:val="22"/>
          <w:highlight w:val="none"/>
        </w:rPr>
        <w:t>方可直接解除合同并要求</w:t>
      </w:r>
      <w:r>
        <w:rPr>
          <w:rFonts w:hint="eastAsia" w:ascii="宋体" w:hAnsi="宋体" w:eastAsia="宋体" w:cs="宋体"/>
          <w:szCs w:val="22"/>
          <w:highlight w:val="none"/>
          <w:lang w:eastAsia="zh-CN"/>
        </w:rPr>
        <w:t>乙方</w:t>
      </w:r>
      <w:r>
        <w:rPr>
          <w:rFonts w:hint="eastAsia" w:ascii="宋体" w:hAnsi="宋体" w:eastAsia="宋体" w:cs="宋体"/>
          <w:szCs w:val="22"/>
          <w:highlight w:val="none"/>
        </w:rPr>
        <w:t>赔偿</w:t>
      </w:r>
      <w:r>
        <w:rPr>
          <w:rFonts w:hint="eastAsia" w:ascii="宋体" w:hAnsi="宋体" w:eastAsia="宋体" w:cs="宋体"/>
          <w:szCs w:val="22"/>
          <w:highlight w:val="none"/>
          <w:lang w:eastAsia="zh-CN"/>
        </w:rPr>
        <w:t>甲方</w:t>
      </w:r>
      <w:r>
        <w:rPr>
          <w:rFonts w:hint="eastAsia" w:ascii="宋体" w:hAnsi="宋体" w:eastAsia="宋体" w:cs="宋体"/>
          <w:szCs w:val="22"/>
          <w:highlight w:val="none"/>
        </w:rPr>
        <w:t>损失，</w:t>
      </w:r>
      <w:r>
        <w:rPr>
          <w:rFonts w:hint="eastAsia" w:ascii="宋体" w:hAnsi="宋体" w:eastAsia="宋体" w:cs="宋体"/>
          <w:szCs w:val="22"/>
          <w:highlight w:val="none"/>
          <w:lang w:eastAsia="zh-CN"/>
        </w:rPr>
        <w:t>甲方</w:t>
      </w:r>
      <w:r>
        <w:rPr>
          <w:rFonts w:hint="eastAsia" w:ascii="宋体" w:hAnsi="宋体" w:eastAsia="宋体" w:cs="宋体"/>
          <w:szCs w:val="22"/>
          <w:highlight w:val="none"/>
        </w:rPr>
        <w:t>损失包括但不限于因</w:t>
      </w:r>
      <w:r>
        <w:rPr>
          <w:rFonts w:hint="eastAsia" w:ascii="宋体" w:hAnsi="宋体" w:eastAsia="宋体" w:cs="宋体"/>
          <w:szCs w:val="22"/>
          <w:highlight w:val="none"/>
          <w:lang w:eastAsia="zh-CN"/>
        </w:rPr>
        <w:t>乙方</w:t>
      </w:r>
      <w:r>
        <w:rPr>
          <w:rFonts w:hint="eastAsia" w:ascii="宋体" w:hAnsi="宋体" w:eastAsia="宋体" w:cs="宋体"/>
          <w:szCs w:val="22"/>
          <w:highlight w:val="none"/>
        </w:rPr>
        <w:t>未完工程导致</w:t>
      </w:r>
      <w:r>
        <w:rPr>
          <w:rFonts w:hint="eastAsia" w:ascii="宋体" w:hAnsi="宋体" w:eastAsia="宋体" w:cs="宋体"/>
          <w:szCs w:val="22"/>
          <w:highlight w:val="none"/>
          <w:lang w:eastAsia="zh-CN"/>
        </w:rPr>
        <w:t>甲方</w:t>
      </w:r>
      <w:r>
        <w:rPr>
          <w:rFonts w:hint="eastAsia" w:ascii="宋体" w:hAnsi="宋体" w:eastAsia="宋体" w:cs="宋体"/>
          <w:szCs w:val="22"/>
          <w:highlight w:val="none"/>
        </w:rPr>
        <w:t>二次招标成本、</w:t>
      </w:r>
      <w:r>
        <w:rPr>
          <w:rFonts w:hint="eastAsia" w:ascii="宋体" w:hAnsi="宋体" w:eastAsia="宋体" w:cs="宋体"/>
          <w:szCs w:val="22"/>
          <w:highlight w:val="none"/>
          <w:lang w:eastAsia="zh-CN"/>
        </w:rPr>
        <w:t>甲方</w:t>
      </w:r>
      <w:r>
        <w:rPr>
          <w:rFonts w:hint="eastAsia" w:ascii="宋体" w:hAnsi="宋体" w:eastAsia="宋体" w:cs="宋体"/>
          <w:szCs w:val="22"/>
          <w:highlight w:val="none"/>
        </w:rPr>
        <w:t>二次招标后</w:t>
      </w:r>
      <w:r>
        <w:rPr>
          <w:rFonts w:hint="eastAsia" w:ascii="宋体" w:hAnsi="宋体" w:eastAsia="宋体" w:cs="宋体"/>
          <w:szCs w:val="22"/>
          <w:highlight w:val="none"/>
          <w:lang w:val="en-US" w:eastAsia="zh-CN"/>
        </w:rPr>
        <w:t>投标报价</w:t>
      </w:r>
      <w:r>
        <w:rPr>
          <w:rFonts w:hint="eastAsia" w:ascii="宋体" w:hAnsi="宋体" w:eastAsia="宋体" w:cs="宋体"/>
          <w:szCs w:val="22"/>
          <w:highlight w:val="none"/>
        </w:rPr>
        <w:t>与</w:t>
      </w:r>
      <w:r>
        <w:rPr>
          <w:rFonts w:hint="eastAsia" w:ascii="宋体" w:hAnsi="宋体" w:eastAsia="宋体" w:cs="宋体"/>
          <w:szCs w:val="22"/>
          <w:highlight w:val="none"/>
          <w:lang w:eastAsia="zh-CN"/>
        </w:rPr>
        <w:t>乙方</w:t>
      </w:r>
      <w:r>
        <w:rPr>
          <w:rFonts w:hint="eastAsia" w:ascii="宋体" w:hAnsi="宋体" w:eastAsia="宋体" w:cs="宋体"/>
          <w:szCs w:val="22"/>
          <w:highlight w:val="none"/>
        </w:rPr>
        <w:t>投标报价的差额费用、诉讼费、鉴定费、诉责险费、保全费、律师费等</w:t>
      </w:r>
      <w:r>
        <w:rPr>
          <w:rFonts w:hint="eastAsia" w:ascii="宋体" w:hAnsi="宋体" w:eastAsia="宋体" w:cs="宋体"/>
          <w:szCs w:val="22"/>
          <w:highlight w:val="none"/>
          <w:lang w:eastAsia="zh-CN"/>
        </w:rPr>
        <w:t>。</w:t>
      </w:r>
      <w:r>
        <w:rPr>
          <w:rFonts w:hint="eastAsia" w:ascii="宋体" w:hAnsi="宋体" w:eastAsia="宋体" w:cs="宋体"/>
          <w:szCs w:val="22"/>
          <w:highlight w:val="none"/>
        </w:rPr>
        <w:t>因</w:t>
      </w:r>
      <w:r>
        <w:rPr>
          <w:rFonts w:hint="eastAsia" w:ascii="宋体" w:hAnsi="宋体" w:eastAsia="宋体" w:cs="宋体"/>
          <w:szCs w:val="22"/>
          <w:highlight w:val="none"/>
          <w:lang w:eastAsia="zh-CN"/>
        </w:rPr>
        <w:t>乙方</w:t>
      </w:r>
      <w:r>
        <w:rPr>
          <w:rFonts w:hint="eastAsia" w:ascii="宋体" w:hAnsi="宋体" w:eastAsia="宋体" w:cs="宋体"/>
          <w:szCs w:val="22"/>
          <w:highlight w:val="none"/>
          <w:lang w:val="en-US" w:eastAsia="zh-CN"/>
        </w:rPr>
        <w:t>工期逾期</w:t>
      </w:r>
      <w:r>
        <w:rPr>
          <w:rFonts w:hint="eastAsia" w:ascii="宋体" w:hAnsi="宋体" w:eastAsia="宋体" w:cs="宋体"/>
          <w:szCs w:val="22"/>
          <w:highlight w:val="none"/>
        </w:rPr>
        <w:t>原因导致合同解除的，</w:t>
      </w:r>
      <w:r>
        <w:rPr>
          <w:rFonts w:hint="eastAsia" w:ascii="宋体" w:hAnsi="宋体" w:eastAsia="宋体" w:cs="宋体"/>
          <w:szCs w:val="22"/>
          <w:highlight w:val="none"/>
          <w:lang w:val="en-US" w:eastAsia="zh-CN"/>
        </w:rPr>
        <w:t>乙方</w:t>
      </w:r>
      <w:r>
        <w:rPr>
          <w:rFonts w:hint="eastAsia" w:ascii="宋体" w:hAnsi="宋体" w:eastAsia="宋体" w:cs="宋体"/>
          <w:szCs w:val="22"/>
          <w:highlight w:val="none"/>
        </w:rPr>
        <w:t>还用承担合同总额20%的违约金。</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四、项目质量要求：</w:t>
      </w:r>
    </w:p>
    <w:p>
      <w:pPr>
        <w:widowControl/>
        <w:spacing w:line="360" w:lineRule="auto"/>
        <w:ind w:firstLine="420" w:firstLineChars="200"/>
        <w:textAlignment w:val="baseline"/>
        <w:rPr>
          <w:rFonts w:ascii="宋体" w:hAnsi="宋体" w:eastAsia="宋体" w:cs="宋体"/>
          <w:szCs w:val="22"/>
          <w:highlight w:val="none"/>
          <w:lang w:val="en-GB"/>
        </w:rPr>
      </w:pPr>
      <w:r>
        <w:rPr>
          <w:rFonts w:hint="eastAsia" w:ascii="宋体" w:hAnsi="宋体" w:eastAsia="宋体" w:cs="宋体"/>
          <w:szCs w:val="22"/>
          <w:highlight w:val="none"/>
        </w:rPr>
        <w:t xml:space="preserve">   1、</w:t>
      </w:r>
      <w:r>
        <w:rPr>
          <w:rFonts w:hint="eastAsia" w:ascii="宋体" w:hAnsi="宋体" w:eastAsia="宋体" w:cs="宋体"/>
          <w:szCs w:val="22"/>
          <w:highlight w:val="none"/>
          <w:lang w:val="en-GB"/>
        </w:rPr>
        <w:t>乙方按设计文件（</w:t>
      </w:r>
      <w:r>
        <w:rPr>
          <w:rFonts w:hint="eastAsia" w:ascii="宋体" w:hAnsi="宋体" w:eastAsia="宋体" w:cs="宋体"/>
          <w:szCs w:val="22"/>
          <w:highlight w:val="none"/>
        </w:rPr>
        <w:t>如有）</w:t>
      </w:r>
      <w:r>
        <w:rPr>
          <w:rFonts w:hint="eastAsia" w:ascii="宋体" w:hAnsi="宋体" w:eastAsia="宋体" w:cs="宋体"/>
          <w:szCs w:val="22"/>
          <w:highlight w:val="none"/>
          <w:lang w:val="en-GB"/>
        </w:rPr>
        <w:t>、国家标准、地方规定进行施工。乙方在施工过程中应按施工图纸（</w:t>
      </w:r>
      <w:r>
        <w:rPr>
          <w:rFonts w:hint="eastAsia" w:ascii="宋体" w:hAnsi="宋体" w:eastAsia="宋体" w:cs="宋体"/>
          <w:szCs w:val="22"/>
          <w:highlight w:val="none"/>
        </w:rPr>
        <w:t>如有）和清单要求</w:t>
      </w:r>
      <w:r>
        <w:rPr>
          <w:rFonts w:hint="eastAsia" w:ascii="宋体" w:hAnsi="宋体" w:eastAsia="宋体" w:cs="宋体"/>
          <w:szCs w:val="22"/>
          <w:highlight w:val="none"/>
          <w:lang w:val="en-GB"/>
        </w:rPr>
        <w:t>施工，严格执行相关规范规程的技术要求。</w:t>
      </w:r>
    </w:p>
    <w:p>
      <w:pPr>
        <w:widowControl/>
        <w:spacing w:line="360" w:lineRule="auto"/>
        <w:ind w:firstLine="420" w:firstLineChars="200"/>
        <w:textAlignment w:val="baseline"/>
        <w:rPr>
          <w:rFonts w:ascii="宋体" w:hAnsi="宋体" w:eastAsia="宋体" w:cs="宋体"/>
          <w:szCs w:val="22"/>
          <w:highlight w:val="none"/>
          <w:lang w:val="en-GB"/>
        </w:rPr>
      </w:pPr>
      <w:r>
        <w:rPr>
          <w:rFonts w:hint="eastAsia" w:ascii="宋体" w:hAnsi="宋体" w:eastAsia="宋体" w:cs="宋体"/>
          <w:szCs w:val="22"/>
          <w:highlight w:val="none"/>
          <w:lang w:val="en-GB"/>
        </w:rPr>
        <w:t xml:space="preserve"> </w:t>
      </w:r>
      <w:r>
        <w:rPr>
          <w:rFonts w:hint="eastAsia" w:ascii="宋体" w:hAnsi="宋体" w:eastAsia="宋体" w:cs="宋体"/>
          <w:szCs w:val="22"/>
          <w:highlight w:val="none"/>
        </w:rPr>
        <w:t xml:space="preserve">  2、</w:t>
      </w:r>
      <w:r>
        <w:rPr>
          <w:rFonts w:hint="eastAsia" w:ascii="宋体" w:hAnsi="宋体" w:eastAsia="宋体" w:cs="宋体"/>
          <w:szCs w:val="22"/>
          <w:highlight w:val="none"/>
          <w:lang w:val="en-GB"/>
        </w:rPr>
        <w:t>甲方对质量有疑问要求复查时，乙方应积极配合；若复查合格，修复及检测费用由甲方承担，所耽误工期顺延；若复查不合格，整改、修复及检测费用由乙方承担，工期不予顺延。乙方还应赔偿甲方因复查不合格所遭受的损失。</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   3、乙方应严格按照国家行业施工规范、验收规范组织施工验收，项目整体质量达到甲方验收合格标准。</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   4、在施工期间，每道工序必须经监理验收合格后方可进行下道工序施工，否则返工的一切费用由乙方承担。乙方质量缺项问题，经甲方或监理书面函指出不整改的，甲方有权对乙方处以500元/次的罚款；如发生非甲方原因造成的质量事故，均应由乙方承担相应的责任并赔偿甲方由此遭受的一切损失。</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   5、材料应按照</w:t>
      </w:r>
      <w:r>
        <w:rPr>
          <w:rFonts w:hint="eastAsia" w:ascii="宋体" w:hAnsi="宋体" w:eastAsia="宋体" w:cs="宋体"/>
          <w:szCs w:val="22"/>
          <w:highlight w:val="none"/>
          <w:lang w:eastAsia="zh-CN"/>
        </w:rPr>
        <w:t>采购</w:t>
      </w:r>
      <w:r>
        <w:rPr>
          <w:rFonts w:hint="eastAsia" w:ascii="宋体" w:hAnsi="宋体" w:eastAsia="宋体" w:cs="宋体"/>
          <w:szCs w:val="22"/>
          <w:highlight w:val="none"/>
        </w:rPr>
        <w:t>文件中的规定，并结合乙方在</w:t>
      </w:r>
      <w:r>
        <w:rPr>
          <w:rFonts w:hint="eastAsia" w:ascii="宋体" w:hAnsi="宋体" w:eastAsia="宋体" w:cs="宋体"/>
          <w:szCs w:val="22"/>
          <w:highlight w:val="none"/>
          <w:lang w:val="en-US" w:eastAsia="zh-CN"/>
        </w:rPr>
        <w:t>响应</w:t>
      </w:r>
      <w:r>
        <w:rPr>
          <w:rFonts w:hint="eastAsia" w:ascii="宋体" w:hAnsi="宋体" w:eastAsia="宋体" w:cs="宋体"/>
          <w:szCs w:val="22"/>
          <w:highlight w:val="none"/>
        </w:rPr>
        <w:t>时提供的品牌进行现场验收，材料进场时必须出具材料出厂合格证及相关质保资料；为确保产品质量，甲方和监理有权按规范规定对用于该项目的材料进行复检，复检的相关费用由乙方承担，经复验，若发现乙方的项目材料存在质量问题的，乙方应无条件更换该项目材料并承担相关费用。因此给甲方造成损失的，还应赔偿甲方的损失。</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   6、未经甲方同意而擅自变更材料的（质量、品牌及规格等），甲方按合同价的 10% 进行罚款，并责令乙方停工，停工工期不予以顺延，乙方自行承担一切返工的费用。甲方对乙方的罚款不足以弥补甲方由此遭受的损失，乙方还应赔偿甲方的实际损失的差额部分。</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五、安全、文明施工：</w:t>
      </w:r>
    </w:p>
    <w:p>
      <w:pPr>
        <w:widowControl/>
        <w:spacing w:line="360" w:lineRule="auto"/>
        <w:ind w:firstLine="420" w:firstLineChars="200"/>
        <w:textAlignment w:val="baseline"/>
        <w:rPr>
          <w:rFonts w:ascii="宋体" w:hAnsi="宋体" w:eastAsia="宋体" w:cs="宋体"/>
          <w:szCs w:val="22"/>
          <w:highlight w:val="none"/>
          <w:lang w:val="en-GB"/>
        </w:rPr>
      </w:pPr>
      <w:r>
        <w:rPr>
          <w:rFonts w:hint="eastAsia" w:ascii="宋体" w:hAnsi="宋体" w:eastAsia="宋体" w:cs="宋体"/>
          <w:szCs w:val="22"/>
          <w:highlight w:val="none"/>
        </w:rPr>
        <w:t xml:space="preserve">   1、</w:t>
      </w:r>
      <w:r>
        <w:rPr>
          <w:rFonts w:hint="eastAsia" w:ascii="宋体" w:hAnsi="宋体" w:eastAsia="宋体" w:cs="宋体"/>
          <w:szCs w:val="22"/>
          <w:highlight w:val="none"/>
          <w:lang w:val="en-GB"/>
        </w:rPr>
        <w:t>本项目施工管理，乙方应严格遵守国家及地方有关安全、文明施工的规定，遵守甲方现场管理。</w:t>
      </w:r>
    </w:p>
    <w:p>
      <w:pPr>
        <w:widowControl/>
        <w:spacing w:line="360" w:lineRule="auto"/>
        <w:ind w:firstLine="420" w:firstLineChars="200"/>
        <w:textAlignment w:val="baseline"/>
        <w:rPr>
          <w:rFonts w:ascii="宋体" w:hAnsi="宋体" w:eastAsia="宋体" w:cs="宋体"/>
          <w:szCs w:val="22"/>
          <w:highlight w:val="none"/>
          <w:lang w:val="en-GB"/>
        </w:rPr>
      </w:pPr>
      <w:r>
        <w:rPr>
          <w:rFonts w:hint="eastAsia" w:ascii="宋体" w:hAnsi="宋体" w:eastAsia="宋体" w:cs="宋体"/>
          <w:szCs w:val="22"/>
          <w:highlight w:val="none"/>
        </w:rPr>
        <w:t xml:space="preserve">   </w:t>
      </w:r>
      <w:r>
        <w:rPr>
          <w:rFonts w:hint="eastAsia" w:ascii="宋体" w:hAnsi="宋体" w:eastAsia="宋体" w:cs="宋体"/>
          <w:szCs w:val="22"/>
          <w:highlight w:val="none"/>
          <w:lang w:val="en-GB"/>
        </w:rPr>
        <w:t>2、遵守地方政府和有关部门对施工场地交通、施工噪声、施工现场环境卫生和场外污染等管理规定，乙方自行承担因不遵守相关管理规定而受到的处罚。</w:t>
      </w:r>
    </w:p>
    <w:p>
      <w:pPr>
        <w:widowControl/>
        <w:spacing w:line="360" w:lineRule="auto"/>
        <w:ind w:firstLine="420" w:firstLineChars="200"/>
        <w:textAlignment w:val="baseline"/>
        <w:rPr>
          <w:rFonts w:ascii="宋体" w:hAnsi="宋体" w:eastAsia="宋体" w:cs="宋体"/>
          <w:szCs w:val="22"/>
          <w:highlight w:val="none"/>
          <w:lang w:val="en-GB"/>
        </w:rPr>
      </w:pPr>
      <w:r>
        <w:rPr>
          <w:rFonts w:hint="eastAsia" w:ascii="宋体" w:hAnsi="宋体" w:eastAsia="宋体" w:cs="宋体"/>
          <w:szCs w:val="22"/>
          <w:highlight w:val="none"/>
        </w:rPr>
        <w:t xml:space="preserve">   3、</w:t>
      </w:r>
      <w:r>
        <w:rPr>
          <w:rFonts w:hint="eastAsia" w:ascii="宋体" w:hAnsi="宋体" w:eastAsia="宋体" w:cs="宋体"/>
          <w:szCs w:val="22"/>
          <w:highlight w:val="none"/>
          <w:lang w:val="en-GB"/>
        </w:rPr>
        <w:t>在施工过程中，因乙方原因造成的甲乙双方及任何第三方的人员伤亡或财产损失，均由乙方承担法律责任和经济责任。</w:t>
      </w:r>
    </w:p>
    <w:p>
      <w:pPr>
        <w:widowControl/>
        <w:spacing w:line="360" w:lineRule="auto"/>
        <w:ind w:firstLine="420" w:firstLineChars="200"/>
        <w:textAlignment w:val="baseline"/>
        <w:rPr>
          <w:rFonts w:ascii="宋体" w:hAnsi="宋体" w:eastAsia="宋体" w:cs="宋体"/>
          <w:szCs w:val="22"/>
          <w:highlight w:val="none"/>
          <w:lang w:val="en-GB"/>
        </w:rPr>
      </w:pPr>
      <w:r>
        <w:rPr>
          <w:rFonts w:hint="eastAsia" w:ascii="宋体" w:hAnsi="宋体" w:eastAsia="宋体" w:cs="宋体"/>
          <w:szCs w:val="22"/>
          <w:highlight w:val="none"/>
        </w:rPr>
        <w:t xml:space="preserve">   4、</w:t>
      </w:r>
      <w:r>
        <w:rPr>
          <w:rFonts w:hint="eastAsia" w:ascii="宋体" w:hAnsi="宋体" w:eastAsia="宋体" w:cs="宋体"/>
          <w:szCs w:val="22"/>
          <w:highlight w:val="none"/>
          <w:lang w:val="en-GB"/>
        </w:rPr>
        <w:t>乙方在施工过程中，应加强对人员、设备、材料及施工工具等的现场管理，保持现场的整洁、整齐、规范；保证人流、物流、车流的畅通。</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   5、</w:t>
      </w:r>
      <w:r>
        <w:rPr>
          <w:rFonts w:hint="eastAsia" w:ascii="宋体" w:hAnsi="宋体" w:eastAsia="宋体" w:cs="宋体"/>
          <w:szCs w:val="22"/>
          <w:highlight w:val="none"/>
          <w:lang w:val="en-GB"/>
        </w:rPr>
        <w:t>施工中发生的安全事故，</w:t>
      </w:r>
      <w:r>
        <w:rPr>
          <w:rFonts w:hint="eastAsia" w:ascii="宋体" w:hAnsi="宋体" w:eastAsia="宋体" w:cs="宋体"/>
          <w:szCs w:val="22"/>
          <w:highlight w:val="none"/>
        </w:rPr>
        <w:t>由乙方负全部责任。甲方因此受到损失时，乙方负有赔偿责任。</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六、项目价款：</w:t>
      </w:r>
    </w:p>
    <w:p>
      <w:pPr>
        <w:widowControl/>
        <w:spacing w:line="360" w:lineRule="auto"/>
        <w:ind w:firstLine="420" w:firstLineChars="200"/>
        <w:textAlignment w:val="baseline"/>
        <w:rPr>
          <w:rFonts w:ascii="宋体" w:hAnsi="宋体" w:eastAsia="宋体" w:cs="宋体"/>
          <w:szCs w:val="22"/>
          <w:highlight w:val="none"/>
        </w:rPr>
      </w:pPr>
      <w:r>
        <w:rPr>
          <w:rFonts w:ascii="宋体" w:hAnsi="宋体" w:eastAsia="宋体" w:cs="宋体"/>
          <w:szCs w:val="22"/>
          <w:highlight w:val="none"/>
        </w:rPr>
        <w:t>1、合同</w:t>
      </w:r>
      <w:r>
        <w:rPr>
          <w:rFonts w:hint="eastAsia" w:ascii="宋体" w:hAnsi="宋体" w:eastAsia="宋体" w:cs="宋体"/>
          <w:szCs w:val="22"/>
          <w:highlight w:val="none"/>
          <w:lang w:val="en-US" w:eastAsia="zh-CN"/>
        </w:rPr>
        <w:t>暂定</w:t>
      </w:r>
      <w:r>
        <w:rPr>
          <w:rFonts w:ascii="宋体" w:hAnsi="宋体" w:eastAsia="宋体" w:cs="宋体"/>
          <w:szCs w:val="22"/>
          <w:highlight w:val="none"/>
        </w:rPr>
        <w:t>价款：人民币</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lang w:val="en-US" w:eastAsia="zh-CN"/>
        </w:rPr>
        <w:t>xxx</w:t>
      </w:r>
      <w:r>
        <w:rPr>
          <w:rFonts w:hint="eastAsia" w:ascii="宋体" w:hAnsi="宋体" w:eastAsia="宋体" w:cs="宋体"/>
          <w:szCs w:val="22"/>
          <w:highlight w:val="none"/>
          <w:u w:val="single"/>
        </w:rPr>
        <w:t>元</w:t>
      </w:r>
      <w:r>
        <w:rPr>
          <w:rFonts w:hint="eastAsia" w:ascii="宋体" w:hAnsi="宋体" w:eastAsia="宋体" w:cs="宋体"/>
          <w:szCs w:val="22"/>
          <w:highlight w:val="none"/>
          <w:u w:val="single"/>
          <w:lang w:val="en-US" w:eastAsia="zh-CN"/>
        </w:rPr>
        <w:t>x</w:t>
      </w:r>
      <w:r>
        <w:rPr>
          <w:rFonts w:hint="eastAsia" w:ascii="宋体" w:hAnsi="宋体" w:eastAsia="宋体" w:cs="宋体"/>
          <w:szCs w:val="22"/>
          <w:highlight w:val="none"/>
          <w:u w:val="single"/>
        </w:rPr>
        <w:t>角</w:t>
      </w:r>
      <w:r>
        <w:rPr>
          <w:rFonts w:hint="eastAsia" w:ascii="宋体" w:hAnsi="宋体" w:eastAsia="宋体" w:cs="宋体"/>
          <w:szCs w:val="22"/>
          <w:highlight w:val="none"/>
          <w:u w:val="single"/>
          <w:lang w:val="en-US" w:eastAsia="zh-CN"/>
        </w:rPr>
        <w:t>x</w:t>
      </w:r>
      <w:r>
        <w:rPr>
          <w:rFonts w:hint="eastAsia" w:ascii="宋体" w:hAnsi="宋体" w:eastAsia="宋体" w:cs="宋体"/>
          <w:szCs w:val="22"/>
          <w:highlight w:val="none"/>
          <w:u w:val="single"/>
        </w:rPr>
        <w:t xml:space="preserve">分 </w:t>
      </w:r>
      <w:r>
        <w:rPr>
          <w:rFonts w:ascii="宋体" w:hAnsi="宋体" w:eastAsia="宋体" w:cs="宋体"/>
          <w:szCs w:val="22"/>
          <w:highlight w:val="none"/>
        </w:rPr>
        <w:t>（小写：¥</w:t>
      </w:r>
      <w:r>
        <w:rPr>
          <w:rFonts w:hint="eastAsia" w:ascii="宋体" w:hAnsi="宋体" w:eastAsia="宋体" w:cs="宋体"/>
          <w:szCs w:val="22"/>
          <w:highlight w:val="none"/>
          <w:u w:val="single"/>
        </w:rPr>
        <w:t xml:space="preserve"> </w:t>
      </w:r>
      <w:r>
        <w:rPr>
          <w:rFonts w:hint="eastAsia" w:ascii="宋体" w:hAnsi="宋体" w:eastAsia="宋体" w:cs="宋体"/>
          <w:szCs w:val="21"/>
          <w:highlight w:val="none"/>
          <w:u w:val="single"/>
          <w:lang w:val="en-US" w:eastAsia="zh-CN"/>
        </w:rPr>
        <w:t>xxx（保留两位小数）</w:t>
      </w:r>
      <w:r>
        <w:rPr>
          <w:rFonts w:ascii="宋体" w:hAnsi="宋体" w:eastAsia="宋体" w:cs="宋体"/>
          <w:szCs w:val="22"/>
          <w:highlight w:val="none"/>
        </w:rPr>
        <w:t>元）。</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2、结算价：合同暂定价为含税价，结算按本合同“第七条”规定执行，最终结算按</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lang w:val="en-US" w:eastAsia="zh-CN"/>
        </w:rPr>
        <w:t>xxx</w:t>
      </w:r>
      <w:r>
        <w:rPr>
          <w:rFonts w:hint="eastAsia" w:ascii="宋体" w:hAnsi="宋体" w:eastAsia="宋体" w:cs="宋体"/>
          <w:szCs w:val="21"/>
          <w:highlight w:val="none"/>
          <w:u w:val="single"/>
          <w:lang w:val="en-US" w:eastAsia="zh-CN"/>
        </w:rPr>
        <w:t>（保留两位小数）</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%的比例下浮。注：下浮比例=1-［（</w:t>
      </w:r>
      <w:r>
        <w:rPr>
          <w:rFonts w:hint="eastAsia" w:ascii="宋体" w:hAnsi="宋体" w:eastAsia="宋体" w:cs="宋体"/>
          <w:szCs w:val="22"/>
          <w:highlight w:val="none"/>
          <w:lang w:val="en-US" w:eastAsia="zh-CN"/>
        </w:rPr>
        <w:t>成交</w:t>
      </w:r>
      <w:r>
        <w:rPr>
          <w:rFonts w:hint="eastAsia" w:ascii="宋体" w:hAnsi="宋体" w:eastAsia="宋体" w:cs="宋体"/>
          <w:szCs w:val="22"/>
          <w:highlight w:val="none"/>
        </w:rPr>
        <w:t>报价）-（暂列金额（如有）+暂估价（如有））］/［（</w:t>
      </w:r>
      <w:r>
        <w:rPr>
          <w:rFonts w:hint="eastAsia" w:ascii="宋体" w:hAnsi="宋体" w:eastAsia="宋体" w:cs="宋体"/>
          <w:szCs w:val="22"/>
          <w:highlight w:val="none"/>
          <w:lang w:val="en-US" w:eastAsia="zh-CN"/>
        </w:rPr>
        <w:t>响应文件总报</w:t>
      </w:r>
      <w:r>
        <w:rPr>
          <w:rFonts w:hint="eastAsia" w:ascii="宋体" w:hAnsi="宋体" w:eastAsia="宋体" w:cs="宋体"/>
          <w:szCs w:val="22"/>
          <w:highlight w:val="none"/>
        </w:rPr>
        <w:t>价）-（暂列金额（如有）+暂估价（如有））］</w:t>
      </w:r>
      <w:r>
        <w:rPr>
          <w:rFonts w:ascii="宋体" w:hAnsi="宋体" w:eastAsia="宋体" w:cs="宋体"/>
          <w:szCs w:val="22"/>
          <w:highlight w:val="none"/>
        </w:rPr>
        <w:t>。</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七、结算方式：</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1、</w:t>
      </w:r>
      <w:r>
        <w:rPr>
          <w:rFonts w:hint="eastAsia" w:ascii="宋体" w:hAnsi="宋体" w:eastAsia="宋体" w:cs="宋体"/>
          <w:szCs w:val="22"/>
          <w:highlight w:val="none"/>
          <w:lang w:eastAsia="zh-CN"/>
        </w:rPr>
        <w:t>采购</w:t>
      </w:r>
      <w:r>
        <w:rPr>
          <w:rFonts w:hint="eastAsia" w:ascii="宋体" w:hAnsi="宋体" w:eastAsia="宋体" w:cs="宋体"/>
          <w:szCs w:val="22"/>
          <w:highlight w:val="none"/>
        </w:rPr>
        <w:t>文件清单内项目价款结算确定方式：</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highlight w:val="none"/>
        </w:rPr>
        <w:t>工程量据实结算。当工程量偏差不超出</w:t>
      </w:r>
      <w:r>
        <w:rPr>
          <w:rFonts w:hint="eastAsia" w:ascii="宋体" w:hAnsi="宋体" w:eastAsia="宋体" w:cs="宋体"/>
          <w:szCs w:val="22"/>
          <w:highlight w:val="none"/>
          <w:lang w:eastAsia="zh-CN"/>
        </w:rPr>
        <w:t>采购</w:t>
      </w:r>
      <w:r>
        <w:rPr>
          <w:rFonts w:hint="eastAsia" w:ascii="宋体" w:hAnsi="宋体" w:eastAsia="宋体" w:cs="宋体"/>
          <w:szCs w:val="22"/>
          <w:highlight w:val="none"/>
        </w:rPr>
        <w:t>清单工程量15%时，采用</w:t>
      </w:r>
      <w:r>
        <w:rPr>
          <w:rFonts w:hint="eastAsia" w:ascii="宋体" w:hAnsi="宋体" w:eastAsia="宋体" w:cs="宋体"/>
          <w:szCs w:val="22"/>
          <w:highlight w:val="none"/>
          <w:lang w:val="en-US" w:eastAsia="zh-CN"/>
        </w:rPr>
        <w:t>响应文件</w:t>
      </w:r>
      <w:r>
        <w:rPr>
          <w:rFonts w:hint="eastAsia" w:ascii="宋体" w:hAnsi="宋体" w:eastAsia="宋体" w:cs="宋体"/>
          <w:szCs w:val="22"/>
          <w:highlight w:val="none"/>
        </w:rPr>
        <w:t>综合单价；当工程量偏差超出</w:t>
      </w:r>
      <w:r>
        <w:rPr>
          <w:rFonts w:hint="eastAsia" w:ascii="宋体" w:hAnsi="宋体" w:eastAsia="宋体" w:cs="宋体"/>
          <w:szCs w:val="22"/>
          <w:highlight w:val="none"/>
          <w:lang w:eastAsia="zh-CN"/>
        </w:rPr>
        <w:t>采购</w:t>
      </w:r>
      <w:r>
        <w:rPr>
          <w:rFonts w:hint="eastAsia" w:ascii="宋体" w:hAnsi="宋体" w:eastAsia="宋体" w:cs="宋体"/>
          <w:szCs w:val="22"/>
          <w:highlight w:val="none"/>
        </w:rPr>
        <w:t>清单工程量15%时，按2013年建设工程工程</w:t>
      </w:r>
      <w:r>
        <w:rPr>
          <w:rFonts w:hint="eastAsia" w:ascii="宋体" w:hAnsi="宋体" w:eastAsia="宋体" w:cs="宋体"/>
          <w:szCs w:val="22"/>
        </w:rPr>
        <w:t>量清单计价规范及国家相关规定执行。</w:t>
      </w:r>
      <w:r>
        <w:rPr>
          <w:rFonts w:hint="eastAsia" w:ascii="宋体" w:hAnsi="宋体" w:eastAsia="宋体" w:cs="宋体"/>
          <w:szCs w:val="22"/>
          <w:lang w:eastAsia="zh-CN"/>
        </w:rPr>
        <w:t>采购</w:t>
      </w:r>
      <w:r>
        <w:rPr>
          <w:rFonts w:hint="eastAsia" w:ascii="宋体" w:hAnsi="宋体" w:eastAsia="宋体" w:cs="宋体"/>
          <w:szCs w:val="22"/>
        </w:rPr>
        <w:t>文件、</w:t>
      </w:r>
      <w:r>
        <w:rPr>
          <w:rFonts w:hint="eastAsia" w:ascii="宋体" w:hAnsi="宋体" w:eastAsia="宋体" w:cs="宋体"/>
          <w:szCs w:val="22"/>
          <w:lang w:eastAsia="zh-CN"/>
        </w:rPr>
        <w:t>采购</w:t>
      </w:r>
      <w:r>
        <w:rPr>
          <w:rFonts w:hint="eastAsia" w:ascii="宋体" w:hAnsi="宋体" w:eastAsia="宋体" w:cs="宋体"/>
          <w:szCs w:val="22"/>
        </w:rPr>
        <w:t>答疑及工程量清单中所有项目，在乙方未报价的情况下，均视为乙方已考虑到</w:t>
      </w:r>
      <w:r>
        <w:rPr>
          <w:rFonts w:hint="eastAsia" w:ascii="宋体" w:hAnsi="宋体" w:eastAsia="宋体" w:cs="宋体"/>
          <w:szCs w:val="22"/>
          <w:lang w:val="en-US" w:eastAsia="zh-CN"/>
        </w:rPr>
        <w:t>响应</w:t>
      </w:r>
      <w:r>
        <w:rPr>
          <w:rFonts w:hint="eastAsia" w:ascii="宋体" w:hAnsi="宋体" w:eastAsia="宋体" w:cs="宋体"/>
          <w:szCs w:val="22"/>
        </w:rPr>
        <w:t>报价中，结算时不增加费用。乙方在</w:t>
      </w:r>
      <w:r>
        <w:rPr>
          <w:rFonts w:hint="eastAsia" w:ascii="宋体" w:hAnsi="宋体" w:eastAsia="宋体" w:cs="宋体"/>
          <w:szCs w:val="22"/>
          <w:lang w:val="en-US" w:eastAsia="zh-CN"/>
        </w:rPr>
        <w:t>响应</w:t>
      </w:r>
      <w:r>
        <w:rPr>
          <w:rFonts w:hint="eastAsia" w:ascii="宋体" w:hAnsi="宋体" w:eastAsia="宋体" w:cs="宋体"/>
          <w:szCs w:val="22"/>
        </w:rPr>
        <w:t>时如修改</w:t>
      </w:r>
      <w:r>
        <w:rPr>
          <w:rFonts w:hint="eastAsia" w:ascii="宋体" w:hAnsi="宋体" w:eastAsia="宋体" w:cs="宋体"/>
          <w:szCs w:val="22"/>
          <w:lang w:eastAsia="zh-CN"/>
        </w:rPr>
        <w:t>采购</w:t>
      </w:r>
      <w:r>
        <w:rPr>
          <w:rFonts w:hint="eastAsia" w:ascii="宋体" w:hAnsi="宋体" w:eastAsia="宋体" w:cs="宋体"/>
          <w:szCs w:val="22"/>
        </w:rPr>
        <w:t>工程量清单，结算时按</w:t>
      </w:r>
      <w:r>
        <w:rPr>
          <w:rFonts w:hint="eastAsia" w:ascii="宋体" w:hAnsi="宋体" w:eastAsia="宋体" w:cs="宋体"/>
          <w:szCs w:val="22"/>
          <w:lang w:val="en-US" w:eastAsia="zh-CN"/>
        </w:rPr>
        <w:t>响应文件</w:t>
      </w:r>
      <w:r>
        <w:rPr>
          <w:rFonts w:hint="eastAsia" w:ascii="宋体" w:hAnsi="宋体" w:eastAsia="宋体" w:cs="宋体"/>
          <w:szCs w:val="22"/>
        </w:rPr>
        <w:t>单项总价除以</w:t>
      </w:r>
      <w:r>
        <w:rPr>
          <w:rFonts w:hint="eastAsia" w:ascii="宋体" w:hAnsi="宋体" w:eastAsia="宋体" w:cs="宋体"/>
          <w:szCs w:val="22"/>
          <w:lang w:eastAsia="zh-CN"/>
        </w:rPr>
        <w:t>采购</w:t>
      </w:r>
      <w:r>
        <w:rPr>
          <w:rFonts w:hint="eastAsia" w:ascii="宋体" w:hAnsi="宋体" w:eastAsia="宋体" w:cs="宋体"/>
          <w:szCs w:val="22"/>
        </w:rPr>
        <w:t>工程量数量计算综合单价。</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2、本项目</w:t>
      </w:r>
      <w:r>
        <w:rPr>
          <w:rFonts w:hint="eastAsia" w:ascii="宋体" w:hAnsi="宋体" w:eastAsia="宋体" w:cs="宋体"/>
          <w:szCs w:val="22"/>
          <w:lang w:val="en-US" w:eastAsia="zh-CN"/>
        </w:rPr>
        <w:t>响应文件</w:t>
      </w:r>
      <w:r>
        <w:rPr>
          <w:rFonts w:hint="eastAsia" w:ascii="宋体" w:hAnsi="宋体" w:eastAsia="宋体" w:cs="宋体"/>
          <w:szCs w:val="22"/>
        </w:rPr>
        <w:t>外增加或减少项目的变更项目经甲方签字确认后方可施工，工程量由跟踪审计及施工单位现场共同实测签字确认；变更价款确定方式如下：</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I．已标价工程量清单中有适用于变更工程项目的，应采用该项目的单价；但当项目变更导致该清单项目的项目数量发生变化，且工程量偏差超过15%时，该项目单价按2013年建设工程工程量清单计价规范执行；</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II．已标价工程量清单中没有适用但有类似于变更工程项目的，可在合理范围内参照类似项目的单价；</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III．已标价工程量清单中没有适用也没有类似于变更工程项目的，应由乙方根据变更工程资料、计量规则和计价办法、工程造价管理机构发布的施工同期《武汉建设工程价格信息》和乙方报价浮动率提出变更工程项目的单价，并报甲方书面确认后调整，工程量据实结算。</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Ⅳ.已标价工程量清单中没有适用也没有类似于变更工程项目,且工程造价管理机构发布的信息价格缺价的，应由乙方根据变更工程资料、计量规则、计价办法和通过市场调查等取得合法依据的市场价格提出变更工程项目的单价，报甲方书面确认后调整，工程量据实结算。</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3、根据本合同第七条第1项和第2项【除（III）、（Ⅳ）】</w:t>
      </w:r>
      <w:r>
        <w:rPr>
          <w:rFonts w:ascii="宋体" w:hAnsi="宋体" w:eastAsia="宋体" w:cs="宋体"/>
          <w:szCs w:val="22"/>
        </w:rPr>
        <w:t>确定的综合单价、实际完工工程量所计算出的工程总造价，按下浮</w:t>
      </w:r>
      <w:r>
        <w:rPr>
          <w:rFonts w:hint="eastAsia" w:ascii="宋体" w:hAnsi="宋体" w:eastAsia="宋体" w:cs="宋体"/>
          <w:szCs w:val="22"/>
          <w:lang w:val="en-US" w:eastAsia="zh-CN"/>
        </w:rPr>
        <w:t>比例</w:t>
      </w:r>
      <w:r>
        <w:rPr>
          <w:rFonts w:hint="eastAsia" w:ascii="宋体" w:hAnsi="宋体" w:eastAsia="宋体" w:cs="宋体"/>
          <w:szCs w:val="22"/>
          <w:lang w:eastAsia="zh-CN"/>
        </w:rPr>
        <w:t>（</w:t>
      </w:r>
      <w:r>
        <w:rPr>
          <w:rFonts w:hint="eastAsia" w:ascii="宋体" w:hAnsi="宋体" w:eastAsia="宋体" w:cs="宋体"/>
          <w:szCs w:val="22"/>
          <w:lang w:val="en-US" w:eastAsia="zh-CN"/>
        </w:rPr>
        <w:t>计算方式见第六条</w:t>
      </w:r>
      <w:r>
        <w:rPr>
          <w:rFonts w:hint="eastAsia" w:ascii="宋体" w:hAnsi="宋体" w:eastAsia="宋体" w:cs="宋体"/>
          <w:szCs w:val="22"/>
          <w:lang w:eastAsia="zh-CN"/>
        </w:rPr>
        <w:t>）</w:t>
      </w:r>
      <w:r>
        <w:rPr>
          <w:rFonts w:ascii="宋体" w:hAnsi="宋体" w:eastAsia="宋体" w:cs="宋体"/>
          <w:szCs w:val="22"/>
        </w:rPr>
        <w:t>同比例整体下浮。</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rPr>
        <w:t>4、如甲方原因删</w:t>
      </w:r>
      <w:r>
        <w:rPr>
          <w:rFonts w:hint="eastAsia" w:ascii="宋体" w:hAnsi="宋体" w:eastAsia="宋体" w:cs="宋体"/>
          <w:szCs w:val="22"/>
          <w:highlight w:val="none"/>
        </w:rPr>
        <w:t>减工作或项目的，甲方不承担相关费用及补偿。</w:t>
      </w:r>
    </w:p>
    <w:p>
      <w:pPr>
        <w:widowControl/>
        <w:spacing w:line="360" w:lineRule="auto"/>
        <w:ind w:firstLine="420" w:firstLineChars="200"/>
        <w:textAlignment w:val="baseline"/>
        <w:rPr>
          <w:rFonts w:hint="default" w:ascii="宋体" w:hAnsi="宋体" w:eastAsia="宋体" w:cs="宋体"/>
          <w:szCs w:val="22"/>
          <w:highlight w:val="none"/>
          <w:lang w:val="en-US" w:eastAsia="zh-CN"/>
        </w:rPr>
      </w:pPr>
      <w:r>
        <w:rPr>
          <w:rFonts w:hint="eastAsia" w:ascii="宋体" w:hAnsi="宋体" w:eastAsia="宋体" w:cs="宋体"/>
          <w:szCs w:val="22"/>
          <w:highlight w:val="none"/>
        </w:rPr>
        <w:t>5、项目结算价款=合同价</w:t>
      </w:r>
      <w:r>
        <w:rPr>
          <w:rFonts w:hint="eastAsia" w:ascii="宋体" w:hAnsi="宋体" w:eastAsia="宋体" w:cs="宋体"/>
          <w:szCs w:val="22"/>
          <w:highlight w:val="none"/>
          <w:lang w:eastAsia="zh-CN"/>
        </w:rPr>
        <w:t>（</w:t>
      </w:r>
      <w:r>
        <w:rPr>
          <w:rFonts w:hint="eastAsia" w:ascii="宋体" w:hAnsi="宋体" w:eastAsia="宋体" w:cs="宋体"/>
          <w:szCs w:val="22"/>
          <w:highlight w:val="none"/>
          <w:lang w:val="en-US" w:eastAsia="zh-CN"/>
        </w:rPr>
        <w:t>按工程量据实结算部分</w:t>
      </w:r>
      <w:r>
        <w:rPr>
          <w:rFonts w:hint="eastAsia" w:ascii="宋体" w:hAnsi="宋体" w:eastAsia="宋体" w:cs="宋体"/>
          <w:szCs w:val="22"/>
          <w:highlight w:val="none"/>
          <w:lang w:eastAsia="zh-CN"/>
        </w:rPr>
        <w:t>）</w:t>
      </w:r>
      <w:r>
        <w:rPr>
          <w:rFonts w:hint="eastAsia" w:ascii="宋体" w:hAnsi="宋体" w:eastAsia="宋体" w:cs="宋体"/>
          <w:szCs w:val="22"/>
          <w:highlight w:val="none"/>
        </w:rPr>
        <w:t>±变更款</w:t>
      </w:r>
      <w:r>
        <w:rPr>
          <w:rFonts w:hint="eastAsia" w:ascii="宋体" w:hAnsi="宋体" w:eastAsia="宋体" w:cs="宋体"/>
          <w:szCs w:val="22"/>
          <w:highlight w:val="none"/>
          <w:lang w:eastAsia="zh-CN"/>
        </w:rPr>
        <w:t>（</w:t>
      </w:r>
      <w:r>
        <w:rPr>
          <w:rFonts w:hint="eastAsia" w:ascii="宋体" w:hAnsi="宋体" w:eastAsia="宋体" w:cs="宋体"/>
          <w:szCs w:val="22"/>
          <w:highlight w:val="none"/>
          <w:lang w:val="en-US" w:eastAsia="zh-CN"/>
        </w:rPr>
        <w:t>增减项目部分</w:t>
      </w:r>
      <w:r>
        <w:rPr>
          <w:rFonts w:hint="eastAsia" w:ascii="宋体" w:hAnsi="宋体" w:eastAsia="宋体" w:cs="宋体"/>
          <w:szCs w:val="22"/>
          <w:highlight w:val="none"/>
          <w:lang w:eastAsia="zh-CN"/>
        </w:rPr>
        <w:t>）</w:t>
      </w:r>
      <w:r>
        <w:rPr>
          <w:rFonts w:hint="eastAsia" w:ascii="宋体" w:hAnsi="宋体" w:eastAsia="宋体" w:cs="宋体"/>
          <w:szCs w:val="22"/>
          <w:highlight w:val="none"/>
        </w:rPr>
        <w:t>-罚款金额</w:t>
      </w:r>
      <w:r>
        <w:rPr>
          <w:rFonts w:hint="eastAsia" w:ascii="宋体" w:hAnsi="宋体" w:eastAsia="宋体" w:cs="宋体"/>
          <w:szCs w:val="22"/>
          <w:highlight w:val="none"/>
          <w:lang w:val="en-US" w:eastAsia="zh-CN"/>
        </w:rPr>
        <w:t>-违约金</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6、计税方式按国家最新政策进行调整。</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八、付款方式：</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1、合同签订后，支付30%首付款；材料进场支付至75%工程款；工程完工验收合格后，乙方向甲方提供结算书及审计等资料，经学校审计部门结算审计完毕后，乙方支付审定金额的1.5%作为质保金，甲方支付至审定金额的100%，质量保修期满2年且无任何质量问题一次性无息返还质保金。结算时审减率超10%。审计费用全部由施工单位承担。</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九、双方权利、义务：</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甲方权利、义务</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1、为乙方提供水电等作业施工条件，水电费用由乙方承担，甲方组织项目验收。</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2、甲方指派现场管理代表，协同监理单位负责现场进度、质量安全、文明施工等管理工作，及负责工程量的签证，材料的验收、抽检等具体事宜。</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乙方权利、义务</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1、负责现有场地的成品保护；若造成损失，根据损失的情况，甲方有权向乙方进行索赔。</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2、乙方按合同对质量、工期的要求完成项目全部工作，以达到甲方验收合格标准。</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3、竣工验收合格完毕后</w:t>
      </w:r>
      <w:r>
        <w:rPr>
          <w:rFonts w:hint="eastAsia" w:ascii="宋体" w:hAnsi="宋体" w:eastAsia="宋体" w:cs="宋体"/>
          <w:szCs w:val="22"/>
          <w:highlight w:val="none"/>
          <w:u w:val="single"/>
        </w:rPr>
        <w:t xml:space="preserve">  15  </w:t>
      </w:r>
      <w:r>
        <w:rPr>
          <w:rFonts w:hint="eastAsia" w:ascii="宋体" w:hAnsi="宋体" w:eastAsia="宋体" w:cs="宋体"/>
          <w:szCs w:val="22"/>
          <w:highlight w:val="none"/>
        </w:rPr>
        <w:t>日内，乙方提供完整的工程竣工验收资料及结算资料各两份。</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4、负责施工安全，做到文明施工，严格遵守建筑法规，保持周边环境卫生，确保项目顺利进行。如因乙方原因造成质量、安全事故（含人员伤亡事故、消防事故等），由乙方承担一切经济和法律责任。</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5、乙方自行解决施工人员住宿问题。</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6、乙方指派</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lang w:val="en-US" w:eastAsia="zh-CN"/>
        </w:rPr>
        <w:t>姓名</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为项目经理，</w:t>
      </w:r>
      <w:r>
        <w:rPr>
          <w:rFonts w:hint="eastAsia" w:ascii="宋体" w:hAnsi="宋体" w:eastAsia="宋体" w:cs="宋体"/>
          <w:szCs w:val="22"/>
          <w:highlight w:val="none"/>
          <w:lang w:val="en-US" w:eastAsia="zh-CN"/>
        </w:rPr>
        <w:t>联系方式为</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single"/>
          <w:lang w:val="en-US" w:eastAsia="zh-CN"/>
        </w:rPr>
        <w:t>xxxxx</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u w:val="none"/>
          <w:lang w:eastAsia="zh-CN"/>
        </w:rPr>
        <w:t>，</w:t>
      </w:r>
      <w:r>
        <w:rPr>
          <w:rFonts w:hint="eastAsia" w:ascii="宋体" w:hAnsi="宋体" w:eastAsia="宋体" w:cs="宋体"/>
          <w:szCs w:val="22"/>
          <w:highlight w:val="none"/>
        </w:rPr>
        <w:t>非因客观因素或者不可抗力原因，施工期间不得以任何理由更换项目经理，每月项目经理驻场时间不得少于20天。一经违反，甲方有权向乙方主张合同总额1</w:t>
      </w:r>
      <w:r>
        <w:rPr>
          <w:rFonts w:ascii="宋体" w:hAnsi="宋体" w:eastAsia="宋体" w:cs="宋体"/>
          <w:szCs w:val="22"/>
          <w:highlight w:val="none"/>
        </w:rPr>
        <w:t>0</w:t>
      </w:r>
      <w:r>
        <w:rPr>
          <w:rFonts w:hint="eastAsia" w:ascii="宋体" w:hAnsi="宋体" w:eastAsia="宋体" w:cs="宋体"/>
          <w:szCs w:val="22"/>
          <w:highlight w:val="none"/>
        </w:rPr>
        <w:t>%的违约金，因项目经理未驻场而导致损失时，乙方负有赔偿责任且甲方可单方面解除本合同。</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7、乙方不得以任何理由拖欠农民工工资，妥善处理好一切关于农民工日常工资发放、保险购买事宜和日常生活管理事宜。</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十、项目验收</w:t>
      </w:r>
      <w:r>
        <w:rPr>
          <w:rFonts w:hint="eastAsia" w:ascii="宋体" w:hAnsi="宋体" w:eastAsia="宋体" w:cs="宋体"/>
          <w:szCs w:val="22"/>
          <w:highlight w:val="none"/>
        </w:rPr>
        <w:tab/>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1、项目完毕后，甲方组织相关部门进行项目验收。</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2、因乙方原因造成质量问题，乙方必须立即进行修整、返工直到满足规范及合同质量要求为止，修整、返工的费用由乙方自行承担。若因修整、返工造成的工期延误，乙方还将同时承担延期交付的罚款和承担相应的违约责任。</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十一、质量保修：</w:t>
      </w:r>
    </w:p>
    <w:p>
      <w:pPr>
        <w:widowControl/>
        <w:spacing w:line="360" w:lineRule="auto"/>
        <w:ind w:firstLine="420" w:firstLineChars="200"/>
        <w:textAlignment w:val="baseline"/>
        <w:rPr>
          <w:rFonts w:ascii="宋体" w:hAnsi="宋体" w:eastAsia="宋体" w:cs="宋体"/>
          <w:szCs w:val="22"/>
          <w:highlight w:val="none"/>
        </w:rPr>
      </w:pPr>
      <w:r>
        <w:rPr>
          <w:rFonts w:ascii="宋体" w:hAnsi="宋体" w:eastAsia="宋体" w:cs="宋体"/>
          <w:szCs w:val="22"/>
          <w:highlight w:val="none"/>
        </w:rPr>
        <w:t>1、</w:t>
      </w:r>
      <w:r>
        <w:rPr>
          <w:rFonts w:hint="eastAsia" w:ascii="宋体" w:hAnsi="宋体" w:eastAsia="宋体" w:cs="宋体"/>
          <w:szCs w:val="22"/>
          <w:highlight w:val="none"/>
          <w:lang w:val="zh-CN"/>
        </w:rPr>
        <w:t>质量保修期从项目经甲方验收合格时间起算，保修期2年；（其他质保期限按国家规定标准要求执行）。保修期满后乙方仍须对项目故障承担维修义务，维修仅收取必要材料成本费用，双方对于保修期后维修服务另有约定的，按约定处理</w:t>
      </w:r>
      <w:r>
        <w:rPr>
          <w:rFonts w:ascii="宋体" w:hAnsi="宋体" w:eastAsia="宋体" w:cs="宋体"/>
          <w:szCs w:val="22"/>
          <w:highlight w:val="none"/>
        </w:rPr>
        <w:t>。</w:t>
      </w:r>
    </w:p>
    <w:p>
      <w:pPr>
        <w:widowControl/>
        <w:spacing w:line="360" w:lineRule="auto"/>
        <w:ind w:firstLine="420" w:firstLineChars="200"/>
        <w:textAlignment w:val="baseline"/>
        <w:rPr>
          <w:rFonts w:ascii="宋体" w:hAnsi="宋体" w:eastAsia="宋体" w:cs="宋体"/>
          <w:szCs w:val="22"/>
          <w:highlight w:val="none"/>
        </w:rPr>
      </w:pPr>
      <w:r>
        <w:rPr>
          <w:rFonts w:ascii="宋体" w:hAnsi="宋体" w:eastAsia="宋体" w:cs="宋体"/>
          <w:szCs w:val="22"/>
          <w:highlight w:val="none"/>
        </w:rPr>
        <w:t>2、在保修期内发生质量问题，乙方</w:t>
      </w:r>
      <w:r>
        <w:rPr>
          <w:rFonts w:hint="eastAsia" w:ascii="宋体" w:hAnsi="宋体" w:eastAsia="宋体" w:cs="宋体"/>
          <w:szCs w:val="22"/>
          <w:highlight w:val="none"/>
        </w:rPr>
        <w:t>电话报修后 2 小时上门服务、5小时内排除故障</w:t>
      </w:r>
      <w:r>
        <w:rPr>
          <w:rFonts w:ascii="宋体" w:hAnsi="宋体" w:eastAsia="宋体" w:cs="宋体"/>
          <w:szCs w:val="22"/>
          <w:highlight w:val="none"/>
        </w:rPr>
        <w:t>。若乙方在接到通知后未按规定时间进行维修或由乙方原因无法联系上乙方，甲方可自行安排维修队伍进行维修，甲方为此支付的维修费用均由乙方承担。由此给甲方造成损失的，乙方还应赔偿甲方所遭受的损失，该损失包括甲方所受的直接损失及间接损失。</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十二、违约责任：</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本合同生效后，任何一方不得无故终止合同，否则违约方承担</w:t>
      </w:r>
      <w:r>
        <w:rPr>
          <w:rFonts w:hint="eastAsia" w:ascii="宋体" w:hAnsi="宋体" w:cs="宋体"/>
          <w:szCs w:val="22"/>
          <w:highlight w:val="none"/>
          <w:lang w:val="en-US" w:eastAsia="zh-CN"/>
        </w:rPr>
        <w:t>合同金额的</w:t>
      </w:r>
      <w:r>
        <w:rPr>
          <w:rFonts w:hint="eastAsia" w:ascii="宋体" w:hAnsi="宋体" w:eastAsia="宋体" w:cs="宋体"/>
          <w:szCs w:val="22"/>
          <w:highlight w:val="none"/>
          <w:lang w:val="en-US" w:eastAsia="zh-CN"/>
        </w:rPr>
        <w:t>2</w:t>
      </w:r>
      <w:r>
        <w:rPr>
          <w:rFonts w:hint="eastAsia" w:ascii="宋体" w:hAnsi="宋体" w:eastAsia="宋体" w:cs="宋体"/>
          <w:szCs w:val="22"/>
          <w:highlight w:val="none"/>
        </w:rPr>
        <w:t>0%的违约金,该违约金不足以弥补守约方实际损失的,违约方还应赔偿守约方实际损失之间的差额部分。</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十三、未尽事宜经双方协商，另行书面补充；若协商不成，双方均可向项目所在地人民法院提起诉讼解决。</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十四、本合同</w:t>
      </w:r>
      <w:r>
        <w:rPr>
          <w:rFonts w:hint="eastAsia" w:ascii="宋体" w:hAnsi="宋体" w:eastAsia="宋体" w:cs="宋体"/>
          <w:szCs w:val="22"/>
          <w:highlight w:val="none"/>
          <w:lang w:val="en-US" w:eastAsia="zh-CN"/>
        </w:rPr>
        <w:t>壹式陆</w:t>
      </w:r>
      <w:r>
        <w:rPr>
          <w:rFonts w:hint="eastAsia" w:ascii="宋体" w:hAnsi="宋体" w:eastAsia="宋体" w:cs="宋体"/>
          <w:szCs w:val="22"/>
          <w:highlight w:val="none"/>
        </w:rPr>
        <w:t>份，甲方执</w:t>
      </w:r>
      <w:r>
        <w:rPr>
          <w:rFonts w:hint="eastAsia" w:ascii="宋体" w:hAnsi="宋体" w:eastAsia="宋体" w:cs="宋体"/>
          <w:szCs w:val="22"/>
          <w:highlight w:val="none"/>
          <w:lang w:val="en-US" w:eastAsia="zh-CN"/>
        </w:rPr>
        <w:t>肆</w:t>
      </w:r>
      <w:r>
        <w:rPr>
          <w:rFonts w:hint="eastAsia" w:ascii="宋体" w:hAnsi="宋体" w:eastAsia="宋体" w:cs="宋体"/>
          <w:szCs w:val="22"/>
          <w:highlight w:val="none"/>
        </w:rPr>
        <w:t>份，乙方</w:t>
      </w:r>
      <w:r>
        <w:rPr>
          <w:rFonts w:hint="eastAsia" w:ascii="宋体" w:hAnsi="宋体" w:eastAsia="宋体" w:cs="宋体"/>
          <w:szCs w:val="22"/>
          <w:highlight w:val="none"/>
          <w:lang w:val="en-US" w:eastAsia="zh-CN"/>
        </w:rPr>
        <w:t>贰</w:t>
      </w:r>
      <w:r>
        <w:rPr>
          <w:rFonts w:hint="eastAsia" w:ascii="宋体" w:hAnsi="宋体" w:eastAsia="宋体" w:cs="宋体"/>
          <w:szCs w:val="22"/>
          <w:highlight w:val="none"/>
        </w:rPr>
        <w:t>份；具有同等的法律效力。本合同自甲乙双方法定代表人或者委托代理人签字之日起生效，项目质保期结束后失效。</w:t>
      </w:r>
    </w:p>
    <w:p>
      <w:pPr>
        <w:widowControl/>
        <w:spacing w:line="360" w:lineRule="auto"/>
        <w:ind w:firstLine="420" w:firstLineChars="200"/>
        <w:textAlignment w:val="baseline"/>
        <w:rPr>
          <w:rFonts w:ascii="宋体" w:hAnsi="宋体" w:eastAsia="宋体" w:cs="宋体"/>
          <w:szCs w:val="22"/>
          <w:highlight w:val="none"/>
        </w:rPr>
      </w:pP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甲方：中南民族大学                </w:t>
      </w:r>
      <w:r>
        <w:rPr>
          <w:rFonts w:ascii="宋体" w:hAnsi="宋体" w:eastAsia="宋体" w:cs="宋体"/>
          <w:szCs w:val="22"/>
          <w:highlight w:val="none"/>
        </w:rPr>
        <w:t xml:space="preserve"> </w:t>
      </w:r>
      <w:r>
        <w:rPr>
          <w:rFonts w:hint="eastAsia" w:ascii="宋体" w:hAnsi="宋体" w:eastAsia="宋体" w:cs="宋体"/>
          <w:szCs w:val="22"/>
          <w:highlight w:val="none"/>
        </w:rPr>
        <w:t xml:space="preserve"> 乙方：</w:t>
      </w:r>
      <w:r>
        <w:rPr>
          <w:rFonts w:hint="eastAsia" w:ascii="宋体" w:hAnsi="宋体" w:eastAsia="宋体" w:cs="宋体"/>
          <w:szCs w:val="22"/>
          <w:highlight w:val="none"/>
          <w:lang w:eastAsia="zh-CN"/>
        </w:rPr>
        <w:t>xxxxxx</w:t>
      </w:r>
      <w:r>
        <w:rPr>
          <w:rFonts w:hint="eastAsia" w:ascii="宋体" w:hAnsi="宋体" w:eastAsia="宋体" w:cs="宋体"/>
          <w:szCs w:val="22"/>
          <w:highlight w:val="none"/>
        </w:rPr>
        <w:t>公司</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甲方（盖章）：                       乙方（盖章）：</w:t>
      </w:r>
    </w:p>
    <w:p>
      <w:pPr>
        <w:widowControl/>
        <w:spacing w:line="360" w:lineRule="auto"/>
        <w:ind w:firstLine="420" w:firstLineChars="200"/>
        <w:textAlignment w:val="baseline"/>
        <w:rPr>
          <w:rFonts w:ascii="宋体" w:hAnsi="宋体" w:eastAsia="宋体" w:cs="宋体"/>
          <w:szCs w:val="22"/>
          <w:highlight w:val="none"/>
        </w:rPr>
      </w:pPr>
      <w:r>
        <w:rPr>
          <w:rFonts w:hint="eastAsia" w:ascii="宋体" w:hAnsi="宋体" w:eastAsia="宋体" w:cs="宋体"/>
          <w:szCs w:val="22"/>
          <w:highlight w:val="none"/>
        </w:rPr>
        <w:t xml:space="preserve">代表（签字）：                       代表（签字）：                                                    </w:t>
      </w:r>
    </w:p>
    <w:p>
      <w:pPr>
        <w:widowControl/>
        <w:spacing w:line="360" w:lineRule="auto"/>
        <w:ind w:firstLine="4200" w:firstLineChars="2000"/>
        <w:textAlignment w:val="baseline"/>
        <w:rPr>
          <w:rFonts w:ascii="宋体" w:hAnsi="宋体" w:eastAsia="宋体" w:cs="宋体"/>
          <w:szCs w:val="22"/>
          <w:highlight w:val="none"/>
        </w:rPr>
      </w:pPr>
      <w:r>
        <w:rPr>
          <w:rFonts w:hint="eastAsia" w:ascii="宋体" w:hAnsi="宋体" w:eastAsia="宋体" w:cs="宋体"/>
          <w:szCs w:val="22"/>
          <w:highlight w:val="none"/>
        </w:rPr>
        <w:t>收款人账号：</w:t>
      </w:r>
    </w:p>
    <w:p>
      <w:pPr>
        <w:widowControl/>
        <w:spacing w:line="360" w:lineRule="auto"/>
        <w:ind w:firstLine="4200" w:firstLineChars="2000"/>
        <w:textAlignment w:val="baseline"/>
        <w:rPr>
          <w:rFonts w:ascii="宋体" w:hAnsi="宋体" w:eastAsia="宋体" w:cs="宋体"/>
          <w:szCs w:val="22"/>
          <w:highlight w:val="none"/>
        </w:rPr>
      </w:pPr>
      <w:r>
        <w:rPr>
          <w:rFonts w:hint="eastAsia" w:ascii="宋体" w:hAnsi="宋体" w:eastAsia="宋体" w:cs="宋体"/>
          <w:szCs w:val="22"/>
          <w:highlight w:val="none"/>
        </w:rPr>
        <w:t>收款人开户行：</w:t>
      </w:r>
    </w:p>
    <w:p>
      <w:pPr>
        <w:widowControl/>
        <w:spacing w:line="360" w:lineRule="auto"/>
        <w:ind w:firstLine="420" w:firstLineChars="200"/>
        <w:textAlignment w:val="baseline"/>
        <w:rPr>
          <w:rFonts w:ascii="宋体" w:hAnsi="宋体" w:eastAsia="宋体" w:cs="宋体"/>
          <w:szCs w:val="22"/>
        </w:rPr>
      </w:pPr>
      <w:r>
        <w:rPr>
          <w:rFonts w:hint="eastAsia" w:ascii="宋体" w:hAnsi="宋体" w:eastAsia="宋体" w:cs="宋体"/>
          <w:szCs w:val="22"/>
        </w:rPr>
        <w:t xml:space="preserve">                                  </w:t>
      </w:r>
      <w:r>
        <w:rPr>
          <w:rFonts w:ascii="宋体" w:hAnsi="宋体" w:eastAsia="宋体" w:cs="宋体"/>
          <w:szCs w:val="22"/>
        </w:rPr>
        <w:t xml:space="preserve"> </w:t>
      </w:r>
      <w:r>
        <w:rPr>
          <w:rFonts w:hint="eastAsia" w:ascii="宋体" w:hAnsi="宋体" w:eastAsia="宋体" w:cs="宋体"/>
          <w:szCs w:val="22"/>
        </w:rPr>
        <w:t xml:space="preserve"> 联系电话：                            </w:t>
      </w:r>
    </w:p>
    <w:p>
      <w:pPr>
        <w:widowControl/>
        <w:spacing w:line="360" w:lineRule="auto"/>
        <w:ind w:left="4200" w:leftChars="2000"/>
        <w:textAlignment w:val="baseline"/>
        <w:rPr>
          <w:rFonts w:ascii="宋体" w:hAnsi="宋体" w:eastAsia="宋体" w:cs="宋体"/>
          <w:szCs w:val="22"/>
        </w:rPr>
      </w:pPr>
      <w:r>
        <w:rPr>
          <w:rFonts w:hint="eastAsia" w:ascii="宋体" w:hAnsi="宋体" w:eastAsia="宋体" w:cs="宋体"/>
          <w:szCs w:val="22"/>
        </w:rPr>
        <w:t>详细地址：</w:t>
      </w:r>
    </w:p>
    <w:p>
      <w:pPr>
        <w:widowControl/>
        <w:snapToGrid w:val="0"/>
        <w:spacing w:line="324" w:lineRule="auto"/>
        <w:jc w:val="left"/>
        <w:rPr>
          <w:rFonts w:ascii="宋体" w:cs="宋体"/>
          <w:kern w:val="0"/>
          <w:szCs w:val="21"/>
          <w:highlight w:val="none"/>
        </w:rPr>
      </w:pPr>
      <w:r>
        <w:rPr>
          <w:rFonts w:hint="eastAsia" w:ascii="宋体" w:hAnsi="宋体" w:cs="宋体"/>
          <w:b/>
          <w:bCs/>
          <w:szCs w:val="22"/>
          <w:lang w:val="en-US" w:eastAsia="zh-CN"/>
        </w:rPr>
        <w:t>*合同最终版以甲方提供为准。</w:t>
      </w:r>
      <w:r>
        <w:rPr>
          <w:rFonts w:ascii="宋体" w:cs="宋体"/>
          <w:kern w:val="0"/>
          <w:szCs w:val="21"/>
          <w:highlight w:val="none"/>
        </w:rPr>
        <w:br w:type="page"/>
      </w:r>
    </w:p>
    <w:p>
      <w:pPr>
        <w:spacing w:line="300" w:lineRule="auto"/>
        <w:ind w:firstLine="441" w:firstLineChars="210"/>
        <w:rPr>
          <w:highlight w:val="none"/>
        </w:rPr>
      </w:pPr>
    </w:p>
    <w:p>
      <w:pPr>
        <w:pStyle w:val="3"/>
        <w:spacing w:before="120" w:after="120"/>
        <w:rPr>
          <w:rFonts w:ascii="宋体" w:hAnsi="宋体"/>
          <w:color w:val="000000" w:themeColor="text1"/>
          <w:highlight w:val="none"/>
          <w14:textFill>
            <w14:solidFill>
              <w14:schemeClr w14:val="tx1"/>
            </w14:solidFill>
          </w14:textFill>
        </w:rPr>
      </w:pPr>
      <w:bookmarkStart w:id="106" w:name="_Toc10997"/>
      <w:r>
        <w:rPr>
          <w:rFonts w:hint="eastAsia" w:ascii="宋体" w:hAnsi="宋体"/>
          <w:color w:val="000000" w:themeColor="text1"/>
          <w:highlight w:val="none"/>
          <w14:textFill>
            <w14:solidFill>
              <w14:schemeClr w14:val="tx1"/>
            </w14:solidFill>
          </w14:textFill>
        </w:rPr>
        <w:t xml:space="preserve">第四章 </w:t>
      </w:r>
      <w:bookmarkEnd w:id="105"/>
      <w:r>
        <w:rPr>
          <w:rFonts w:hint="eastAsia" w:ascii="宋体" w:hAnsi="宋体"/>
          <w:color w:val="000000" w:themeColor="text1"/>
          <w:highlight w:val="none"/>
          <w14:textFill>
            <w14:solidFill>
              <w14:schemeClr w14:val="tx1"/>
            </w14:solidFill>
          </w14:textFill>
        </w:rPr>
        <w:t>评审程序、方法及标准</w:t>
      </w:r>
      <w:bookmarkEnd w:id="106"/>
    </w:p>
    <w:p>
      <w:pPr>
        <w:pStyle w:val="4"/>
        <w:snapToGrid w:val="0"/>
        <w:spacing w:before="0" w:after="0" w:line="360" w:lineRule="auto"/>
        <w:jc w:val="left"/>
        <w:rPr>
          <w:rFonts w:ascii="宋体" w:hAnsi="宋体" w:eastAsia="宋体" w:cs="宋体"/>
          <w:b/>
          <w:bCs w:val="0"/>
          <w:sz w:val="21"/>
          <w:szCs w:val="21"/>
          <w:highlight w:val="none"/>
        </w:rPr>
      </w:pPr>
      <w:bookmarkStart w:id="107" w:name="_Toc20518"/>
      <w:bookmarkStart w:id="108" w:name="_Toc470172701"/>
      <w:r>
        <w:rPr>
          <w:rFonts w:hint="eastAsia" w:ascii="宋体" w:hAnsi="宋体" w:eastAsia="宋体" w:cs="宋体"/>
          <w:b/>
          <w:bCs w:val="0"/>
          <w:sz w:val="21"/>
          <w:szCs w:val="21"/>
          <w:highlight w:val="none"/>
        </w:rPr>
        <w:t>一、评审方法</w:t>
      </w:r>
      <w:bookmarkEnd w:id="107"/>
    </w:p>
    <w:p>
      <w:pPr>
        <w:pStyle w:val="11"/>
        <w:snapToGrid w:val="0"/>
        <w:spacing w:line="360" w:lineRule="auto"/>
        <w:ind w:firstLineChars="200"/>
        <w:rPr>
          <w:rFonts w:ascii="宋体" w:hAnsi="宋体"/>
          <w:bCs/>
          <w:szCs w:val="21"/>
          <w:highlight w:val="none"/>
        </w:rPr>
      </w:pPr>
      <w:r>
        <w:rPr>
          <w:rFonts w:ascii="宋体" w:hAnsi="宋体"/>
          <w:bCs/>
          <w:szCs w:val="21"/>
          <w:highlight w:val="none"/>
        </w:rPr>
        <w:t>本次</w:t>
      </w:r>
      <w:r>
        <w:rPr>
          <w:rFonts w:hint="eastAsia" w:ascii="宋体" w:hAnsi="宋体"/>
          <w:bCs/>
          <w:szCs w:val="21"/>
          <w:highlight w:val="none"/>
        </w:rPr>
        <w:t>评审</w:t>
      </w:r>
      <w:r>
        <w:rPr>
          <w:rFonts w:ascii="宋体" w:hAnsi="宋体"/>
          <w:bCs/>
          <w:szCs w:val="21"/>
          <w:highlight w:val="none"/>
        </w:rPr>
        <w:t>采用</w:t>
      </w:r>
      <w:r>
        <w:rPr>
          <w:rFonts w:hint="eastAsia" w:ascii="宋体" w:hAnsi="宋体"/>
          <w:bCs/>
          <w:szCs w:val="21"/>
          <w:highlight w:val="none"/>
        </w:rPr>
        <w:t>综合评分法（百分制），即响应文件满足磋商文件全部实质性要求且按评审因素的量化指标评审得分最高的供应商为成交候选供应商的评审方法。</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综合评分法中的价格分统一采用低价优先法计算，即满足磋商文件要求且最后报价最低（经过政府采购政策调整后）的供应商的价格为磋商基准价，其价格分为满分。其他供应商的价格分统一按照下列公式计算：</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磋商报价得分=（磋商基准价/最后磋商报价）×价格权值×100</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项目评审过程中，不得去掉最后报价中的最高报价和最低报价。本项目评分保留小数点后两位。</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推荐成交候选供应商的方法：磋商小组</w:t>
      </w:r>
      <w:r>
        <w:rPr>
          <w:rFonts w:ascii="宋体" w:hAnsi="宋体"/>
          <w:bCs/>
          <w:szCs w:val="21"/>
          <w:highlight w:val="none"/>
        </w:rPr>
        <w:t>按评审后得分由高到低顺序</w:t>
      </w:r>
      <w:r>
        <w:rPr>
          <w:rFonts w:hint="eastAsia" w:ascii="宋体" w:hAnsi="宋体"/>
          <w:bCs/>
          <w:szCs w:val="21"/>
          <w:highlight w:val="none"/>
        </w:rPr>
        <w:t>进行推荐。</w:t>
      </w:r>
      <w:r>
        <w:rPr>
          <w:rFonts w:ascii="宋体" w:hAnsi="宋体"/>
          <w:bCs/>
          <w:szCs w:val="21"/>
          <w:highlight w:val="none"/>
        </w:rPr>
        <w:t>得分相同的，按</w:t>
      </w:r>
      <w:r>
        <w:rPr>
          <w:rFonts w:hint="eastAsia" w:ascii="宋体" w:hAnsi="宋体"/>
          <w:bCs/>
          <w:szCs w:val="21"/>
          <w:highlight w:val="none"/>
        </w:rPr>
        <w:t>最后</w:t>
      </w:r>
      <w:r>
        <w:rPr>
          <w:rFonts w:ascii="宋体" w:hAnsi="宋体"/>
          <w:bCs/>
          <w:szCs w:val="21"/>
          <w:highlight w:val="none"/>
        </w:rPr>
        <w:t>报价由低到高顺序排列</w:t>
      </w:r>
      <w:r>
        <w:rPr>
          <w:rFonts w:hint="eastAsia" w:ascii="宋体" w:hAnsi="宋体"/>
          <w:bCs/>
          <w:szCs w:val="21"/>
          <w:highlight w:val="none"/>
        </w:rPr>
        <w:t>；</w:t>
      </w:r>
      <w:r>
        <w:rPr>
          <w:rFonts w:ascii="宋体" w:hAnsi="宋体"/>
          <w:bCs/>
          <w:szCs w:val="21"/>
          <w:highlight w:val="none"/>
        </w:rPr>
        <w:t>得分且</w:t>
      </w:r>
      <w:r>
        <w:rPr>
          <w:rFonts w:hint="eastAsia" w:ascii="宋体" w:hAnsi="宋体"/>
          <w:bCs/>
          <w:szCs w:val="21"/>
          <w:highlight w:val="none"/>
        </w:rPr>
        <w:t>最后</w:t>
      </w:r>
      <w:r>
        <w:rPr>
          <w:rFonts w:ascii="宋体" w:hAnsi="宋体"/>
          <w:bCs/>
          <w:szCs w:val="21"/>
          <w:highlight w:val="none"/>
        </w:rPr>
        <w:t>报价相同的，按技术指标优劣顺序排列。</w:t>
      </w:r>
    </w:p>
    <w:p>
      <w:pPr>
        <w:pStyle w:val="4"/>
        <w:snapToGrid w:val="0"/>
        <w:spacing w:before="0" w:after="0" w:line="360" w:lineRule="auto"/>
        <w:jc w:val="left"/>
        <w:rPr>
          <w:rFonts w:ascii="宋体" w:hAnsi="宋体" w:eastAsia="宋体" w:cs="宋体"/>
          <w:b/>
          <w:bCs w:val="0"/>
          <w:sz w:val="21"/>
          <w:szCs w:val="21"/>
          <w:highlight w:val="none"/>
        </w:rPr>
      </w:pPr>
      <w:bookmarkStart w:id="109" w:name="_Toc27957"/>
      <w:r>
        <w:rPr>
          <w:rFonts w:hint="eastAsia" w:ascii="宋体" w:hAnsi="宋体" w:eastAsia="宋体" w:cs="宋体"/>
          <w:b/>
          <w:bCs w:val="0"/>
          <w:sz w:val="21"/>
          <w:szCs w:val="21"/>
          <w:highlight w:val="none"/>
        </w:rPr>
        <w:t>二、</w:t>
      </w:r>
      <w:bookmarkEnd w:id="108"/>
      <w:r>
        <w:rPr>
          <w:rFonts w:hint="eastAsia" w:ascii="宋体" w:hAnsi="宋体" w:eastAsia="宋体" w:cs="宋体"/>
          <w:b/>
          <w:bCs w:val="0"/>
          <w:sz w:val="21"/>
          <w:szCs w:val="21"/>
          <w:highlight w:val="none"/>
        </w:rPr>
        <w:t>评审程序</w:t>
      </w:r>
      <w:bookmarkEnd w:id="109"/>
    </w:p>
    <w:p>
      <w:pPr>
        <w:pStyle w:val="11"/>
        <w:adjustRightInd/>
        <w:snapToGrid w:val="0"/>
        <w:spacing w:line="360" w:lineRule="auto"/>
        <w:ind w:firstLine="413" w:firstLineChars="196"/>
        <w:textAlignment w:val="auto"/>
        <w:outlineLvl w:val="2"/>
        <w:rPr>
          <w:rFonts w:ascii="宋体" w:hAnsi="宋体"/>
          <w:b/>
          <w:bCs/>
          <w:szCs w:val="21"/>
          <w:highlight w:val="none"/>
        </w:rPr>
      </w:pPr>
      <w:r>
        <w:rPr>
          <w:rFonts w:hint="eastAsia" w:ascii="宋体" w:hAnsi="宋体"/>
          <w:b/>
          <w:bCs/>
          <w:kern w:val="2"/>
          <w:szCs w:val="21"/>
          <w:highlight w:val="none"/>
        </w:rPr>
        <w:t>（一）</w:t>
      </w:r>
      <w:bookmarkStart w:id="110" w:name="_Toc492403840"/>
      <w:r>
        <w:rPr>
          <w:rFonts w:hint="eastAsia" w:ascii="宋体" w:hAnsi="宋体"/>
          <w:b/>
          <w:bCs/>
          <w:szCs w:val="21"/>
          <w:highlight w:val="none"/>
        </w:rPr>
        <w:t>资格审查表</w:t>
      </w:r>
      <w:bookmarkEnd w:id="110"/>
    </w:p>
    <w:tbl>
      <w:tblPr>
        <w:tblStyle w:val="4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83"/>
        <w:gridCol w:w="3253"/>
        <w:gridCol w:w="5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3253" w:type="dxa"/>
            <w:vAlign w:val="center"/>
          </w:tcPr>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资格要求</w:t>
            </w:r>
          </w:p>
        </w:tc>
        <w:tc>
          <w:tcPr>
            <w:tcW w:w="5125"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须提供的资料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Merge w:val="restart"/>
            <w:vAlign w:val="center"/>
          </w:tcPr>
          <w:p>
            <w:pPr>
              <w:widowControl/>
              <w:numPr>
                <w:ilvl w:val="0"/>
                <w:numId w:val="2"/>
              </w:numPr>
              <w:adjustRightInd w:val="0"/>
              <w:snapToGrid w:val="0"/>
              <w:rPr>
                <w:rFonts w:ascii="宋体" w:hAnsi="宋体" w:cs="宋体"/>
                <w:kern w:val="0"/>
                <w:szCs w:val="21"/>
                <w:highlight w:val="none"/>
              </w:rPr>
            </w:pPr>
            <w:bookmarkStart w:id="111" w:name="OLE_LINK28" w:colFirst="1" w:colLast="1"/>
          </w:p>
        </w:tc>
        <w:tc>
          <w:tcPr>
            <w:tcW w:w="3253" w:type="dxa"/>
            <w:vAlign w:val="center"/>
          </w:tcPr>
          <w:p>
            <w:pPr>
              <w:snapToGrid w:val="0"/>
              <w:rPr>
                <w:rFonts w:ascii="宋体" w:hAnsi="宋体"/>
                <w:szCs w:val="21"/>
                <w:highlight w:val="none"/>
                <w:lang w:val="hr-HR"/>
              </w:rPr>
            </w:pPr>
            <w:r>
              <w:rPr>
                <w:rFonts w:hint="eastAsia" w:ascii="宋体" w:hAnsi="宋体"/>
                <w:szCs w:val="21"/>
                <w:highlight w:val="none"/>
                <w:lang w:val="hr-HR"/>
              </w:rPr>
              <w:t xml:space="preserve">具有独立承担民事责任的能力 </w:t>
            </w:r>
          </w:p>
        </w:tc>
        <w:tc>
          <w:tcPr>
            <w:tcW w:w="5125" w:type="dxa"/>
            <w:vAlign w:val="center"/>
          </w:tcPr>
          <w:p>
            <w:pPr>
              <w:snapToGrid w:val="0"/>
              <w:rPr>
                <w:rFonts w:ascii="宋体" w:hAnsi="宋体"/>
                <w:bCs/>
                <w:szCs w:val="21"/>
                <w:highlight w:val="none"/>
              </w:rPr>
            </w:pPr>
            <w:r>
              <w:rPr>
                <w:rFonts w:hint="eastAsia" w:ascii="宋体" w:hAnsi="宋体"/>
                <w:bCs/>
                <w:szCs w:val="21"/>
                <w:highlight w:val="none"/>
              </w:rPr>
              <w:t>如供应商是企业（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cs="宋体"/>
                <w:kern w:val="0"/>
                <w:szCs w:val="21"/>
                <w:highlight w:val="none"/>
              </w:rPr>
            </w:pPr>
            <w:r>
              <w:rPr>
                <w:rFonts w:hint="eastAsia" w:ascii="宋体" w:hAnsi="宋体"/>
                <w:szCs w:val="21"/>
                <w:highlight w:val="none"/>
                <w:lang w:val="hr-HR"/>
              </w:rPr>
              <w:t>具有良好的商业信誉和健全的财务会计制度</w:t>
            </w:r>
          </w:p>
        </w:tc>
        <w:tc>
          <w:tcPr>
            <w:tcW w:w="5125" w:type="dxa"/>
            <w:vAlign w:val="center"/>
          </w:tcPr>
          <w:p>
            <w:pPr>
              <w:adjustRightInd w:val="0"/>
              <w:snapToGrid w:val="0"/>
              <w:rPr>
                <w:rFonts w:ascii="宋体" w:hAnsi="宋体"/>
                <w:b/>
                <w:bCs/>
                <w:szCs w:val="21"/>
                <w:highlight w:val="none"/>
              </w:rPr>
            </w:pPr>
            <w:r>
              <w:rPr>
                <w:rFonts w:hint="eastAsia" w:ascii="宋体" w:hAnsi="宋体"/>
                <w:b/>
                <w:szCs w:val="21"/>
                <w:highlight w:val="none"/>
              </w:rPr>
              <w:t>由供应商对</w:t>
            </w:r>
            <w:r>
              <w:rPr>
                <w:rFonts w:ascii="宋体" w:hAnsi="宋体"/>
                <w:b/>
                <w:szCs w:val="21"/>
                <w:highlight w:val="none"/>
              </w:rPr>
              <w:t>以下内容</w:t>
            </w:r>
            <w:r>
              <w:rPr>
                <w:rFonts w:hint="eastAsia" w:ascii="宋体" w:hAnsi="宋体"/>
                <w:b/>
                <w:szCs w:val="21"/>
                <w:highlight w:val="none"/>
              </w:rPr>
              <w:t>提供书面承诺及声明</w:t>
            </w:r>
            <w:r>
              <w:rPr>
                <w:rFonts w:ascii="宋体" w:hAnsi="宋体"/>
                <w:b/>
                <w:szCs w:val="21"/>
                <w:highlight w:val="none"/>
              </w:rPr>
              <w:t>，或提供</w:t>
            </w:r>
            <w:r>
              <w:rPr>
                <w:rFonts w:hint="eastAsia" w:ascii="宋体" w:hAnsi="宋体"/>
                <w:b/>
                <w:szCs w:val="21"/>
                <w:highlight w:val="none"/>
              </w:rPr>
              <w:t>相应</w:t>
            </w:r>
            <w:r>
              <w:rPr>
                <w:rFonts w:ascii="宋体" w:hAnsi="宋体"/>
                <w:b/>
                <w:szCs w:val="21"/>
                <w:highlight w:val="none"/>
              </w:rPr>
              <w:t>证明材料。</w:t>
            </w:r>
          </w:p>
          <w:p>
            <w:pPr>
              <w:adjustRightInd w:val="0"/>
              <w:snapToGrid w:val="0"/>
              <w:rPr>
                <w:rFonts w:ascii="宋体" w:hAnsi="宋体"/>
                <w:bCs/>
                <w:szCs w:val="21"/>
                <w:highlight w:val="none"/>
              </w:rPr>
            </w:pPr>
            <w:r>
              <w:rPr>
                <w:rFonts w:hint="eastAsia" w:ascii="宋体" w:hAnsi="宋体"/>
                <w:bCs/>
                <w:szCs w:val="21"/>
                <w:highlight w:val="none"/>
              </w:rPr>
              <w:t>供应商</w:t>
            </w:r>
            <w:r>
              <w:rPr>
                <w:rFonts w:ascii="宋体" w:hAnsi="宋体"/>
                <w:bCs/>
                <w:szCs w:val="21"/>
                <w:highlight w:val="none"/>
              </w:rPr>
              <w:t>是法人的，应</w:t>
            </w:r>
            <w:r>
              <w:rPr>
                <w:rFonts w:hint="eastAsia" w:ascii="宋体" w:hAnsi="宋体"/>
                <w:bCs/>
                <w:szCs w:val="21"/>
                <w:highlight w:val="none"/>
              </w:rPr>
              <w:t>具有上一年度（20</w:t>
            </w:r>
            <w:r>
              <w:rPr>
                <w:rFonts w:ascii="宋体" w:hAnsi="宋体"/>
                <w:bCs/>
                <w:szCs w:val="21"/>
                <w:highlight w:val="none"/>
              </w:rPr>
              <w:t>2</w:t>
            </w:r>
            <w:r>
              <w:rPr>
                <w:rFonts w:hint="eastAsia" w:ascii="宋体" w:hAnsi="宋体"/>
                <w:bCs/>
                <w:szCs w:val="21"/>
                <w:highlight w:val="none"/>
                <w:lang w:val="en-US" w:eastAsia="zh-CN"/>
              </w:rPr>
              <w:t>4</w:t>
            </w:r>
            <w:r>
              <w:rPr>
                <w:rFonts w:hint="eastAsia" w:ascii="宋体" w:hAnsi="宋体"/>
                <w:bCs/>
                <w:szCs w:val="21"/>
                <w:highlight w:val="none"/>
              </w:rPr>
              <w:t>年度</w:t>
            </w:r>
            <w:r>
              <w:rPr>
                <w:rFonts w:hint="eastAsia" w:ascii="宋体" w:hAnsi="宋体"/>
                <w:bCs/>
                <w:szCs w:val="21"/>
                <w:highlight w:val="none"/>
                <w:lang w:val="en-US" w:eastAsia="zh-CN"/>
              </w:rPr>
              <w:t>或2025年度</w:t>
            </w:r>
            <w:r>
              <w:rPr>
                <w:rFonts w:hint="eastAsia" w:ascii="宋体" w:hAnsi="宋体"/>
                <w:bCs/>
                <w:szCs w:val="21"/>
                <w:highlight w:val="none"/>
              </w:rPr>
              <w:t>）</w:t>
            </w:r>
            <w:r>
              <w:rPr>
                <w:rFonts w:ascii="宋体" w:hAnsi="宋体"/>
                <w:bCs/>
                <w:szCs w:val="21"/>
                <w:highlight w:val="none"/>
              </w:rPr>
              <w:t>经审计的财务报告，或其基本开户银行出具的资信证明。其他组织和自然人，没有经审计的财务报告，</w:t>
            </w:r>
            <w:r>
              <w:rPr>
                <w:rFonts w:hint="eastAsia" w:ascii="宋体" w:hAnsi="宋体"/>
                <w:bCs/>
                <w:szCs w:val="21"/>
                <w:highlight w:val="none"/>
              </w:rPr>
              <w:t>应具有</w:t>
            </w:r>
            <w:r>
              <w:rPr>
                <w:rFonts w:ascii="宋体" w:hAnsi="宋体"/>
                <w:bCs/>
                <w:szCs w:val="21"/>
                <w:highlight w:val="none"/>
              </w:rPr>
              <w:t>银行出具的资信证明。</w:t>
            </w:r>
          </w:p>
          <w:p>
            <w:pPr>
              <w:adjustRightInd w:val="0"/>
              <w:snapToGrid w:val="0"/>
              <w:rPr>
                <w:rFonts w:ascii="宋体" w:hAnsi="宋体"/>
                <w:bCs/>
                <w:szCs w:val="21"/>
                <w:highlight w:val="none"/>
              </w:rPr>
            </w:pPr>
            <w:r>
              <w:rPr>
                <w:rFonts w:hint="eastAsia" w:ascii="宋体" w:hAnsi="宋体"/>
                <w:bCs/>
                <w:szCs w:val="21"/>
                <w:highlight w:val="none"/>
              </w:rPr>
              <w:t>有专业担保机构对供应商进行资信审查后出具投标担保函的，可以不用具备经审计的财务报告和银行资信证明文件。</w:t>
            </w:r>
          </w:p>
          <w:p>
            <w:pPr>
              <w:snapToGrid w:val="0"/>
              <w:rPr>
                <w:rFonts w:ascii="宋体" w:hAnsi="宋体"/>
                <w:bCs/>
                <w:szCs w:val="21"/>
                <w:highlight w:val="none"/>
              </w:rPr>
            </w:pPr>
            <w:r>
              <w:rPr>
                <w:rFonts w:hint="eastAsia"/>
                <w:b/>
                <w:highlight w:val="none"/>
              </w:rPr>
              <w:t>备注：如果供应商</w:t>
            </w:r>
            <w:r>
              <w:rPr>
                <w:b/>
                <w:highlight w:val="none"/>
              </w:rPr>
              <w:t>同时提供了</w:t>
            </w:r>
            <w:r>
              <w:rPr>
                <w:rFonts w:hint="eastAsia"/>
                <w:b/>
                <w:highlight w:val="none"/>
              </w:rPr>
              <w:t>1）</w:t>
            </w:r>
            <w:r>
              <w:rPr>
                <w:b/>
                <w:highlight w:val="none"/>
              </w:rPr>
              <w:t>书面承诺及声明、</w:t>
            </w:r>
            <w:r>
              <w:rPr>
                <w:rFonts w:hint="eastAsia"/>
                <w:b/>
                <w:highlight w:val="none"/>
              </w:rPr>
              <w:t>2）</w:t>
            </w:r>
            <w:r>
              <w:rPr>
                <w:b/>
                <w:highlight w:val="none"/>
              </w:rPr>
              <w:t>相应证明材料</w:t>
            </w:r>
            <w:r>
              <w:rPr>
                <w:rFonts w:hint="eastAsia"/>
                <w:b/>
                <w:highlight w:val="none"/>
              </w:rPr>
              <w:t>，且二者</w:t>
            </w:r>
            <w:r>
              <w:rPr>
                <w:b/>
                <w:highlight w:val="none"/>
              </w:rPr>
              <w:t>内容不一致的，</w:t>
            </w:r>
            <w:r>
              <w:rPr>
                <w:rFonts w:hint="eastAsia"/>
                <w:b/>
                <w:highlight w:val="none"/>
              </w:rPr>
              <w:t>评审</w:t>
            </w:r>
            <w:r>
              <w:rPr>
                <w:b/>
                <w:highlight w:val="none"/>
              </w:rPr>
              <w:t>专家有权</w:t>
            </w:r>
            <w:r>
              <w:rPr>
                <w:rFonts w:hint="eastAsia"/>
                <w:b/>
                <w:highlight w:val="none"/>
              </w:rPr>
              <w:t>任选</w:t>
            </w:r>
            <w:r>
              <w:rPr>
                <w:b/>
                <w:highlight w:val="none"/>
              </w:rPr>
              <w:t>其中一种进行</w:t>
            </w:r>
            <w:r>
              <w:rPr>
                <w:rFonts w:hint="eastAsia"/>
                <w:b/>
                <w:highlight w:val="none"/>
              </w:rPr>
              <w:t>评审</w:t>
            </w:r>
            <w:r>
              <w:rPr>
                <w:b/>
                <w:highlight w:val="none"/>
              </w:rPr>
              <w:t>，</w:t>
            </w:r>
            <w:r>
              <w:rPr>
                <w:rFonts w:hint="eastAsia"/>
                <w:b/>
                <w:highlight w:val="none"/>
              </w:rPr>
              <w:t>由</w:t>
            </w:r>
            <w:r>
              <w:rPr>
                <w:b/>
                <w:highlight w:val="none"/>
              </w:rPr>
              <w:t>供应商自行承担一切后果。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具有履行合同所必需的设备和专业技术能力</w:t>
            </w:r>
          </w:p>
        </w:tc>
        <w:tc>
          <w:tcPr>
            <w:tcW w:w="5125" w:type="dxa"/>
            <w:vAlign w:val="center"/>
          </w:tcPr>
          <w:p>
            <w:pPr>
              <w:snapToGrid w:val="0"/>
              <w:rPr>
                <w:rFonts w:ascii="宋体" w:hAnsi="宋体"/>
                <w:bCs/>
                <w:szCs w:val="21"/>
                <w:highlight w:val="none"/>
              </w:rPr>
            </w:pPr>
            <w:r>
              <w:rPr>
                <w:rFonts w:hint="eastAsia" w:ascii="宋体" w:hAnsi="宋体"/>
                <w:bCs/>
                <w:szCs w:val="21"/>
                <w:highlight w:val="none"/>
              </w:rPr>
              <w:t>由供应商提供书面承诺及声明</w:t>
            </w:r>
            <w:r>
              <w:rPr>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有依法缴纳税收和社会保障资金的良好记录</w:t>
            </w:r>
          </w:p>
        </w:tc>
        <w:tc>
          <w:tcPr>
            <w:tcW w:w="5125" w:type="dxa"/>
            <w:vAlign w:val="center"/>
          </w:tcPr>
          <w:p>
            <w:pPr>
              <w:adjustRightInd w:val="0"/>
              <w:snapToGrid w:val="0"/>
              <w:rPr>
                <w:rFonts w:ascii="宋体" w:hAnsi="宋体"/>
                <w:b/>
                <w:bCs/>
                <w:szCs w:val="21"/>
                <w:highlight w:val="none"/>
              </w:rPr>
            </w:pPr>
            <w:r>
              <w:rPr>
                <w:rFonts w:hint="eastAsia" w:ascii="宋体" w:hAnsi="宋体"/>
                <w:b/>
                <w:szCs w:val="21"/>
                <w:highlight w:val="none"/>
              </w:rPr>
              <w:t>由供应商对</w:t>
            </w:r>
            <w:r>
              <w:rPr>
                <w:rFonts w:ascii="宋体" w:hAnsi="宋体"/>
                <w:b/>
                <w:szCs w:val="21"/>
                <w:highlight w:val="none"/>
              </w:rPr>
              <w:t>以下内容</w:t>
            </w:r>
            <w:r>
              <w:rPr>
                <w:rFonts w:hint="eastAsia" w:ascii="宋体" w:hAnsi="宋体"/>
                <w:b/>
                <w:szCs w:val="21"/>
                <w:highlight w:val="none"/>
              </w:rPr>
              <w:t>提供书面承诺及声明</w:t>
            </w:r>
            <w:r>
              <w:rPr>
                <w:rFonts w:ascii="宋体" w:hAnsi="宋体"/>
                <w:b/>
                <w:szCs w:val="21"/>
                <w:highlight w:val="none"/>
              </w:rPr>
              <w:t>，或提供</w:t>
            </w:r>
            <w:r>
              <w:rPr>
                <w:rFonts w:hint="eastAsia" w:ascii="宋体" w:hAnsi="宋体"/>
                <w:b/>
                <w:szCs w:val="21"/>
                <w:highlight w:val="none"/>
              </w:rPr>
              <w:t>相应</w:t>
            </w:r>
            <w:r>
              <w:rPr>
                <w:rFonts w:ascii="宋体" w:hAnsi="宋体"/>
                <w:b/>
                <w:szCs w:val="21"/>
                <w:highlight w:val="none"/>
              </w:rPr>
              <w:t>证明材料。</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供应商依法缴纳税收：本项目公告发布时间前</w:t>
            </w:r>
            <w:r>
              <w:rPr>
                <w:rFonts w:hint="eastAsia" w:ascii="宋体" w:hAnsi="宋体"/>
                <w:szCs w:val="21"/>
                <w:highlight w:val="none"/>
              </w:rPr>
              <w:t>12个月内</w:t>
            </w:r>
            <w:r>
              <w:rPr>
                <w:rFonts w:hint="eastAsia" w:ascii="宋体" w:hAnsi="宋体"/>
                <w:szCs w:val="21"/>
                <w:highlight w:val="none"/>
                <w:lang w:val="hr-HR"/>
              </w:rPr>
              <w:t>（至少有1个月）缴纳税收的凭据（完税证、缴款书、印花税票、银行代扣（代缴）转账凭证等均可）；</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供应商依法缴纳社会保障资金：本项目公告发布时间前</w:t>
            </w:r>
            <w:r>
              <w:rPr>
                <w:rFonts w:hint="eastAsia" w:ascii="宋体" w:hAnsi="宋体"/>
                <w:szCs w:val="21"/>
                <w:highlight w:val="none"/>
              </w:rPr>
              <w:t>12个月内</w:t>
            </w:r>
            <w:r>
              <w:rPr>
                <w:rFonts w:hint="eastAsia" w:ascii="宋体" w:hAnsi="宋体"/>
                <w:szCs w:val="21"/>
                <w:highlight w:val="none"/>
                <w:lang w:val="hr-HR"/>
              </w:rPr>
              <w:t>（至少有1个月）缴纳社会保险的凭据（专用收据或社会保险交纳清单）；</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供应商为其他组织或自然人的，也应满足</w:t>
            </w:r>
            <w:r>
              <w:rPr>
                <w:rFonts w:ascii="宋体" w:hAnsi="宋体"/>
                <w:szCs w:val="21"/>
                <w:highlight w:val="none"/>
                <w:lang w:val="hr-HR"/>
              </w:rPr>
              <w:t>以上</w:t>
            </w:r>
            <w:r>
              <w:rPr>
                <w:rFonts w:hint="eastAsia" w:ascii="宋体" w:hAnsi="宋体"/>
                <w:szCs w:val="21"/>
                <w:highlight w:val="none"/>
                <w:lang w:val="hr-HR"/>
              </w:rPr>
              <w:t>要求；</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递交投标文件截止时间的当月成立但因税务机关原因导致其尚未依法缴纳税收的供应商，提供将依法缴纳税收承诺书原件（格式自拟），该承诺书视同税收缴纳凭据。</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递交投标文件截止时间的当月成立但因社会保障资金管理机关原因导致其尚未依法缴纳社会保障资金的供应商，提供将依法缴纳社会保障资金承诺书原件（格式自拟），该承诺书视同社会保险凭据。</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依法免税或不需要缴纳社会保障资金的供应商，具有相应文件证明其依法免税或不需要交纳社会保障资金。</w:t>
            </w:r>
          </w:p>
          <w:p>
            <w:pPr>
              <w:snapToGrid w:val="0"/>
              <w:spacing w:line="300" w:lineRule="auto"/>
              <w:ind w:firstLine="422" w:firstLineChars="200"/>
              <w:rPr>
                <w:rFonts w:ascii="宋体" w:hAnsi="宋体"/>
                <w:bCs/>
                <w:szCs w:val="21"/>
                <w:highlight w:val="none"/>
              </w:rPr>
            </w:pPr>
            <w:r>
              <w:rPr>
                <w:rFonts w:hint="eastAsia" w:ascii="宋体" w:hAnsi="宋体"/>
                <w:b/>
                <w:szCs w:val="21"/>
                <w:highlight w:val="none"/>
                <w:lang w:val="hr-HR"/>
              </w:rPr>
              <w:t>备注：如果供应商</w:t>
            </w:r>
            <w:r>
              <w:rPr>
                <w:rFonts w:ascii="宋体" w:hAnsi="宋体"/>
                <w:b/>
                <w:szCs w:val="21"/>
                <w:highlight w:val="none"/>
                <w:lang w:val="hr-HR"/>
              </w:rPr>
              <w:t>同时提供了</w:t>
            </w:r>
            <w:r>
              <w:rPr>
                <w:rFonts w:hint="eastAsia" w:ascii="宋体" w:hAnsi="宋体"/>
                <w:b/>
                <w:szCs w:val="21"/>
                <w:highlight w:val="none"/>
                <w:lang w:val="hr-HR"/>
              </w:rPr>
              <w:t>1）</w:t>
            </w:r>
            <w:r>
              <w:rPr>
                <w:rFonts w:ascii="宋体" w:hAnsi="宋体"/>
                <w:b/>
                <w:szCs w:val="21"/>
                <w:highlight w:val="none"/>
                <w:lang w:val="hr-HR"/>
              </w:rPr>
              <w:t>书面承诺及声明、</w:t>
            </w:r>
            <w:r>
              <w:rPr>
                <w:rFonts w:hint="eastAsia" w:ascii="宋体" w:hAnsi="宋体"/>
                <w:b/>
                <w:szCs w:val="21"/>
                <w:highlight w:val="none"/>
                <w:lang w:val="hr-HR"/>
              </w:rPr>
              <w:t>2）</w:t>
            </w:r>
            <w:r>
              <w:rPr>
                <w:rFonts w:ascii="宋体" w:hAnsi="宋体"/>
                <w:b/>
                <w:szCs w:val="21"/>
                <w:highlight w:val="none"/>
                <w:lang w:val="hr-HR"/>
              </w:rPr>
              <w:t>相应证明材料</w:t>
            </w:r>
            <w:r>
              <w:rPr>
                <w:rFonts w:hint="eastAsia" w:ascii="宋体" w:hAnsi="宋体"/>
                <w:b/>
                <w:szCs w:val="21"/>
                <w:highlight w:val="none"/>
                <w:lang w:val="hr-HR"/>
              </w:rPr>
              <w:t>，且二者</w:t>
            </w:r>
            <w:r>
              <w:rPr>
                <w:rFonts w:ascii="宋体" w:hAnsi="宋体"/>
                <w:b/>
                <w:szCs w:val="21"/>
                <w:highlight w:val="none"/>
                <w:lang w:val="hr-HR"/>
              </w:rPr>
              <w:t>内容不一致的，</w:t>
            </w:r>
            <w:r>
              <w:rPr>
                <w:rFonts w:hint="eastAsia" w:ascii="宋体" w:hAnsi="宋体"/>
                <w:b/>
                <w:szCs w:val="21"/>
                <w:highlight w:val="none"/>
                <w:lang w:val="hr-HR"/>
              </w:rPr>
              <w:t>评审</w:t>
            </w:r>
            <w:r>
              <w:rPr>
                <w:rFonts w:ascii="宋体" w:hAnsi="宋体"/>
                <w:b/>
                <w:szCs w:val="21"/>
                <w:highlight w:val="none"/>
                <w:lang w:val="hr-HR"/>
              </w:rPr>
              <w:t>专家有权</w:t>
            </w:r>
            <w:r>
              <w:rPr>
                <w:rFonts w:hint="eastAsia" w:ascii="宋体" w:hAnsi="宋体"/>
                <w:b/>
                <w:szCs w:val="21"/>
                <w:highlight w:val="none"/>
                <w:lang w:val="hr-HR"/>
              </w:rPr>
              <w:t>任选</w:t>
            </w:r>
            <w:r>
              <w:rPr>
                <w:rFonts w:ascii="宋体" w:hAnsi="宋体"/>
                <w:b/>
                <w:szCs w:val="21"/>
                <w:highlight w:val="none"/>
                <w:lang w:val="hr-HR"/>
              </w:rPr>
              <w:t>其中一种进行</w:t>
            </w:r>
            <w:r>
              <w:rPr>
                <w:rFonts w:hint="eastAsia" w:ascii="宋体" w:hAnsi="宋体"/>
                <w:b/>
                <w:szCs w:val="21"/>
                <w:highlight w:val="none"/>
                <w:lang w:val="hr-HR"/>
              </w:rPr>
              <w:t>评审</w:t>
            </w:r>
            <w:r>
              <w:rPr>
                <w:rFonts w:ascii="宋体" w:hAnsi="宋体"/>
                <w:b/>
                <w:szCs w:val="21"/>
                <w:highlight w:val="none"/>
                <w:lang w:val="hr-HR"/>
              </w:rPr>
              <w:t>，</w:t>
            </w:r>
            <w:r>
              <w:rPr>
                <w:rFonts w:hint="eastAsia" w:ascii="宋体" w:hAnsi="宋体"/>
                <w:b/>
                <w:szCs w:val="21"/>
                <w:highlight w:val="none"/>
                <w:lang w:val="hr-HR"/>
              </w:rPr>
              <w:t>由</w:t>
            </w:r>
            <w:r>
              <w:rPr>
                <w:rFonts w:ascii="宋体" w:hAnsi="宋体"/>
                <w:b/>
                <w:szCs w:val="21"/>
                <w:highlight w:val="none"/>
                <w:lang w:val="hr-HR"/>
              </w:rPr>
              <w:t>供应商自行承担一切后果。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参加采购活动前三年内，在经营活动中没有重大违法记录</w:t>
            </w:r>
          </w:p>
        </w:tc>
        <w:tc>
          <w:tcPr>
            <w:tcW w:w="5125" w:type="dxa"/>
            <w:vAlign w:val="center"/>
          </w:tcPr>
          <w:p>
            <w:pPr>
              <w:widowControl/>
              <w:adjustRightInd w:val="0"/>
              <w:snapToGrid w:val="0"/>
              <w:rPr>
                <w:rFonts w:ascii="宋体" w:hAnsi="宋体"/>
                <w:szCs w:val="21"/>
                <w:highlight w:val="none"/>
                <w:lang w:val="hr-HR"/>
              </w:rPr>
            </w:pPr>
            <w:r>
              <w:rPr>
                <w:rFonts w:hint="eastAsia" w:ascii="宋体" w:hAnsi="宋体"/>
                <w:bCs/>
                <w:szCs w:val="21"/>
                <w:highlight w:val="none"/>
              </w:rPr>
              <w:t>由供应商提供书面承诺及声明</w:t>
            </w:r>
            <w:r>
              <w:rPr>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法律、行政法规规定的其他条件</w:t>
            </w:r>
          </w:p>
        </w:tc>
        <w:tc>
          <w:tcPr>
            <w:tcW w:w="5125" w:type="dxa"/>
            <w:vAlign w:val="center"/>
          </w:tcPr>
          <w:p>
            <w:pPr>
              <w:widowControl/>
              <w:adjustRightInd w:val="0"/>
              <w:snapToGrid w:val="0"/>
              <w:rPr>
                <w:rFonts w:ascii="宋体" w:hAnsi="宋体"/>
                <w:szCs w:val="21"/>
                <w:highlight w:val="none"/>
                <w:lang w:val="hr-HR"/>
              </w:rPr>
            </w:pPr>
            <w:r>
              <w:rPr>
                <w:rFonts w:hint="eastAsia" w:ascii="宋体" w:hAnsi="宋体"/>
                <w:bCs/>
                <w:szCs w:val="21"/>
                <w:highlight w:val="none"/>
              </w:rPr>
              <w:t>由供应商提供书面承诺及声明</w:t>
            </w:r>
            <w:r>
              <w:rPr>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szCs w:val="21"/>
                <w:highlight w:val="none"/>
                <w:lang w:val="hr-HR"/>
              </w:rPr>
            </w:pPr>
            <w:r>
              <w:rPr>
                <w:rFonts w:hint="eastAsia" w:ascii="宋体" w:hAnsi="宋体" w:cs="宋体"/>
                <w:szCs w:val="21"/>
                <w:highlight w:val="none"/>
              </w:rPr>
              <w:t>单位负责人为同一人或者存在直接控股、管理关系的不同的投标人，不得参加本项目同一合同项下的采购活动</w:t>
            </w:r>
          </w:p>
        </w:tc>
        <w:tc>
          <w:tcPr>
            <w:tcW w:w="5125"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由供应商在《响应函》中声明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为本采购项目提供整体设计、规范编制或者项目管理、监理、检测等服务的，不得再参加本项目的其他招标采购活动。</w:t>
            </w:r>
          </w:p>
        </w:tc>
        <w:tc>
          <w:tcPr>
            <w:tcW w:w="5125"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由供应商在《响应函》中声明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未被列入失信被执行人、</w:t>
            </w:r>
            <w:r>
              <w:rPr>
                <w:rFonts w:hint="eastAsia" w:cs="Segoe UI"/>
                <w:color w:val="333333"/>
                <w:sz w:val="21"/>
                <w:szCs w:val="21"/>
                <w:highlight w:val="none"/>
              </w:rPr>
              <w:t>重大税收违法</w:t>
            </w:r>
            <w:r>
              <w:rPr>
                <w:rFonts w:hint="eastAsia" w:cs="Segoe UI"/>
                <w:color w:val="333333"/>
                <w:sz w:val="21"/>
                <w:szCs w:val="21"/>
                <w:highlight w:val="none"/>
                <w:lang w:val="en-US" w:eastAsia="zh-CN"/>
              </w:rPr>
              <w:t>失信主体</w:t>
            </w:r>
            <w:r>
              <w:rPr>
                <w:rFonts w:hint="eastAsia" w:ascii="宋体" w:hAnsi="宋体" w:cs="宋体"/>
                <w:szCs w:val="21"/>
                <w:highlight w:val="none"/>
              </w:rPr>
              <w:t>，未被列入政府采购严重违法失信行为记录名单。</w:t>
            </w:r>
          </w:p>
        </w:tc>
        <w:tc>
          <w:tcPr>
            <w:tcW w:w="5125" w:type="dxa"/>
            <w:vAlign w:val="center"/>
          </w:tcPr>
          <w:p>
            <w:pPr>
              <w:widowControl/>
              <w:adjustRightInd w:val="0"/>
              <w:snapToGrid w:val="0"/>
              <w:rPr>
                <w:highlight w:val="none"/>
                <w:lang w:val="hr-HR"/>
              </w:rPr>
            </w:pPr>
            <w:r>
              <w:rPr>
                <w:rFonts w:ascii="宋体" w:hAnsi="宋体"/>
                <w:szCs w:val="21"/>
                <w:highlight w:val="none"/>
                <w:lang w:val="hr-HR"/>
              </w:rPr>
              <w:t>以采购人和采购代理机构在</w:t>
            </w:r>
            <w:r>
              <w:rPr>
                <w:rFonts w:hint="eastAsia" w:ascii="宋体" w:hAnsi="宋体"/>
                <w:szCs w:val="21"/>
                <w:highlight w:val="none"/>
                <w:lang w:val="hr-HR"/>
              </w:rPr>
              <w:t>递交响应文件</w:t>
            </w:r>
            <w:r>
              <w:rPr>
                <w:rFonts w:ascii="宋体" w:hAnsi="宋体"/>
                <w:szCs w:val="21"/>
                <w:highlight w:val="none"/>
                <w:lang w:val="hr-HR"/>
              </w:rPr>
              <w:t>截止日在“信用中国”网站（www.creditchina.gov.cn）及中国政府采购网(www.ccgp.gov.cn)查询</w:t>
            </w:r>
            <w:r>
              <w:rPr>
                <w:rFonts w:hint="eastAsia" w:ascii="宋体" w:hAnsi="宋体"/>
                <w:szCs w:val="21"/>
                <w:highlight w:val="none"/>
                <w:lang w:val="hr-HR"/>
              </w:rPr>
              <w:t>的</w:t>
            </w:r>
            <w:r>
              <w:rPr>
                <w:rFonts w:ascii="宋体" w:hAnsi="宋体"/>
                <w:szCs w:val="21"/>
                <w:highlight w:val="none"/>
                <w:lang w:val="hr-HR"/>
              </w:rPr>
              <w:t>供应商</w:t>
            </w:r>
            <w:r>
              <w:rPr>
                <w:rFonts w:hint="eastAsia" w:ascii="宋体" w:hAnsi="宋体"/>
                <w:szCs w:val="21"/>
                <w:highlight w:val="none"/>
                <w:lang w:val="hr-HR"/>
              </w:rPr>
              <w:t>参加政府采购活动前三年内的</w:t>
            </w:r>
            <w:r>
              <w:rPr>
                <w:rFonts w:ascii="宋体" w:hAnsi="宋体"/>
                <w:szCs w:val="21"/>
                <w:highlight w:val="none"/>
                <w:lang w:val="hr-HR"/>
              </w:rPr>
              <w:t>结果为准（采购人和采购代理机构对信用信息查询记录和证据截图或下载存档）</w:t>
            </w:r>
            <w:r>
              <w:rPr>
                <w:rFonts w:hint="eastAsia" w:ascii="宋体" w:hAnsi="宋体"/>
                <w:szCs w:val="21"/>
                <w:highlight w:val="none"/>
                <w:lang w:val="hr-H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numPr>
                <w:ilvl w:val="0"/>
                <w:numId w:val="2"/>
              </w:numPr>
              <w:adjustRightInd w:val="0"/>
              <w:snapToGrid w:val="0"/>
              <w:rPr>
                <w:rFonts w:ascii="宋体" w:hAnsi="宋体" w:cs="宋体"/>
                <w:kern w:val="0"/>
                <w:szCs w:val="21"/>
                <w:highlight w:val="none"/>
              </w:rPr>
            </w:pPr>
          </w:p>
        </w:tc>
        <w:tc>
          <w:tcPr>
            <w:tcW w:w="3253" w:type="dxa"/>
          </w:tcPr>
          <w:p>
            <w:pPr>
              <w:widowControl/>
              <w:adjustRightInd w:val="0"/>
              <w:snapToGrid w:val="0"/>
              <w:rPr>
                <w:rFonts w:ascii="宋体" w:hAnsi="宋体" w:cs="宋体"/>
                <w:szCs w:val="21"/>
                <w:highlight w:val="none"/>
              </w:rPr>
            </w:pPr>
            <w:r>
              <w:rPr>
                <w:rFonts w:hint="eastAsia" w:ascii="宋体" w:hAnsi="宋体" w:cs="宋体"/>
                <w:szCs w:val="21"/>
                <w:highlight w:val="none"/>
              </w:rPr>
              <w:t>落实政府采购政策需满足的资格要求：本项目专门面向中小微企业采购，本项目所需工程应由中小企业承建，即工程施工单位为中小企业（应提供《中小企业声明函》，否则将视为无效响应文件。本磋商文件所称“中小企业”详见《政府采购促进中小企业发展管理办法》第二条）</w:t>
            </w:r>
          </w:p>
        </w:tc>
        <w:tc>
          <w:tcPr>
            <w:tcW w:w="5125"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由供应商提供有效的《中小企业声明函》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numPr>
                <w:ilvl w:val="0"/>
                <w:numId w:val="2"/>
              </w:numPr>
              <w:adjustRightInd w:val="0"/>
              <w:snapToGrid w:val="0"/>
              <w:rPr>
                <w:rFonts w:ascii="宋体" w:hAnsi="宋体" w:cs="宋体"/>
                <w:kern w:val="0"/>
                <w:szCs w:val="21"/>
                <w:highlight w:val="none"/>
              </w:rPr>
            </w:pPr>
          </w:p>
        </w:tc>
        <w:tc>
          <w:tcPr>
            <w:tcW w:w="3253" w:type="dxa"/>
            <w:vAlign w:val="center"/>
          </w:tcPr>
          <w:p>
            <w:pPr>
              <w:widowControl/>
              <w:adjustRightInd w:val="0"/>
              <w:snapToGrid w:val="0"/>
              <w:jc w:val="left"/>
              <w:rPr>
                <w:rFonts w:hint="eastAsia"/>
                <w:highlight w:val="none"/>
              </w:rPr>
            </w:pPr>
            <w:r>
              <w:rPr>
                <w:rFonts w:hint="eastAsia"/>
                <w:highlight w:val="none"/>
              </w:rPr>
              <w:t xml:space="preserve">（1）供应商须具备国家建设行政主管部门颁发的消防设施工程专业承包二级或以上资质； </w:t>
            </w:r>
          </w:p>
          <w:p>
            <w:pPr>
              <w:widowControl/>
              <w:adjustRightInd w:val="0"/>
              <w:snapToGrid w:val="0"/>
              <w:jc w:val="left"/>
              <w:rPr>
                <w:rFonts w:hint="eastAsia"/>
                <w:highlight w:val="none"/>
              </w:rPr>
            </w:pPr>
            <w:r>
              <w:rPr>
                <w:rFonts w:hint="eastAsia"/>
                <w:highlight w:val="none"/>
              </w:rPr>
              <w:t xml:space="preserve">（2）供应商须具有有效的安全生产许可证； </w:t>
            </w:r>
          </w:p>
          <w:p>
            <w:pPr>
              <w:widowControl/>
              <w:adjustRightInd w:val="0"/>
              <w:snapToGrid w:val="0"/>
              <w:jc w:val="left"/>
              <w:rPr>
                <w:rFonts w:ascii="宋体" w:hAnsi="宋体"/>
                <w:szCs w:val="21"/>
                <w:highlight w:val="none"/>
              </w:rPr>
            </w:pPr>
            <w:r>
              <w:rPr>
                <w:rFonts w:hint="eastAsia"/>
                <w:highlight w:val="none"/>
              </w:rPr>
              <w:t>（3）供应商须在人员、设备、资金等方面具有相应的施工能力，其中，供应商拟派项目经理须具备有效的机电工程专业二级及以上注册建造师执业证书，具备有效的安全生产考核合格证书（B证），且未担任其他在施工建设工程项目的项目经理。</w:t>
            </w:r>
          </w:p>
        </w:tc>
        <w:tc>
          <w:tcPr>
            <w:tcW w:w="5125" w:type="dxa"/>
            <w:vAlign w:val="center"/>
          </w:tcPr>
          <w:p>
            <w:pPr>
              <w:rPr>
                <w:highlight w:val="none"/>
              </w:rPr>
            </w:pPr>
            <w:r>
              <w:rPr>
                <w:rFonts w:hint="eastAsia" w:ascii="宋体" w:hAnsi="宋体"/>
                <w:bCs/>
                <w:szCs w:val="21"/>
                <w:highlight w:val="none"/>
              </w:rPr>
              <w:t>由供应商</w:t>
            </w:r>
            <w:r>
              <w:rPr>
                <w:highlight w:val="none"/>
              </w:rPr>
              <w:t>提供相应证明材料</w:t>
            </w:r>
            <w:r>
              <w:rPr>
                <w:rFonts w:hint="eastAsia"/>
                <w:highlight w:val="none"/>
              </w:rPr>
              <w:t>，以及项目经理未担任其它在施工建设工程项目的项目经理的承诺书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683" w:type="dxa"/>
            <w:vAlign w:val="center"/>
          </w:tcPr>
          <w:p>
            <w:pPr>
              <w:widowControl/>
              <w:numPr>
                <w:ilvl w:val="0"/>
                <w:numId w:val="2"/>
              </w:numPr>
              <w:adjustRightInd w:val="0"/>
              <w:snapToGrid w:val="0"/>
              <w:rPr>
                <w:rFonts w:ascii="宋体" w:hAnsi="宋体" w:cs="宋体"/>
                <w:kern w:val="0"/>
                <w:szCs w:val="21"/>
                <w:highlight w:val="none"/>
              </w:rPr>
            </w:pPr>
          </w:p>
        </w:tc>
        <w:tc>
          <w:tcPr>
            <w:tcW w:w="3253" w:type="dxa"/>
          </w:tcPr>
          <w:p>
            <w:pPr>
              <w:widowControl/>
              <w:adjustRightInd w:val="0"/>
              <w:snapToGrid w:val="0"/>
              <w:jc w:val="left"/>
              <w:rPr>
                <w:rStyle w:val="50"/>
                <w:highlight w:val="none"/>
              </w:rPr>
            </w:pPr>
            <w:r>
              <w:rPr>
                <w:rFonts w:hint="eastAsia" w:ascii="宋体" w:cs="宋体"/>
                <w:kern w:val="0"/>
                <w:szCs w:val="21"/>
                <w:highlight w:val="none"/>
              </w:rPr>
              <w:t>不存在第二章“供应商须知”第2.2条和2</w:t>
            </w:r>
            <w:r>
              <w:rPr>
                <w:rFonts w:ascii="宋体" w:cs="宋体"/>
                <w:kern w:val="0"/>
                <w:szCs w:val="21"/>
                <w:highlight w:val="none"/>
              </w:rPr>
              <w:t>.3</w:t>
            </w:r>
            <w:r>
              <w:rPr>
                <w:rFonts w:hint="eastAsia" w:ascii="宋体" w:cs="宋体"/>
                <w:kern w:val="0"/>
                <w:szCs w:val="21"/>
                <w:highlight w:val="none"/>
              </w:rPr>
              <w:t>条规定的情形</w:t>
            </w:r>
          </w:p>
        </w:tc>
        <w:tc>
          <w:tcPr>
            <w:tcW w:w="5125" w:type="dxa"/>
          </w:tcPr>
          <w:p>
            <w:pPr>
              <w:rPr>
                <w:highlight w:val="none"/>
              </w:rPr>
            </w:pPr>
            <w:r>
              <w:rPr>
                <w:rFonts w:hint="eastAsia"/>
                <w:highlight w:val="none"/>
              </w:rPr>
              <w:t>供应商提供声明函（响应函第8条）</w:t>
            </w:r>
          </w:p>
        </w:tc>
      </w:tr>
      <w:bookmarkEnd w:id="111"/>
    </w:tbl>
    <w:p>
      <w:pPr>
        <w:rPr>
          <w:rFonts w:ascii="宋体" w:hAnsi="宋体"/>
          <w:kern w:val="0"/>
          <w:szCs w:val="21"/>
          <w:highlight w:val="none"/>
        </w:rPr>
      </w:pPr>
      <w:r>
        <w:rPr>
          <w:rFonts w:hint="eastAsia" w:ascii="宋体" w:hAnsi="宋体"/>
          <w:kern w:val="0"/>
          <w:szCs w:val="21"/>
          <w:highlight w:val="none"/>
        </w:rPr>
        <w:t>备注：</w:t>
      </w:r>
    </w:p>
    <w:p>
      <w:pPr>
        <w:snapToGrid w:val="0"/>
        <w:spacing w:line="300" w:lineRule="auto"/>
        <w:ind w:firstLine="420" w:firstLineChars="200"/>
        <w:rPr>
          <w:rFonts w:ascii="宋体" w:hAnsi="宋体"/>
          <w:kern w:val="0"/>
          <w:szCs w:val="21"/>
          <w:highlight w:val="none"/>
        </w:rPr>
      </w:pPr>
      <w:r>
        <w:rPr>
          <w:rFonts w:hint="eastAsia" w:ascii="宋体" w:hAnsi="宋体"/>
          <w:kern w:val="0"/>
          <w:szCs w:val="21"/>
          <w:highlight w:val="none"/>
        </w:rPr>
        <w:t>（1）所有证书、证明文件包括按要求提供的官网截图必须是真实可查证的，须注明资料来源。资格证明文件应为原件的扫描件或复印件，响应文件中须编入清晰的扫描件或复印件。所有证明材料须清晰可辨认，如因证明材料模糊无法辨认，缺页、漏页导致无法进行评审认定的责任由供应商自负。如发现弄虚作假将按照有关规定严肃处理。</w:t>
      </w:r>
    </w:p>
    <w:p>
      <w:pPr>
        <w:snapToGrid w:val="0"/>
        <w:spacing w:line="300" w:lineRule="auto"/>
        <w:ind w:firstLine="420" w:firstLineChars="200"/>
        <w:rPr>
          <w:rFonts w:ascii="宋体" w:hAnsi="宋体"/>
          <w:kern w:val="0"/>
          <w:szCs w:val="21"/>
          <w:highlight w:val="none"/>
        </w:rPr>
      </w:pPr>
      <w:r>
        <w:rPr>
          <w:rFonts w:hint="eastAsia" w:ascii="宋体" w:hAnsi="宋体"/>
          <w:kern w:val="0"/>
          <w:szCs w:val="21"/>
          <w:highlight w:val="none"/>
        </w:rPr>
        <w:t>证明材料仅限于供应商本身，参股或控股单位及独立法人子公司的材料不能作为证明材料，但供应商兼并的企业的材料可作为证明材料。</w:t>
      </w:r>
    </w:p>
    <w:p>
      <w:pPr>
        <w:snapToGrid w:val="0"/>
        <w:spacing w:line="300" w:lineRule="auto"/>
        <w:ind w:firstLine="420" w:firstLineChars="200"/>
        <w:rPr>
          <w:rFonts w:ascii="宋体" w:hAnsi="宋体"/>
          <w:kern w:val="0"/>
          <w:szCs w:val="21"/>
          <w:highlight w:val="none"/>
        </w:rPr>
      </w:pPr>
      <w:r>
        <w:rPr>
          <w:rFonts w:hint="eastAsia" w:ascii="宋体" w:hAnsi="宋体"/>
          <w:kern w:val="0"/>
          <w:szCs w:val="21"/>
          <w:highlight w:val="none"/>
        </w:rPr>
        <w:t>（2）对于响应文件中有任意一条不满足上表要求的将视为未实质性响应磋商文件，不进入下一项评审。</w:t>
      </w:r>
    </w:p>
    <w:p>
      <w:pPr>
        <w:snapToGrid w:val="0"/>
        <w:spacing w:line="300" w:lineRule="auto"/>
        <w:ind w:firstLine="420" w:firstLineChars="200"/>
        <w:rPr>
          <w:rFonts w:ascii="宋体" w:hAnsi="宋体"/>
          <w:kern w:val="0"/>
          <w:szCs w:val="21"/>
          <w:highlight w:val="none"/>
        </w:rPr>
      </w:pPr>
    </w:p>
    <w:p>
      <w:pPr>
        <w:pStyle w:val="11"/>
        <w:adjustRightInd/>
        <w:snapToGrid w:val="0"/>
        <w:spacing w:line="360" w:lineRule="auto"/>
        <w:ind w:firstLine="413" w:firstLineChars="196"/>
        <w:textAlignment w:val="auto"/>
        <w:outlineLvl w:val="2"/>
        <w:rPr>
          <w:rFonts w:ascii="宋体" w:hAnsi="宋体"/>
          <w:b/>
          <w:bCs/>
          <w:kern w:val="2"/>
          <w:szCs w:val="21"/>
          <w:highlight w:val="none"/>
        </w:rPr>
      </w:pPr>
      <w:r>
        <w:rPr>
          <w:rFonts w:hint="eastAsia" w:ascii="宋体" w:hAnsi="宋体"/>
          <w:b/>
          <w:bCs/>
          <w:kern w:val="2"/>
          <w:szCs w:val="21"/>
          <w:highlight w:val="none"/>
        </w:rPr>
        <w:t>（二）符合性检查表</w:t>
      </w:r>
    </w:p>
    <w:tbl>
      <w:tblPr>
        <w:tblStyle w:val="42"/>
        <w:tblW w:w="9061" w:type="dxa"/>
        <w:jc w:val="center"/>
        <w:tblLayout w:type="fixed"/>
        <w:tblCellMar>
          <w:top w:w="57" w:type="dxa"/>
          <w:left w:w="108" w:type="dxa"/>
          <w:bottom w:w="57" w:type="dxa"/>
          <w:right w:w="108" w:type="dxa"/>
        </w:tblCellMar>
      </w:tblPr>
      <w:tblGrid>
        <w:gridCol w:w="456"/>
        <w:gridCol w:w="7550"/>
        <w:gridCol w:w="1055"/>
      </w:tblGrid>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755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审核内容</w:t>
            </w:r>
          </w:p>
        </w:tc>
        <w:tc>
          <w:tcPr>
            <w:tcW w:w="1055" w:type="dxa"/>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供应商名称</w:t>
            </w:r>
          </w:p>
        </w:tc>
      </w:tr>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bookmarkStart w:id="112" w:name="OLE_LINK29" w:colFirst="1" w:colLast="1"/>
          </w:p>
        </w:tc>
        <w:tc>
          <w:tcPr>
            <w:tcW w:w="7550"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按照磋商文件规定要求签署、盖章；</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p>
        </w:tc>
        <w:tc>
          <w:tcPr>
            <w:tcW w:w="7550" w:type="dxa"/>
            <w:tcBorders>
              <w:top w:val="single" w:color="auto" w:sz="4" w:space="0"/>
              <w:left w:val="nil"/>
              <w:bottom w:val="single" w:color="auto" w:sz="4" w:space="0"/>
              <w:right w:val="single" w:color="auto" w:sz="4" w:space="0"/>
            </w:tcBorders>
            <w:vAlign w:val="center"/>
          </w:tcPr>
          <w:p>
            <w:pPr>
              <w:adjustRightInd w:val="0"/>
              <w:snapToGrid w:val="0"/>
              <w:rPr>
                <w:rFonts w:ascii="宋体" w:hAnsi="宋体" w:cs="宋体"/>
                <w:kern w:val="0"/>
                <w:szCs w:val="21"/>
                <w:highlight w:val="none"/>
              </w:rPr>
            </w:pPr>
            <w:r>
              <w:rPr>
                <w:rFonts w:hint="eastAsia" w:ascii="宋体" w:hAnsi="宋体" w:cs="宋体"/>
                <w:kern w:val="0"/>
                <w:szCs w:val="21"/>
                <w:highlight w:val="none"/>
              </w:rPr>
              <w:t>按磋商文件要求进行报价；</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p>
        </w:tc>
        <w:tc>
          <w:tcPr>
            <w:tcW w:w="7550"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响应文件有效期满足磋商文件规定；</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p>
        </w:tc>
        <w:tc>
          <w:tcPr>
            <w:tcW w:w="7550"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响应文件中未附有采购人不能接受条件；</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p>
        </w:tc>
        <w:tc>
          <w:tcPr>
            <w:tcW w:w="7550"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响应文件满足磋商文件商务、技术等实质性要求</w:t>
            </w:r>
            <w:r>
              <w:rPr>
                <w:rFonts w:hint="eastAsia" w:ascii="宋体" w:hAnsi="宋体" w:cs="宋体"/>
                <w:kern w:val="0"/>
                <w:szCs w:val="21"/>
                <w:highlight w:val="none"/>
                <w:lang w:eastAsia="zh-CN"/>
              </w:rPr>
              <w:t>（</w:t>
            </w:r>
            <w:r>
              <w:rPr>
                <w:rFonts w:hint="eastAsia" w:ascii="宋体" w:hAnsi="宋体" w:cs="宋体"/>
                <w:kern w:val="0"/>
                <w:szCs w:val="21"/>
                <w:highlight w:val="none"/>
                <w:lang w:val="en-US" w:eastAsia="zh-CN"/>
              </w:rPr>
              <w:t>包括标注</w:t>
            </w:r>
            <w:r>
              <w:rPr>
                <w:rFonts w:hint="eastAsia" w:ascii="华文仿宋" w:hAnsi="华文仿宋" w:eastAsia="华文仿宋" w:cs="华文仿宋"/>
                <w:kern w:val="0"/>
                <w:szCs w:val="21"/>
                <w:highlight w:val="none"/>
                <w:lang w:val="en-US" w:eastAsia="zh-CN"/>
              </w:rPr>
              <w:t>★</w:t>
            </w:r>
            <w:r>
              <w:rPr>
                <w:rFonts w:hint="eastAsia" w:ascii="宋体" w:hAnsi="宋体" w:cs="宋体"/>
                <w:kern w:val="0"/>
                <w:szCs w:val="21"/>
                <w:highlight w:val="none"/>
                <w:lang w:val="en-US" w:eastAsia="zh-CN"/>
              </w:rPr>
              <w:t>的条款</w:t>
            </w:r>
            <w:r>
              <w:rPr>
                <w:rFonts w:hint="eastAsia" w:ascii="宋体" w:hAnsi="宋体" w:cs="宋体"/>
                <w:kern w:val="0"/>
                <w:szCs w:val="21"/>
                <w:highlight w:val="none"/>
                <w:lang w:eastAsia="zh-CN"/>
              </w:rPr>
              <w:t>）</w:t>
            </w:r>
            <w:r>
              <w:rPr>
                <w:rFonts w:hint="eastAsia" w:ascii="宋体" w:hAnsi="宋体" w:cs="宋体"/>
                <w:kern w:val="0"/>
                <w:szCs w:val="21"/>
                <w:highlight w:val="none"/>
              </w:rPr>
              <w:t>；</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54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p>
        </w:tc>
        <w:tc>
          <w:tcPr>
            <w:tcW w:w="7550"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供应商未出现磋商文件中规定无效的其它条款；</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454" w:hRule="atLeast"/>
          <w:jc w:val="center"/>
        </w:trPr>
        <w:tc>
          <w:tcPr>
            <w:tcW w:w="456"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adjustRightInd w:val="0"/>
              <w:snapToGrid w:val="0"/>
              <w:rPr>
                <w:rFonts w:ascii="宋体" w:hAnsi="宋体" w:cs="宋体"/>
                <w:kern w:val="0"/>
                <w:szCs w:val="21"/>
                <w:highlight w:val="none"/>
              </w:rPr>
            </w:pPr>
          </w:p>
        </w:tc>
        <w:tc>
          <w:tcPr>
            <w:tcW w:w="7550"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供应商未有下列任一情形：</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（1）不同供应商的响应文件由同一单位或者个人编制；</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（2）不同供应商委托同一单位或者个人办理投标事宜；</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（3）不同供应商的响应文件载明的项目管理成员或者联系人员为同一人；</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（4）不同供应商的响应文件异常一致或者投标报价呈规律性差异；</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（5）不同供应商的响应文件相互混装。</w:t>
            </w:r>
          </w:p>
        </w:tc>
        <w:tc>
          <w:tcPr>
            <w:tcW w:w="1055" w:type="dxa"/>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bookmarkEnd w:id="112"/>
      <w:tr>
        <w:tblPrEx>
          <w:tblCellMar>
            <w:top w:w="57" w:type="dxa"/>
            <w:left w:w="108" w:type="dxa"/>
            <w:bottom w:w="57" w:type="dxa"/>
            <w:right w:w="108" w:type="dxa"/>
          </w:tblCellMar>
        </w:tblPrEx>
        <w:trPr>
          <w:trHeight w:val="454" w:hRule="atLeast"/>
          <w:jc w:val="center"/>
        </w:trPr>
        <w:tc>
          <w:tcPr>
            <w:tcW w:w="8006" w:type="dxa"/>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审核结论</w:t>
            </w:r>
          </w:p>
        </w:tc>
        <w:tc>
          <w:tcPr>
            <w:tcW w:w="1055" w:type="dxa"/>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p>
        </w:tc>
      </w:tr>
      <w:tr>
        <w:tblPrEx>
          <w:tblCellMar>
            <w:top w:w="57" w:type="dxa"/>
            <w:left w:w="108" w:type="dxa"/>
            <w:bottom w:w="57" w:type="dxa"/>
            <w:right w:w="108" w:type="dxa"/>
          </w:tblCellMar>
        </w:tblPrEx>
        <w:trPr>
          <w:trHeight w:val="454" w:hRule="atLeast"/>
          <w:jc w:val="center"/>
        </w:trPr>
        <w:tc>
          <w:tcPr>
            <w:tcW w:w="9061" w:type="dxa"/>
            <w:gridSpan w:val="3"/>
            <w:tcBorders>
              <w:top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说明：</w:t>
            </w:r>
          </w:p>
        </w:tc>
      </w:tr>
      <w:tr>
        <w:tblPrEx>
          <w:tblCellMar>
            <w:top w:w="57" w:type="dxa"/>
            <w:left w:w="108" w:type="dxa"/>
            <w:bottom w:w="57" w:type="dxa"/>
            <w:right w:w="108" w:type="dxa"/>
          </w:tblCellMar>
        </w:tblPrEx>
        <w:trPr>
          <w:trHeight w:val="454" w:hRule="atLeast"/>
          <w:jc w:val="center"/>
        </w:trPr>
        <w:tc>
          <w:tcPr>
            <w:tcW w:w="9061" w:type="dxa"/>
            <w:gridSpan w:val="3"/>
            <w:vAlign w:val="center"/>
          </w:tcPr>
          <w:p>
            <w:pPr>
              <w:widowControl/>
              <w:adjustRightInd w:val="0"/>
              <w:snapToGrid w:val="0"/>
              <w:rPr>
                <w:rFonts w:ascii="宋体" w:hAnsi="宋体" w:cs="宋体"/>
                <w:kern w:val="0"/>
                <w:szCs w:val="21"/>
                <w:highlight w:val="none"/>
              </w:rPr>
            </w:pPr>
            <w:r>
              <w:rPr>
                <w:rFonts w:hint="eastAsia" w:ascii="宋体" w:hAnsi="宋体"/>
                <w:kern w:val="0"/>
                <w:szCs w:val="21"/>
                <w:highlight w:val="none"/>
              </w:rPr>
              <w:t>1）磋商小组分别对每一响应文件依据上表进行检查。</w:t>
            </w:r>
          </w:p>
        </w:tc>
      </w:tr>
      <w:tr>
        <w:tblPrEx>
          <w:tblCellMar>
            <w:top w:w="57" w:type="dxa"/>
            <w:left w:w="108" w:type="dxa"/>
            <w:bottom w:w="57" w:type="dxa"/>
            <w:right w:w="108" w:type="dxa"/>
          </w:tblCellMar>
        </w:tblPrEx>
        <w:trPr>
          <w:trHeight w:val="454" w:hRule="atLeast"/>
          <w:jc w:val="center"/>
        </w:trPr>
        <w:tc>
          <w:tcPr>
            <w:tcW w:w="9061" w:type="dxa"/>
            <w:gridSpan w:val="3"/>
            <w:vAlign w:val="center"/>
          </w:tcPr>
          <w:p>
            <w:pPr>
              <w:widowControl/>
              <w:adjustRightInd w:val="0"/>
              <w:snapToGrid w:val="0"/>
              <w:rPr>
                <w:rFonts w:ascii="宋体" w:hAnsi="宋体" w:cs="宋体"/>
                <w:kern w:val="0"/>
                <w:szCs w:val="21"/>
                <w:highlight w:val="none"/>
              </w:rPr>
            </w:pPr>
            <w:r>
              <w:rPr>
                <w:rFonts w:hint="eastAsia" w:ascii="宋体" w:hAnsi="宋体"/>
                <w:kern w:val="0"/>
                <w:szCs w:val="21"/>
                <w:highlight w:val="none"/>
              </w:rPr>
              <w:t>2）磋商小组决定供应商的响应性只根据响应文件本身的真实无误的内容，而不依据外部的证据，但响应文件有不真实不正确的内容时除外。</w:t>
            </w:r>
          </w:p>
        </w:tc>
      </w:tr>
      <w:tr>
        <w:tblPrEx>
          <w:tblCellMar>
            <w:top w:w="57" w:type="dxa"/>
            <w:left w:w="108" w:type="dxa"/>
            <w:bottom w:w="57" w:type="dxa"/>
            <w:right w:w="108" w:type="dxa"/>
          </w:tblCellMar>
        </w:tblPrEx>
        <w:trPr>
          <w:trHeight w:val="454" w:hRule="atLeast"/>
          <w:jc w:val="center"/>
        </w:trPr>
        <w:tc>
          <w:tcPr>
            <w:tcW w:w="9061" w:type="dxa"/>
            <w:gridSpan w:val="3"/>
            <w:vAlign w:val="center"/>
          </w:tcPr>
          <w:p>
            <w:pPr>
              <w:widowControl/>
              <w:adjustRightInd w:val="0"/>
              <w:snapToGrid w:val="0"/>
              <w:rPr>
                <w:rFonts w:ascii="宋体" w:hAnsi="宋体" w:cs="宋体"/>
                <w:kern w:val="0"/>
                <w:szCs w:val="21"/>
                <w:highlight w:val="none"/>
              </w:rPr>
            </w:pPr>
            <w:r>
              <w:rPr>
                <w:rFonts w:hint="eastAsia" w:ascii="宋体" w:hAnsi="宋体"/>
                <w:kern w:val="0"/>
                <w:szCs w:val="21"/>
                <w:highlight w:val="none"/>
              </w:rPr>
              <w:t>3）满足要求的条款打“√”，否则为“×”。</w:t>
            </w:r>
          </w:p>
        </w:tc>
      </w:tr>
      <w:tr>
        <w:tblPrEx>
          <w:tblCellMar>
            <w:top w:w="57" w:type="dxa"/>
            <w:left w:w="108" w:type="dxa"/>
            <w:bottom w:w="57" w:type="dxa"/>
            <w:right w:w="108" w:type="dxa"/>
          </w:tblCellMar>
        </w:tblPrEx>
        <w:trPr>
          <w:trHeight w:val="454" w:hRule="atLeast"/>
          <w:jc w:val="center"/>
        </w:trPr>
        <w:tc>
          <w:tcPr>
            <w:tcW w:w="9061" w:type="dxa"/>
            <w:gridSpan w:val="3"/>
            <w:vAlign w:val="center"/>
          </w:tcPr>
          <w:p>
            <w:pPr>
              <w:widowControl/>
              <w:adjustRightInd w:val="0"/>
              <w:snapToGrid w:val="0"/>
              <w:rPr>
                <w:rFonts w:ascii="宋体" w:hAnsi="宋体" w:cs="宋体"/>
                <w:kern w:val="0"/>
                <w:szCs w:val="21"/>
                <w:highlight w:val="none"/>
              </w:rPr>
            </w:pPr>
            <w:r>
              <w:rPr>
                <w:rFonts w:hint="eastAsia" w:ascii="宋体" w:hAnsi="宋体"/>
                <w:kern w:val="0"/>
                <w:szCs w:val="21"/>
                <w:highlight w:val="none"/>
              </w:rPr>
              <w:t>4）对于响应文件中有任意一条不满足要求将视为未实质性响应磋商文件，不进入下一项评审。</w:t>
            </w:r>
          </w:p>
        </w:tc>
      </w:tr>
    </w:tbl>
    <w:p>
      <w:pPr>
        <w:rPr>
          <w:highlight w:val="none"/>
        </w:rPr>
      </w:pPr>
    </w:p>
    <w:p>
      <w:pPr>
        <w:pStyle w:val="11"/>
        <w:adjustRightInd/>
        <w:snapToGrid w:val="0"/>
        <w:spacing w:line="360" w:lineRule="auto"/>
        <w:ind w:firstLine="413" w:firstLineChars="196"/>
        <w:textAlignment w:val="auto"/>
        <w:outlineLvl w:val="2"/>
        <w:rPr>
          <w:rFonts w:ascii="宋体" w:hAnsi="宋体"/>
          <w:b/>
          <w:bCs/>
          <w:kern w:val="2"/>
          <w:szCs w:val="21"/>
          <w:highlight w:val="none"/>
        </w:rPr>
      </w:pPr>
      <w:r>
        <w:rPr>
          <w:rFonts w:hint="eastAsia" w:ascii="宋体" w:hAnsi="宋体"/>
          <w:b/>
          <w:bCs/>
          <w:kern w:val="2"/>
          <w:szCs w:val="21"/>
          <w:highlight w:val="none"/>
        </w:rPr>
        <w:t>（三）详细评审</w:t>
      </w:r>
    </w:p>
    <w:tbl>
      <w:tblPr>
        <w:tblStyle w:val="42"/>
        <w:tblpPr w:leftFromText="180" w:rightFromText="180" w:vertAnchor="text" w:horzAnchor="page" w:tblpX="1408" w:tblpY="277"/>
        <w:tblOverlap w:val="never"/>
        <w:tblW w:w="94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169"/>
        <w:gridCol w:w="709"/>
        <w:gridCol w:w="6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811" w:type="dxa"/>
            <w:noWrap w:val="0"/>
            <w:vAlign w:val="center"/>
          </w:tcPr>
          <w:p>
            <w:pPr>
              <w:jc w:val="center"/>
              <w:rPr>
                <w:rFonts w:ascii="宋体" w:hAnsi="宋体" w:cs="宋体"/>
                <w:szCs w:val="21"/>
                <w:highlight w:val="none"/>
              </w:rPr>
            </w:pPr>
            <w:bookmarkStart w:id="113" w:name="OLE_LINK20"/>
            <w:r>
              <w:rPr>
                <w:rFonts w:hint="eastAsia" w:ascii="宋体" w:hAnsi="宋体"/>
                <w:b/>
                <w:bCs/>
                <w:kern w:val="0"/>
                <w:szCs w:val="21"/>
                <w:highlight w:val="none"/>
              </w:rPr>
              <w:t>评分内容</w:t>
            </w:r>
          </w:p>
        </w:tc>
        <w:tc>
          <w:tcPr>
            <w:tcW w:w="1169" w:type="dxa"/>
            <w:noWrap w:val="0"/>
            <w:vAlign w:val="center"/>
          </w:tcPr>
          <w:p>
            <w:pPr>
              <w:jc w:val="center"/>
              <w:rPr>
                <w:rFonts w:ascii="宋体" w:hAnsi="宋体" w:cs="宋体"/>
                <w:szCs w:val="21"/>
                <w:highlight w:val="none"/>
              </w:rPr>
            </w:pPr>
            <w:r>
              <w:rPr>
                <w:rFonts w:ascii="宋体" w:hAnsi="宋体"/>
                <w:b/>
                <w:bCs/>
                <w:kern w:val="0"/>
                <w:szCs w:val="21"/>
                <w:highlight w:val="none"/>
              </w:rPr>
              <w:t>评分因素</w:t>
            </w:r>
          </w:p>
        </w:tc>
        <w:tc>
          <w:tcPr>
            <w:tcW w:w="709" w:type="dxa"/>
            <w:noWrap w:val="0"/>
            <w:vAlign w:val="center"/>
          </w:tcPr>
          <w:p>
            <w:pPr>
              <w:jc w:val="center"/>
              <w:rPr>
                <w:rFonts w:ascii="宋体" w:hAnsi="宋体" w:cs="宋体"/>
                <w:szCs w:val="21"/>
                <w:highlight w:val="none"/>
              </w:rPr>
            </w:pPr>
            <w:r>
              <w:rPr>
                <w:rFonts w:ascii="宋体" w:hAnsi="宋体"/>
                <w:b/>
                <w:bCs/>
                <w:kern w:val="0"/>
                <w:szCs w:val="21"/>
                <w:highlight w:val="none"/>
              </w:rPr>
              <w:t>分值</w:t>
            </w:r>
          </w:p>
        </w:tc>
        <w:tc>
          <w:tcPr>
            <w:tcW w:w="6743" w:type="dxa"/>
            <w:noWrap w:val="0"/>
            <w:vAlign w:val="center"/>
          </w:tcPr>
          <w:p>
            <w:pPr>
              <w:jc w:val="center"/>
              <w:rPr>
                <w:rFonts w:ascii="宋体" w:hAnsi="宋体" w:cs="宋体"/>
                <w:szCs w:val="21"/>
                <w:highlight w:val="none"/>
              </w:rPr>
            </w:pPr>
            <w:r>
              <w:rPr>
                <w:rFonts w:hint="eastAsia" w:ascii="宋体" w:hAnsi="宋体"/>
                <w:b/>
                <w:bCs/>
                <w:kern w:val="0"/>
                <w:szCs w:val="21"/>
                <w:highlight w:val="none"/>
              </w:rPr>
              <w:t>量化指标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811" w:type="dxa"/>
            <w:noWrap w:val="0"/>
            <w:vAlign w:val="center"/>
          </w:tcPr>
          <w:p>
            <w:pPr>
              <w:jc w:val="center"/>
              <w:rPr>
                <w:rFonts w:ascii="宋体" w:hAnsi="宋体" w:cs="宋体"/>
                <w:szCs w:val="21"/>
                <w:highlight w:val="none"/>
              </w:rPr>
            </w:pPr>
            <w:bookmarkStart w:id="114" w:name="OLE_LINK30" w:colFirst="0" w:colLast="3"/>
            <w:bookmarkStart w:id="216" w:name="_GoBack" w:colFirst="0" w:colLast="3"/>
            <w:r>
              <w:rPr>
                <w:rFonts w:hint="eastAsia" w:ascii="宋体" w:hAnsi="宋体"/>
                <w:spacing w:val="-6"/>
                <w:szCs w:val="21"/>
                <w:highlight w:val="none"/>
              </w:rPr>
              <w:t>价格得分（</w:t>
            </w:r>
            <w:r>
              <w:rPr>
                <w:rFonts w:hint="eastAsia" w:ascii="宋体" w:hAnsi="宋体"/>
                <w:spacing w:val="-6"/>
                <w:szCs w:val="21"/>
                <w:highlight w:val="none"/>
                <w:lang w:val="en-US" w:eastAsia="zh-CN"/>
              </w:rPr>
              <w:t>70</w:t>
            </w:r>
            <w:r>
              <w:rPr>
                <w:rFonts w:hint="eastAsia" w:ascii="宋体" w:hAnsi="宋体"/>
                <w:spacing w:val="-6"/>
                <w:szCs w:val="21"/>
                <w:highlight w:val="none"/>
              </w:rPr>
              <w:t>）</w:t>
            </w:r>
          </w:p>
        </w:tc>
        <w:tc>
          <w:tcPr>
            <w:tcW w:w="1169" w:type="dxa"/>
            <w:noWrap w:val="0"/>
            <w:vAlign w:val="center"/>
          </w:tcPr>
          <w:p>
            <w:pPr>
              <w:jc w:val="center"/>
              <w:rPr>
                <w:rFonts w:ascii="宋体" w:hAnsi="宋体" w:cs="宋体"/>
                <w:szCs w:val="21"/>
                <w:highlight w:val="none"/>
              </w:rPr>
            </w:pPr>
            <w:r>
              <w:rPr>
                <w:rFonts w:hint="eastAsia" w:ascii="宋体" w:hAnsi="宋体"/>
                <w:spacing w:val="-6"/>
                <w:szCs w:val="21"/>
                <w:highlight w:val="none"/>
              </w:rPr>
              <w:t>报价得分</w:t>
            </w:r>
          </w:p>
        </w:tc>
        <w:tc>
          <w:tcPr>
            <w:tcW w:w="709" w:type="dxa"/>
            <w:noWrap w:val="0"/>
            <w:vAlign w:val="center"/>
          </w:tcPr>
          <w:p>
            <w:pPr>
              <w:jc w:val="center"/>
              <w:rPr>
                <w:rFonts w:hint="default" w:ascii="宋体" w:hAnsi="宋体" w:cs="宋体"/>
                <w:szCs w:val="21"/>
                <w:highlight w:val="none"/>
                <w:lang w:val="en-US"/>
              </w:rPr>
            </w:pPr>
            <w:r>
              <w:rPr>
                <w:rFonts w:hint="eastAsia" w:ascii="宋体" w:hAnsi="宋体"/>
                <w:spacing w:val="-6"/>
                <w:szCs w:val="21"/>
                <w:highlight w:val="none"/>
                <w:lang w:val="en-US" w:eastAsia="zh-CN"/>
              </w:rPr>
              <w:t>70</w:t>
            </w:r>
          </w:p>
        </w:tc>
        <w:tc>
          <w:tcPr>
            <w:tcW w:w="6743" w:type="dxa"/>
            <w:noWrap w:val="0"/>
            <w:vAlign w:val="center"/>
          </w:tcPr>
          <w:p>
            <w:pPr>
              <w:adjustRightInd w:val="0"/>
              <w:contextualSpacing/>
              <w:jc w:val="left"/>
              <w:rPr>
                <w:rFonts w:ascii="宋体" w:hAnsi="宋体"/>
                <w:szCs w:val="21"/>
                <w:highlight w:val="none"/>
              </w:rPr>
            </w:pPr>
            <w:r>
              <w:rPr>
                <w:rFonts w:hint="eastAsia" w:ascii="宋体" w:hAnsi="宋体"/>
                <w:szCs w:val="21"/>
                <w:highlight w:val="none"/>
              </w:rPr>
              <w:t>价格评分的计算方法如下：</w:t>
            </w:r>
          </w:p>
          <w:p>
            <w:pPr>
              <w:adjustRightInd w:val="0"/>
              <w:contextualSpacing/>
              <w:jc w:val="left"/>
              <w:rPr>
                <w:rFonts w:ascii="宋体" w:hAnsi="宋体"/>
                <w:szCs w:val="21"/>
                <w:highlight w:val="none"/>
              </w:rPr>
            </w:pPr>
            <w:r>
              <w:rPr>
                <w:rFonts w:hint="eastAsia" w:ascii="宋体" w:hAnsi="宋体"/>
                <w:szCs w:val="21"/>
                <w:highlight w:val="none"/>
              </w:rPr>
              <w:t>1、满足磋商文件要求且最后磋商报价最低的报价为磋商基准价（D），其价格分为满分；</w:t>
            </w:r>
          </w:p>
          <w:p>
            <w:pPr>
              <w:adjustRightInd w:val="0"/>
              <w:contextualSpacing/>
              <w:jc w:val="left"/>
              <w:rPr>
                <w:rFonts w:ascii="宋体" w:hAnsi="宋体"/>
                <w:szCs w:val="21"/>
                <w:highlight w:val="none"/>
              </w:rPr>
            </w:pPr>
            <w:r>
              <w:rPr>
                <w:rFonts w:hint="eastAsia" w:ascii="宋体" w:hAnsi="宋体"/>
                <w:szCs w:val="21"/>
                <w:highlight w:val="none"/>
              </w:rPr>
              <w:t>2、其他合格供应商的磋商报价得分按如下公式计算：磋商报价得分=（磋商基准价D/最后磋商报价V）×价格权值×100</w:t>
            </w:r>
          </w:p>
          <w:p>
            <w:pPr>
              <w:adjustRightInd w:val="0"/>
              <w:snapToGrid w:val="0"/>
              <w:jc w:val="left"/>
              <w:rPr>
                <w:rFonts w:ascii="宋体" w:hAnsi="宋体" w:cs="宋体"/>
                <w:szCs w:val="21"/>
                <w:highlight w:val="none"/>
              </w:rPr>
            </w:pPr>
            <w:r>
              <w:rPr>
                <w:rFonts w:hint="eastAsia" w:ascii="宋体" w:hAnsi="宋体"/>
                <w:szCs w:val="21"/>
                <w:highlight w:val="none"/>
              </w:rPr>
              <w:t xml:space="preserve">价格权值=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70</w:t>
            </w:r>
            <w:r>
              <w:rPr>
                <w:rFonts w:hint="eastAsia" w:ascii="宋体" w:hAnsi="宋体"/>
                <w:szCs w:val="21"/>
                <w:highlight w:val="none"/>
                <w:u w:val="single"/>
              </w:rPr>
              <w:t xml:space="preserve"> </w:t>
            </w:r>
            <w:r>
              <w:rPr>
                <w:rFonts w:hint="eastAsia" w:ascii="宋体" w:hAnsi="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811" w:type="dxa"/>
            <w:vMerge w:val="restart"/>
            <w:noWrap w:val="0"/>
            <w:vAlign w:val="center"/>
          </w:tcPr>
          <w:p>
            <w:pPr>
              <w:jc w:val="center"/>
              <w:rPr>
                <w:rFonts w:ascii="宋体" w:hAnsi="宋体" w:cs="宋体"/>
                <w:szCs w:val="21"/>
                <w:highlight w:val="none"/>
              </w:rPr>
            </w:pPr>
            <w:r>
              <w:rPr>
                <w:rFonts w:hint="eastAsia" w:ascii="宋体" w:hAnsi="宋体" w:cs="宋体"/>
                <w:szCs w:val="21"/>
                <w:highlight w:val="none"/>
              </w:rPr>
              <w:t>商务部分（</w:t>
            </w:r>
            <w:r>
              <w:rPr>
                <w:rFonts w:hint="eastAsia" w:ascii="宋体" w:hAnsi="宋体" w:cs="宋体"/>
                <w:szCs w:val="21"/>
                <w:highlight w:val="none"/>
                <w:lang w:val="en-US" w:eastAsia="zh-CN"/>
              </w:rPr>
              <w:t>5</w:t>
            </w:r>
            <w:r>
              <w:rPr>
                <w:rFonts w:hint="eastAsia" w:ascii="宋体" w:hAnsi="宋体" w:cs="宋体"/>
                <w:szCs w:val="21"/>
                <w:highlight w:val="none"/>
              </w:rPr>
              <w:t>分）</w:t>
            </w:r>
          </w:p>
        </w:tc>
        <w:tc>
          <w:tcPr>
            <w:tcW w:w="1169" w:type="dxa"/>
            <w:noWrap w:val="0"/>
            <w:vAlign w:val="center"/>
          </w:tcPr>
          <w:p>
            <w:pPr>
              <w:jc w:val="center"/>
              <w:rPr>
                <w:rFonts w:ascii="宋体" w:hAnsi="宋体" w:cs="宋体"/>
                <w:szCs w:val="21"/>
                <w:highlight w:val="none"/>
              </w:rPr>
            </w:pPr>
            <w:r>
              <w:rPr>
                <w:rFonts w:hint="eastAsia" w:ascii="宋体" w:hAnsi="宋体" w:cs="宋体"/>
                <w:szCs w:val="21"/>
                <w:highlight w:val="none"/>
              </w:rPr>
              <w:t>类似项目业绩</w:t>
            </w:r>
          </w:p>
        </w:tc>
        <w:tc>
          <w:tcPr>
            <w:tcW w:w="709" w:type="dxa"/>
            <w:noWrap w:val="0"/>
            <w:vAlign w:val="center"/>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2</w:t>
            </w:r>
          </w:p>
        </w:tc>
        <w:tc>
          <w:tcPr>
            <w:tcW w:w="6743" w:type="dxa"/>
            <w:noWrap w:val="0"/>
            <w:vAlign w:val="center"/>
          </w:tcPr>
          <w:p>
            <w:pPr>
              <w:rPr>
                <w:rFonts w:ascii="宋体" w:hAnsi="宋体" w:cs="宋体"/>
                <w:szCs w:val="21"/>
                <w:highlight w:val="none"/>
                <w:lang w:val="zh-CN"/>
              </w:rPr>
            </w:pPr>
            <w:r>
              <w:rPr>
                <w:rFonts w:hint="eastAsia" w:ascii="宋体" w:hAnsi="宋体" w:cs="宋体"/>
                <w:szCs w:val="21"/>
                <w:highlight w:val="none"/>
                <w:lang w:val="zh-CN"/>
              </w:rPr>
              <w:t>提供近三年</w:t>
            </w:r>
            <w:r>
              <w:rPr>
                <w:rFonts w:hint="eastAsia" w:ascii="宋体" w:hAnsi="宋体" w:cs="宋体"/>
                <w:szCs w:val="21"/>
                <w:highlight w:val="none"/>
              </w:rPr>
              <w:t>（202</w:t>
            </w:r>
            <w:r>
              <w:rPr>
                <w:rFonts w:hint="eastAsia" w:ascii="宋体" w:hAnsi="宋体" w:cs="宋体"/>
                <w:szCs w:val="21"/>
                <w:highlight w:val="none"/>
                <w:lang w:val="en-US" w:eastAsia="zh-CN"/>
              </w:rPr>
              <w:t>3</w:t>
            </w:r>
            <w:r>
              <w:rPr>
                <w:rFonts w:hint="eastAsia" w:ascii="宋体" w:hAnsi="宋体" w:cs="宋体"/>
                <w:szCs w:val="21"/>
                <w:highlight w:val="none"/>
              </w:rPr>
              <w:t>年</w:t>
            </w:r>
            <w:bookmarkStart w:id="115" w:name="OLE_LINK7"/>
            <w:r>
              <w:rPr>
                <w:rFonts w:hint="eastAsia" w:ascii="宋体" w:hAnsi="宋体" w:cs="宋体"/>
                <w:szCs w:val="21"/>
                <w:highlight w:val="none"/>
                <w:lang w:val="en-US" w:eastAsia="zh-CN"/>
              </w:rPr>
              <w:t>3</w:t>
            </w:r>
            <w:r>
              <w:rPr>
                <w:rFonts w:hint="eastAsia" w:ascii="宋体" w:hAnsi="宋体" w:cs="宋体"/>
                <w:szCs w:val="21"/>
                <w:highlight w:val="none"/>
              </w:rPr>
              <w:t>月1日</w:t>
            </w:r>
            <w:r>
              <w:rPr>
                <w:rFonts w:hint="eastAsia" w:ascii="宋体" w:hAnsi="宋体" w:cs="宋体"/>
                <w:szCs w:val="21"/>
                <w:highlight w:val="none"/>
                <w:lang w:val="en-US" w:eastAsia="zh-CN"/>
              </w:rPr>
              <w:t>至今</w:t>
            </w:r>
            <w:bookmarkEnd w:id="115"/>
            <w:r>
              <w:rPr>
                <w:rFonts w:hint="eastAsia" w:ascii="宋体" w:hAnsi="宋体" w:cs="宋体"/>
                <w:szCs w:val="21"/>
                <w:highlight w:val="none"/>
              </w:rPr>
              <w:t>，以合同协议书签订时间为准）</w:t>
            </w:r>
            <w:r>
              <w:rPr>
                <w:rFonts w:hint="eastAsia" w:ascii="宋体" w:hAnsi="宋体" w:cs="宋体"/>
                <w:szCs w:val="21"/>
                <w:highlight w:val="none"/>
                <w:lang w:val="zh-CN"/>
              </w:rPr>
              <w:t xml:space="preserve">以来承担完成过类似业绩，每项得 </w:t>
            </w:r>
            <w:r>
              <w:rPr>
                <w:rFonts w:hint="eastAsia" w:ascii="宋体" w:hAnsi="宋体" w:cs="宋体"/>
                <w:szCs w:val="21"/>
                <w:highlight w:val="none"/>
                <w:lang w:val="en-US" w:eastAsia="zh-CN"/>
              </w:rPr>
              <w:t>1</w:t>
            </w:r>
            <w:r>
              <w:rPr>
                <w:rFonts w:hint="eastAsia" w:ascii="宋体" w:hAnsi="宋体" w:cs="宋体"/>
                <w:szCs w:val="21"/>
                <w:highlight w:val="none"/>
                <w:lang w:val="zh-CN"/>
              </w:rPr>
              <w:t>分，最多得</w:t>
            </w:r>
            <w:r>
              <w:rPr>
                <w:rFonts w:hint="eastAsia" w:ascii="宋体" w:hAnsi="宋体" w:cs="宋体"/>
                <w:szCs w:val="21"/>
                <w:highlight w:val="none"/>
                <w:lang w:val="en-US" w:eastAsia="zh-CN"/>
              </w:rPr>
              <w:t>2</w:t>
            </w:r>
            <w:r>
              <w:rPr>
                <w:rFonts w:hint="eastAsia" w:ascii="宋体" w:hAnsi="宋体" w:cs="宋体"/>
                <w:szCs w:val="21"/>
                <w:highlight w:val="none"/>
                <w:lang w:val="zh-CN"/>
              </w:rPr>
              <w:t xml:space="preserve">分。 </w:t>
            </w:r>
          </w:p>
          <w:p>
            <w:pPr>
              <w:rPr>
                <w:rFonts w:ascii="宋体" w:hAnsi="宋体" w:cs="宋体"/>
                <w:szCs w:val="21"/>
                <w:highlight w:val="none"/>
              </w:rPr>
            </w:pPr>
            <w:r>
              <w:rPr>
                <w:rFonts w:hint="eastAsia" w:ascii="宋体" w:hAnsi="宋体" w:cs="宋体"/>
                <w:szCs w:val="21"/>
                <w:highlight w:val="none"/>
                <w:lang w:val="zh-CN"/>
              </w:rPr>
              <w:t>业绩证明材料：合同协议书（须提供包含但不限于合同名称、合同签订双方名称及落款盖章、合同内容、合同金额、</w:t>
            </w:r>
            <w:r>
              <w:rPr>
                <w:rFonts w:hint="eastAsia" w:ascii="宋体" w:hAnsi="宋体" w:cs="宋体"/>
                <w:szCs w:val="21"/>
                <w:highlight w:val="none"/>
                <w:lang w:val="en-US" w:eastAsia="zh-CN"/>
              </w:rPr>
              <w:t>+</w:t>
            </w:r>
            <w:r>
              <w:rPr>
                <w:rFonts w:hint="eastAsia" w:ascii="宋体" w:hAnsi="宋体" w:cs="宋体"/>
                <w:szCs w:val="21"/>
                <w:highlight w:val="none"/>
                <w:lang w:val="zh-CN"/>
              </w:rPr>
              <w:t>签订时间等）、竣工验收证明材料。以上资料须全部提供并加盖供应商公章，未按要求提供或未提供的不得分。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811" w:type="dxa"/>
            <w:vMerge w:val="continue"/>
            <w:noWrap w:val="0"/>
            <w:vAlign w:val="center"/>
          </w:tcPr>
          <w:p>
            <w:pPr>
              <w:jc w:val="center"/>
              <w:rPr>
                <w:rFonts w:hint="eastAsia" w:ascii="宋体" w:hAnsi="宋体" w:cs="宋体"/>
                <w:szCs w:val="21"/>
                <w:highlight w:val="none"/>
              </w:rPr>
            </w:pPr>
          </w:p>
        </w:tc>
        <w:tc>
          <w:tcPr>
            <w:tcW w:w="1169" w:type="dxa"/>
            <w:noWrap w:val="0"/>
            <w:vAlign w:val="center"/>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正面反馈</w:t>
            </w:r>
          </w:p>
        </w:tc>
        <w:tc>
          <w:tcPr>
            <w:tcW w:w="709" w:type="dxa"/>
            <w:noWrap w:val="0"/>
            <w:vAlign w:val="center"/>
          </w:tcPr>
          <w:p>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3</w:t>
            </w:r>
          </w:p>
        </w:tc>
        <w:tc>
          <w:tcPr>
            <w:tcW w:w="6743" w:type="dxa"/>
            <w:noWrap w:val="0"/>
            <w:vAlign w:val="center"/>
          </w:tcPr>
          <w:p>
            <w:pPr>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供应商提供近三年（202</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CN" w:eastAsia="zh-CN"/>
              </w:rPr>
              <w:t>年</w:t>
            </w:r>
            <w:r>
              <w:rPr>
                <w:rFonts w:hint="eastAsia" w:ascii="宋体" w:hAnsi="宋体" w:cs="宋体"/>
                <w:szCs w:val="21"/>
                <w:highlight w:val="none"/>
                <w:lang w:val="en-US" w:eastAsia="zh-CN"/>
              </w:rPr>
              <w:t>3</w:t>
            </w:r>
            <w:r>
              <w:rPr>
                <w:rFonts w:hint="eastAsia" w:ascii="宋体" w:hAnsi="宋体" w:cs="宋体"/>
                <w:szCs w:val="21"/>
                <w:highlight w:val="none"/>
              </w:rPr>
              <w:t>月1日</w:t>
            </w:r>
            <w:r>
              <w:rPr>
                <w:rFonts w:hint="eastAsia" w:ascii="宋体" w:hAnsi="宋体" w:cs="宋体"/>
                <w:szCs w:val="21"/>
                <w:highlight w:val="none"/>
                <w:lang w:val="en-US" w:eastAsia="zh-CN"/>
              </w:rPr>
              <w:t>至今</w:t>
            </w:r>
            <w:r>
              <w:rPr>
                <w:rFonts w:hint="eastAsia" w:ascii="宋体" w:hAnsi="宋体" w:eastAsia="宋体" w:cs="宋体"/>
                <w:szCs w:val="21"/>
                <w:highlight w:val="none"/>
                <w:lang w:val="zh-CN" w:eastAsia="zh-CN"/>
              </w:rPr>
              <w:t>）以来承担过的</w:t>
            </w:r>
            <w:r>
              <w:rPr>
                <w:rFonts w:hint="eastAsia" w:ascii="宋体" w:hAnsi="宋体" w:eastAsia="宋体" w:cs="宋体"/>
                <w:szCs w:val="21"/>
                <w:highlight w:val="none"/>
                <w:lang w:val="en-US" w:eastAsia="zh-CN"/>
              </w:rPr>
              <w:t>上述</w:t>
            </w:r>
            <w:r>
              <w:rPr>
                <w:rFonts w:hint="eastAsia" w:ascii="宋体" w:hAnsi="宋体" w:eastAsia="宋体" w:cs="宋体"/>
                <w:szCs w:val="21"/>
                <w:highlight w:val="none"/>
                <w:lang w:val="zh-CN" w:eastAsia="zh-CN"/>
              </w:rPr>
              <w:t>类似项目优质评价，每提供1份得</w:t>
            </w:r>
            <w:r>
              <w:rPr>
                <w:rFonts w:hint="eastAsia" w:ascii="宋体" w:hAnsi="宋体" w:eastAsia="宋体" w:cs="宋体"/>
                <w:szCs w:val="21"/>
                <w:highlight w:val="none"/>
                <w:lang w:val="en-US" w:eastAsia="zh-CN"/>
              </w:rPr>
              <w:t>1</w:t>
            </w:r>
            <w:r>
              <w:rPr>
                <w:rFonts w:hint="eastAsia" w:ascii="宋体" w:hAnsi="宋体" w:cs="宋体"/>
                <w:szCs w:val="21"/>
                <w:highlight w:val="none"/>
                <w:lang w:val="en-US" w:eastAsia="zh-CN"/>
              </w:rPr>
              <w:t>.5</w:t>
            </w:r>
            <w:r>
              <w:rPr>
                <w:rFonts w:hint="eastAsia" w:ascii="宋体" w:hAnsi="宋体" w:eastAsia="宋体" w:cs="宋体"/>
                <w:szCs w:val="21"/>
                <w:highlight w:val="none"/>
                <w:lang w:val="zh-CN" w:eastAsia="zh-CN"/>
              </w:rPr>
              <w:t>分，最高得</w:t>
            </w:r>
            <w:r>
              <w:rPr>
                <w:rFonts w:hint="eastAsia" w:ascii="宋体" w:hAnsi="宋体" w:cs="宋体"/>
                <w:szCs w:val="21"/>
                <w:highlight w:val="none"/>
                <w:lang w:val="en-US" w:eastAsia="zh-CN"/>
              </w:rPr>
              <w:t>3</w:t>
            </w:r>
            <w:r>
              <w:rPr>
                <w:rFonts w:hint="eastAsia" w:ascii="宋体" w:hAnsi="宋体" w:eastAsia="宋体" w:cs="宋体"/>
                <w:szCs w:val="21"/>
                <w:highlight w:val="none"/>
                <w:lang w:val="zh-CN" w:eastAsia="zh-CN"/>
              </w:rPr>
              <w:t>分，同一采购人不重复计分，不提供不得分；</w:t>
            </w:r>
          </w:p>
          <w:p>
            <w:pPr>
              <w:rPr>
                <w:rFonts w:hint="eastAsia" w:ascii="宋体" w:hAnsi="宋体" w:cs="宋体"/>
                <w:szCs w:val="21"/>
                <w:highlight w:val="none"/>
                <w:lang w:val="zh-CN"/>
              </w:rPr>
            </w:pPr>
            <w:r>
              <w:rPr>
                <w:rFonts w:hint="eastAsia" w:ascii="宋体" w:hAnsi="宋体" w:eastAsia="宋体" w:cs="宋体"/>
                <w:b/>
                <w:bCs/>
                <w:szCs w:val="21"/>
                <w:highlight w:val="none"/>
                <w:lang w:val="zh-CN" w:eastAsia="zh-CN"/>
              </w:rPr>
              <w:t>注：需提供类似项目经业主盖章的</w:t>
            </w:r>
            <w:r>
              <w:rPr>
                <w:rFonts w:hint="eastAsia" w:ascii="宋体" w:hAnsi="宋体" w:cs="宋体"/>
                <w:b/>
                <w:bCs/>
                <w:szCs w:val="21"/>
                <w:highlight w:val="none"/>
                <w:lang w:val="en-US" w:eastAsia="zh-CN"/>
              </w:rPr>
              <w:t>正面</w:t>
            </w:r>
            <w:r>
              <w:rPr>
                <w:rFonts w:hint="eastAsia" w:ascii="宋体" w:hAnsi="宋体" w:eastAsia="宋体" w:cs="宋体"/>
                <w:b/>
                <w:bCs/>
                <w:szCs w:val="21"/>
                <w:highlight w:val="none"/>
                <w:lang w:val="zh-CN" w:eastAsia="zh-CN"/>
              </w:rPr>
              <w:t>评价表复印件或扫描件，并加盖供应商单位公章，不提供不得分。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811" w:type="dxa"/>
            <w:vMerge w:val="restart"/>
            <w:noWrap w:val="0"/>
            <w:vAlign w:val="center"/>
          </w:tcPr>
          <w:p>
            <w:pPr>
              <w:jc w:val="center"/>
              <w:rPr>
                <w:rFonts w:ascii="宋体" w:hAnsi="宋体" w:cs="宋体"/>
                <w:szCs w:val="21"/>
                <w:highlight w:val="none"/>
              </w:rPr>
            </w:pPr>
            <w:r>
              <w:rPr>
                <w:rFonts w:hint="eastAsia" w:ascii="宋体" w:hAnsi="宋体" w:cs="宋体"/>
                <w:szCs w:val="21"/>
                <w:highlight w:val="none"/>
              </w:rPr>
              <w:t>技术部分（</w:t>
            </w:r>
            <w:r>
              <w:rPr>
                <w:rFonts w:hint="eastAsia" w:ascii="宋体" w:hAnsi="宋体" w:cs="宋体"/>
                <w:szCs w:val="21"/>
                <w:highlight w:val="none"/>
                <w:lang w:val="en-US" w:eastAsia="zh-CN"/>
              </w:rPr>
              <w:t>25</w:t>
            </w:r>
            <w:r>
              <w:rPr>
                <w:rFonts w:hint="eastAsia" w:ascii="宋体" w:hAnsi="宋体" w:cs="宋体"/>
                <w:szCs w:val="21"/>
                <w:highlight w:val="none"/>
              </w:rPr>
              <w:t>）</w:t>
            </w:r>
          </w:p>
        </w:tc>
        <w:tc>
          <w:tcPr>
            <w:tcW w:w="1169" w:type="dxa"/>
            <w:noWrap w:val="0"/>
            <w:vAlign w:val="center"/>
          </w:tcPr>
          <w:p>
            <w:pPr>
              <w:jc w:val="center"/>
              <w:rPr>
                <w:rFonts w:ascii="宋体" w:hAnsi="宋体" w:cs="宋体"/>
                <w:szCs w:val="21"/>
                <w:highlight w:val="none"/>
              </w:rPr>
            </w:pPr>
            <w:r>
              <w:rPr>
                <w:rFonts w:hint="eastAsia" w:ascii="宋体" w:hAnsi="宋体" w:cs="宋体"/>
                <w:szCs w:val="21"/>
                <w:highlight w:val="none"/>
              </w:rPr>
              <w:t>主要施工方案</w:t>
            </w:r>
          </w:p>
        </w:tc>
        <w:tc>
          <w:tcPr>
            <w:tcW w:w="709" w:type="dxa"/>
            <w:noWrap w:val="0"/>
            <w:vAlign w:val="center"/>
          </w:tcPr>
          <w:p>
            <w:pPr>
              <w:jc w:val="center"/>
              <w:rPr>
                <w:rFonts w:hint="default" w:ascii="宋体" w:hAnsi="宋体" w:cs="宋体"/>
                <w:szCs w:val="21"/>
                <w:highlight w:val="none"/>
                <w:lang w:val="en-US"/>
              </w:rPr>
            </w:pPr>
            <w:r>
              <w:rPr>
                <w:rFonts w:hint="eastAsia" w:ascii="宋体" w:hAnsi="宋体" w:cs="宋体"/>
                <w:szCs w:val="21"/>
                <w:highlight w:val="none"/>
                <w:lang w:val="en-US" w:eastAsia="zh-CN"/>
              </w:rPr>
              <w:t>10</w:t>
            </w:r>
          </w:p>
        </w:tc>
        <w:tc>
          <w:tcPr>
            <w:tcW w:w="6743" w:type="dxa"/>
            <w:noWrap w:val="0"/>
            <w:vAlign w:val="top"/>
          </w:tcPr>
          <w:p>
            <w:pPr>
              <w:rPr>
                <w:highlight w:val="none"/>
              </w:rPr>
            </w:pPr>
            <w:r>
              <w:rPr>
                <w:rFonts w:hint="eastAsia"/>
                <w:highlight w:val="none"/>
              </w:rPr>
              <w:t>根据供应商针对本工程的主要施工方案中技术路线分析、总体思路分析、人员分工部署等方面进行综合评定；满分</w:t>
            </w:r>
            <w:r>
              <w:rPr>
                <w:rFonts w:hint="eastAsia"/>
                <w:highlight w:val="none"/>
                <w:lang w:val="en-US" w:eastAsia="zh-CN"/>
              </w:rPr>
              <w:t>10</w:t>
            </w:r>
            <w:r>
              <w:rPr>
                <w:rFonts w:hint="eastAsia"/>
                <w:highlight w:val="none"/>
              </w:rPr>
              <w:t>分，存在①分析不具科学性、②思路不具可操作性、③部署</w:t>
            </w:r>
            <w:r>
              <w:rPr>
                <w:rFonts w:hint="eastAsia" w:ascii="Times New Roman" w:eastAsia="宋体"/>
                <w:highlight w:val="none"/>
                <w:lang w:val="en-US" w:eastAsia="zh-CN"/>
              </w:rPr>
              <w:t>不</w:t>
            </w:r>
            <w:r>
              <w:rPr>
                <w:rFonts w:hint="eastAsia"/>
                <w:highlight w:val="none"/>
              </w:rPr>
              <w:t>实际</w:t>
            </w:r>
            <w:r>
              <w:rPr>
                <w:rFonts w:hint="eastAsia" w:eastAsia="宋体"/>
                <w:highlight w:val="none"/>
                <w:lang w:eastAsia="zh-CN"/>
              </w:rPr>
              <w:t>、</w:t>
            </w:r>
            <w:r>
              <w:rPr>
                <w:rFonts w:hint="eastAsia"/>
                <w:highlight w:val="none"/>
              </w:rPr>
              <w:t>④对本项目不具有针对性</w:t>
            </w:r>
            <w:r>
              <w:rPr>
                <w:rFonts w:hint="eastAsia" w:eastAsia="宋体"/>
                <w:highlight w:val="none"/>
                <w:lang w:eastAsia="zh-CN"/>
              </w:rPr>
              <w:t>、</w:t>
            </w:r>
            <w:r>
              <w:rPr>
                <w:rFonts w:hint="eastAsia"/>
                <w:highlight w:val="none"/>
              </w:rPr>
              <w:t>⑤其他内容缺失的，每存在一处扣</w:t>
            </w:r>
            <w:r>
              <w:rPr>
                <w:rFonts w:hint="eastAsia"/>
                <w:highlight w:val="none"/>
                <w:lang w:val="en-US" w:eastAsia="zh-CN"/>
              </w:rPr>
              <w:t>2</w:t>
            </w:r>
            <w:r>
              <w:rPr>
                <w:rFonts w:hint="eastAsia"/>
                <w:highlight w:val="none"/>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811" w:type="dxa"/>
            <w:vMerge w:val="continue"/>
            <w:noWrap w:val="0"/>
            <w:vAlign w:val="center"/>
          </w:tcPr>
          <w:p>
            <w:pPr>
              <w:rPr>
                <w:rFonts w:ascii="宋体" w:hAnsi="宋体" w:cs="宋体"/>
                <w:szCs w:val="21"/>
                <w:highlight w:val="none"/>
              </w:rPr>
            </w:pPr>
          </w:p>
        </w:tc>
        <w:tc>
          <w:tcPr>
            <w:tcW w:w="1169" w:type="dxa"/>
            <w:noWrap w:val="0"/>
            <w:vAlign w:val="center"/>
          </w:tcPr>
          <w:p>
            <w:pPr>
              <w:jc w:val="center"/>
              <w:rPr>
                <w:rFonts w:ascii="宋体" w:hAnsi="宋体" w:cs="宋体"/>
                <w:szCs w:val="21"/>
                <w:highlight w:val="none"/>
              </w:rPr>
            </w:pPr>
            <w:r>
              <w:rPr>
                <w:rFonts w:hint="eastAsia" w:ascii="宋体" w:hAnsi="宋体" w:cs="宋体"/>
                <w:szCs w:val="21"/>
                <w:highlight w:val="none"/>
              </w:rPr>
              <w:t>施工准备与资源配置计划</w:t>
            </w:r>
          </w:p>
        </w:tc>
        <w:tc>
          <w:tcPr>
            <w:tcW w:w="709" w:type="dxa"/>
            <w:noWrap w:val="0"/>
            <w:vAlign w:val="center"/>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w:t>
            </w:r>
          </w:p>
        </w:tc>
        <w:tc>
          <w:tcPr>
            <w:tcW w:w="6743" w:type="dxa"/>
            <w:noWrap w:val="0"/>
            <w:vAlign w:val="top"/>
          </w:tcPr>
          <w:p>
            <w:pPr>
              <w:rPr>
                <w:rFonts w:ascii="宋体" w:hAnsi="宋体" w:cs="宋体"/>
                <w:szCs w:val="21"/>
                <w:highlight w:val="none"/>
              </w:rPr>
            </w:pPr>
            <w:r>
              <w:rPr>
                <w:rFonts w:hint="eastAsia" w:ascii="宋体" w:hAnsi="宋体" w:cs="宋体"/>
                <w:szCs w:val="21"/>
                <w:highlight w:val="none"/>
              </w:rPr>
              <w:t>依据供应商提供的物质准备工作、物资配备计划、机械配备计划等方面进行综合评分：满分</w:t>
            </w:r>
            <w:r>
              <w:rPr>
                <w:rFonts w:hint="eastAsia" w:ascii="宋体" w:hAnsi="宋体" w:cs="宋体"/>
                <w:szCs w:val="21"/>
                <w:highlight w:val="none"/>
                <w:lang w:val="en-US" w:eastAsia="zh-CN"/>
              </w:rPr>
              <w:t>5</w:t>
            </w:r>
            <w:r>
              <w:rPr>
                <w:rFonts w:hint="eastAsia" w:ascii="宋体" w:hAnsi="宋体" w:cs="宋体"/>
                <w:szCs w:val="21"/>
                <w:highlight w:val="none"/>
              </w:rPr>
              <w:t>分，①存在准备工作不充分、②物资</w:t>
            </w:r>
            <w:r>
              <w:rPr>
                <w:rFonts w:hint="eastAsia" w:ascii="宋体" w:hAnsi="宋体" w:cs="宋体"/>
                <w:szCs w:val="21"/>
                <w:highlight w:val="none"/>
                <w:lang w:val="en-US" w:eastAsia="zh-CN"/>
              </w:rPr>
              <w:t>准备</w:t>
            </w:r>
            <w:r>
              <w:rPr>
                <w:rFonts w:hint="eastAsia" w:ascii="宋体" w:hAnsi="宋体" w:cs="宋体"/>
                <w:szCs w:val="21"/>
                <w:highlight w:val="none"/>
              </w:rPr>
              <w:t>不足</w:t>
            </w:r>
            <w:r>
              <w:rPr>
                <w:rFonts w:hint="eastAsia" w:ascii="宋体" w:hAnsi="宋体" w:cs="宋体"/>
                <w:szCs w:val="21"/>
                <w:highlight w:val="none"/>
                <w:lang w:eastAsia="zh-CN"/>
              </w:rPr>
              <w:t>、</w:t>
            </w:r>
            <w:r>
              <w:rPr>
                <w:rFonts w:hint="eastAsia" w:ascii="宋体" w:hAnsi="宋体" w:cs="宋体"/>
                <w:szCs w:val="21"/>
                <w:highlight w:val="none"/>
              </w:rPr>
              <w:t>③机械不适用</w:t>
            </w:r>
            <w:r>
              <w:rPr>
                <w:rFonts w:hint="eastAsia" w:ascii="宋体" w:hAnsi="宋体" w:cs="宋体"/>
                <w:szCs w:val="21"/>
                <w:highlight w:val="none"/>
                <w:lang w:eastAsia="zh-CN"/>
              </w:rPr>
              <w:t>、</w:t>
            </w:r>
            <w:r>
              <w:rPr>
                <w:rFonts w:hint="eastAsia" w:ascii="宋体" w:hAnsi="宋体" w:cs="宋体"/>
                <w:szCs w:val="21"/>
                <w:highlight w:val="none"/>
              </w:rPr>
              <w:t>④对本项目不具有针对性</w:t>
            </w:r>
            <w:r>
              <w:rPr>
                <w:rFonts w:hint="eastAsia" w:ascii="宋体" w:hAnsi="宋体" w:cs="宋体"/>
                <w:szCs w:val="21"/>
                <w:highlight w:val="none"/>
                <w:lang w:eastAsia="zh-CN"/>
              </w:rPr>
              <w:t>、</w:t>
            </w:r>
            <w:r>
              <w:rPr>
                <w:rFonts w:hint="eastAsia" w:ascii="宋体" w:hAnsi="宋体" w:eastAsia="宋体" w:cs="宋体"/>
                <w:szCs w:val="21"/>
                <w:highlight w:val="none"/>
              </w:rPr>
              <w:t>⑤</w:t>
            </w:r>
            <w:r>
              <w:rPr>
                <w:rFonts w:hint="eastAsia" w:ascii="宋体" w:hAnsi="宋体" w:cs="宋体"/>
                <w:szCs w:val="21"/>
                <w:highlight w:val="none"/>
              </w:rPr>
              <w:t>其他内容缺失的，每存在一处扣</w:t>
            </w:r>
            <w:r>
              <w:rPr>
                <w:rFonts w:hint="eastAsia" w:ascii="宋体" w:hAnsi="宋体" w:cs="宋体"/>
                <w:szCs w:val="21"/>
                <w:highlight w:val="none"/>
                <w:lang w:val="en-US" w:eastAsia="zh-CN"/>
              </w:rPr>
              <w:t>1</w:t>
            </w:r>
            <w:r>
              <w:rPr>
                <w:rFonts w:hint="eastAsia" w:ascii="宋体" w:hAnsi="宋体" w:cs="宋体"/>
                <w:szCs w:val="21"/>
                <w:highlight w:val="none"/>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11" w:type="dxa"/>
            <w:vMerge w:val="continue"/>
            <w:noWrap w:val="0"/>
            <w:vAlign w:val="center"/>
          </w:tcPr>
          <w:p>
            <w:pPr>
              <w:rPr>
                <w:rFonts w:ascii="宋体" w:hAnsi="宋体" w:cs="宋体"/>
                <w:szCs w:val="21"/>
                <w:highlight w:val="none"/>
              </w:rPr>
            </w:pPr>
          </w:p>
        </w:tc>
        <w:tc>
          <w:tcPr>
            <w:tcW w:w="1169" w:type="dxa"/>
            <w:noWrap w:val="0"/>
            <w:vAlign w:val="center"/>
          </w:tcPr>
          <w:p>
            <w:pPr>
              <w:jc w:val="center"/>
              <w:rPr>
                <w:rFonts w:ascii="宋体" w:hAnsi="宋体" w:cs="宋体"/>
                <w:szCs w:val="21"/>
                <w:highlight w:val="none"/>
              </w:rPr>
            </w:pPr>
            <w:r>
              <w:rPr>
                <w:rFonts w:hint="eastAsia" w:ascii="宋体" w:hAnsi="宋体" w:cs="宋体"/>
                <w:szCs w:val="21"/>
                <w:highlight w:val="none"/>
              </w:rPr>
              <w:t>确保工期</w:t>
            </w:r>
            <w:r>
              <w:rPr>
                <w:rFonts w:hint="eastAsia" w:ascii="宋体" w:hAnsi="宋体" w:cs="宋体"/>
                <w:szCs w:val="21"/>
                <w:highlight w:val="none"/>
                <w:lang w:eastAsia="zh-CN"/>
              </w:rPr>
              <w:t>、</w:t>
            </w:r>
            <w:r>
              <w:rPr>
                <w:rFonts w:hint="eastAsia" w:ascii="宋体" w:hAnsi="宋体" w:cs="宋体"/>
                <w:szCs w:val="21"/>
                <w:highlight w:val="none"/>
              </w:rPr>
              <w:t>质量</w:t>
            </w:r>
            <w:r>
              <w:rPr>
                <w:rFonts w:hint="eastAsia" w:ascii="宋体" w:hAnsi="宋体" w:cs="宋体"/>
                <w:szCs w:val="21"/>
                <w:highlight w:val="none"/>
                <w:lang w:eastAsia="zh-CN"/>
              </w:rPr>
              <w:t>、</w:t>
            </w:r>
            <w:r>
              <w:rPr>
                <w:rFonts w:hint="eastAsia" w:ascii="宋体" w:hAnsi="宋体" w:cs="宋体"/>
                <w:szCs w:val="21"/>
                <w:highlight w:val="none"/>
              </w:rPr>
              <w:t>安全</w:t>
            </w:r>
            <w:r>
              <w:rPr>
                <w:rFonts w:hint="eastAsia" w:ascii="宋体" w:hAnsi="宋体" w:cs="宋体"/>
                <w:szCs w:val="21"/>
                <w:highlight w:val="none"/>
                <w:lang w:eastAsia="zh-CN"/>
              </w:rPr>
              <w:t>、</w:t>
            </w:r>
            <w:r>
              <w:rPr>
                <w:rFonts w:hint="eastAsia" w:ascii="宋体" w:hAnsi="宋体" w:cs="宋体"/>
                <w:szCs w:val="21"/>
                <w:highlight w:val="none"/>
              </w:rPr>
              <w:t>文明施工的技术组织措施</w:t>
            </w:r>
          </w:p>
        </w:tc>
        <w:tc>
          <w:tcPr>
            <w:tcW w:w="709" w:type="dxa"/>
            <w:noWrap w:val="0"/>
            <w:vAlign w:val="center"/>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w:t>
            </w:r>
          </w:p>
        </w:tc>
        <w:tc>
          <w:tcPr>
            <w:tcW w:w="6743" w:type="dxa"/>
            <w:noWrap w:val="0"/>
            <w:vAlign w:val="top"/>
          </w:tcPr>
          <w:p>
            <w:pPr>
              <w:rPr>
                <w:highlight w:val="none"/>
              </w:rPr>
            </w:pPr>
            <w:r>
              <w:rPr>
                <w:rFonts w:hint="eastAsia"/>
                <w:highlight w:val="none"/>
              </w:rPr>
              <w:t>根据供应商的确保工期、质量、安全、文明施工的技术组织措施</w:t>
            </w:r>
            <w:r>
              <w:rPr>
                <w:rFonts w:hint="eastAsia" w:ascii="宋体" w:hAnsi="宋体" w:cs="宋体"/>
                <w:szCs w:val="21"/>
                <w:highlight w:val="none"/>
              </w:rPr>
              <w:t>的工期</w:t>
            </w:r>
            <w:r>
              <w:rPr>
                <w:rFonts w:hint="eastAsia" w:ascii="宋体" w:hAnsi="宋体" w:cs="宋体"/>
                <w:szCs w:val="21"/>
                <w:highlight w:val="none"/>
                <w:lang w:val="en-US" w:eastAsia="zh-CN"/>
              </w:rPr>
              <w:t>保障措施、质量保障措施、安全保障措施、文明施工保障措施</w:t>
            </w:r>
            <w:r>
              <w:rPr>
                <w:rFonts w:hint="eastAsia" w:ascii="宋体" w:hAnsi="宋体" w:cs="宋体"/>
                <w:szCs w:val="21"/>
                <w:highlight w:val="none"/>
              </w:rPr>
              <w:t>等方面进行综合评定；满分</w:t>
            </w:r>
            <w:r>
              <w:rPr>
                <w:rFonts w:hint="eastAsia" w:ascii="宋体" w:hAnsi="宋体" w:cs="宋体"/>
                <w:szCs w:val="21"/>
                <w:highlight w:val="none"/>
                <w:lang w:val="en-US" w:eastAsia="zh-CN"/>
              </w:rPr>
              <w:t>5</w:t>
            </w:r>
            <w:r>
              <w:rPr>
                <w:rFonts w:hint="eastAsia" w:ascii="宋体" w:hAnsi="宋体" w:cs="宋体"/>
                <w:szCs w:val="21"/>
                <w:highlight w:val="none"/>
              </w:rPr>
              <w:t>分，存在①整体安排不合理</w:t>
            </w:r>
            <w:r>
              <w:rPr>
                <w:rFonts w:hint="eastAsia" w:ascii="宋体" w:hAnsi="宋体" w:cs="宋体"/>
                <w:szCs w:val="21"/>
                <w:highlight w:val="none"/>
                <w:lang w:eastAsia="zh-CN"/>
              </w:rPr>
              <w:t>、</w:t>
            </w:r>
            <w:r>
              <w:rPr>
                <w:rFonts w:hint="eastAsia" w:ascii="宋体" w:hAnsi="宋体" w:cs="宋体"/>
                <w:szCs w:val="21"/>
                <w:highlight w:val="none"/>
              </w:rPr>
              <w:t>②措施不适用、③处罚制度不具有操作性</w:t>
            </w:r>
            <w:r>
              <w:rPr>
                <w:rFonts w:hint="eastAsia" w:ascii="宋体" w:hAnsi="宋体" w:cs="宋体"/>
                <w:szCs w:val="21"/>
                <w:highlight w:val="none"/>
                <w:lang w:eastAsia="zh-CN"/>
              </w:rPr>
              <w:t>、</w:t>
            </w:r>
            <w:r>
              <w:rPr>
                <w:rFonts w:hint="eastAsia" w:ascii="宋体" w:hAnsi="宋体" w:cs="宋体"/>
                <w:szCs w:val="21"/>
                <w:highlight w:val="none"/>
              </w:rPr>
              <w:t>④对本项目不具有针对性</w:t>
            </w:r>
            <w:r>
              <w:rPr>
                <w:rFonts w:hint="eastAsia" w:ascii="宋体" w:hAnsi="宋体" w:cs="宋体"/>
                <w:szCs w:val="21"/>
                <w:highlight w:val="none"/>
                <w:lang w:eastAsia="zh-CN"/>
              </w:rPr>
              <w:t>、</w:t>
            </w:r>
            <w:r>
              <w:rPr>
                <w:rFonts w:hint="eastAsia" w:ascii="宋体" w:hAnsi="宋体" w:eastAsia="宋体" w:cs="宋体"/>
                <w:szCs w:val="21"/>
                <w:highlight w:val="none"/>
              </w:rPr>
              <w:t>⑤</w:t>
            </w:r>
            <w:r>
              <w:rPr>
                <w:rFonts w:hint="eastAsia" w:ascii="宋体" w:hAnsi="宋体" w:cs="宋体"/>
                <w:szCs w:val="21"/>
                <w:highlight w:val="none"/>
              </w:rPr>
              <w:t>其他内容缺失的，每存在一处扣</w:t>
            </w:r>
            <w:r>
              <w:rPr>
                <w:rFonts w:hint="eastAsia" w:ascii="宋体" w:hAnsi="宋体" w:cs="宋体"/>
                <w:szCs w:val="21"/>
                <w:highlight w:val="none"/>
                <w:lang w:val="en-US" w:eastAsia="zh-CN"/>
              </w:rPr>
              <w:t>1</w:t>
            </w:r>
            <w:r>
              <w:rPr>
                <w:rFonts w:hint="eastAsia" w:ascii="宋体" w:hAnsi="宋体" w:cs="宋体"/>
                <w:szCs w:val="21"/>
                <w:highlight w:val="none"/>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811" w:type="dxa"/>
            <w:vMerge w:val="continue"/>
            <w:noWrap w:val="0"/>
            <w:vAlign w:val="center"/>
          </w:tcPr>
          <w:p>
            <w:pPr>
              <w:rPr>
                <w:rFonts w:ascii="宋体" w:hAnsi="宋体" w:cs="宋体"/>
                <w:szCs w:val="21"/>
                <w:highlight w:val="none"/>
              </w:rPr>
            </w:pPr>
          </w:p>
        </w:tc>
        <w:tc>
          <w:tcPr>
            <w:tcW w:w="1169" w:type="dxa"/>
            <w:noWrap w:val="0"/>
            <w:vAlign w:val="center"/>
          </w:tcPr>
          <w:p>
            <w:pPr>
              <w:jc w:val="center"/>
              <w:rPr>
                <w:rFonts w:ascii="宋体" w:hAnsi="宋体" w:cs="宋体"/>
                <w:szCs w:val="21"/>
                <w:highlight w:val="none"/>
              </w:rPr>
            </w:pPr>
            <w:r>
              <w:rPr>
                <w:rFonts w:hint="eastAsia" w:ascii="宋体" w:hAnsi="宋体" w:cs="宋体"/>
                <w:szCs w:val="21"/>
                <w:highlight w:val="none"/>
              </w:rPr>
              <w:t>应急方案</w:t>
            </w:r>
          </w:p>
        </w:tc>
        <w:tc>
          <w:tcPr>
            <w:tcW w:w="709" w:type="dxa"/>
            <w:noWrap w:val="0"/>
            <w:vAlign w:val="center"/>
          </w:tcPr>
          <w:p>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w:t>
            </w:r>
          </w:p>
        </w:tc>
        <w:tc>
          <w:tcPr>
            <w:tcW w:w="6743" w:type="dxa"/>
            <w:noWrap w:val="0"/>
            <w:vAlign w:val="top"/>
          </w:tcPr>
          <w:p>
            <w:pPr>
              <w:rPr>
                <w:rFonts w:hint="eastAsia"/>
                <w:highlight w:val="none"/>
              </w:rPr>
            </w:pPr>
            <w:r>
              <w:rPr>
                <w:rFonts w:hint="eastAsia"/>
                <w:highlight w:val="none"/>
              </w:rPr>
              <w:t>根据供应商的应急方案的突然情况分析、应急抢修措施、日常维护及</w:t>
            </w:r>
            <w:r>
              <w:rPr>
                <w:rFonts w:hint="eastAsia" w:ascii="Times New Roman" w:eastAsia="宋体"/>
                <w:highlight w:val="none"/>
                <w:lang w:val="en-US" w:eastAsia="zh-CN"/>
              </w:rPr>
              <w:t>群体事件</w:t>
            </w:r>
            <w:r>
              <w:rPr>
                <w:rFonts w:hint="eastAsia"/>
                <w:highlight w:val="none"/>
              </w:rPr>
              <w:t>等方面进行综合评定；满分5分，存在①分析不准确、②措施不适用、③方案不实际</w:t>
            </w:r>
            <w:r>
              <w:rPr>
                <w:rFonts w:hint="eastAsia" w:eastAsia="宋体"/>
                <w:highlight w:val="none"/>
                <w:lang w:eastAsia="zh-CN"/>
              </w:rPr>
              <w:t>、</w:t>
            </w:r>
            <w:r>
              <w:rPr>
                <w:rFonts w:hint="eastAsia"/>
                <w:highlight w:val="none"/>
              </w:rPr>
              <w:t>④对本项目不具有针对性</w:t>
            </w:r>
            <w:r>
              <w:rPr>
                <w:rFonts w:hint="eastAsia" w:eastAsia="宋体"/>
                <w:highlight w:val="none"/>
                <w:lang w:eastAsia="zh-CN"/>
              </w:rPr>
              <w:t>、</w:t>
            </w:r>
            <w:r>
              <w:rPr>
                <w:rFonts w:hint="eastAsia"/>
                <w:highlight w:val="none"/>
              </w:rPr>
              <w:t>⑤其他内容缺失的，每存在一处扣</w:t>
            </w:r>
            <w:r>
              <w:rPr>
                <w:rFonts w:hint="eastAsia" w:ascii="Times New Roman" w:eastAsia="宋体"/>
                <w:highlight w:val="none"/>
                <w:lang w:val="en-US" w:eastAsia="zh-CN"/>
              </w:rPr>
              <w:t>1</w:t>
            </w:r>
            <w:r>
              <w:rPr>
                <w:rFonts w:hint="eastAsia"/>
                <w:highlight w:val="none"/>
              </w:rPr>
              <w:t>分。不提供不得分。</w:t>
            </w:r>
          </w:p>
        </w:tc>
      </w:tr>
      <w:bookmarkEnd w:id="216"/>
      <w:bookmarkEnd w:id="113"/>
      <w:bookmarkEnd w:id="114"/>
    </w:tbl>
    <w:p>
      <w:pPr>
        <w:pStyle w:val="16"/>
        <w:rPr>
          <w:highlight w:val="none"/>
        </w:rPr>
      </w:pPr>
    </w:p>
    <w:p>
      <w:pPr>
        <w:pStyle w:val="4"/>
        <w:snapToGrid w:val="0"/>
        <w:spacing w:before="0" w:after="0" w:line="360" w:lineRule="auto"/>
        <w:jc w:val="left"/>
        <w:rPr>
          <w:rFonts w:ascii="宋体" w:hAnsi="宋体" w:eastAsia="宋体" w:cs="宋体"/>
          <w:b/>
          <w:bCs w:val="0"/>
          <w:sz w:val="21"/>
          <w:szCs w:val="21"/>
          <w:highlight w:val="none"/>
        </w:rPr>
      </w:pPr>
      <w:bookmarkStart w:id="116" w:name="_Toc21395"/>
      <w:r>
        <w:rPr>
          <w:rFonts w:hint="eastAsia" w:ascii="宋体" w:hAnsi="宋体" w:eastAsia="宋体" w:cs="宋体"/>
          <w:b/>
          <w:bCs w:val="0"/>
          <w:sz w:val="21"/>
          <w:szCs w:val="21"/>
          <w:highlight w:val="none"/>
        </w:rPr>
        <w:t>三、编写评审报告</w:t>
      </w:r>
      <w:bookmarkEnd w:id="116"/>
    </w:p>
    <w:p>
      <w:pPr>
        <w:pStyle w:val="11"/>
        <w:adjustRightInd/>
        <w:snapToGrid w:val="0"/>
        <w:spacing w:line="360" w:lineRule="auto"/>
        <w:ind w:firstLine="413" w:firstLineChars="196"/>
        <w:textAlignment w:val="auto"/>
        <w:outlineLvl w:val="2"/>
        <w:rPr>
          <w:rFonts w:ascii="宋体" w:hAnsi="宋体"/>
          <w:b/>
          <w:bCs/>
          <w:kern w:val="2"/>
          <w:szCs w:val="21"/>
          <w:highlight w:val="none"/>
        </w:rPr>
      </w:pPr>
      <w:r>
        <w:rPr>
          <w:rFonts w:hint="eastAsia" w:ascii="宋体" w:hAnsi="宋体"/>
          <w:b/>
          <w:bCs/>
          <w:kern w:val="2"/>
          <w:szCs w:val="21"/>
          <w:highlight w:val="none"/>
        </w:rPr>
        <w:t>（一）评审报告的内容</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评审报告应当包括以下主要内容：</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1、邀请供应商参加采购活动的具体方式和相关情况；</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2、响应文件开启日期和地点；</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3、获取磋商文件的供应商名单和磋商小组成员名单；</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4、评审情况记录和说明，包括对供应商的资格审查情况、供应商响应文件评审情况、磋商情况、报价情况等；</w:t>
      </w:r>
    </w:p>
    <w:p>
      <w:pPr>
        <w:pStyle w:val="11"/>
        <w:snapToGrid w:val="0"/>
        <w:spacing w:line="360" w:lineRule="auto"/>
        <w:ind w:firstLineChars="200"/>
        <w:rPr>
          <w:rFonts w:ascii="宋体" w:hAnsi="宋体"/>
          <w:bCs/>
          <w:szCs w:val="21"/>
          <w:highlight w:val="none"/>
        </w:rPr>
      </w:pPr>
      <w:r>
        <w:rPr>
          <w:rFonts w:hint="eastAsia" w:ascii="宋体" w:hAnsi="宋体"/>
          <w:bCs/>
          <w:szCs w:val="21"/>
          <w:highlight w:val="none"/>
        </w:rPr>
        <w:t>5、提出的成交候选供应商的排序名单及理由。</w:t>
      </w:r>
    </w:p>
    <w:p>
      <w:pPr>
        <w:pStyle w:val="11"/>
        <w:adjustRightInd/>
        <w:snapToGrid w:val="0"/>
        <w:spacing w:line="360" w:lineRule="auto"/>
        <w:ind w:firstLine="413" w:firstLineChars="196"/>
        <w:textAlignment w:val="auto"/>
        <w:outlineLvl w:val="2"/>
        <w:rPr>
          <w:rFonts w:ascii="宋体" w:hAnsi="宋体"/>
          <w:b/>
          <w:bCs/>
          <w:kern w:val="2"/>
          <w:szCs w:val="21"/>
          <w:highlight w:val="none"/>
        </w:rPr>
      </w:pPr>
      <w:r>
        <w:rPr>
          <w:rFonts w:hint="eastAsia" w:ascii="宋体" w:hAnsi="宋体"/>
          <w:b/>
          <w:bCs/>
          <w:kern w:val="2"/>
          <w:szCs w:val="21"/>
          <w:highlight w:val="none"/>
        </w:rPr>
        <w:t>（二）评审报告的签署</w:t>
      </w:r>
    </w:p>
    <w:p>
      <w:pPr>
        <w:pStyle w:val="11"/>
        <w:snapToGrid w:val="0"/>
        <w:spacing w:line="360" w:lineRule="auto"/>
        <w:ind w:firstLineChars="200"/>
        <w:rPr>
          <w:rFonts w:ascii="宋体" w:hAnsi="宋体"/>
          <w:bCs/>
          <w:sz w:val="24"/>
          <w:highlight w:val="none"/>
        </w:rPr>
        <w:sectPr>
          <w:footerReference r:id="rId6" w:type="even"/>
          <w:pgSz w:w="11907" w:h="16840"/>
          <w:pgMar w:top="1247" w:right="1531" w:bottom="1134" w:left="1531" w:header="907" w:footer="907" w:gutter="0"/>
          <w:pgNumType w:start="1"/>
          <w:cols w:space="720" w:num="1"/>
          <w:docGrid w:linePitch="312" w:charSpace="0"/>
        </w:sectPr>
      </w:pPr>
      <w:r>
        <w:rPr>
          <w:rFonts w:hint="eastAsia" w:ascii="宋体" w:hAnsi="宋体"/>
          <w:bCs/>
          <w:szCs w:val="21"/>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bookmarkEnd w:id="102"/>
    <w:bookmarkEnd w:id="103"/>
    <w:bookmarkEnd w:id="104"/>
    <w:p>
      <w:pPr>
        <w:pStyle w:val="3"/>
        <w:spacing w:before="120" w:after="120"/>
        <w:rPr>
          <w:rFonts w:ascii="宋体" w:hAnsi="宋体"/>
          <w:color w:val="000000" w:themeColor="text1"/>
          <w:highlight w:val="none"/>
          <w14:textFill>
            <w14:solidFill>
              <w14:schemeClr w14:val="tx1"/>
            </w14:solidFill>
          </w14:textFill>
        </w:rPr>
      </w:pPr>
      <w:bookmarkStart w:id="117" w:name="_Toc32140"/>
      <w:r>
        <w:rPr>
          <w:rFonts w:ascii="宋体" w:hAnsi="宋体"/>
          <w:color w:val="000000" w:themeColor="text1"/>
          <w:highlight w:val="none"/>
          <w14:textFill>
            <w14:solidFill>
              <w14:schemeClr w14:val="tx1"/>
            </w14:solidFill>
          </w14:textFill>
        </w:rPr>
        <w:t>第</w:t>
      </w:r>
      <w:r>
        <w:rPr>
          <w:rFonts w:hint="eastAsia" w:ascii="宋体" w:hAnsi="宋体"/>
          <w:color w:val="000000" w:themeColor="text1"/>
          <w:highlight w:val="none"/>
          <w14:textFill>
            <w14:solidFill>
              <w14:schemeClr w14:val="tx1"/>
            </w14:solidFill>
          </w14:textFill>
        </w:rPr>
        <w:t>五</w:t>
      </w:r>
      <w:r>
        <w:rPr>
          <w:rFonts w:ascii="宋体" w:hAnsi="宋体"/>
          <w:color w:val="000000" w:themeColor="text1"/>
          <w:highlight w:val="none"/>
          <w14:textFill>
            <w14:solidFill>
              <w14:schemeClr w14:val="tx1"/>
            </w14:solidFill>
          </w14:textFill>
        </w:rPr>
        <w:t>章</w:t>
      </w:r>
      <w:r>
        <w:rPr>
          <w:rFonts w:hint="eastAsia" w:ascii="宋体" w:hAnsi="宋体"/>
          <w:color w:val="000000" w:themeColor="text1"/>
          <w:highlight w:val="none"/>
          <w14:textFill>
            <w14:solidFill>
              <w14:schemeClr w14:val="tx1"/>
            </w14:solidFill>
          </w14:textFill>
        </w:rPr>
        <w:t xml:space="preserve"> 响应</w:t>
      </w:r>
      <w:r>
        <w:rPr>
          <w:rFonts w:ascii="宋体" w:hAnsi="宋体"/>
          <w:color w:val="000000" w:themeColor="text1"/>
          <w:highlight w:val="none"/>
          <w14:textFill>
            <w14:solidFill>
              <w14:schemeClr w14:val="tx1"/>
            </w14:solidFill>
          </w14:textFill>
        </w:rPr>
        <w:t>文件的格式</w:t>
      </w:r>
      <w:bookmarkEnd w:id="117"/>
    </w:p>
    <w:p>
      <w:pPr>
        <w:rPr>
          <w:highlight w:val="none"/>
        </w:rPr>
      </w:pPr>
      <w:bookmarkStart w:id="118" w:name="_Toc68574771"/>
    </w:p>
    <w:p>
      <w:pPr>
        <w:autoSpaceDE w:val="0"/>
        <w:autoSpaceDN w:val="0"/>
        <w:adjustRightInd w:val="0"/>
        <w:rPr>
          <w:rFonts w:ascii="宋体" w:hAnsi="宋体"/>
          <w:highlight w:val="none"/>
        </w:rPr>
      </w:pPr>
      <w:r>
        <w:rPr>
          <w:rFonts w:hint="eastAsia" w:ascii="宋体" w:hAnsi="宋体"/>
          <w:highlight w:val="none"/>
        </w:rPr>
        <w:t>封面：</w:t>
      </w:r>
    </w:p>
    <w:p>
      <w:pPr>
        <w:autoSpaceDE w:val="0"/>
        <w:autoSpaceDN w:val="0"/>
        <w:adjustRightInd w:val="0"/>
        <w:rPr>
          <w:rFonts w:ascii="宋体" w:hAnsi="宋体"/>
          <w:highlight w:val="none"/>
        </w:rPr>
      </w:pPr>
    </w:p>
    <w:p>
      <w:pPr>
        <w:autoSpaceDE w:val="0"/>
        <w:autoSpaceDN w:val="0"/>
        <w:adjustRightInd w:val="0"/>
        <w:rPr>
          <w:rFonts w:ascii="宋体" w:hAnsi="宋体"/>
          <w:highlight w:val="none"/>
        </w:rPr>
      </w:pPr>
    </w:p>
    <w:p>
      <w:pPr>
        <w:autoSpaceDE w:val="0"/>
        <w:autoSpaceDN w:val="0"/>
        <w:adjustRightInd w:val="0"/>
        <w:jc w:val="center"/>
        <w:rPr>
          <w:rFonts w:ascii="宋体" w:hAnsi="宋体"/>
          <w:highlight w:val="none"/>
        </w:rPr>
      </w:pPr>
      <w:r>
        <w:rPr>
          <w:rFonts w:hint="eastAsia" w:ascii="宋体" w:hAnsi="宋体"/>
          <w:highlight w:val="none"/>
        </w:rPr>
        <w:t xml:space="preserve"> </w:t>
      </w:r>
      <w:r>
        <w:rPr>
          <w:rFonts w:hint="eastAsia" w:ascii="宋体" w:hAnsi="宋体"/>
          <w:highlight w:val="none"/>
          <w:u w:val="single"/>
        </w:rPr>
        <w:t xml:space="preserve">                        </w:t>
      </w:r>
      <w:r>
        <w:rPr>
          <w:rFonts w:hint="eastAsia" w:ascii="宋体" w:hAnsi="宋体"/>
          <w:highlight w:val="none"/>
        </w:rPr>
        <w:t>采购</w:t>
      </w:r>
    </w:p>
    <w:p>
      <w:pPr>
        <w:autoSpaceDE w:val="0"/>
        <w:autoSpaceDN w:val="0"/>
        <w:adjustRightInd w:val="0"/>
        <w:jc w:val="center"/>
        <w:rPr>
          <w:rFonts w:ascii="宋体" w:hAnsi="宋体"/>
          <w:b/>
          <w:sz w:val="84"/>
          <w:szCs w:val="84"/>
          <w:highlight w:val="none"/>
        </w:rPr>
      </w:pPr>
      <w:r>
        <w:rPr>
          <w:rFonts w:hint="eastAsia" w:ascii="宋体" w:hAnsi="宋体"/>
          <w:b/>
          <w:sz w:val="84"/>
          <w:szCs w:val="84"/>
          <w:highlight w:val="none"/>
        </w:rPr>
        <w:t>响 应 文 件</w:t>
      </w: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jc w:val="center"/>
        <w:rPr>
          <w:rFonts w:ascii="宋体" w:hAnsi="宋体"/>
          <w:szCs w:val="21"/>
          <w:highlight w:val="none"/>
        </w:rPr>
      </w:pPr>
      <w:r>
        <w:rPr>
          <w:rFonts w:hint="eastAsia" w:ascii="宋体" w:hAnsi="宋体"/>
          <w:szCs w:val="21"/>
          <w:highlight w:val="none"/>
        </w:rPr>
        <w:t>（正本/副本）</w:t>
      </w: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ind w:firstLine="1190" w:firstLineChars="395"/>
        <w:rPr>
          <w:rFonts w:ascii="宋体" w:hAnsi="宋体"/>
          <w:b/>
          <w:bCs/>
          <w:sz w:val="30"/>
          <w:szCs w:val="30"/>
          <w:highlight w:val="none"/>
          <w:u w:val="single"/>
        </w:rPr>
      </w:pPr>
      <w:r>
        <w:rPr>
          <w:rFonts w:hint="eastAsia" w:ascii="宋体" w:hAnsi="宋体"/>
          <w:b/>
          <w:bCs/>
          <w:sz w:val="30"/>
          <w:szCs w:val="30"/>
          <w:highlight w:val="none"/>
        </w:rPr>
        <w:t>项目编号：</w:t>
      </w:r>
      <w:r>
        <w:rPr>
          <w:rFonts w:hint="eastAsia" w:ascii="宋体" w:hAnsi="宋体"/>
          <w:b/>
          <w:bCs/>
          <w:sz w:val="30"/>
          <w:szCs w:val="30"/>
          <w:highlight w:val="none"/>
          <w:u w:val="single"/>
        </w:rPr>
        <w:t xml:space="preserve">                            </w:t>
      </w:r>
    </w:p>
    <w:p>
      <w:pPr>
        <w:tabs>
          <w:tab w:val="left" w:pos="7230"/>
        </w:tabs>
        <w:ind w:firstLine="1190" w:firstLineChars="395"/>
        <w:rPr>
          <w:rFonts w:ascii="宋体" w:hAnsi="宋体"/>
          <w:b/>
          <w:bCs/>
          <w:sz w:val="30"/>
          <w:szCs w:val="30"/>
          <w:highlight w:val="none"/>
          <w:u w:val="single"/>
        </w:rPr>
      </w:pPr>
      <w:r>
        <w:rPr>
          <w:rFonts w:hint="eastAsia" w:ascii="宋体" w:hAnsi="宋体"/>
          <w:b/>
          <w:bCs/>
          <w:sz w:val="30"/>
          <w:szCs w:val="30"/>
          <w:highlight w:val="none"/>
        </w:rPr>
        <w:t>项目名称：</w:t>
      </w:r>
      <w:r>
        <w:rPr>
          <w:rFonts w:hint="eastAsia" w:ascii="宋体" w:hAnsi="宋体"/>
          <w:b/>
          <w:bCs/>
          <w:sz w:val="30"/>
          <w:szCs w:val="30"/>
          <w:highlight w:val="none"/>
          <w:u w:val="single"/>
        </w:rPr>
        <w:t xml:space="preserve">                            </w:t>
      </w:r>
    </w:p>
    <w:p>
      <w:pPr>
        <w:autoSpaceDE w:val="0"/>
        <w:autoSpaceDN w:val="0"/>
        <w:adjustRightInd w:val="0"/>
        <w:ind w:firstLine="1190" w:firstLineChars="395"/>
        <w:rPr>
          <w:rFonts w:ascii="宋体" w:hAnsi="宋体"/>
          <w:b/>
          <w:bCs/>
          <w:sz w:val="30"/>
          <w:szCs w:val="30"/>
          <w:highlight w:val="none"/>
        </w:rPr>
      </w:pPr>
      <w:r>
        <w:rPr>
          <w:rFonts w:hint="eastAsia" w:ascii="宋体" w:hAnsi="宋体"/>
          <w:b/>
          <w:bCs/>
          <w:sz w:val="30"/>
          <w:szCs w:val="30"/>
          <w:highlight w:val="none"/>
        </w:rPr>
        <w:t xml:space="preserve">                            </w:t>
      </w: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rPr>
          <w:rFonts w:ascii="宋体" w:hAnsi="宋体"/>
          <w:szCs w:val="21"/>
          <w:highlight w:val="none"/>
        </w:rPr>
      </w:pPr>
    </w:p>
    <w:p>
      <w:pPr>
        <w:autoSpaceDE w:val="0"/>
        <w:autoSpaceDN w:val="0"/>
        <w:adjustRightInd w:val="0"/>
        <w:spacing w:line="360" w:lineRule="auto"/>
        <w:ind w:firstLine="1260" w:firstLineChars="450"/>
        <w:rPr>
          <w:rFonts w:ascii="宋体" w:hAnsi="宋体"/>
          <w:b/>
          <w:bCs/>
          <w:sz w:val="32"/>
          <w:highlight w:val="none"/>
          <w:u w:val="single"/>
        </w:rPr>
      </w:pPr>
      <w:r>
        <w:rPr>
          <w:rFonts w:hint="eastAsia" w:ascii="宋体" w:hAnsi="宋体"/>
          <w:sz w:val="28"/>
          <w:szCs w:val="28"/>
          <w:highlight w:val="none"/>
        </w:rPr>
        <w:t>磋商供应商名称：</w:t>
      </w:r>
      <w:r>
        <w:rPr>
          <w:rFonts w:hint="eastAsia" w:ascii="宋体" w:hAnsi="宋体"/>
          <w:b/>
          <w:bCs/>
          <w:sz w:val="32"/>
          <w:highlight w:val="none"/>
          <w:u w:val="single"/>
        </w:rPr>
        <w:t xml:space="preserve">                       </w:t>
      </w:r>
      <w:bookmarkStart w:id="119" w:name="_Toc23858"/>
      <w:bookmarkStart w:id="120" w:name="_Toc5751"/>
    </w:p>
    <w:p>
      <w:pPr>
        <w:autoSpaceDE w:val="0"/>
        <w:autoSpaceDN w:val="0"/>
        <w:adjustRightInd w:val="0"/>
        <w:spacing w:line="360" w:lineRule="auto"/>
        <w:ind w:firstLine="1260" w:firstLineChars="450"/>
        <w:rPr>
          <w:rFonts w:ascii="宋体" w:hAnsi="宋体"/>
          <w:sz w:val="28"/>
          <w:szCs w:val="28"/>
          <w:highlight w:val="none"/>
        </w:rPr>
      </w:pPr>
      <w:r>
        <w:rPr>
          <w:rFonts w:hint="eastAsia" w:ascii="宋体" w:hAnsi="宋体"/>
          <w:sz w:val="28"/>
          <w:szCs w:val="28"/>
          <w:highlight w:val="none"/>
        </w:rPr>
        <w:t>日          期：</w:t>
      </w:r>
      <w:r>
        <w:rPr>
          <w:rFonts w:hint="eastAsia" w:ascii="宋体" w:hAnsi="宋体"/>
          <w:sz w:val="28"/>
          <w:szCs w:val="28"/>
          <w:highlight w:val="none"/>
          <w:u w:val="single"/>
        </w:rPr>
        <w:t xml:space="preserve">       </w:t>
      </w:r>
      <w:r>
        <w:rPr>
          <w:rFonts w:hint="eastAsia" w:ascii="宋体" w:hAnsi="宋体"/>
          <w:sz w:val="28"/>
          <w:szCs w:val="28"/>
          <w:highlight w:val="none"/>
        </w:rPr>
        <w:t>年</w:t>
      </w:r>
      <w:r>
        <w:rPr>
          <w:rFonts w:hint="eastAsia" w:ascii="宋体" w:hAnsi="宋体"/>
          <w:sz w:val="28"/>
          <w:szCs w:val="28"/>
          <w:highlight w:val="none"/>
          <w:u w:val="single"/>
        </w:rPr>
        <w:t xml:space="preserve">       </w:t>
      </w:r>
      <w:r>
        <w:rPr>
          <w:rFonts w:hint="eastAsia" w:ascii="宋体" w:hAnsi="宋体"/>
          <w:sz w:val="28"/>
          <w:szCs w:val="28"/>
          <w:highlight w:val="none"/>
        </w:rPr>
        <w:t>月</w:t>
      </w:r>
      <w:r>
        <w:rPr>
          <w:rFonts w:hint="eastAsia" w:ascii="宋体" w:hAnsi="宋体"/>
          <w:sz w:val="28"/>
          <w:szCs w:val="28"/>
          <w:highlight w:val="none"/>
          <w:u w:val="single"/>
        </w:rPr>
        <w:t xml:space="preserve">       </w:t>
      </w:r>
      <w:r>
        <w:rPr>
          <w:rFonts w:hint="eastAsia" w:ascii="宋体" w:hAnsi="宋体"/>
          <w:sz w:val="28"/>
          <w:szCs w:val="28"/>
          <w:highlight w:val="none"/>
        </w:rPr>
        <w:t>日</w:t>
      </w:r>
    </w:p>
    <w:p>
      <w:pPr>
        <w:pStyle w:val="11"/>
        <w:adjustRightInd/>
        <w:snapToGrid w:val="0"/>
        <w:spacing w:line="360" w:lineRule="auto"/>
        <w:ind w:firstLine="0"/>
        <w:jc w:val="center"/>
        <w:textAlignment w:val="auto"/>
        <w:outlineLvl w:val="2"/>
        <w:rPr>
          <w:rFonts w:ascii="宋体" w:hAnsi="宋体"/>
          <w:b/>
          <w:sz w:val="32"/>
          <w:szCs w:val="32"/>
          <w:highlight w:val="none"/>
        </w:rPr>
      </w:pPr>
      <w:r>
        <w:rPr>
          <w:rFonts w:ascii="宋体" w:hAnsi="宋体"/>
          <w:b/>
          <w:sz w:val="44"/>
          <w:szCs w:val="44"/>
          <w:highlight w:val="none"/>
        </w:rPr>
        <w:br w:type="page"/>
      </w:r>
      <w:r>
        <w:rPr>
          <w:rFonts w:hint="eastAsia" w:ascii="宋体" w:hAnsi="宋体"/>
          <w:b/>
          <w:sz w:val="32"/>
          <w:szCs w:val="32"/>
          <w:highlight w:val="none"/>
        </w:rPr>
        <w:t>资格自查表</w:t>
      </w:r>
    </w:p>
    <w:tbl>
      <w:tblPr>
        <w:tblStyle w:val="4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427"/>
        <w:gridCol w:w="2800"/>
        <w:gridCol w:w="4536"/>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2800" w:type="dxa"/>
            <w:vAlign w:val="center"/>
          </w:tcPr>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资格要求</w:t>
            </w:r>
          </w:p>
        </w:tc>
        <w:tc>
          <w:tcPr>
            <w:tcW w:w="4536"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须提供的资料</w:t>
            </w:r>
          </w:p>
        </w:tc>
        <w:tc>
          <w:tcPr>
            <w:tcW w:w="1298" w:type="dxa"/>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响应文件</w:t>
            </w:r>
          </w:p>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Merge w:val="restart"/>
            <w:vAlign w:val="center"/>
          </w:tcPr>
          <w:p>
            <w:pPr>
              <w:rPr>
                <w:highlight w:val="none"/>
              </w:rPr>
            </w:pPr>
            <w:r>
              <w:rPr>
                <w:rFonts w:hint="eastAsia"/>
                <w:highlight w:val="none"/>
              </w:rPr>
              <w:t>1</w:t>
            </w:r>
          </w:p>
        </w:tc>
        <w:tc>
          <w:tcPr>
            <w:tcW w:w="2800" w:type="dxa"/>
            <w:vAlign w:val="center"/>
          </w:tcPr>
          <w:p>
            <w:pPr>
              <w:snapToGrid w:val="0"/>
              <w:rPr>
                <w:rFonts w:ascii="宋体" w:hAnsi="宋体"/>
                <w:szCs w:val="21"/>
                <w:highlight w:val="none"/>
                <w:lang w:val="hr-HR"/>
              </w:rPr>
            </w:pPr>
            <w:r>
              <w:rPr>
                <w:rFonts w:hint="eastAsia" w:ascii="宋体" w:hAnsi="宋体"/>
                <w:szCs w:val="21"/>
                <w:highlight w:val="none"/>
                <w:lang w:val="hr-HR"/>
              </w:rPr>
              <w:t xml:space="preserve">具有独立承担民事责任的能力 </w:t>
            </w:r>
          </w:p>
        </w:tc>
        <w:tc>
          <w:tcPr>
            <w:tcW w:w="4536" w:type="dxa"/>
            <w:vAlign w:val="center"/>
          </w:tcPr>
          <w:p>
            <w:pPr>
              <w:snapToGrid w:val="0"/>
              <w:rPr>
                <w:rFonts w:ascii="宋体" w:hAnsi="宋体"/>
                <w:bCs/>
                <w:szCs w:val="21"/>
                <w:highlight w:val="none"/>
              </w:rPr>
            </w:pPr>
            <w:r>
              <w:rPr>
                <w:rFonts w:hint="eastAsia" w:ascii="宋体" w:hAnsi="宋体"/>
                <w:bCs/>
                <w:szCs w:val="21"/>
                <w:highlight w:val="none"/>
              </w:rPr>
              <w:t>如供应商是企业（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tc>
        <w:tc>
          <w:tcPr>
            <w:tcW w:w="1298" w:type="dxa"/>
          </w:tcPr>
          <w:p>
            <w:pPr>
              <w:snapToGrid w:val="0"/>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2800" w:type="dxa"/>
            <w:vAlign w:val="center"/>
          </w:tcPr>
          <w:p>
            <w:pPr>
              <w:widowControl/>
              <w:adjustRightInd w:val="0"/>
              <w:snapToGrid w:val="0"/>
              <w:rPr>
                <w:rFonts w:ascii="宋体" w:hAnsi="宋体" w:cs="宋体"/>
                <w:kern w:val="0"/>
                <w:szCs w:val="21"/>
                <w:highlight w:val="none"/>
              </w:rPr>
            </w:pPr>
            <w:r>
              <w:rPr>
                <w:rFonts w:hint="eastAsia" w:ascii="宋体" w:hAnsi="宋体"/>
                <w:szCs w:val="21"/>
                <w:highlight w:val="none"/>
                <w:lang w:val="hr-HR"/>
              </w:rPr>
              <w:t>具有良好的商业信誉和健全的财务会计制度</w:t>
            </w:r>
          </w:p>
        </w:tc>
        <w:tc>
          <w:tcPr>
            <w:tcW w:w="4536" w:type="dxa"/>
            <w:vAlign w:val="center"/>
          </w:tcPr>
          <w:p>
            <w:pPr>
              <w:adjustRightInd w:val="0"/>
              <w:snapToGrid w:val="0"/>
              <w:rPr>
                <w:rFonts w:ascii="宋体" w:hAnsi="宋体"/>
                <w:b/>
                <w:bCs/>
                <w:szCs w:val="21"/>
                <w:highlight w:val="none"/>
              </w:rPr>
            </w:pPr>
            <w:r>
              <w:rPr>
                <w:rFonts w:hint="eastAsia" w:ascii="宋体" w:hAnsi="宋体"/>
                <w:b/>
                <w:szCs w:val="21"/>
                <w:highlight w:val="none"/>
              </w:rPr>
              <w:t>由供应商对</w:t>
            </w:r>
            <w:r>
              <w:rPr>
                <w:rFonts w:ascii="宋体" w:hAnsi="宋体"/>
                <w:b/>
                <w:szCs w:val="21"/>
                <w:highlight w:val="none"/>
              </w:rPr>
              <w:t>以下内容</w:t>
            </w:r>
            <w:r>
              <w:rPr>
                <w:rFonts w:hint="eastAsia" w:ascii="宋体" w:hAnsi="宋体"/>
                <w:b/>
                <w:szCs w:val="21"/>
                <w:highlight w:val="none"/>
              </w:rPr>
              <w:t>提供书面承诺及声明</w:t>
            </w:r>
            <w:r>
              <w:rPr>
                <w:rFonts w:ascii="宋体" w:hAnsi="宋体"/>
                <w:b/>
                <w:szCs w:val="21"/>
                <w:highlight w:val="none"/>
              </w:rPr>
              <w:t>，或提供</w:t>
            </w:r>
            <w:r>
              <w:rPr>
                <w:rFonts w:hint="eastAsia" w:ascii="宋体" w:hAnsi="宋体"/>
                <w:b/>
                <w:szCs w:val="21"/>
                <w:highlight w:val="none"/>
              </w:rPr>
              <w:t>相应</w:t>
            </w:r>
            <w:r>
              <w:rPr>
                <w:rFonts w:ascii="宋体" w:hAnsi="宋体"/>
                <w:b/>
                <w:szCs w:val="21"/>
                <w:highlight w:val="none"/>
              </w:rPr>
              <w:t>证明材料。</w:t>
            </w:r>
          </w:p>
          <w:p>
            <w:pPr>
              <w:adjustRightInd w:val="0"/>
              <w:snapToGrid w:val="0"/>
              <w:rPr>
                <w:rFonts w:ascii="宋体" w:hAnsi="宋体"/>
                <w:bCs/>
                <w:szCs w:val="21"/>
                <w:highlight w:val="none"/>
              </w:rPr>
            </w:pPr>
            <w:r>
              <w:rPr>
                <w:rFonts w:hint="eastAsia" w:ascii="宋体" w:hAnsi="宋体"/>
                <w:bCs/>
                <w:szCs w:val="21"/>
                <w:highlight w:val="none"/>
              </w:rPr>
              <w:t>供应商</w:t>
            </w:r>
            <w:r>
              <w:rPr>
                <w:rFonts w:ascii="宋体" w:hAnsi="宋体"/>
                <w:bCs/>
                <w:szCs w:val="21"/>
                <w:highlight w:val="none"/>
              </w:rPr>
              <w:t>是法人的，应</w:t>
            </w:r>
            <w:r>
              <w:rPr>
                <w:rFonts w:hint="eastAsia" w:ascii="宋体" w:hAnsi="宋体"/>
                <w:bCs/>
                <w:szCs w:val="21"/>
                <w:highlight w:val="none"/>
              </w:rPr>
              <w:t>具有上一年度（20</w:t>
            </w:r>
            <w:r>
              <w:rPr>
                <w:rFonts w:ascii="宋体" w:hAnsi="宋体"/>
                <w:bCs/>
                <w:szCs w:val="21"/>
                <w:highlight w:val="none"/>
              </w:rPr>
              <w:t>2</w:t>
            </w:r>
            <w:r>
              <w:rPr>
                <w:rFonts w:hint="eastAsia" w:ascii="宋体" w:hAnsi="宋体"/>
                <w:bCs/>
                <w:szCs w:val="21"/>
                <w:highlight w:val="none"/>
                <w:lang w:val="en-US" w:eastAsia="zh-CN"/>
              </w:rPr>
              <w:t>4</w:t>
            </w:r>
            <w:r>
              <w:rPr>
                <w:rFonts w:hint="eastAsia" w:ascii="宋体" w:hAnsi="宋体"/>
                <w:bCs/>
                <w:szCs w:val="21"/>
                <w:highlight w:val="none"/>
              </w:rPr>
              <w:t>年度</w:t>
            </w:r>
            <w:r>
              <w:rPr>
                <w:rFonts w:hint="eastAsia" w:ascii="宋体" w:hAnsi="宋体"/>
                <w:bCs/>
                <w:szCs w:val="21"/>
                <w:highlight w:val="none"/>
                <w:lang w:val="en-US" w:eastAsia="zh-CN"/>
              </w:rPr>
              <w:t>或2025年度</w:t>
            </w:r>
            <w:r>
              <w:rPr>
                <w:rFonts w:hint="eastAsia" w:ascii="宋体" w:hAnsi="宋体"/>
                <w:bCs/>
                <w:szCs w:val="21"/>
                <w:highlight w:val="none"/>
              </w:rPr>
              <w:t>）</w:t>
            </w:r>
            <w:r>
              <w:rPr>
                <w:rFonts w:ascii="宋体" w:hAnsi="宋体"/>
                <w:bCs/>
                <w:szCs w:val="21"/>
                <w:highlight w:val="none"/>
              </w:rPr>
              <w:t>经审计的财务报告，或其基本开户银行出具的资信证明。其他组织和自然人，没有经审计的财务报告，</w:t>
            </w:r>
            <w:r>
              <w:rPr>
                <w:rFonts w:hint="eastAsia" w:ascii="宋体" w:hAnsi="宋体"/>
                <w:bCs/>
                <w:szCs w:val="21"/>
                <w:highlight w:val="none"/>
              </w:rPr>
              <w:t>应具有</w:t>
            </w:r>
            <w:r>
              <w:rPr>
                <w:rFonts w:ascii="宋体" w:hAnsi="宋体"/>
                <w:bCs/>
                <w:szCs w:val="21"/>
                <w:highlight w:val="none"/>
              </w:rPr>
              <w:t>银行出具的资信证明。</w:t>
            </w:r>
          </w:p>
          <w:p>
            <w:pPr>
              <w:adjustRightInd w:val="0"/>
              <w:snapToGrid w:val="0"/>
              <w:rPr>
                <w:rFonts w:ascii="宋体" w:hAnsi="宋体"/>
                <w:bCs/>
                <w:szCs w:val="21"/>
                <w:highlight w:val="none"/>
              </w:rPr>
            </w:pPr>
            <w:r>
              <w:rPr>
                <w:rFonts w:hint="eastAsia" w:ascii="宋体" w:hAnsi="宋体"/>
                <w:bCs/>
                <w:szCs w:val="21"/>
                <w:highlight w:val="none"/>
              </w:rPr>
              <w:t>有专业担保机构对供应商进行资信审查后出具投标担保函的，可以不用具备经审计的财务报告和银行资信证明文件。</w:t>
            </w:r>
          </w:p>
          <w:p>
            <w:pPr>
              <w:snapToGrid w:val="0"/>
              <w:rPr>
                <w:rFonts w:ascii="宋体" w:hAnsi="宋体"/>
                <w:bCs/>
                <w:szCs w:val="21"/>
                <w:highlight w:val="none"/>
              </w:rPr>
            </w:pPr>
            <w:r>
              <w:rPr>
                <w:rFonts w:hint="eastAsia"/>
                <w:b/>
                <w:highlight w:val="none"/>
              </w:rPr>
              <w:t>备注：如果供应商</w:t>
            </w:r>
            <w:r>
              <w:rPr>
                <w:b/>
                <w:highlight w:val="none"/>
              </w:rPr>
              <w:t>同时提供了</w:t>
            </w:r>
            <w:r>
              <w:rPr>
                <w:rFonts w:hint="eastAsia"/>
                <w:b/>
                <w:highlight w:val="none"/>
              </w:rPr>
              <w:t>1）</w:t>
            </w:r>
            <w:r>
              <w:rPr>
                <w:b/>
                <w:highlight w:val="none"/>
              </w:rPr>
              <w:t>书面承诺及声明、</w:t>
            </w:r>
            <w:r>
              <w:rPr>
                <w:rFonts w:hint="eastAsia"/>
                <w:b/>
                <w:highlight w:val="none"/>
              </w:rPr>
              <w:t>2）</w:t>
            </w:r>
            <w:r>
              <w:rPr>
                <w:b/>
                <w:highlight w:val="none"/>
              </w:rPr>
              <w:t>相应证明材料</w:t>
            </w:r>
            <w:r>
              <w:rPr>
                <w:rFonts w:hint="eastAsia"/>
                <w:b/>
                <w:highlight w:val="none"/>
              </w:rPr>
              <w:t>，且二者</w:t>
            </w:r>
            <w:r>
              <w:rPr>
                <w:b/>
                <w:highlight w:val="none"/>
              </w:rPr>
              <w:t>内容不一致的，</w:t>
            </w:r>
            <w:r>
              <w:rPr>
                <w:rFonts w:hint="eastAsia"/>
                <w:b/>
                <w:highlight w:val="none"/>
              </w:rPr>
              <w:t>评审</w:t>
            </w:r>
            <w:r>
              <w:rPr>
                <w:b/>
                <w:highlight w:val="none"/>
              </w:rPr>
              <w:t>专家有权</w:t>
            </w:r>
            <w:r>
              <w:rPr>
                <w:rFonts w:hint="eastAsia"/>
                <w:b/>
                <w:highlight w:val="none"/>
              </w:rPr>
              <w:t>任选</w:t>
            </w:r>
            <w:r>
              <w:rPr>
                <w:b/>
                <w:highlight w:val="none"/>
              </w:rPr>
              <w:t>其中一种进行</w:t>
            </w:r>
            <w:r>
              <w:rPr>
                <w:rFonts w:hint="eastAsia"/>
                <w:b/>
                <w:highlight w:val="none"/>
              </w:rPr>
              <w:t>评审</w:t>
            </w:r>
            <w:r>
              <w:rPr>
                <w:b/>
                <w:highlight w:val="none"/>
              </w:rPr>
              <w:t>，</w:t>
            </w:r>
            <w:r>
              <w:rPr>
                <w:rFonts w:hint="eastAsia"/>
                <w:b/>
                <w:highlight w:val="none"/>
              </w:rPr>
              <w:t>由</w:t>
            </w:r>
            <w:r>
              <w:rPr>
                <w:b/>
                <w:highlight w:val="none"/>
              </w:rPr>
              <w:t>供应商自行承担一切后果。</w:t>
            </w:r>
          </w:p>
        </w:tc>
        <w:tc>
          <w:tcPr>
            <w:tcW w:w="1298" w:type="dxa"/>
          </w:tcPr>
          <w:p>
            <w:pPr>
              <w:adjustRightInd w:val="0"/>
              <w:snapToGrid w:val="0"/>
              <w:rPr>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2800"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具有履行合同所必需的设备和专业技术能力</w:t>
            </w:r>
          </w:p>
        </w:tc>
        <w:tc>
          <w:tcPr>
            <w:tcW w:w="4536" w:type="dxa"/>
            <w:vAlign w:val="center"/>
          </w:tcPr>
          <w:p>
            <w:pPr>
              <w:snapToGrid w:val="0"/>
              <w:rPr>
                <w:rFonts w:ascii="宋体" w:hAnsi="宋体"/>
                <w:bCs/>
                <w:szCs w:val="21"/>
                <w:highlight w:val="none"/>
              </w:rPr>
            </w:pPr>
            <w:r>
              <w:rPr>
                <w:rFonts w:hint="eastAsia" w:ascii="宋体" w:hAnsi="宋体"/>
                <w:bCs/>
                <w:szCs w:val="21"/>
                <w:highlight w:val="none"/>
              </w:rPr>
              <w:t>由供应商提供书面承诺及声明</w:t>
            </w:r>
            <w:r>
              <w:rPr>
                <w:highlight w:val="none"/>
              </w:rPr>
              <w:t>，或提供相应证明材料。</w:t>
            </w:r>
          </w:p>
        </w:tc>
        <w:tc>
          <w:tcPr>
            <w:tcW w:w="1298" w:type="dxa"/>
          </w:tcPr>
          <w:p>
            <w:pPr>
              <w:snapToGrid w:val="0"/>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2800"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有依法缴纳税收和社会保障资金的良好记录</w:t>
            </w:r>
          </w:p>
        </w:tc>
        <w:tc>
          <w:tcPr>
            <w:tcW w:w="4536" w:type="dxa"/>
            <w:vAlign w:val="center"/>
          </w:tcPr>
          <w:p>
            <w:pPr>
              <w:adjustRightInd w:val="0"/>
              <w:snapToGrid w:val="0"/>
              <w:rPr>
                <w:rFonts w:ascii="宋体" w:hAnsi="宋体"/>
                <w:b/>
                <w:bCs/>
                <w:szCs w:val="21"/>
                <w:highlight w:val="none"/>
              </w:rPr>
            </w:pPr>
            <w:r>
              <w:rPr>
                <w:rFonts w:hint="eastAsia" w:ascii="宋体" w:hAnsi="宋体"/>
                <w:b/>
                <w:szCs w:val="21"/>
                <w:highlight w:val="none"/>
              </w:rPr>
              <w:t>由供应商对</w:t>
            </w:r>
            <w:r>
              <w:rPr>
                <w:rFonts w:ascii="宋体" w:hAnsi="宋体"/>
                <w:b/>
                <w:szCs w:val="21"/>
                <w:highlight w:val="none"/>
              </w:rPr>
              <w:t>以下内容</w:t>
            </w:r>
            <w:r>
              <w:rPr>
                <w:rFonts w:hint="eastAsia" w:ascii="宋体" w:hAnsi="宋体"/>
                <w:b/>
                <w:szCs w:val="21"/>
                <w:highlight w:val="none"/>
              </w:rPr>
              <w:t>提供书面承诺及声明</w:t>
            </w:r>
            <w:r>
              <w:rPr>
                <w:rFonts w:ascii="宋体" w:hAnsi="宋体"/>
                <w:b/>
                <w:szCs w:val="21"/>
                <w:highlight w:val="none"/>
              </w:rPr>
              <w:t>，或提供</w:t>
            </w:r>
            <w:r>
              <w:rPr>
                <w:rFonts w:hint="eastAsia" w:ascii="宋体" w:hAnsi="宋体"/>
                <w:b/>
                <w:szCs w:val="21"/>
                <w:highlight w:val="none"/>
              </w:rPr>
              <w:t>相应</w:t>
            </w:r>
            <w:r>
              <w:rPr>
                <w:rFonts w:ascii="宋体" w:hAnsi="宋体"/>
                <w:b/>
                <w:szCs w:val="21"/>
                <w:highlight w:val="none"/>
              </w:rPr>
              <w:t>证明材料。</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供应商依法缴纳税收：本项目公告发布时间前</w:t>
            </w:r>
            <w:r>
              <w:rPr>
                <w:rFonts w:hint="eastAsia" w:ascii="宋体" w:hAnsi="宋体"/>
                <w:szCs w:val="21"/>
                <w:highlight w:val="none"/>
              </w:rPr>
              <w:t>12个月内</w:t>
            </w:r>
            <w:r>
              <w:rPr>
                <w:rFonts w:hint="eastAsia" w:ascii="宋体" w:hAnsi="宋体"/>
                <w:szCs w:val="21"/>
                <w:highlight w:val="none"/>
                <w:lang w:val="hr-HR"/>
              </w:rPr>
              <w:t>（至少有1个月）缴纳税收的凭据（完税证、缴款书、印花税票、银行代扣（代缴）转账凭证等均可）；</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供应商依法缴纳社会保障资金：本项目公告发布时间前</w:t>
            </w:r>
            <w:r>
              <w:rPr>
                <w:rFonts w:hint="eastAsia" w:ascii="宋体" w:hAnsi="宋体"/>
                <w:szCs w:val="21"/>
                <w:highlight w:val="none"/>
              </w:rPr>
              <w:t>12个月内</w:t>
            </w:r>
            <w:r>
              <w:rPr>
                <w:rFonts w:hint="eastAsia" w:ascii="宋体" w:hAnsi="宋体"/>
                <w:szCs w:val="21"/>
                <w:highlight w:val="none"/>
                <w:lang w:val="hr-HR"/>
              </w:rPr>
              <w:t>（至少有1个月）缴纳社会保险的凭据（专用收据或社会保险交纳清单）；</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供应商为其他组织或自然人的，也应满足</w:t>
            </w:r>
            <w:r>
              <w:rPr>
                <w:rFonts w:ascii="宋体" w:hAnsi="宋体"/>
                <w:szCs w:val="21"/>
                <w:highlight w:val="none"/>
                <w:lang w:val="hr-HR"/>
              </w:rPr>
              <w:t>以上</w:t>
            </w:r>
            <w:r>
              <w:rPr>
                <w:rFonts w:hint="eastAsia" w:ascii="宋体" w:hAnsi="宋体"/>
                <w:szCs w:val="21"/>
                <w:highlight w:val="none"/>
                <w:lang w:val="hr-HR"/>
              </w:rPr>
              <w:t>要求；</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递交投标文件截止时间的当月成立但因税务机关原因导致其尚未依法缴纳税收的供应商，提供将依法缴纳税收承诺书原件（格式自拟），该承诺书视同税收缴纳凭据。</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递交投标文件截止时间的当月成立但因社会保障资金管理机关原因导致其尚未依法缴纳社会保障资金的供应商，提供将依法缴纳社会保障资金承诺书原件（格式自拟），该承诺书视同社会保险凭据。</w:t>
            </w:r>
          </w:p>
          <w:p>
            <w:pPr>
              <w:adjustRightInd w:val="0"/>
              <w:snapToGrid w:val="0"/>
              <w:ind w:firstLine="420" w:firstLineChars="200"/>
              <w:rPr>
                <w:rFonts w:ascii="宋体" w:hAnsi="宋体"/>
                <w:szCs w:val="21"/>
                <w:highlight w:val="none"/>
                <w:lang w:val="hr-HR"/>
              </w:rPr>
            </w:pPr>
            <w:r>
              <w:rPr>
                <w:rFonts w:hint="eastAsia" w:ascii="宋体" w:hAnsi="宋体"/>
                <w:szCs w:val="21"/>
                <w:highlight w:val="none"/>
                <w:lang w:val="hr-HR"/>
              </w:rPr>
              <w:t>依法免税或不需要缴纳社会保障资金的供应商，具有相应文件证明其依法免税或不需要交纳社会保障资金。</w:t>
            </w:r>
          </w:p>
          <w:p>
            <w:pPr>
              <w:snapToGrid w:val="0"/>
              <w:spacing w:line="300" w:lineRule="auto"/>
              <w:ind w:firstLine="422" w:firstLineChars="200"/>
              <w:rPr>
                <w:rFonts w:ascii="宋体" w:hAnsi="宋体"/>
                <w:bCs/>
                <w:szCs w:val="21"/>
                <w:highlight w:val="none"/>
              </w:rPr>
            </w:pPr>
            <w:r>
              <w:rPr>
                <w:rFonts w:hint="eastAsia" w:ascii="宋体" w:hAnsi="宋体"/>
                <w:b/>
                <w:szCs w:val="21"/>
                <w:highlight w:val="none"/>
                <w:lang w:val="hr-HR"/>
              </w:rPr>
              <w:t>备注：如果供应商</w:t>
            </w:r>
            <w:r>
              <w:rPr>
                <w:rFonts w:ascii="宋体" w:hAnsi="宋体"/>
                <w:b/>
                <w:szCs w:val="21"/>
                <w:highlight w:val="none"/>
                <w:lang w:val="hr-HR"/>
              </w:rPr>
              <w:t>同时提供了</w:t>
            </w:r>
            <w:r>
              <w:rPr>
                <w:rFonts w:hint="eastAsia" w:ascii="宋体" w:hAnsi="宋体"/>
                <w:b/>
                <w:szCs w:val="21"/>
                <w:highlight w:val="none"/>
                <w:lang w:val="hr-HR"/>
              </w:rPr>
              <w:t>1）</w:t>
            </w:r>
            <w:r>
              <w:rPr>
                <w:rFonts w:ascii="宋体" w:hAnsi="宋体"/>
                <w:b/>
                <w:szCs w:val="21"/>
                <w:highlight w:val="none"/>
                <w:lang w:val="hr-HR"/>
              </w:rPr>
              <w:t>书面承诺及声明、</w:t>
            </w:r>
            <w:r>
              <w:rPr>
                <w:rFonts w:hint="eastAsia" w:ascii="宋体" w:hAnsi="宋体"/>
                <w:b/>
                <w:szCs w:val="21"/>
                <w:highlight w:val="none"/>
                <w:lang w:val="hr-HR"/>
              </w:rPr>
              <w:t>2）</w:t>
            </w:r>
            <w:r>
              <w:rPr>
                <w:rFonts w:ascii="宋体" w:hAnsi="宋体"/>
                <w:b/>
                <w:szCs w:val="21"/>
                <w:highlight w:val="none"/>
                <w:lang w:val="hr-HR"/>
              </w:rPr>
              <w:t>相应证明材料</w:t>
            </w:r>
            <w:r>
              <w:rPr>
                <w:rFonts w:hint="eastAsia" w:ascii="宋体" w:hAnsi="宋体"/>
                <w:b/>
                <w:szCs w:val="21"/>
                <w:highlight w:val="none"/>
                <w:lang w:val="hr-HR"/>
              </w:rPr>
              <w:t>，且二者</w:t>
            </w:r>
            <w:r>
              <w:rPr>
                <w:rFonts w:ascii="宋体" w:hAnsi="宋体"/>
                <w:b/>
                <w:szCs w:val="21"/>
                <w:highlight w:val="none"/>
                <w:lang w:val="hr-HR"/>
              </w:rPr>
              <w:t>内容不一致的，</w:t>
            </w:r>
            <w:r>
              <w:rPr>
                <w:rFonts w:hint="eastAsia" w:ascii="宋体" w:hAnsi="宋体"/>
                <w:b/>
                <w:szCs w:val="21"/>
                <w:highlight w:val="none"/>
                <w:lang w:val="hr-HR"/>
              </w:rPr>
              <w:t>评审</w:t>
            </w:r>
            <w:r>
              <w:rPr>
                <w:rFonts w:ascii="宋体" w:hAnsi="宋体"/>
                <w:b/>
                <w:szCs w:val="21"/>
                <w:highlight w:val="none"/>
                <w:lang w:val="hr-HR"/>
              </w:rPr>
              <w:t>专家有权</w:t>
            </w:r>
            <w:r>
              <w:rPr>
                <w:rFonts w:hint="eastAsia" w:ascii="宋体" w:hAnsi="宋体"/>
                <w:b/>
                <w:szCs w:val="21"/>
                <w:highlight w:val="none"/>
                <w:lang w:val="hr-HR"/>
              </w:rPr>
              <w:t>任选</w:t>
            </w:r>
            <w:r>
              <w:rPr>
                <w:rFonts w:ascii="宋体" w:hAnsi="宋体"/>
                <w:b/>
                <w:szCs w:val="21"/>
                <w:highlight w:val="none"/>
                <w:lang w:val="hr-HR"/>
              </w:rPr>
              <w:t>其中一种进行</w:t>
            </w:r>
            <w:r>
              <w:rPr>
                <w:rFonts w:hint="eastAsia" w:ascii="宋体" w:hAnsi="宋体"/>
                <w:b/>
                <w:szCs w:val="21"/>
                <w:highlight w:val="none"/>
                <w:lang w:val="hr-HR"/>
              </w:rPr>
              <w:t>评审</w:t>
            </w:r>
            <w:r>
              <w:rPr>
                <w:rFonts w:ascii="宋体" w:hAnsi="宋体"/>
                <w:b/>
                <w:szCs w:val="21"/>
                <w:highlight w:val="none"/>
                <w:lang w:val="hr-HR"/>
              </w:rPr>
              <w:t>，</w:t>
            </w:r>
            <w:r>
              <w:rPr>
                <w:rFonts w:hint="eastAsia" w:ascii="宋体" w:hAnsi="宋体"/>
                <w:b/>
                <w:szCs w:val="21"/>
                <w:highlight w:val="none"/>
                <w:lang w:val="hr-HR"/>
              </w:rPr>
              <w:t>由</w:t>
            </w:r>
            <w:r>
              <w:rPr>
                <w:rFonts w:ascii="宋体" w:hAnsi="宋体"/>
                <w:b/>
                <w:szCs w:val="21"/>
                <w:highlight w:val="none"/>
                <w:lang w:val="hr-HR"/>
              </w:rPr>
              <w:t>供应商自行承担一切后果。</w:t>
            </w:r>
          </w:p>
        </w:tc>
        <w:tc>
          <w:tcPr>
            <w:tcW w:w="1298" w:type="dxa"/>
          </w:tcPr>
          <w:p>
            <w:pPr>
              <w:adjustRightInd w:val="0"/>
              <w:snapToGrid w:val="0"/>
              <w:rPr>
                <w:rFonts w:ascii="宋体" w:hAnsi="宋体"/>
                <w:b/>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2800"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参加采购活动前三年内，在经营活动中没有重大违法记录</w:t>
            </w:r>
          </w:p>
        </w:tc>
        <w:tc>
          <w:tcPr>
            <w:tcW w:w="4536" w:type="dxa"/>
            <w:vAlign w:val="center"/>
          </w:tcPr>
          <w:p>
            <w:pPr>
              <w:widowControl/>
              <w:adjustRightInd w:val="0"/>
              <w:snapToGrid w:val="0"/>
              <w:rPr>
                <w:rFonts w:ascii="宋体" w:hAnsi="宋体"/>
                <w:szCs w:val="21"/>
                <w:highlight w:val="none"/>
                <w:lang w:val="hr-HR"/>
              </w:rPr>
            </w:pPr>
            <w:r>
              <w:rPr>
                <w:rFonts w:hint="eastAsia" w:ascii="宋体" w:hAnsi="宋体"/>
                <w:bCs/>
                <w:szCs w:val="21"/>
                <w:highlight w:val="none"/>
              </w:rPr>
              <w:t>由供应商提供书面承诺及声明</w:t>
            </w:r>
            <w:r>
              <w:rPr>
                <w:highlight w:val="none"/>
              </w:rPr>
              <w:t>，或提供相应证明材料。</w:t>
            </w:r>
          </w:p>
        </w:tc>
        <w:tc>
          <w:tcPr>
            <w:tcW w:w="1298" w:type="dxa"/>
          </w:tcPr>
          <w:p>
            <w:pPr>
              <w:widowControl/>
              <w:adjustRightInd w:val="0"/>
              <w:snapToGrid w:val="0"/>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Merge w:val="continue"/>
            <w:vAlign w:val="center"/>
          </w:tcPr>
          <w:p>
            <w:pPr>
              <w:widowControl/>
              <w:numPr>
                <w:ilvl w:val="0"/>
                <w:numId w:val="2"/>
              </w:numPr>
              <w:adjustRightInd w:val="0"/>
              <w:snapToGrid w:val="0"/>
              <w:rPr>
                <w:rFonts w:ascii="宋体" w:hAnsi="宋体" w:cs="宋体"/>
                <w:kern w:val="0"/>
                <w:szCs w:val="21"/>
                <w:highlight w:val="none"/>
              </w:rPr>
            </w:pPr>
          </w:p>
        </w:tc>
        <w:tc>
          <w:tcPr>
            <w:tcW w:w="2800"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法律、行政法规规定的其他条件</w:t>
            </w:r>
          </w:p>
        </w:tc>
        <w:tc>
          <w:tcPr>
            <w:tcW w:w="4536" w:type="dxa"/>
            <w:vAlign w:val="center"/>
          </w:tcPr>
          <w:p>
            <w:pPr>
              <w:widowControl/>
              <w:adjustRightInd w:val="0"/>
              <w:snapToGrid w:val="0"/>
              <w:rPr>
                <w:rFonts w:ascii="宋体" w:hAnsi="宋体"/>
                <w:szCs w:val="21"/>
                <w:highlight w:val="none"/>
                <w:lang w:val="hr-HR"/>
              </w:rPr>
            </w:pPr>
            <w:r>
              <w:rPr>
                <w:rFonts w:hint="eastAsia" w:ascii="宋体" w:hAnsi="宋体"/>
                <w:bCs/>
                <w:szCs w:val="21"/>
                <w:highlight w:val="none"/>
              </w:rPr>
              <w:t>由供应商提供书面承诺及声明</w:t>
            </w:r>
            <w:r>
              <w:rPr>
                <w:highlight w:val="none"/>
              </w:rPr>
              <w:t>，或提供相应证明材料。</w:t>
            </w:r>
          </w:p>
        </w:tc>
        <w:tc>
          <w:tcPr>
            <w:tcW w:w="1298" w:type="dxa"/>
          </w:tcPr>
          <w:p>
            <w:pPr>
              <w:widowControl/>
              <w:adjustRightInd w:val="0"/>
              <w:snapToGrid w:val="0"/>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rPr>
                <w:highlight w:val="none"/>
              </w:rPr>
            </w:pPr>
            <w:r>
              <w:rPr>
                <w:rFonts w:hint="eastAsia"/>
                <w:highlight w:val="none"/>
              </w:rPr>
              <w:t>2</w:t>
            </w:r>
          </w:p>
        </w:tc>
        <w:tc>
          <w:tcPr>
            <w:tcW w:w="2800" w:type="dxa"/>
            <w:vAlign w:val="center"/>
          </w:tcPr>
          <w:p>
            <w:pPr>
              <w:widowControl/>
              <w:adjustRightInd w:val="0"/>
              <w:snapToGrid w:val="0"/>
              <w:rPr>
                <w:rFonts w:ascii="宋体" w:hAnsi="宋体"/>
                <w:szCs w:val="21"/>
                <w:highlight w:val="none"/>
                <w:lang w:val="hr-HR"/>
              </w:rPr>
            </w:pPr>
            <w:r>
              <w:rPr>
                <w:rFonts w:hint="eastAsia" w:ascii="宋体" w:hAnsi="宋体" w:cs="宋体"/>
                <w:szCs w:val="21"/>
                <w:highlight w:val="none"/>
              </w:rPr>
              <w:t>单位负责人为同一人或者存在直接控股、管理关系的不同的投标人，不得参加本项目同一合同项下的采购活动</w:t>
            </w:r>
          </w:p>
        </w:tc>
        <w:tc>
          <w:tcPr>
            <w:tcW w:w="4536"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由供应商在《响应函》中声明</w:t>
            </w:r>
          </w:p>
        </w:tc>
        <w:tc>
          <w:tcPr>
            <w:tcW w:w="1298" w:type="dxa"/>
          </w:tcPr>
          <w:p>
            <w:pPr>
              <w:widowControl/>
              <w:adjustRightInd w:val="0"/>
              <w:snapToGrid w:val="0"/>
              <w:rPr>
                <w:rFonts w:ascii="宋体" w:hAnsi="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rPr>
                <w:highlight w:val="none"/>
              </w:rPr>
            </w:pPr>
            <w:r>
              <w:rPr>
                <w:rFonts w:hint="eastAsia"/>
                <w:highlight w:val="none"/>
              </w:rPr>
              <w:t>3</w:t>
            </w:r>
          </w:p>
        </w:tc>
        <w:tc>
          <w:tcPr>
            <w:tcW w:w="2800"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为本采购项目提供整体设计、规范编制或者项目管理、监理、检测等服务的，不得再参加本项目的其他招标采购活动。</w:t>
            </w:r>
          </w:p>
        </w:tc>
        <w:tc>
          <w:tcPr>
            <w:tcW w:w="4536" w:type="dxa"/>
            <w:vAlign w:val="center"/>
          </w:tcPr>
          <w:p>
            <w:pPr>
              <w:widowControl/>
              <w:adjustRightInd w:val="0"/>
              <w:snapToGrid w:val="0"/>
              <w:rPr>
                <w:rFonts w:ascii="宋体" w:hAnsi="宋体"/>
                <w:szCs w:val="21"/>
                <w:highlight w:val="none"/>
                <w:lang w:val="hr-HR"/>
              </w:rPr>
            </w:pPr>
            <w:r>
              <w:rPr>
                <w:rFonts w:hint="eastAsia" w:ascii="宋体" w:hAnsi="宋体"/>
                <w:szCs w:val="21"/>
                <w:highlight w:val="none"/>
                <w:lang w:val="hr-HR"/>
              </w:rPr>
              <w:t>由供应商在《响应函》中声明</w:t>
            </w:r>
          </w:p>
        </w:tc>
        <w:tc>
          <w:tcPr>
            <w:tcW w:w="1298" w:type="dxa"/>
          </w:tcPr>
          <w:p>
            <w:pPr>
              <w:widowControl/>
              <w:adjustRightInd w:val="0"/>
              <w:snapToGrid w:val="0"/>
              <w:rPr>
                <w:rFonts w:ascii="宋体" w:hAnsi="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rPr>
                <w:highlight w:val="none"/>
              </w:rPr>
            </w:pPr>
            <w:r>
              <w:rPr>
                <w:rFonts w:hint="eastAsia"/>
                <w:highlight w:val="none"/>
              </w:rPr>
              <w:t>4</w:t>
            </w:r>
          </w:p>
        </w:tc>
        <w:tc>
          <w:tcPr>
            <w:tcW w:w="2800" w:type="dxa"/>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未被列入失信被执行人、</w:t>
            </w:r>
            <w:r>
              <w:rPr>
                <w:rFonts w:hint="eastAsia" w:cs="Segoe UI"/>
                <w:color w:val="333333"/>
                <w:sz w:val="21"/>
                <w:szCs w:val="21"/>
                <w:highlight w:val="none"/>
              </w:rPr>
              <w:t>重大税收违法</w:t>
            </w:r>
            <w:r>
              <w:rPr>
                <w:rFonts w:hint="eastAsia" w:cs="Segoe UI"/>
                <w:color w:val="333333"/>
                <w:sz w:val="21"/>
                <w:szCs w:val="21"/>
                <w:highlight w:val="none"/>
                <w:lang w:val="en-US" w:eastAsia="zh-CN"/>
              </w:rPr>
              <w:t>失信主体</w:t>
            </w:r>
            <w:r>
              <w:rPr>
                <w:rFonts w:hint="eastAsia" w:ascii="宋体" w:hAnsi="宋体" w:cs="宋体"/>
                <w:szCs w:val="21"/>
                <w:highlight w:val="none"/>
              </w:rPr>
              <w:t>，未被列入政府采购严重违法失信行为记录名单。</w:t>
            </w:r>
          </w:p>
        </w:tc>
        <w:tc>
          <w:tcPr>
            <w:tcW w:w="4536" w:type="dxa"/>
            <w:vAlign w:val="center"/>
          </w:tcPr>
          <w:p>
            <w:pPr>
              <w:widowControl/>
              <w:adjustRightInd w:val="0"/>
              <w:snapToGrid w:val="0"/>
              <w:rPr>
                <w:highlight w:val="none"/>
                <w:lang w:val="hr-HR"/>
              </w:rPr>
            </w:pPr>
            <w:r>
              <w:rPr>
                <w:rFonts w:ascii="宋体" w:hAnsi="宋体"/>
                <w:szCs w:val="21"/>
                <w:highlight w:val="none"/>
                <w:lang w:val="hr-HR"/>
              </w:rPr>
              <w:t>以采购人和采购代理机构在</w:t>
            </w:r>
            <w:r>
              <w:rPr>
                <w:rFonts w:hint="eastAsia" w:ascii="宋体" w:hAnsi="宋体"/>
                <w:szCs w:val="21"/>
                <w:highlight w:val="none"/>
                <w:lang w:val="hr-HR"/>
              </w:rPr>
              <w:t>递交响应文件</w:t>
            </w:r>
            <w:r>
              <w:rPr>
                <w:rFonts w:ascii="宋体" w:hAnsi="宋体"/>
                <w:szCs w:val="21"/>
                <w:highlight w:val="none"/>
                <w:lang w:val="hr-HR"/>
              </w:rPr>
              <w:t>截止日在“信用中国”网站（www.creditchina.gov.cn）及中国政府采购网(www.ccgp.gov.cn)查询</w:t>
            </w:r>
            <w:r>
              <w:rPr>
                <w:rFonts w:hint="eastAsia" w:ascii="宋体" w:hAnsi="宋体"/>
                <w:szCs w:val="21"/>
                <w:highlight w:val="none"/>
                <w:lang w:val="hr-HR"/>
              </w:rPr>
              <w:t>的</w:t>
            </w:r>
            <w:r>
              <w:rPr>
                <w:rFonts w:ascii="宋体" w:hAnsi="宋体"/>
                <w:szCs w:val="21"/>
                <w:highlight w:val="none"/>
                <w:lang w:val="hr-HR"/>
              </w:rPr>
              <w:t>供应商</w:t>
            </w:r>
            <w:r>
              <w:rPr>
                <w:rFonts w:hint="eastAsia" w:ascii="宋体" w:hAnsi="宋体"/>
                <w:szCs w:val="21"/>
                <w:highlight w:val="none"/>
                <w:lang w:val="hr-HR"/>
              </w:rPr>
              <w:t>参加政府采购活动前三年内的</w:t>
            </w:r>
            <w:r>
              <w:rPr>
                <w:rFonts w:ascii="宋体" w:hAnsi="宋体"/>
                <w:szCs w:val="21"/>
                <w:highlight w:val="none"/>
                <w:lang w:val="hr-HR"/>
              </w:rPr>
              <w:t>结果为准（采购人和采购代理机构对信用信息查询记录和证据截图或下载存档）</w:t>
            </w:r>
            <w:r>
              <w:rPr>
                <w:rFonts w:hint="eastAsia" w:ascii="宋体" w:hAnsi="宋体"/>
                <w:szCs w:val="21"/>
                <w:highlight w:val="none"/>
                <w:lang w:val="hr-HR"/>
              </w:rPr>
              <w:t>。</w:t>
            </w:r>
          </w:p>
        </w:tc>
        <w:tc>
          <w:tcPr>
            <w:tcW w:w="1298" w:type="dxa"/>
          </w:tcPr>
          <w:p>
            <w:pPr>
              <w:widowControl/>
              <w:adjustRightInd w:val="0"/>
              <w:snapToGrid w:val="0"/>
              <w:rPr>
                <w:rFonts w:ascii="宋体" w:hAnsi="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rPr>
                <w:highlight w:val="none"/>
              </w:rPr>
            </w:pPr>
            <w:r>
              <w:rPr>
                <w:rFonts w:hint="eastAsia"/>
                <w:highlight w:val="none"/>
              </w:rPr>
              <w:t>6</w:t>
            </w:r>
          </w:p>
        </w:tc>
        <w:tc>
          <w:tcPr>
            <w:tcW w:w="2800" w:type="dxa"/>
          </w:tcPr>
          <w:p>
            <w:pPr>
              <w:widowControl/>
              <w:adjustRightInd w:val="0"/>
              <w:snapToGrid w:val="0"/>
              <w:jc w:val="center"/>
              <w:rPr>
                <w:rFonts w:ascii="宋体" w:hAnsi="宋体" w:cs="宋体"/>
                <w:szCs w:val="21"/>
                <w:highlight w:val="none"/>
              </w:rPr>
            </w:pPr>
            <w:r>
              <w:rPr>
                <w:rFonts w:hint="eastAsia" w:ascii="宋体" w:hAnsi="宋体" w:cs="宋体"/>
                <w:szCs w:val="21"/>
                <w:highlight w:val="none"/>
              </w:rPr>
              <w:t>落实政府采购政策需满足的资格要求：本项目专门面向中小微企业采购，本项目所需工程应由中小企业承建，即工程施工单位为中小企业（应提供《中小企业声明函》，否则将视为无效响应文件。本磋商文件所称“中小企业”详见《政府采购促进中小企业发展管理办法》第二条）</w:t>
            </w:r>
          </w:p>
        </w:tc>
        <w:tc>
          <w:tcPr>
            <w:tcW w:w="4536" w:type="dxa"/>
            <w:vAlign w:val="center"/>
          </w:tcPr>
          <w:p>
            <w:pPr>
              <w:jc w:val="left"/>
              <w:rPr>
                <w:rFonts w:ascii="宋体" w:hAnsi="宋体" w:cs="宋体"/>
                <w:szCs w:val="21"/>
                <w:highlight w:val="none"/>
              </w:rPr>
            </w:pPr>
            <w:r>
              <w:rPr>
                <w:rFonts w:hint="eastAsia" w:ascii="宋体" w:hAnsi="宋体" w:cs="宋体"/>
                <w:szCs w:val="21"/>
                <w:highlight w:val="none"/>
              </w:rPr>
              <w:t>由供应商提供有效的《中小企业声明函》</w:t>
            </w:r>
          </w:p>
        </w:tc>
        <w:tc>
          <w:tcPr>
            <w:tcW w:w="1298" w:type="dxa"/>
          </w:tcPr>
          <w:p>
            <w:pPr>
              <w:jc w:val="left"/>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rPr>
                <w:highlight w:val="none"/>
              </w:rPr>
            </w:pPr>
            <w:r>
              <w:rPr>
                <w:rFonts w:hint="eastAsia"/>
                <w:highlight w:val="none"/>
              </w:rPr>
              <w:t>7</w:t>
            </w:r>
          </w:p>
        </w:tc>
        <w:tc>
          <w:tcPr>
            <w:tcW w:w="2800" w:type="dxa"/>
            <w:vAlign w:val="center"/>
          </w:tcPr>
          <w:p>
            <w:pPr>
              <w:widowControl/>
              <w:adjustRightInd w:val="0"/>
              <w:snapToGrid w:val="0"/>
              <w:jc w:val="left"/>
              <w:rPr>
                <w:rFonts w:hint="eastAsia"/>
                <w:highlight w:val="none"/>
              </w:rPr>
            </w:pPr>
            <w:r>
              <w:rPr>
                <w:rFonts w:hint="eastAsia"/>
                <w:highlight w:val="none"/>
              </w:rPr>
              <w:t xml:space="preserve">（1）供应商须具备国家建设行政主管部门颁发的消防设施工程专业承包二级或以上资质； </w:t>
            </w:r>
          </w:p>
          <w:p>
            <w:pPr>
              <w:widowControl/>
              <w:adjustRightInd w:val="0"/>
              <w:snapToGrid w:val="0"/>
              <w:jc w:val="left"/>
              <w:rPr>
                <w:rFonts w:hint="eastAsia"/>
                <w:highlight w:val="none"/>
              </w:rPr>
            </w:pPr>
            <w:r>
              <w:rPr>
                <w:rFonts w:hint="eastAsia"/>
                <w:highlight w:val="none"/>
              </w:rPr>
              <w:t xml:space="preserve">（2）供应商须具有有效的安全生产许可证； </w:t>
            </w:r>
          </w:p>
          <w:p>
            <w:pPr>
              <w:widowControl/>
              <w:adjustRightInd w:val="0"/>
              <w:snapToGrid w:val="0"/>
              <w:jc w:val="left"/>
              <w:rPr>
                <w:rFonts w:ascii="宋体" w:hAnsi="宋体"/>
                <w:szCs w:val="21"/>
                <w:highlight w:val="none"/>
                <w:lang w:val="hr-HR"/>
              </w:rPr>
            </w:pPr>
            <w:r>
              <w:rPr>
                <w:rFonts w:hint="eastAsia"/>
                <w:highlight w:val="none"/>
              </w:rPr>
              <w:t>（3）供应商须在人员、设备、资金等方面具有相应的施工能力，其中，供应商拟派项目经理须具备有效的机电工程专业二级及以上注册建造师执业证书，具备有效的安全生产考核合格证书（B证），且未担任其他在施工建设工程项目的项目经理。</w:t>
            </w:r>
          </w:p>
        </w:tc>
        <w:tc>
          <w:tcPr>
            <w:tcW w:w="4536" w:type="dxa"/>
            <w:vAlign w:val="center"/>
          </w:tcPr>
          <w:p>
            <w:pPr>
              <w:rPr>
                <w:highlight w:val="none"/>
              </w:rPr>
            </w:pPr>
            <w:r>
              <w:rPr>
                <w:rFonts w:hint="eastAsia" w:ascii="宋体" w:hAnsi="宋体"/>
                <w:bCs/>
                <w:szCs w:val="21"/>
                <w:highlight w:val="none"/>
              </w:rPr>
              <w:t>由供应商</w:t>
            </w:r>
            <w:r>
              <w:rPr>
                <w:highlight w:val="none"/>
              </w:rPr>
              <w:t>提供相应证明材料</w:t>
            </w:r>
            <w:r>
              <w:rPr>
                <w:rFonts w:hint="eastAsia"/>
                <w:highlight w:val="none"/>
              </w:rPr>
              <w:t>，以及项目经理未担任其它在施工建设工程项目的项目经理的承诺书</w:t>
            </w:r>
          </w:p>
        </w:tc>
        <w:tc>
          <w:tcPr>
            <w:tcW w:w="1298"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7" w:type="dxa"/>
            <w:vAlign w:val="center"/>
          </w:tcPr>
          <w:p>
            <w:pPr>
              <w:rPr>
                <w:highlight w:val="none"/>
              </w:rPr>
            </w:pPr>
            <w:r>
              <w:rPr>
                <w:rFonts w:hint="eastAsia"/>
                <w:highlight w:val="none"/>
              </w:rPr>
              <w:t>8</w:t>
            </w:r>
          </w:p>
        </w:tc>
        <w:tc>
          <w:tcPr>
            <w:tcW w:w="2800" w:type="dxa"/>
          </w:tcPr>
          <w:p>
            <w:pPr>
              <w:widowControl/>
              <w:adjustRightInd w:val="0"/>
              <w:snapToGrid w:val="0"/>
              <w:jc w:val="left"/>
              <w:rPr>
                <w:rStyle w:val="50"/>
                <w:highlight w:val="none"/>
              </w:rPr>
            </w:pPr>
            <w:r>
              <w:rPr>
                <w:rFonts w:hint="eastAsia" w:ascii="宋体" w:cs="宋体"/>
                <w:kern w:val="0"/>
                <w:szCs w:val="21"/>
                <w:highlight w:val="none"/>
              </w:rPr>
              <w:t>不存在第二章“供应商须知”第2.2条和2</w:t>
            </w:r>
            <w:r>
              <w:rPr>
                <w:rFonts w:ascii="宋体" w:cs="宋体"/>
                <w:kern w:val="0"/>
                <w:szCs w:val="21"/>
                <w:highlight w:val="none"/>
              </w:rPr>
              <w:t>.3</w:t>
            </w:r>
            <w:r>
              <w:rPr>
                <w:rFonts w:hint="eastAsia" w:ascii="宋体" w:cs="宋体"/>
                <w:kern w:val="0"/>
                <w:szCs w:val="21"/>
                <w:highlight w:val="none"/>
              </w:rPr>
              <w:t>条规定的情形</w:t>
            </w:r>
          </w:p>
        </w:tc>
        <w:tc>
          <w:tcPr>
            <w:tcW w:w="4536" w:type="dxa"/>
          </w:tcPr>
          <w:p>
            <w:pPr>
              <w:rPr>
                <w:highlight w:val="none"/>
              </w:rPr>
            </w:pPr>
            <w:r>
              <w:rPr>
                <w:rFonts w:hint="eastAsia"/>
                <w:highlight w:val="none"/>
              </w:rPr>
              <w:t>供应商提供声明函（响应函第8条）</w:t>
            </w:r>
          </w:p>
        </w:tc>
        <w:tc>
          <w:tcPr>
            <w:tcW w:w="1298" w:type="dxa"/>
          </w:tcPr>
          <w:p>
            <w:pPr>
              <w:rPr>
                <w:highlight w:val="none"/>
              </w:rPr>
            </w:pPr>
          </w:p>
        </w:tc>
      </w:tr>
    </w:tbl>
    <w:p>
      <w:pPr>
        <w:widowControl/>
        <w:jc w:val="left"/>
        <w:rPr>
          <w:rFonts w:ascii="宋体" w:hAnsi="宋体"/>
          <w:b/>
          <w:sz w:val="32"/>
          <w:szCs w:val="32"/>
          <w:highlight w:val="none"/>
        </w:rPr>
      </w:pPr>
    </w:p>
    <w:p>
      <w:pPr>
        <w:widowControl/>
        <w:jc w:val="left"/>
        <w:rPr>
          <w:rFonts w:ascii="宋体" w:hAnsi="宋体"/>
          <w:b/>
          <w:sz w:val="32"/>
          <w:szCs w:val="32"/>
          <w:highlight w:val="none"/>
        </w:rPr>
      </w:pPr>
      <w:r>
        <w:rPr>
          <w:rFonts w:ascii="宋体" w:hAnsi="宋体"/>
          <w:b/>
          <w:sz w:val="32"/>
          <w:szCs w:val="32"/>
          <w:highlight w:val="none"/>
        </w:rPr>
        <w:br w:type="page"/>
      </w:r>
    </w:p>
    <w:p>
      <w:pPr>
        <w:pStyle w:val="11"/>
        <w:adjustRightInd/>
        <w:snapToGrid w:val="0"/>
        <w:spacing w:line="360" w:lineRule="auto"/>
        <w:ind w:firstLine="0"/>
        <w:jc w:val="center"/>
        <w:textAlignment w:val="auto"/>
        <w:outlineLvl w:val="2"/>
        <w:rPr>
          <w:rFonts w:ascii="宋体" w:hAnsi="宋体"/>
          <w:b/>
          <w:sz w:val="32"/>
          <w:szCs w:val="32"/>
          <w:highlight w:val="none"/>
        </w:rPr>
      </w:pPr>
      <w:r>
        <w:rPr>
          <w:rFonts w:hint="eastAsia" w:ascii="宋体" w:hAnsi="宋体"/>
          <w:b/>
          <w:sz w:val="32"/>
          <w:szCs w:val="32"/>
          <w:highlight w:val="none"/>
        </w:rPr>
        <w:t>评审导航表</w:t>
      </w:r>
    </w:p>
    <w:tbl>
      <w:tblPr>
        <w:tblStyle w:val="42"/>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16"/>
        <w:gridCol w:w="938"/>
        <w:gridCol w:w="2796"/>
        <w:gridCol w:w="2173"/>
        <w:gridCol w:w="1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76" w:type="dxa"/>
            <w:shd w:val="clear" w:color="auto" w:fill="BFBFBF"/>
            <w:vAlign w:val="center"/>
          </w:tcPr>
          <w:p>
            <w:pPr>
              <w:widowControl/>
              <w:snapToGrid w:val="0"/>
              <w:jc w:val="center"/>
              <w:rPr>
                <w:rFonts w:ascii="宋体" w:hAnsi="宋体"/>
                <w:b/>
                <w:bCs/>
                <w:szCs w:val="21"/>
                <w:highlight w:val="none"/>
              </w:rPr>
            </w:pPr>
            <w:r>
              <w:rPr>
                <w:rFonts w:hint="eastAsia" w:ascii="宋体" w:hAnsi="宋体"/>
                <w:b/>
                <w:bCs/>
                <w:szCs w:val="21"/>
                <w:highlight w:val="none"/>
              </w:rPr>
              <w:t>评审</w:t>
            </w:r>
          </w:p>
          <w:p>
            <w:pPr>
              <w:widowControl/>
              <w:snapToGrid w:val="0"/>
              <w:jc w:val="center"/>
              <w:rPr>
                <w:rFonts w:ascii="宋体" w:hAnsi="宋体"/>
                <w:b/>
                <w:bCs/>
                <w:szCs w:val="21"/>
                <w:highlight w:val="none"/>
              </w:rPr>
            </w:pPr>
            <w:r>
              <w:rPr>
                <w:rFonts w:hint="eastAsia" w:ascii="宋体" w:hAnsi="宋体"/>
                <w:b/>
                <w:bCs/>
                <w:szCs w:val="21"/>
                <w:highlight w:val="none"/>
              </w:rPr>
              <w:t>项目</w:t>
            </w:r>
          </w:p>
        </w:tc>
        <w:tc>
          <w:tcPr>
            <w:tcW w:w="816" w:type="dxa"/>
            <w:shd w:val="clear" w:color="auto" w:fill="BFBFBF"/>
            <w:vAlign w:val="center"/>
          </w:tcPr>
          <w:p>
            <w:pPr>
              <w:widowControl/>
              <w:snapToGrid w:val="0"/>
              <w:jc w:val="center"/>
              <w:rPr>
                <w:rFonts w:ascii="宋体" w:hAnsi="宋体"/>
                <w:b/>
                <w:bCs/>
                <w:szCs w:val="21"/>
                <w:highlight w:val="none"/>
              </w:rPr>
            </w:pPr>
            <w:r>
              <w:rPr>
                <w:rFonts w:hint="eastAsia" w:ascii="宋体" w:hAnsi="宋体"/>
                <w:b/>
                <w:bCs/>
                <w:szCs w:val="21"/>
                <w:highlight w:val="none"/>
              </w:rPr>
              <w:t>项目</w:t>
            </w:r>
          </w:p>
        </w:tc>
        <w:tc>
          <w:tcPr>
            <w:tcW w:w="938" w:type="dxa"/>
            <w:shd w:val="clear" w:color="auto" w:fill="BFBFBF"/>
            <w:vAlign w:val="center"/>
          </w:tcPr>
          <w:p>
            <w:pPr>
              <w:widowControl/>
              <w:snapToGrid w:val="0"/>
              <w:jc w:val="center"/>
              <w:rPr>
                <w:rFonts w:ascii="宋体" w:hAnsi="宋体"/>
                <w:b/>
                <w:bCs/>
                <w:szCs w:val="21"/>
                <w:highlight w:val="none"/>
              </w:rPr>
            </w:pPr>
            <w:r>
              <w:rPr>
                <w:rFonts w:hint="eastAsia" w:ascii="宋体" w:hAnsi="宋体"/>
                <w:b/>
                <w:bCs/>
                <w:szCs w:val="21"/>
                <w:highlight w:val="none"/>
              </w:rPr>
              <w:t>分值</w:t>
            </w:r>
          </w:p>
        </w:tc>
        <w:tc>
          <w:tcPr>
            <w:tcW w:w="2796" w:type="dxa"/>
            <w:shd w:val="clear" w:color="auto" w:fill="BFBFBF"/>
            <w:vAlign w:val="center"/>
          </w:tcPr>
          <w:p>
            <w:pPr>
              <w:widowControl/>
              <w:snapToGrid w:val="0"/>
              <w:jc w:val="center"/>
              <w:rPr>
                <w:rFonts w:ascii="宋体" w:hAnsi="宋体"/>
                <w:b/>
                <w:bCs/>
                <w:szCs w:val="21"/>
                <w:highlight w:val="none"/>
              </w:rPr>
            </w:pPr>
            <w:r>
              <w:rPr>
                <w:rFonts w:hint="eastAsia" w:ascii="宋体" w:hAnsi="宋体"/>
                <w:b/>
                <w:bCs/>
                <w:szCs w:val="21"/>
                <w:highlight w:val="none"/>
              </w:rPr>
              <w:t>评分标准</w:t>
            </w:r>
          </w:p>
        </w:tc>
        <w:tc>
          <w:tcPr>
            <w:tcW w:w="2173" w:type="dxa"/>
            <w:shd w:val="clear" w:color="auto" w:fill="BFBFBF"/>
            <w:vAlign w:val="center"/>
          </w:tcPr>
          <w:p>
            <w:pPr>
              <w:widowControl/>
              <w:snapToGrid w:val="0"/>
              <w:jc w:val="center"/>
              <w:rPr>
                <w:rFonts w:ascii="宋体" w:hAnsi="宋体"/>
                <w:b/>
                <w:bCs/>
                <w:szCs w:val="21"/>
                <w:highlight w:val="none"/>
              </w:rPr>
            </w:pPr>
            <w:r>
              <w:rPr>
                <w:rFonts w:hint="eastAsia" w:ascii="宋体" w:hAnsi="宋体"/>
                <w:b/>
                <w:bCs/>
                <w:szCs w:val="21"/>
                <w:highlight w:val="none"/>
              </w:rPr>
              <w:t>供应商响应</w:t>
            </w:r>
          </w:p>
        </w:tc>
        <w:tc>
          <w:tcPr>
            <w:tcW w:w="1122" w:type="dxa"/>
            <w:shd w:val="clear" w:color="auto" w:fill="BFBFBF"/>
            <w:vAlign w:val="center"/>
          </w:tcPr>
          <w:p>
            <w:pPr>
              <w:widowControl/>
              <w:snapToGrid w:val="0"/>
              <w:jc w:val="center"/>
              <w:rPr>
                <w:rFonts w:ascii="宋体" w:hAnsi="宋体"/>
                <w:b/>
                <w:bCs/>
                <w:szCs w:val="21"/>
                <w:highlight w:val="none"/>
              </w:rPr>
            </w:pPr>
            <w:r>
              <w:rPr>
                <w:rFonts w:hint="eastAsia" w:ascii="宋体" w:hAnsi="宋体"/>
                <w:b/>
                <w:bCs/>
                <w:szCs w:val="21"/>
                <w:highlight w:val="none"/>
              </w:rPr>
              <w:t>响应文件对应页码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876" w:type="dxa"/>
            <w:vAlign w:val="center"/>
          </w:tcPr>
          <w:p>
            <w:pPr>
              <w:pStyle w:val="15"/>
              <w:widowControl/>
              <w:tabs>
                <w:tab w:val="left" w:pos="0"/>
              </w:tabs>
              <w:topLinePunct/>
              <w:snapToGrid w:val="0"/>
              <w:jc w:val="center"/>
              <w:rPr>
                <w:rFonts w:ascii="宋体" w:hAnsi="宋体"/>
                <w:b/>
                <w:bCs/>
                <w:color w:val="auto"/>
                <w:szCs w:val="21"/>
                <w:highlight w:val="none"/>
              </w:rPr>
            </w:pPr>
            <w:r>
              <w:rPr>
                <w:rFonts w:hint="eastAsia" w:ascii="宋体" w:hAnsi="宋体"/>
                <w:b/>
                <w:bCs/>
                <w:color w:val="auto"/>
                <w:szCs w:val="21"/>
                <w:highlight w:val="none"/>
              </w:rPr>
              <w:t>报价</w:t>
            </w:r>
          </w:p>
          <w:p>
            <w:pPr>
              <w:pStyle w:val="15"/>
              <w:widowControl/>
              <w:tabs>
                <w:tab w:val="left" w:pos="0"/>
              </w:tabs>
              <w:topLinePunct/>
              <w:snapToGrid w:val="0"/>
              <w:jc w:val="center"/>
              <w:rPr>
                <w:rFonts w:ascii="宋体" w:hAnsi="宋体"/>
                <w:b/>
                <w:bCs/>
                <w:szCs w:val="21"/>
                <w:highlight w:val="none"/>
              </w:rPr>
            </w:pPr>
            <w:r>
              <w:rPr>
                <w:rFonts w:hint="eastAsia" w:ascii="宋体" w:hAnsi="宋体"/>
                <w:b/>
                <w:bCs/>
                <w:color w:val="auto"/>
                <w:szCs w:val="21"/>
                <w:highlight w:val="none"/>
              </w:rPr>
              <w:t>部分</w:t>
            </w:r>
          </w:p>
        </w:tc>
        <w:tc>
          <w:tcPr>
            <w:tcW w:w="816" w:type="dxa"/>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
                <w:bCs/>
                <w:szCs w:val="21"/>
                <w:highlight w:val="none"/>
              </w:rPr>
            </w:pPr>
          </w:p>
        </w:tc>
        <w:tc>
          <w:tcPr>
            <w:tcW w:w="1122" w:type="dxa"/>
            <w:vAlign w:val="center"/>
          </w:tcPr>
          <w:p>
            <w:pPr>
              <w:widowControl/>
              <w:snapToGrid w:val="0"/>
              <w:jc w:val="center"/>
              <w:rPr>
                <w:rFonts w:ascii="宋体" w:hAnsi="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pPr>
              <w:snapToGrid w:val="0"/>
              <w:jc w:val="center"/>
              <w:rPr>
                <w:rFonts w:ascii="宋体" w:hAnsi="宋体"/>
                <w:b/>
                <w:bCs/>
                <w:szCs w:val="21"/>
                <w:highlight w:val="none"/>
              </w:rPr>
            </w:pPr>
            <w:r>
              <w:rPr>
                <w:rFonts w:hint="eastAsia" w:ascii="宋体" w:hAnsi="宋体"/>
                <w:b/>
                <w:bCs/>
                <w:szCs w:val="21"/>
                <w:highlight w:val="none"/>
              </w:rPr>
              <w:t>商务</w:t>
            </w:r>
          </w:p>
          <w:p>
            <w:pPr>
              <w:snapToGrid w:val="0"/>
              <w:jc w:val="center"/>
              <w:rPr>
                <w:rFonts w:ascii="宋体" w:hAnsi="宋体"/>
                <w:b/>
                <w:bCs/>
                <w:szCs w:val="21"/>
                <w:highlight w:val="none"/>
              </w:rPr>
            </w:pPr>
            <w:r>
              <w:rPr>
                <w:rFonts w:hint="eastAsia" w:ascii="宋体" w:hAnsi="宋体"/>
                <w:b/>
                <w:bCs/>
                <w:szCs w:val="21"/>
                <w:highlight w:val="none"/>
              </w:rPr>
              <w:t>部分</w:t>
            </w:r>
          </w:p>
        </w:tc>
        <w:tc>
          <w:tcPr>
            <w:tcW w:w="816" w:type="dxa"/>
            <w:vMerge w:val="restart"/>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b/>
                <w:szCs w:val="21"/>
                <w:highlight w:val="none"/>
              </w:rPr>
            </w:pPr>
          </w:p>
        </w:tc>
        <w:tc>
          <w:tcPr>
            <w:tcW w:w="816" w:type="dxa"/>
            <w:vMerge w:val="continue"/>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b/>
                <w:szCs w:val="21"/>
                <w:highlight w:val="none"/>
              </w:rPr>
            </w:pPr>
          </w:p>
        </w:tc>
        <w:tc>
          <w:tcPr>
            <w:tcW w:w="816" w:type="dxa"/>
            <w:vMerge w:val="continue"/>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b/>
                <w:szCs w:val="21"/>
                <w:highlight w:val="none"/>
              </w:rPr>
            </w:pPr>
          </w:p>
        </w:tc>
        <w:tc>
          <w:tcPr>
            <w:tcW w:w="816" w:type="dxa"/>
            <w:vMerge w:val="continue"/>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b/>
                <w:szCs w:val="21"/>
                <w:highlight w:val="none"/>
              </w:rPr>
            </w:pPr>
          </w:p>
        </w:tc>
        <w:tc>
          <w:tcPr>
            <w:tcW w:w="816" w:type="dxa"/>
            <w:vMerge w:val="continue"/>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b/>
                <w:bCs/>
                <w:szCs w:val="21"/>
                <w:highlight w:val="none"/>
              </w:rPr>
            </w:pPr>
          </w:p>
        </w:tc>
        <w:tc>
          <w:tcPr>
            <w:tcW w:w="816" w:type="dxa"/>
            <w:vMerge w:val="restart"/>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b/>
                <w:szCs w:val="21"/>
                <w:highlight w:val="none"/>
              </w:rPr>
            </w:pPr>
          </w:p>
        </w:tc>
        <w:tc>
          <w:tcPr>
            <w:tcW w:w="816" w:type="dxa"/>
            <w:vMerge w:val="continue"/>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widowControl/>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b/>
                <w:szCs w:val="21"/>
                <w:highlight w:val="none"/>
              </w:rPr>
            </w:pPr>
          </w:p>
        </w:tc>
        <w:tc>
          <w:tcPr>
            <w:tcW w:w="816" w:type="dxa"/>
            <w:vMerge w:val="continue"/>
            <w:vAlign w:val="center"/>
          </w:tcPr>
          <w:p>
            <w:pPr>
              <w:pStyle w:val="15"/>
              <w:widowControl/>
              <w:tabs>
                <w:tab w:val="left" w:pos="0"/>
              </w:tabs>
              <w:topLinePunct/>
              <w:snapToGrid w:val="0"/>
              <w:jc w:val="center"/>
              <w:rPr>
                <w:rFonts w:ascii="宋体" w:hAnsi="宋体"/>
                <w:bCs/>
                <w:szCs w:val="21"/>
                <w:highlight w:val="none"/>
              </w:rPr>
            </w:pPr>
          </w:p>
        </w:tc>
        <w:tc>
          <w:tcPr>
            <w:tcW w:w="938" w:type="dxa"/>
            <w:vAlign w:val="center"/>
          </w:tcPr>
          <w:p>
            <w:pPr>
              <w:pStyle w:val="15"/>
              <w:widowControl/>
              <w:tabs>
                <w:tab w:val="left" w:pos="0"/>
              </w:tabs>
              <w:topLinePunct/>
              <w:snapToGrid w:val="0"/>
              <w:jc w:val="center"/>
              <w:rPr>
                <w:rFonts w:ascii="宋体" w:hAnsi="宋体"/>
                <w:bCs/>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snapToGrid w:val="0"/>
              <w:jc w:val="center"/>
              <w:rPr>
                <w:rFonts w:ascii="宋体" w:hAnsi="宋体"/>
                <w:bCs/>
                <w:szCs w:val="21"/>
                <w:highlight w:val="none"/>
              </w:rPr>
            </w:pPr>
          </w:p>
        </w:tc>
        <w:tc>
          <w:tcPr>
            <w:tcW w:w="1122" w:type="dxa"/>
            <w:vAlign w:val="center"/>
          </w:tcPr>
          <w:p>
            <w:pPr>
              <w:widowControl/>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pPr>
              <w:widowControl/>
              <w:snapToGrid w:val="0"/>
              <w:jc w:val="center"/>
              <w:rPr>
                <w:rFonts w:ascii="宋体" w:hAnsi="宋体"/>
                <w:b/>
                <w:szCs w:val="21"/>
                <w:highlight w:val="none"/>
              </w:rPr>
            </w:pPr>
            <w:r>
              <w:rPr>
                <w:rFonts w:hint="eastAsia" w:ascii="宋体" w:hAnsi="宋体"/>
                <w:b/>
                <w:szCs w:val="21"/>
                <w:highlight w:val="none"/>
              </w:rPr>
              <w:t>技术</w:t>
            </w:r>
          </w:p>
          <w:p>
            <w:pPr>
              <w:widowControl/>
              <w:snapToGrid w:val="0"/>
              <w:jc w:val="center"/>
              <w:rPr>
                <w:rFonts w:ascii="宋体" w:hAnsi="宋体"/>
                <w:b/>
                <w:szCs w:val="21"/>
                <w:highlight w:val="none"/>
              </w:rPr>
            </w:pPr>
            <w:r>
              <w:rPr>
                <w:rFonts w:hint="eastAsia" w:ascii="宋体" w:hAnsi="宋体"/>
                <w:b/>
                <w:szCs w:val="21"/>
                <w:highlight w:val="none"/>
              </w:rPr>
              <w:t>部分</w:t>
            </w:r>
          </w:p>
        </w:tc>
        <w:tc>
          <w:tcPr>
            <w:tcW w:w="816" w:type="dxa"/>
            <w:vMerge w:val="restart"/>
            <w:vAlign w:val="center"/>
          </w:tcPr>
          <w:p>
            <w:pPr>
              <w:widowControl/>
              <w:snapToGrid w:val="0"/>
              <w:jc w:val="center"/>
              <w:rPr>
                <w:rFonts w:ascii="宋体" w:hAnsi="宋体"/>
                <w:szCs w:val="21"/>
                <w:highlight w:val="none"/>
              </w:rPr>
            </w:pPr>
          </w:p>
        </w:tc>
        <w:tc>
          <w:tcPr>
            <w:tcW w:w="938" w:type="dxa"/>
            <w:vAlign w:val="center"/>
          </w:tcPr>
          <w:p>
            <w:pPr>
              <w:widowControl/>
              <w:snapToGrid w:val="0"/>
              <w:jc w:val="center"/>
              <w:rPr>
                <w:rFonts w:ascii="宋体" w:hAnsi="宋体"/>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pStyle w:val="15"/>
              <w:widowControl/>
              <w:tabs>
                <w:tab w:val="left" w:pos="0"/>
              </w:tabs>
              <w:topLinePunct/>
              <w:snapToGrid w:val="0"/>
              <w:jc w:val="center"/>
              <w:rPr>
                <w:rFonts w:ascii="宋体" w:hAnsi="宋体"/>
                <w:bCs/>
                <w:szCs w:val="21"/>
                <w:highlight w:val="none"/>
              </w:rPr>
            </w:pPr>
          </w:p>
        </w:tc>
        <w:tc>
          <w:tcPr>
            <w:tcW w:w="1122" w:type="dxa"/>
            <w:vAlign w:val="center"/>
          </w:tcPr>
          <w:p>
            <w:pPr>
              <w:pStyle w:val="15"/>
              <w:widowControl/>
              <w:tabs>
                <w:tab w:val="left" w:pos="0"/>
              </w:tabs>
              <w:topLinePunct/>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b/>
                <w:szCs w:val="21"/>
                <w:highlight w:val="none"/>
              </w:rPr>
            </w:pPr>
          </w:p>
        </w:tc>
        <w:tc>
          <w:tcPr>
            <w:tcW w:w="816" w:type="dxa"/>
            <w:vMerge w:val="continue"/>
            <w:vAlign w:val="center"/>
          </w:tcPr>
          <w:p>
            <w:pPr>
              <w:widowControl/>
              <w:snapToGrid w:val="0"/>
              <w:jc w:val="center"/>
              <w:rPr>
                <w:rFonts w:ascii="宋体" w:hAnsi="宋体"/>
                <w:szCs w:val="21"/>
                <w:highlight w:val="none"/>
              </w:rPr>
            </w:pPr>
          </w:p>
        </w:tc>
        <w:tc>
          <w:tcPr>
            <w:tcW w:w="938" w:type="dxa"/>
            <w:vAlign w:val="center"/>
          </w:tcPr>
          <w:p>
            <w:pPr>
              <w:widowControl/>
              <w:snapToGrid w:val="0"/>
              <w:jc w:val="center"/>
              <w:rPr>
                <w:rFonts w:ascii="宋体" w:hAnsi="宋体"/>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pStyle w:val="15"/>
              <w:widowControl/>
              <w:tabs>
                <w:tab w:val="left" w:pos="0"/>
              </w:tabs>
              <w:topLinePunct/>
              <w:snapToGrid w:val="0"/>
              <w:jc w:val="center"/>
              <w:rPr>
                <w:rFonts w:ascii="宋体" w:hAnsi="宋体"/>
                <w:bCs/>
                <w:szCs w:val="21"/>
                <w:highlight w:val="none"/>
              </w:rPr>
            </w:pPr>
          </w:p>
        </w:tc>
        <w:tc>
          <w:tcPr>
            <w:tcW w:w="1122" w:type="dxa"/>
            <w:vAlign w:val="center"/>
          </w:tcPr>
          <w:p>
            <w:pPr>
              <w:pStyle w:val="15"/>
              <w:widowControl/>
              <w:tabs>
                <w:tab w:val="left" w:pos="0"/>
              </w:tabs>
              <w:topLinePunct/>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b/>
                <w:szCs w:val="21"/>
                <w:highlight w:val="none"/>
              </w:rPr>
            </w:pPr>
          </w:p>
        </w:tc>
        <w:tc>
          <w:tcPr>
            <w:tcW w:w="816" w:type="dxa"/>
            <w:vMerge w:val="continue"/>
            <w:vAlign w:val="center"/>
          </w:tcPr>
          <w:p>
            <w:pPr>
              <w:widowControl/>
              <w:snapToGrid w:val="0"/>
              <w:jc w:val="center"/>
              <w:rPr>
                <w:rFonts w:ascii="宋体" w:hAnsi="宋体"/>
                <w:szCs w:val="21"/>
                <w:highlight w:val="none"/>
              </w:rPr>
            </w:pPr>
          </w:p>
        </w:tc>
        <w:tc>
          <w:tcPr>
            <w:tcW w:w="938" w:type="dxa"/>
            <w:vAlign w:val="center"/>
          </w:tcPr>
          <w:p>
            <w:pPr>
              <w:widowControl/>
              <w:snapToGrid w:val="0"/>
              <w:jc w:val="center"/>
              <w:rPr>
                <w:rFonts w:ascii="宋体" w:hAnsi="宋体"/>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pStyle w:val="15"/>
              <w:widowControl/>
              <w:tabs>
                <w:tab w:val="left" w:pos="0"/>
              </w:tabs>
              <w:topLinePunct/>
              <w:snapToGrid w:val="0"/>
              <w:jc w:val="center"/>
              <w:rPr>
                <w:rFonts w:ascii="宋体" w:hAnsi="宋体"/>
                <w:bCs/>
                <w:szCs w:val="21"/>
                <w:highlight w:val="none"/>
              </w:rPr>
            </w:pPr>
          </w:p>
        </w:tc>
        <w:tc>
          <w:tcPr>
            <w:tcW w:w="1122" w:type="dxa"/>
            <w:vAlign w:val="center"/>
          </w:tcPr>
          <w:p>
            <w:pPr>
              <w:pStyle w:val="15"/>
              <w:widowControl/>
              <w:tabs>
                <w:tab w:val="left" w:pos="0"/>
              </w:tabs>
              <w:topLinePunct/>
              <w:snapToGrid w:val="0"/>
              <w:jc w:val="center"/>
              <w:rPr>
                <w:rFonts w:ascii="宋体" w:hAnsi="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b/>
                <w:szCs w:val="21"/>
                <w:highlight w:val="none"/>
              </w:rPr>
            </w:pPr>
          </w:p>
        </w:tc>
        <w:tc>
          <w:tcPr>
            <w:tcW w:w="816" w:type="dxa"/>
            <w:vMerge w:val="continue"/>
            <w:vAlign w:val="center"/>
          </w:tcPr>
          <w:p>
            <w:pPr>
              <w:widowControl/>
              <w:snapToGrid w:val="0"/>
              <w:jc w:val="center"/>
              <w:rPr>
                <w:rFonts w:ascii="宋体" w:hAnsi="宋体"/>
                <w:szCs w:val="21"/>
                <w:highlight w:val="none"/>
              </w:rPr>
            </w:pPr>
          </w:p>
        </w:tc>
        <w:tc>
          <w:tcPr>
            <w:tcW w:w="938" w:type="dxa"/>
            <w:vAlign w:val="center"/>
          </w:tcPr>
          <w:p>
            <w:pPr>
              <w:widowControl/>
              <w:snapToGrid w:val="0"/>
              <w:jc w:val="center"/>
              <w:rPr>
                <w:rFonts w:ascii="宋体" w:hAnsi="宋体"/>
                <w:szCs w:val="21"/>
                <w:highlight w:val="none"/>
              </w:rPr>
            </w:pPr>
          </w:p>
        </w:tc>
        <w:tc>
          <w:tcPr>
            <w:tcW w:w="2796" w:type="dxa"/>
            <w:vAlign w:val="center"/>
          </w:tcPr>
          <w:p>
            <w:pPr>
              <w:pStyle w:val="15"/>
              <w:widowControl/>
              <w:tabs>
                <w:tab w:val="left" w:pos="0"/>
              </w:tabs>
              <w:topLinePunct/>
              <w:snapToGrid w:val="0"/>
              <w:jc w:val="center"/>
              <w:rPr>
                <w:rFonts w:ascii="宋体" w:hAnsi="宋体"/>
                <w:bCs/>
                <w:szCs w:val="21"/>
                <w:highlight w:val="none"/>
              </w:rPr>
            </w:pPr>
          </w:p>
        </w:tc>
        <w:tc>
          <w:tcPr>
            <w:tcW w:w="2173" w:type="dxa"/>
            <w:vAlign w:val="center"/>
          </w:tcPr>
          <w:p>
            <w:pPr>
              <w:pStyle w:val="15"/>
              <w:widowControl/>
              <w:tabs>
                <w:tab w:val="left" w:pos="0"/>
              </w:tabs>
              <w:topLinePunct/>
              <w:snapToGrid w:val="0"/>
              <w:jc w:val="center"/>
              <w:rPr>
                <w:rFonts w:ascii="宋体" w:hAnsi="宋体"/>
                <w:bCs/>
                <w:szCs w:val="21"/>
                <w:highlight w:val="none"/>
              </w:rPr>
            </w:pPr>
          </w:p>
        </w:tc>
        <w:tc>
          <w:tcPr>
            <w:tcW w:w="1122" w:type="dxa"/>
            <w:vAlign w:val="center"/>
          </w:tcPr>
          <w:p>
            <w:pPr>
              <w:pStyle w:val="15"/>
              <w:widowControl/>
              <w:tabs>
                <w:tab w:val="left" w:pos="0"/>
              </w:tabs>
              <w:topLinePunct/>
              <w:snapToGrid w:val="0"/>
              <w:jc w:val="center"/>
              <w:rPr>
                <w:rFonts w:ascii="宋体" w:hAnsi="宋体"/>
                <w:bCs/>
                <w:szCs w:val="21"/>
                <w:highlight w:val="none"/>
              </w:rPr>
            </w:pPr>
          </w:p>
        </w:tc>
      </w:tr>
    </w:tbl>
    <w:p>
      <w:pPr>
        <w:autoSpaceDE w:val="0"/>
        <w:autoSpaceDN w:val="0"/>
        <w:adjustRightInd w:val="0"/>
        <w:spacing w:line="360" w:lineRule="auto"/>
        <w:jc w:val="left"/>
        <w:rPr>
          <w:rFonts w:ascii="宋体" w:hAnsi="宋体"/>
          <w:b/>
          <w:bCs/>
          <w:sz w:val="24"/>
          <w:highlight w:val="none"/>
        </w:rPr>
      </w:pPr>
      <w:r>
        <w:rPr>
          <w:rFonts w:hint="eastAsia" w:ascii="宋体" w:hAnsi="宋体"/>
          <w:szCs w:val="21"/>
          <w:highlight w:val="none"/>
        </w:rPr>
        <w:t>备注：为方便评审，供应商可根据磋商文件中载明的《评分标准》，将具体响应情况及响应文件中对应页码在上表中注明。</w:t>
      </w:r>
      <w:r>
        <w:rPr>
          <w:rFonts w:ascii="宋体" w:hAnsi="宋体"/>
          <w:b/>
          <w:sz w:val="44"/>
          <w:szCs w:val="44"/>
          <w:highlight w:val="none"/>
        </w:rPr>
        <w:br w:type="page"/>
      </w:r>
      <w:bookmarkStart w:id="121" w:name="_Toc360174584"/>
      <w:bookmarkStart w:id="122" w:name="_Toc264644272"/>
      <w:bookmarkStart w:id="123" w:name="_Toc11320441"/>
      <w:bookmarkStart w:id="124" w:name="_Toc533331084"/>
      <w:bookmarkStart w:id="125" w:name="_Toc211783342"/>
      <w:bookmarkStart w:id="126" w:name="_Toc533330957"/>
      <w:r>
        <w:rPr>
          <w:rFonts w:hint="eastAsia" w:ascii="宋体" w:hAnsi="宋体"/>
          <w:b/>
          <w:bCs/>
          <w:sz w:val="24"/>
          <w:highlight w:val="none"/>
        </w:rPr>
        <w:t>响应文件目录</w:t>
      </w:r>
      <w:bookmarkEnd w:id="119"/>
      <w:bookmarkEnd w:id="120"/>
      <w:bookmarkEnd w:id="121"/>
      <w:bookmarkEnd w:id="122"/>
    </w:p>
    <w:p>
      <w:pPr>
        <w:autoSpaceDE w:val="0"/>
        <w:autoSpaceDN w:val="0"/>
        <w:adjustRightInd w:val="0"/>
        <w:snapToGrid w:val="0"/>
        <w:spacing w:line="360" w:lineRule="auto"/>
        <w:rPr>
          <w:rFonts w:ascii="宋体" w:hAnsi="宋体" w:cs="宋体"/>
          <w:b/>
          <w:bCs/>
          <w:szCs w:val="21"/>
          <w:highlight w:val="none"/>
        </w:rPr>
      </w:pPr>
    </w:p>
    <w:p>
      <w:pPr>
        <w:autoSpaceDE w:val="0"/>
        <w:autoSpaceDN w:val="0"/>
        <w:adjustRightInd w:val="0"/>
        <w:snapToGrid w:val="0"/>
        <w:spacing w:line="360" w:lineRule="auto"/>
        <w:rPr>
          <w:rFonts w:ascii="宋体" w:hAnsi="宋体" w:cs="宋体"/>
          <w:b/>
          <w:bCs/>
          <w:szCs w:val="21"/>
          <w:highlight w:val="none"/>
        </w:rPr>
      </w:pPr>
    </w:p>
    <w:p>
      <w:pPr>
        <w:autoSpaceDE w:val="0"/>
        <w:autoSpaceDN w:val="0"/>
        <w:adjustRightInd w:val="0"/>
        <w:snapToGrid w:val="0"/>
        <w:spacing w:line="360" w:lineRule="auto"/>
        <w:rPr>
          <w:rFonts w:ascii="宋体" w:hAnsi="宋体" w:cs="宋体"/>
          <w:b/>
          <w:bCs/>
          <w:szCs w:val="21"/>
          <w:highlight w:val="none"/>
        </w:rPr>
      </w:pPr>
    </w:p>
    <w:p>
      <w:pPr>
        <w:autoSpaceDE w:val="0"/>
        <w:autoSpaceDN w:val="0"/>
        <w:adjustRightInd w:val="0"/>
        <w:snapToGrid w:val="0"/>
        <w:spacing w:line="360" w:lineRule="auto"/>
        <w:jc w:val="center"/>
        <w:rPr>
          <w:rFonts w:ascii="宋体" w:hAnsi="宋体" w:cs="宋体"/>
          <w:bCs/>
          <w:sz w:val="24"/>
          <w:szCs w:val="21"/>
          <w:highlight w:val="none"/>
        </w:rPr>
      </w:pPr>
      <w:r>
        <w:rPr>
          <w:rFonts w:hint="eastAsia" w:ascii="宋体" w:hAnsi="宋体" w:cs="宋体"/>
          <w:bCs/>
          <w:sz w:val="24"/>
          <w:szCs w:val="21"/>
          <w:highlight w:val="none"/>
        </w:rPr>
        <w:t>略</w:t>
      </w:r>
    </w:p>
    <w:p>
      <w:pPr>
        <w:autoSpaceDE w:val="0"/>
        <w:autoSpaceDN w:val="0"/>
        <w:adjustRightInd w:val="0"/>
        <w:snapToGrid w:val="0"/>
        <w:spacing w:line="360" w:lineRule="auto"/>
        <w:rPr>
          <w:rFonts w:ascii="宋体" w:hAnsi="宋体" w:cs="宋体"/>
          <w:bCs/>
          <w:szCs w:val="21"/>
          <w:highlight w:val="none"/>
        </w:rPr>
      </w:pPr>
    </w:p>
    <w:p>
      <w:pPr>
        <w:autoSpaceDE w:val="0"/>
        <w:autoSpaceDN w:val="0"/>
        <w:adjustRightInd w:val="0"/>
        <w:snapToGrid w:val="0"/>
        <w:spacing w:line="360" w:lineRule="auto"/>
        <w:rPr>
          <w:rFonts w:ascii="宋体" w:hAnsi="宋体" w:cs="宋体"/>
          <w:bCs/>
          <w:szCs w:val="21"/>
          <w:highlight w:val="none"/>
        </w:rPr>
      </w:pPr>
    </w:p>
    <w:p>
      <w:pPr>
        <w:autoSpaceDE w:val="0"/>
        <w:autoSpaceDN w:val="0"/>
        <w:adjustRightInd w:val="0"/>
        <w:snapToGrid w:val="0"/>
        <w:spacing w:line="360" w:lineRule="auto"/>
        <w:rPr>
          <w:rFonts w:ascii="宋体" w:hAnsi="宋体" w:cs="宋体"/>
          <w:bCs/>
          <w:szCs w:val="21"/>
          <w:highlight w:val="none"/>
        </w:rPr>
      </w:pPr>
    </w:p>
    <w:p>
      <w:pPr>
        <w:autoSpaceDE w:val="0"/>
        <w:autoSpaceDN w:val="0"/>
        <w:adjustRightInd w:val="0"/>
        <w:rPr>
          <w:rFonts w:ascii="宋体" w:hAnsi="宋体" w:cs="宋体"/>
          <w:bCs/>
          <w:szCs w:val="21"/>
          <w:highlight w:val="none"/>
        </w:rPr>
      </w:pPr>
      <w:r>
        <w:rPr>
          <w:rFonts w:hint="eastAsia" w:ascii="宋体" w:hAnsi="宋体" w:cs="宋体"/>
          <w:bCs/>
          <w:szCs w:val="21"/>
          <w:highlight w:val="none"/>
        </w:rPr>
        <w:t>注：竞争性磋商响应文件目录及内容每页须顺序编写页码。</w:t>
      </w:r>
    </w:p>
    <w:p>
      <w:pPr>
        <w:pStyle w:val="4"/>
        <w:rPr>
          <w:rFonts w:ascii="宋体" w:hAnsi="宋体" w:eastAsia="宋体"/>
          <w:highlight w:val="none"/>
        </w:rPr>
      </w:pPr>
      <w:r>
        <w:rPr>
          <w:rFonts w:hint="eastAsia" w:ascii="宋体" w:hAnsi="宋体" w:cs="宋体"/>
          <w:b/>
          <w:bCs w:val="0"/>
          <w:szCs w:val="21"/>
          <w:highlight w:val="none"/>
        </w:rPr>
        <w:br w:type="page"/>
      </w:r>
      <w:bookmarkStart w:id="127" w:name="_Toc26455"/>
      <w:bookmarkStart w:id="128" w:name="_Toc420786255"/>
      <w:r>
        <w:rPr>
          <w:rFonts w:hint="eastAsia" w:ascii="宋体" w:hAnsi="宋体" w:eastAsia="宋体"/>
          <w:highlight w:val="none"/>
        </w:rPr>
        <w:t>价格部分</w:t>
      </w:r>
      <w:bookmarkEnd w:id="127"/>
      <w:bookmarkEnd w:id="128"/>
    </w:p>
    <w:p>
      <w:pPr>
        <w:pStyle w:val="5"/>
        <w:spacing w:before="240" w:after="240"/>
        <w:jc w:val="center"/>
        <w:rPr>
          <w:rFonts w:hAnsi="宋体"/>
          <w:bCs w:val="0"/>
          <w:sz w:val="28"/>
          <w:highlight w:val="none"/>
        </w:rPr>
      </w:pPr>
      <w:bookmarkStart w:id="129" w:name="_Toc13826"/>
      <w:bookmarkStart w:id="130" w:name="_Toc420786256"/>
      <w:r>
        <w:rPr>
          <w:rFonts w:hint="eastAsia" w:hAnsi="宋体"/>
          <w:bCs w:val="0"/>
          <w:sz w:val="28"/>
          <w:highlight w:val="none"/>
        </w:rPr>
        <w:t>（一）报 价 书</w:t>
      </w:r>
      <w:bookmarkEnd w:id="129"/>
      <w:bookmarkEnd w:id="130"/>
    </w:p>
    <w:p>
      <w:pPr>
        <w:jc w:val="center"/>
        <w:rPr>
          <w:rFonts w:ascii="宋体" w:hAnsi="宋体"/>
          <w:bCs/>
          <w:sz w:val="24"/>
          <w:highlight w:val="none"/>
        </w:rPr>
      </w:pPr>
      <w:r>
        <w:rPr>
          <w:rFonts w:hint="eastAsia" w:ascii="宋体" w:hAnsi="宋体"/>
          <w:bCs/>
          <w:sz w:val="24"/>
          <w:highlight w:val="none"/>
        </w:rPr>
        <w:t>（项目编号：</w:t>
      </w:r>
      <w:r>
        <w:rPr>
          <w:rFonts w:hint="eastAsia" w:ascii="宋体" w:hAnsi="宋体"/>
          <w:sz w:val="24"/>
          <w:highlight w:val="none"/>
          <w:u w:val="single"/>
        </w:rPr>
        <w:t xml:space="preserve">          </w:t>
      </w:r>
      <w:r>
        <w:rPr>
          <w:rFonts w:hint="eastAsia" w:ascii="宋体" w:hAnsi="宋体"/>
          <w:bCs/>
          <w:color w:val="000000"/>
          <w:sz w:val="24"/>
          <w:highlight w:val="none"/>
        </w:rPr>
        <w:t>）</w:t>
      </w:r>
    </w:p>
    <w:p>
      <w:pPr>
        <w:adjustRightInd w:val="0"/>
        <w:snapToGrid w:val="0"/>
        <w:spacing w:line="300" w:lineRule="auto"/>
        <w:rPr>
          <w:rFonts w:ascii="宋体" w:hAnsi="宋体"/>
          <w:sz w:val="24"/>
          <w:highlight w:val="none"/>
        </w:rPr>
      </w:pPr>
    </w:p>
    <w:p>
      <w:pPr>
        <w:numPr>
          <w:ilvl w:val="0"/>
          <w:numId w:val="4"/>
        </w:numPr>
        <w:adjustRightInd w:val="0"/>
        <w:snapToGrid w:val="0"/>
        <w:spacing w:line="360" w:lineRule="auto"/>
        <w:rPr>
          <w:rFonts w:ascii="宋体" w:hAnsi="宋体"/>
          <w:szCs w:val="21"/>
          <w:highlight w:val="none"/>
        </w:rPr>
      </w:pPr>
      <w:r>
        <w:rPr>
          <w:rFonts w:hint="eastAsia" w:ascii="宋体" w:hAnsi="宋体"/>
          <w:szCs w:val="21"/>
          <w:highlight w:val="none"/>
        </w:rPr>
        <w:t>供应商应根据采购人提供的技术需求和竞争性磋商采购文件的相关要求及现场勘察的实际情况，按照采购人提供的图纸做出施工方案，依据项目的全部内容做出项目报价。</w:t>
      </w:r>
    </w:p>
    <w:p>
      <w:pPr>
        <w:numPr>
          <w:ilvl w:val="0"/>
          <w:numId w:val="4"/>
        </w:numPr>
        <w:adjustRightInd w:val="0"/>
        <w:snapToGrid w:val="0"/>
        <w:spacing w:line="360" w:lineRule="auto"/>
        <w:jc w:val="left"/>
        <w:rPr>
          <w:rFonts w:ascii="宋体" w:hAnsi="宋体"/>
          <w:szCs w:val="21"/>
          <w:highlight w:val="none"/>
        </w:rPr>
      </w:pPr>
      <w:r>
        <w:rPr>
          <w:rFonts w:hint="eastAsia" w:ascii="宋体" w:hAnsi="宋体"/>
          <w:szCs w:val="21"/>
          <w:highlight w:val="none"/>
        </w:rPr>
        <w:t>施工内容应满足采购人的需求，包含完成项目的全部费用。</w:t>
      </w:r>
    </w:p>
    <w:p>
      <w:pPr>
        <w:numPr>
          <w:ilvl w:val="0"/>
          <w:numId w:val="4"/>
        </w:numPr>
        <w:adjustRightInd w:val="0"/>
        <w:snapToGrid w:val="0"/>
        <w:spacing w:line="360" w:lineRule="auto"/>
        <w:jc w:val="left"/>
        <w:rPr>
          <w:rFonts w:ascii="宋体" w:hAnsi="宋体"/>
          <w:szCs w:val="21"/>
          <w:highlight w:val="none"/>
        </w:rPr>
      </w:pPr>
      <w:r>
        <w:rPr>
          <w:rFonts w:hint="eastAsia" w:ascii="宋体" w:hAnsi="宋体"/>
          <w:szCs w:val="21"/>
          <w:highlight w:val="none"/>
        </w:rPr>
        <w:t>报价书应包括</w:t>
      </w:r>
      <w:r>
        <w:rPr>
          <w:rFonts w:hint="eastAsia" w:ascii="宋体" w:hAnsi="宋体"/>
          <w:szCs w:val="21"/>
          <w:highlight w:val="none"/>
          <w:lang w:eastAsia="zh-CN"/>
        </w:rPr>
        <w:t>（</w:t>
      </w:r>
      <w:r>
        <w:rPr>
          <w:rFonts w:hint="eastAsia" w:ascii="宋体" w:hAnsi="宋体"/>
          <w:szCs w:val="21"/>
          <w:highlight w:val="none"/>
          <w:lang w:val="en-US" w:eastAsia="zh-CN"/>
        </w:rPr>
        <w:t>如有</w:t>
      </w:r>
      <w:r>
        <w:rPr>
          <w:rFonts w:hint="eastAsia" w:ascii="宋体" w:hAnsi="宋体"/>
          <w:szCs w:val="21"/>
          <w:highlight w:val="none"/>
          <w:lang w:eastAsia="zh-CN"/>
        </w:rPr>
        <w:t>）</w:t>
      </w:r>
      <w:r>
        <w:rPr>
          <w:rFonts w:hint="eastAsia" w:ascii="宋体" w:hAnsi="宋体"/>
          <w:szCs w:val="21"/>
          <w:highlight w:val="none"/>
        </w:rPr>
        <w:t>：</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（1）总报价；</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（2）总说明；</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（3）工程项目磋商报价汇总表；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（4）单项工程磋商报价汇总表；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（5）单位工程磋商报价汇总表；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（6）分部分项工程量清单与计价表；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（7）工程量清单综合单价分析表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（8）措施项目清单与计价表（一）；</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（9）措施项目清单与计价表（二）</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（10）其他项目清单与计价汇总表；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（11）暂列金额明细表；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（12）材料暂估单价表；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（13）专业工程暂估价表；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（14）计日工表；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（15）总承包服务费计价表；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（16）规费、税金项目清单与计价表</w:t>
      </w:r>
    </w:p>
    <w:p>
      <w:pPr>
        <w:adjustRightInd w:val="0"/>
        <w:snapToGrid w:val="0"/>
        <w:spacing w:line="360" w:lineRule="auto"/>
        <w:ind w:firstLine="420" w:firstLineChars="200"/>
        <w:rPr>
          <w:rFonts w:ascii="宋体" w:hAnsi="宋体"/>
          <w:szCs w:val="21"/>
          <w:highlight w:val="none"/>
        </w:rPr>
      </w:pPr>
      <w:r>
        <w:rPr>
          <w:rFonts w:hint="eastAsia" w:ascii="宋体" w:hAnsi="宋体"/>
          <w:szCs w:val="21"/>
          <w:highlight w:val="none"/>
        </w:rPr>
        <w:t>（17）磋商报价需要的其他资料。</w:t>
      </w:r>
    </w:p>
    <w:p>
      <w:pPr>
        <w:adjustRightInd w:val="0"/>
        <w:snapToGrid w:val="0"/>
        <w:spacing w:line="360" w:lineRule="auto"/>
        <w:rPr>
          <w:rFonts w:ascii="宋体" w:hAnsi="宋体"/>
          <w:color w:val="FF0000"/>
          <w:szCs w:val="21"/>
          <w:highlight w:val="none"/>
        </w:rPr>
      </w:pPr>
    </w:p>
    <w:p>
      <w:pPr>
        <w:numPr>
          <w:ilvl w:val="0"/>
          <w:numId w:val="4"/>
        </w:numPr>
        <w:adjustRightInd w:val="0"/>
        <w:snapToGrid w:val="0"/>
        <w:spacing w:line="360" w:lineRule="auto"/>
        <w:jc w:val="left"/>
        <w:rPr>
          <w:rFonts w:ascii="宋体" w:hAnsi="宋体"/>
          <w:szCs w:val="21"/>
          <w:highlight w:val="none"/>
        </w:rPr>
      </w:pPr>
      <w:r>
        <w:rPr>
          <w:rFonts w:hint="eastAsia" w:ascii="宋体" w:hAnsi="宋体"/>
          <w:szCs w:val="21"/>
          <w:highlight w:val="none"/>
        </w:rPr>
        <w:t>主要材料价格表，应注明所用材料的规格、型号、厂家、单价等。</w:t>
      </w:r>
    </w:p>
    <w:p>
      <w:pPr>
        <w:adjustRightInd w:val="0"/>
        <w:snapToGrid w:val="0"/>
        <w:spacing w:line="360" w:lineRule="auto"/>
        <w:jc w:val="left"/>
        <w:rPr>
          <w:rFonts w:ascii="宋体" w:hAnsi="宋体"/>
          <w:szCs w:val="21"/>
          <w:highlight w:val="none"/>
        </w:rPr>
      </w:pPr>
    </w:p>
    <w:p>
      <w:pPr>
        <w:adjustRightInd w:val="0"/>
        <w:snapToGrid w:val="0"/>
        <w:spacing w:line="360" w:lineRule="auto"/>
        <w:jc w:val="left"/>
        <w:rPr>
          <w:rFonts w:ascii="宋体" w:hAnsi="宋体"/>
          <w:szCs w:val="21"/>
          <w:highlight w:val="none"/>
        </w:rPr>
      </w:pPr>
      <w:r>
        <w:rPr>
          <w:rFonts w:hint="eastAsia" w:ascii="宋体" w:hAnsi="宋体"/>
          <w:szCs w:val="21"/>
          <w:highlight w:val="none"/>
        </w:rPr>
        <w:t>授权代表签字（盖章）：</w:t>
      </w:r>
    </w:p>
    <w:p>
      <w:pPr>
        <w:adjustRightInd w:val="0"/>
        <w:snapToGrid w:val="0"/>
        <w:spacing w:line="360" w:lineRule="auto"/>
        <w:jc w:val="left"/>
        <w:rPr>
          <w:rFonts w:ascii="宋体" w:hAnsi="宋体"/>
          <w:szCs w:val="21"/>
          <w:highlight w:val="none"/>
        </w:rPr>
      </w:pPr>
      <w:r>
        <w:rPr>
          <w:rFonts w:hint="eastAsia" w:ascii="宋体" w:hAnsi="宋体"/>
          <w:szCs w:val="21"/>
          <w:highlight w:val="none"/>
        </w:rPr>
        <w:t>日  期：</w:t>
      </w:r>
    </w:p>
    <w:p>
      <w:pPr>
        <w:pStyle w:val="5"/>
        <w:spacing w:before="240" w:after="240"/>
        <w:jc w:val="center"/>
        <w:rPr>
          <w:rFonts w:hint="default" w:hAnsi="宋体"/>
          <w:bCs w:val="0"/>
          <w:sz w:val="28"/>
          <w:highlight w:val="none"/>
          <w:lang w:val="en-US" w:eastAsia="zh-CN"/>
        </w:rPr>
      </w:pPr>
      <w:r>
        <w:rPr>
          <w:rFonts w:ascii="宋体" w:hAnsi="宋体"/>
          <w:szCs w:val="21"/>
          <w:highlight w:val="none"/>
        </w:rPr>
        <w:br w:type="page"/>
      </w:r>
      <w:r>
        <w:rPr>
          <w:rFonts w:hint="eastAsia" w:hAnsi="宋体"/>
          <w:bCs w:val="0"/>
          <w:sz w:val="28"/>
          <w:highlight w:val="none"/>
          <w:lang w:eastAsia="zh-CN"/>
        </w:rPr>
        <w:t>（</w:t>
      </w:r>
      <w:r>
        <w:rPr>
          <w:rFonts w:hint="eastAsia" w:hAnsi="宋体"/>
          <w:bCs w:val="0"/>
          <w:sz w:val="28"/>
          <w:highlight w:val="none"/>
          <w:lang w:val="en-US" w:eastAsia="zh-CN"/>
        </w:rPr>
        <w:t>二</w:t>
      </w:r>
      <w:r>
        <w:rPr>
          <w:rFonts w:hint="eastAsia" w:hAnsi="宋体"/>
          <w:bCs w:val="0"/>
          <w:sz w:val="28"/>
          <w:highlight w:val="none"/>
          <w:lang w:eastAsia="zh-CN"/>
        </w:rPr>
        <w:t>）</w:t>
      </w:r>
      <w:r>
        <w:rPr>
          <w:rFonts w:hint="eastAsia" w:hAnsi="宋体"/>
          <w:bCs w:val="0"/>
          <w:sz w:val="28"/>
          <w:highlight w:val="none"/>
          <w:lang w:val="en-US" w:eastAsia="zh-CN"/>
        </w:rPr>
        <w:t>设备品牌、型号信息</w:t>
      </w:r>
    </w:p>
    <w:p>
      <w:pPr>
        <w:rPr>
          <w:b/>
          <w:bCs/>
        </w:rPr>
      </w:pP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供应商应当根据采购需求的要求，填写“钢质防火门”的品牌、型号信息，填写不全者作无效响应处理</w:t>
      </w:r>
      <w:r>
        <w:rPr>
          <w:rFonts w:hint="eastAsia" w:ascii="宋体" w:hAnsi="宋体" w:eastAsia="宋体" w:cs="宋体"/>
          <w:b/>
          <w:bCs/>
          <w:color w:val="auto"/>
          <w:sz w:val="21"/>
          <w:szCs w:val="21"/>
          <w:highlight w:val="none"/>
          <w:lang w:val="en-US" w:eastAsia="zh-CN"/>
        </w:rPr>
        <w:t>。</w:t>
      </w:r>
    </w:p>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3227"/>
        <w:gridCol w:w="3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198" w:type="pct"/>
            <w:noWrap w:val="0"/>
            <w:vAlign w:val="top"/>
          </w:tcPr>
          <w:p>
            <w:pPr>
              <w:spacing w:line="5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w:t>
            </w:r>
          </w:p>
        </w:tc>
        <w:tc>
          <w:tcPr>
            <w:tcW w:w="1781" w:type="pct"/>
            <w:noWrap w:val="0"/>
            <w:vAlign w:val="top"/>
          </w:tcPr>
          <w:p>
            <w:pPr>
              <w:spacing w:line="5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品牌</w:t>
            </w:r>
          </w:p>
        </w:tc>
        <w:tc>
          <w:tcPr>
            <w:tcW w:w="2020" w:type="pct"/>
            <w:noWrap w:val="0"/>
            <w:vAlign w:val="top"/>
          </w:tcPr>
          <w:p>
            <w:pPr>
              <w:spacing w:line="50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型号信息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19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kern w:val="0"/>
                <w:sz w:val="20"/>
                <w:szCs w:val="20"/>
                <w:lang w:val="en-US" w:eastAsia="zh-CN" w:bidi="ar"/>
              </w:rPr>
              <w:t>钢质防火门</w:t>
            </w:r>
          </w:p>
        </w:tc>
        <w:tc>
          <w:tcPr>
            <w:tcW w:w="17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1"/>
                <w:szCs w:val="21"/>
                <w:highlight w:val="none"/>
                <w:lang w:val="en-US" w:eastAsia="zh-CN"/>
              </w:rPr>
            </w:pPr>
          </w:p>
        </w:tc>
        <w:tc>
          <w:tcPr>
            <w:tcW w:w="202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411" w:firstLineChars="196"/>
              <w:jc w:val="both"/>
              <w:textAlignment w:val="auto"/>
              <w:rPr>
                <w:rFonts w:hint="eastAsia" w:ascii="宋体" w:hAnsi="宋体" w:eastAsia="宋体" w:cs="宋体"/>
                <w:color w:val="auto"/>
                <w:sz w:val="21"/>
                <w:szCs w:val="21"/>
                <w:highlight w:val="none"/>
                <w:lang w:val="en-US" w:eastAsia="zh-CN"/>
              </w:rPr>
            </w:pPr>
          </w:p>
        </w:tc>
      </w:tr>
    </w:tbl>
    <w:p/>
    <w:p>
      <w:r>
        <w:br w:type="page"/>
      </w:r>
    </w:p>
    <w:p>
      <w:pPr>
        <w:pStyle w:val="41"/>
        <w:sectPr>
          <w:pgSz w:w="11907" w:h="16840"/>
          <w:pgMar w:top="1247" w:right="1531" w:bottom="1134" w:left="1531" w:header="907" w:footer="907" w:gutter="0"/>
          <w:cols w:space="720" w:num="1"/>
          <w:docGrid w:linePitch="312" w:charSpace="0"/>
        </w:sectPr>
      </w:pPr>
    </w:p>
    <w:p>
      <w:pPr>
        <w:rPr>
          <w:rFonts w:ascii="宋体" w:hAnsi="宋体"/>
          <w:szCs w:val="21"/>
          <w:highlight w:val="none"/>
        </w:rPr>
      </w:pPr>
    </w:p>
    <w:p>
      <w:pPr>
        <w:pStyle w:val="4"/>
        <w:rPr>
          <w:rFonts w:ascii="宋体" w:hAnsi="宋体" w:eastAsia="宋体"/>
          <w:highlight w:val="none"/>
        </w:rPr>
      </w:pPr>
      <w:bookmarkStart w:id="131" w:name="_Toc420786257"/>
      <w:bookmarkStart w:id="132" w:name="_Toc7247"/>
      <w:r>
        <w:rPr>
          <w:rFonts w:hint="eastAsia" w:ascii="宋体" w:hAnsi="宋体" w:eastAsia="宋体"/>
          <w:highlight w:val="none"/>
        </w:rPr>
        <w:t>商务部分</w:t>
      </w:r>
      <w:bookmarkEnd w:id="131"/>
      <w:bookmarkEnd w:id="132"/>
    </w:p>
    <w:p>
      <w:pPr>
        <w:pStyle w:val="5"/>
        <w:spacing w:before="240" w:after="240"/>
        <w:jc w:val="center"/>
        <w:rPr>
          <w:rFonts w:hAnsi="宋体"/>
          <w:bCs w:val="0"/>
          <w:sz w:val="28"/>
          <w:highlight w:val="none"/>
        </w:rPr>
      </w:pPr>
      <w:bookmarkStart w:id="133" w:name="_Hlt10450957"/>
      <w:bookmarkEnd w:id="133"/>
      <w:bookmarkStart w:id="134" w:name="_Toc20267"/>
      <w:bookmarkStart w:id="135" w:name="_Toc420786258"/>
      <w:r>
        <w:rPr>
          <w:rFonts w:hint="eastAsia" w:hAnsi="宋体"/>
          <w:bCs w:val="0"/>
          <w:sz w:val="28"/>
          <w:highlight w:val="none"/>
        </w:rPr>
        <w:t>（一）响应函</w:t>
      </w:r>
      <w:bookmarkEnd w:id="134"/>
      <w:bookmarkEnd w:id="135"/>
    </w:p>
    <w:p>
      <w:pPr>
        <w:spacing w:line="300" w:lineRule="auto"/>
        <w:rPr>
          <w:rFonts w:ascii="宋体" w:hAnsi="宋体"/>
          <w:sz w:val="24"/>
          <w:highlight w:val="none"/>
          <w:u w:val="single"/>
        </w:rPr>
      </w:pPr>
      <w:r>
        <w:rPr>
          <w:rFonts w:hint="eastAsia" w:ascii="宋体" w:hAnsi="宋体"/>
          <w:sz w:val="24"/>
          <w:highlight w:val="none"/>
        </w:rPr>
        <w:t>致：</w:t>
      </w:r>
      <w:r>
        <w:rPr>
          <w:rFonts w:hint="eastAsia" w:ascii="宋体" w:hAnsi="宋体"/>
          <w:sz w:val="24"/>
          <w:highlight w:val="none"/>
          <w:u w:val="single"/>
        </w:rPr>
        <w:t xml:space="preserve">  （采购人名称）  </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根据你方采购工程项目编号为：</w:t>
      </w:r>
      <w:r>
        <w:rPr>
          <w:rFonts w:hint="eastAsia" w:ascii="宋体" w:hAnsi="宋体"/>
          <w:szCs w:val="21"/>
          <w:highlight w:val="none"/>
          <w:u w:val="single"/>
        </w:rPr>
        <w:tab/>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szCs w:val="21"/>
          <w:highlight w:val="none"/>
        </w:rPr>
        <w:t>的</w:t>
      </w:r>
      <w:r>
        <w:rPr>
          <w:rFonts w:hint="eastAsia" w:ascii="宋体" w:hAnsi="宋体"/>
          <w:szCs w:val="21"/>
          <w:highlight w:val="none"/>
          <w:u w:val="single"/>
        </w:rPr>
        <w:tab/>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szCs w:val="21"/>
          <w:highlight w:val="none"/>
        </w:rPr>
        <w:t>工程竞争性磋商文件，遵照《中华人民共和国政府采购法》等有关规定，经踏勘项目现场和研究上述竞争性磋商文件的磋商须知、合同条款、图纸、工程建设标准及其他有关文件后，我方愿以</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i/>
          <w:szCs w:val="21"/>
          <w:highlight w:val="none"/>
          <w:u w:val="single"/>
        </w:rPr>
        <w:t>（币种，金额，单位）</w:t>
      </w:r>
      <w:r>
        <w:rPr>
          <w:rFonts w:hint="eastAsia" w:ascii="宋体" w:hAnsi="宋体"/>
          <w:szCs w:val="21"/>
          <w:highlight w:val="none"/>
        </w:rPr>
        <w:tab/>
      </w:r>
      <w:r>
        <w:rPr>
          <w:rFonts w:hint="eastAsia" w:ascii="宋体" w:hAnsi="宋体"/>
          <w:szCs w:val="21"/>
          <w:highlight w:val="none"/>
          <w:u w:val="single"/>
        </w:rPr>
        <w:tab/>
      </w:r>
      <w:r>
        <w:rPr>
          <w:rFonts w:hint="eastAsia" w:ascii="宋体" w:hAnsi="宋体"/>
          <w:i/>
          <w:szCs w:val="21"/>
          <w:highlight w:val="none"/>
          <w:u w:val="single"/>
        </w:rPr>
        <w:t>（小写）</w:t>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szCs w:val="21"/>
          <w:highlight w:val="none"/>
        </w:rPr>
        <w:t>的磋商报价并按上述图纸、合同条款、工程建设标准的条件要求，承包上述工程的施工、竣工，并承担任何质量缺陷的保修责任。</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我方已详细审核全部竞争性磋商文件，包括修改文件及有关附件。</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我方承认响应函附录是我方响应函的组成部分。</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一旦我方成交，我方保证按响应函附录第3项承诺的工期</w:t>
      </w:r>
      <w:r>
        <w:rPr>
          <w:rFonts w:hint="eastAsia" w:ascii="宋体" w:hAnsi="宋体"/>
          <w:szCs w:val="21"/>
          <w:highlight w:val="none"/>
          <w:u w:val="single"/>
        </w:rPr>
        <w:tab/>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i/>
          <w:szCs w:val="21"/>
          <w:highlight w:val="none"/>
          <w:u w:val="single"/>
        </w:rPr>
        <w:t xml:space="preserve">（由供应商填写） </w:t>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szCs w:val="21"/>
          <w:highlight w:val="none"/>
        </w:rPr>
        <w:t>日历天内完成并移交全部工程。</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如果我方成交，我方将按照磋商文件的规定支付采购代理服务费。</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我方同意所提交的响应文件在竞争性磋商文件规定的磋商有效期内有效，在此期间内如果成交，我方将受此约束。</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除非另外达成协议并生效，你方的成交通知书和本响应文件将成为约束双方的合同文件的组成部分。</w:t>
      </w:r>
    </w:p>
    <w:p>
      <w:pPr>
        <w:numPr>
          <w:ilvl w:val="0"/>
          <w:numId w:val="5"/>
        </w:numPr>
        <w:tabs>
          <w:tab w:val="left" w:pos="360"/>
        </w:tabs>
        <w:spacing w:line="300" w:lineRule="auto"/>
        <w:rPr>
          <w:rFonts w:ascii="宋体" w:hAnsi="宋体"/>
          <w:szCs w:val="21"/>
          <w:highlight w:val="none"/>
        </w:rPr>
      </w:pPr>
      <w:r>
        <w:rPr>
          <w:rFonts w:hint="eastAsia" w:ascii="宋体" w:hAnsi="宋体"/>
          <w:szCs w:val="21"/>
          <w:highlight w:val="none"/>
        </w:rPr>
        <w:t>我方在此声明，所递交的响应文件及有关资料内容完整、真实和准确，我方承诺对其真实性负责并承担相应后果：</w:t>
      </w:r>
    </w:p>
    <w:p>
      <w:pPr>
        <w:tabs>
          <w:tab w:val="left" w:pos="360"/>
          <w:tab w:val="left" w:pos="943"/>
        </w:tabs>
        <w:spacing w:line="300" w:lineRule="auto"/>
        <w:ind w:firstLine="945" w:firstLineChars="450"/>
        <w:rPr>
          <w:rFonts w:ascii="宋体" w:hAnsi="宋体"/>
          <w:szCs w:val="21"/>
          <w:highlight w:val="none"/>
        </w:rPr>
      </w:pPr>
      <w:r>
        <w:rPr>
          <w:rFonts w:ascii="宋体" w:hAnsi="宋体"/>
          <w:szCs w:val="21"/>
          <w:highlight w:val="none"/>
        </w:rPr>
        <w:t>1</w:t>
      </w:r>
      <w:r>
        <w:rPr>
          <w:rFonts w:hint="eastAsia" w:ascii="宋体" w:hAnsi="宋体"/>
          <w:szCs w:val="21"/>
          <w:highlight w:val="none"/>
        </w:rPr>
        <w:t>）我方是否存在本文件第二章“供应商须知”第2.2条和2.3条规定的任何一种情形：</w:t>
      </w:r>
    </w:p>
    <w:p>
      <w:pPr>
        <w:pStyle w:val="156"/>
        <w:snapToGrid w:val="0"/>
        <w:spacing w:line="324" w:lineRule="auto"/>
        <w:ind w:left="540" w:leftChars="257" w:firstLine="525" w:firstLineChars="250"/>
        <w:rPr>
          <w:rFonts w:ascii="宋体" w:hAnsi="宋体"/>
          <w:szCs w:val="21"/>
          <w:highlight w:val="none"/>
        </w:rPr>
      </w:pPr>
      <w:r>
        <w:rPr>
          <w:rFonts w:hint="eastAsia" w:ascii="宋体" w:hAnsi="宋体"/>
          <w:szCs w:val="21"/>
          <w:highlight w:val="none"/>
        </w:rPr>
        <w:t>□否；□是，具体情形为：</w:t>
      </w:r>
      <w:r>
        <w:rPr>
          <w:rFonts w:hint="eastAsia" w:ascii="宋体" w:hAnsi="宋体"/>
          <w:szCs w:val="21"/>
          <w:highlight w:val="none"/>
          <w:u w:val="single"/>
        </w:rPr>
        <w:t xml:space="preserve">                                    </w:t>
      </w:r>
      <w:r>
        <w:rPr>
          <w:rFonts w:hint="eastAsia" w:ascii="宋体" w:hAnsi="宋体"/>
          <w:szCs w:val="21"/>
          <w:highlight w:val="none"/>
        </w:rPr>
        <w:t>。</w:t>
      </w:r>
    </w:p>
    <w:p>
      <w:pPr>
        <w:snapToGrid w:val="0"/>
        <w:spacing w:line="324" w:lineRule="auto"/>
        <w:ind w:left="680" w:leftChars="324" w:firstLine="315" w:firstLineChars="150"/>
        <w:rPr>
          <w:rFonts w:ascii="宋体" w:hAnsi="宋体"/>
          <w:szCs w:val="21"/>
          <w:highlight w:val="none"/>
        </w:rPr>
      </w:pPr>
      <w:r>
        <w:rPr>
          <w:rFonts w:ascii="宋体" w:hAnsi="宋体"/>
          <w:szCs w:val="21"/>
          <w:highlight w:val="none"/>
        </w:rPr>
        <w:t>2</w:t>
      </w:r>
      <w:r>
        <w:rPr>
          <w:rFonts w:hint="eastAsia" w:ascii="宋体" w:hAnsi="宋体"/>
          <w:szCs w:val="21"/>
          <w:highlight w:val="none"/>
        </w:rPr>
        <w:t>）与我方单位负责人为同一人的其他单位名称：</w:t>
      </w:r>
    </w:p>
    <w:p>
      <w:pPr>
        <w:pStyle w:val="156"/>
        <w:snapToGrid w:val="0"/>
        <w:spacing w:line="324" w:lineRule="auto"/>
        <w:ind w:left="540" w:leftChars="257" w:firstLine="525" w:firstLineChars="250"/>
        <w:rPr>
          <w:rFonts w:ascii="宋体" w:hAnsi="宋体"/>
          <w:szCs w:val="21"/>
          <w:highlight w:val="none"/>
        </w:rPr>
      </w:pPr>
      <w:r>
        <w:rPr>
          <w:rFonts w:hint="eastAsia" w:ascii="宋体" w:hAnsi="宋体"/>
          <w:szCs w:val="21"/>
          <w:highlight w:val="none"/>
        </w:rPr>
        <w:t>□无；□有，具体单位名称为：</w:t>
      </w:r>
      <w:r>
        <w:rPr>
          <w:rFonts w:hint="eastAsia" w:ascii="宋体" w:hAnsi="宋体"/>
          <w:szCs w:val="21"/>
          <w:highlight w:val="none"/>
          <w:u w:val="single"/>
        </w:rPr>
        <w:t xml:space="preserve">                                   </w:t>
      </w:r>
      <w:r>
        <w:rPr>
          <w:rFonts w:hint="eastAsia" w:ascii="宋体" w:hAnsi="宋体"/>
          <w:szCs w:val="21"/>
          <w:highlight w:val="none"/>
        </w:rPr>
        <w:t xml:space="preserve"> 。</w:t>
      </w:r>
    </w:p>
    <w:p>
      <w:pPr>
        <w:snapToGrid w:val="0"/>
        <w:spacing w:line="324" w:lineRule="auto"/>
        <w:ind w:left="680" w:leftChars="324" w:firstLine="315" w:firstLineChars="150"/>
        <w:rPr>
          <w:rFonts w:ascii="宋体" w:hAnsi="宋体"/>
          <w:szCs w:val="21"/>
          <w:highlight w:val="none"/>
        </w:rPr>
      </w:pPr>
      <w:r>
        <w:rPr>
          <w:rFonts w:ascii="宋体" w:hAnsi="宋体"/>
          <w:szCs w:val="21"/>
          <w:highlight w:val="none"/>
        </w:rPr>
        <w:t>3</w:t>
      </w:r>
      <w:r>
        <w:rPr>
          <w:rFonts w:hint="eastAsia" w:ascii="宋体" w:hAnsi="宋体"/>
          <w:szCs w:val="21"/>
          <w:highlight w:val="none"/>
        </w:rPr>
        <w:t>）与我方存在控股、管理关系的其他单位名称：</w:t>
      </w:r>
    </w:p>
    <w:p>
      <w:pPr>
        <w:snapToGrid w:val="0"/>
        <w:spacing w:line="324" w:lineRule="auto"/>
        <w:ind w:left="680" w:leftChars="324" w:firstLine="420" w:firstLineChars="200"/>
        <w:rPr>
          <w:rFonts w:ascii="宋体" w:hAnsi="宋体"/>
          <w:szCs w:val="21"/>
          <w:highlight w:val="none"/>
        </w:rPr>
      </w:pPr>
      <w:r>
        <w:rPr>
          <w:rFonts w:hint="eastAsia" w:ascii="宋体" w:hAnsi="宋体"/>
          <w:szCs w:val="21"/>
          <w:highlight w:val="none"/>
        </w:rPr>
        <w:t>□无；□有，具体单位名称为：</w:t>
      </w:r>
      <w:r>
        <w:rPr>
          <w:rFonts w:hint="eastAsia" w:ascii="宋体" w:hAnsi="宋体"/>
          <w:szCs w:val="21"/>
          <w:highlight w:val="none"/>
          <w:u w:val="single"/>
        </w:rPr>
        <w:t xml:space="preserve">                                     </w:t>
      </w:r>
      <w:r>
        <w:rPr>
          <w:rFonts w:hint="eastAsia" w:ascii="宋体" w:hAnsi="宋体"/>
          <w:szCs w:val="21"/>
          <w:highlight w:val="none"/>
        </w:rPr>
        <w:t>。</w:t>
      </w:r>
    </w:p>
    <w:p>
      <w:pPr>
        <w:spacing w:line="324" w:lineRule="auto"/>
        <w:ind w:left="855" w:leftChars="357" w:hanging="105" w:hangingChars="50"/>
        <w:rPr>
          <w:rFonts w:ascii="Arial" w:hAnsi="Arial" w:cs="Arial"/>
          <w:szCs w:val="21"/>
          <w:highlight w:val="none"/>
        </w:rPr>
      </w:pPr>
      <w:r>
        <w:rPr>
          <w:rFonts w:hint="eastAsia"/>
          <w:szCs w:val="21"/>
          <w:highlight w:val="none"/>
        </w:rPr>
        <w:t>（备注：</w:t>
      </w:r>
      <w:r>
        <w:rPr>
          <w:rFonts w:hint="eastAsia"/>
          <w:b/>
          <w:szCs w:val="21"/>
          <w:highlight w:val="none"/>
        </w:rPr>
        <w:t>以上</w:t>
      </w:r>
      <w:r>
        <w:rPr>
          <w:b/>
          <w:szCs w:val="21"/>
          <w:highlight w:val="none"/>
        </w:rPr>
        <w:t>3</w:t>
      </w:r>
      <w:r>
        <w:rPr>
          <w:rFonts w:hint="eastAsia"/>
          <w:b/>
          <w:szCs w:val="21"/>
          <w:highlight w:val="none"/>
        </w:rPr>
        <w:t>项声明，必须如实选择，选中项用</w:t>
      </w:r>
      <w:r>
        <w:rPr>
          <w:rFonts w:hint="eastAsia"/>
          <w:b/>
          <w:sz w:val="15"/>
          <w:szCs w:val="15"/>
          <w:highlight w:val="none"/>
          <w:bdr w:val="single" w:color="auto" w:sz="4" w:space="0"/>
        </w:rPr>
        <w:t>√</w:t>
      </w:r>
      <w:r>
        <w:rPr>
          <w:rFonts w:hint="eastAsia" w:ascii="宋体" w:hAnsi="宋体"/>
          <w:b/>
          <w:szCs w:val="21"/>
          <w:highlight w:val="none"/>
        </w:rPr>
        <w:t>表示，未选中项用□表示</w:t>
      </w:r>
      <w:r>
        <w:rPr>
          <w:rFonts w:hint="eastAsia"/>
          <w:b/>
          <w:szCs w:val="21"/>
          <w:highlight w:val="none"/>
        </w:rPr>
        <w:t>。</w:t>
      </w:r>
      <w:r>
        <w:rPr>
          <w:rFonts w:hint="eastAsia"/>
          <w:szCs w:val="21"/>
          <w:highlight w:val="none"/>
        </w:rPr>
        <w:t>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spacing w:line="300" w:lineRule="auto"/>
        <w:ind w:firstLine="2706" w:firstLineChars="1289"/>
        <w:rPr>
          <w:rFonts w:ascii="宋体" w:hAnsi="宋体"/>
          <w:szCs w:val="21"/>
          <w:highlight w:val="none"/>
        </w:rPr>
      </w:pPr>
      <w:r>
        <w:rPr>
          <w:rFonts w:hint="eastAsia" w:ascii="宋体" w:hAnsi="宋体"/>
          <w:szCs w:val="21"/>
          <w:highlight w:val="none"/>
        </w:rPr>
        <w:t>供应商：</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rPr>
        <w:t>（盖章）</w:t>
      </w:r>
    </w:p>
    <w:p>
      <w:pPr>
        <w:spacing w:line="300" w:lineRule="auto"/>
        <w:ind w:firstLine="2706" w:firstLineChars="1289"/>
        <w:rPr>
          <w:rFonts w:ascii="宋体" w:hAnsi="宋体"/>
          <w:szCs w:val="21"/>
          <w:highlight w:val="none"/>
        </w:rPr>
      </w:pPr>
      <w:r>
        <w:rPr>
          <w:rFonts w:hint="eastAsia" w:ascii="宋体" w:hAnsi="宋体"/>
          <w:szCs w:val="21"/>
          <w:highlight w:val="none"/>
        </w:rPr>
        <w:t>单位地址：</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u w:val="single"/>
        </w:rPr>
      </w:pPr>
      <w:r>
        <w:rPr>
          <w:rFonts w:hint="eastAsia" w:ascii="宋体" w:hAnsi="宋体"/>
          <w:szCs w:val="21"/>
          <w:highlight w:val="none"/>
        </w:rPr>
        <w:t>法定代表人或其委托代理人：</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u w:val="single"/>
        </w:rPr>
      </w:pPr>
      <w:r>
        <w:rPr>
          <w:rFonts w:hint="eastAsia" w:ascii="宋体" w:hAnsi="宋体"/>
          <w:szCs w:val="21"/>
          <w:highlight w:val="none"/>
        </w:rPr>
        <w:t>邮政编码：</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rPr>
        <w:t>电话：</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rPr>
        <w:t>传真：</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u w:val="single"/>
        </w:rPr>
      </w:pPr>
      <w:r>
        <w:rPr>
          <w:rFonts w:hint="eastAsia" w:ascii="宋体" w:hAnsi="宋体"/>
          <w:szCs w:val="21"/>
          <w:highlight w:val="none"/>
        </w:rPr>
        <w:t>开户银行名称：</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rPr>
      </w:pPr>
      <w:r>
        <w:rPr>
          <w:rFonts w:hint="eastAsia" w:ascii="宋体" w:hAnsi="宋体"/>
          <w:szCs w:val="21"/>
          <w:highlight w:val="none"/>
        </w:rPr>
        <w:t>开户银行帐号：</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rPr>
      </w:pPr>
      <w:r>
        <w:rPr>
          <w:rFonts w:hint="eastAsia" w:ascii="宋体" w:hAnsi="宋体"/>
          <w:szCs w:val="21"/>
          <w:highlight w:val="none"/>
        </w:rPr>
        <w:t>开户银行地址：</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u w:val="single"/>
        </w:rPr>
      </w:pPr>
      <w:r>
        <w:rPr>
          <w:rFonts w:hint="eastAsia" w:ascii="宋体" w:hAnsi="宋体"/>
          <w:szCs w:val="21"/>
          <w:highlight w:val="none"/>
        </w:rPr>
        <w:t>开户银行电话：</w:t>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r>
        <w:rPr>
          <w:rFonts w:hint="eastAsia" w:ascii="宋体" w:hAnsi="宋体"/>
          <w:szCs w:val="21"/>
          <w:highlight w:val="none"/>
          <w:u w:val="single"/>
        </w:rPr>
        <w:tab/>
      </w:r>
    </w:p>
    <w:p>
      <w:pPr>
        <w:spacing w:line="300" w:lineRule="auto"/>
        <w:ind w:firstLine="2706" w:firstLineChars="1289"/>
        <w:rPr>
          <w:rFonts w:ascii="宋体" w:hAnsi="宋体"/>
          <w:szCs w:val="21"/>
          <w:highlight w:val="none"/>
        </w:rPr>
      </w:pPr>
      <w:r>
        <w:rPr>
          <w:rFonts w:hint="eastAsia" w:ascii="宋体" w:hAnsi="宋体"/>
          <w:szCs w:val="21"/>
          <w:highlight w:val="none"/>
        </w:rPr>
        <w:t>日期：</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年</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月</w:t>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ab/>
      </w:r>
      <w:r>
        <w:rPr>
          <w:rFonts w:hint="eastAsia" w:ascii="宋体" w:hAnsi="宋体"/>
          <w:szCs w:val="21"/>
          <w:highlight w:val="none"/>
        </w:rPr>
        <w:t>日</w:t>
      </w:r>
    </w:p>
    <w:p>
      <w:pPr>
        <w:keepNext/>
        <w:keepLines/>
        <w:spacing w:before="260" w:after="260" w:line="300" w:lineRule="auto"/>
        <w:jc w:val="center"/>
        <w:outlineLvl w:val="1"/>
        <w:rPr>
          <w:rFonts w:ascii="宋体" w:hAnsi="宋体"/>
          <w:bCs/>
          <w:szCs w:val="21"/>
          <w:highlight w:val="none"/>
        </w:rPr>
        <w:sectPr>
          <w:pgSz w:w="11907" w:h="16840"/>
          <w:pgMar w:top="1247" w:right="1531" w:bottom="1134" w:left="1531" w:header="907" w:footer="907" w:gutter="0"/>
          <w:cols w:space="720" w:num="1"/>
          <w:docGrid w:linePitch="312" w:charSpace="0"/>
        </w:sectPr>
      </w:pPr>
    </w:p>
    <w:p>
      <w:pPr>
        <w:rPr>
          <w:rFonts w:ascii="宋体" w:hAnsi="宋体"/>
          <w:highlight w:val="none"/>
        </w:rPr>
      </w:pPr>
      <w:bookmarkStart w:id="136" w:name="_Hlt535815816"/>
      <w:bookmarkEnd w:id="136"/>
      <w:bookmarkStart w:id="137" w:name="_Hlt10450987"/>
      <w:bookmarkEnd w:id="137"/>
      <w:bookmarkStart w:id="138" w:name="_Hlt10451146"/>
      <w:bookmarkEnd w:id="138"/>
      <w:bookmarkStart w:id="139" w:name="_Toc167767147"/>
    </w:p>
    <w:p>
      <w:pPr>
        <w:pStyle w:val="5"/>
        <w:spacing w:before="240" w:after="240"/>
        <w:jc w:val="center"/>
        <w:rPr>
          <w:rFonts w:hAnsi="宋体"/>
          <w:b w:val="0"/>
          <w:bCs w:val="0"/>
          <w:sz w:val="28"/>
          <w:highlight w:val="none"/>
        </w:rPr>
      </w:pPr>
      <w:bookmarkStart w:id="140" w:name="_Toc420786259"/>
      <w:bookmarkStart w:id="141" w:name="_Toc12098"/>
      <w:r>
        <w:rPr>
          <w:rFonts w:hint="eastAsia" w:hAnsi="宋体"/>
          <w:b w:val="0"/>
          <w:bCs w:val="0"/>
          <w:sz w:val="28"/>
          <w:highlight w:val="none"/>
        </w:rPr>
        <w:t>（二）</w:t>
      </w:r>
      <w:r>
        <w:rPr>
          <w:rFonts w:hint="eastAsia" w:hAnsi="宋体"/>
          <w:sz w:val="28"/>
          <w:highlight w:val="none"/>
        </w:rPr>
        <w:t>响应</w:t>
      </w:r>
      <w:r>
        <w:rPr>
          <w:rFonts w:hint="eastAsia" w:hAnsi="宋体"/>
          <w:bCs w:val="0"/>
          <w:sz w:val="28"/>
          <w:highlight w:val="none"/>
        </w:rPr>
        <w:t>函附录</w:t>
      </w:r>
      <w:bookmarkEnd w:id="139"/>
      <w:bookmarkEnd w:id="140"/>
      <w:bookmarkEnd w:id="141"/>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1424"/>
        <w:gridCol w:w="1757"/>
        <w:gridCol w:w="1392"/>
        <w:gridCol w:w="3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996" w:type="dxa"/>
            <w:vAlign w:val="center"/>
          </w:tcPr>
          <w:p>
            <w:pPr>
              <w:jc w:val="center"/>
              <w:rPr>
                <w:rFonts w:ascii="宋体" w:hAnsi="宋体"/>
                <w:color w:val="000000"/>
                <w:sz w:val="24"/>
                <w:highlight w:val="none"/>
              </w:rPr>
            </w:pPr>
            <w:r>
              <w:rPr>
                <w:rFonts w:hint="eastAsia" w:ascii="宋体" w:hAnsi="宋体"/>
                <w:color w:val="000000"/>
                <w:sz w:val="24"/>
                <w:highlight w:val="none"/>
              </w:rPr>
              <w:t>序号</w:t>
            </w:r>
          </w:p>
        </w:tc>
        <w:tc>
          <w:tcPr>
            <w:tcW w:w="3181" w:type="dxa"/>
            <w:gridSpan w:val="2"/>
            <w:vAlign w:val="center"/>
          </w:tcPr>
          <w:p>
            <w:pPr>
              <w:jc w:val="center"/>
              <w:rPr>
                <w:rFonts w:ascii="宋体" w:hAnsi="宋体"/>
                <w:color w:val="000000"/>
                <w:sz w:val="24"/>
                <w:highlight w:val="none"/>
              </w:rPr>
            </w:pPr>
            <w:r>
              <w:rPr>
                <w:rFonts w:hint="eastAsia" w:ascii="宋体" w:hAnsi="宋体"/>
                <w:color w:val="000000"/>
                <w:sz w:val="24"/>
                <w:highlight w:val="none"/>
              </w:rPr>
              <w:t>项目内容</w:t>
            </w:r>
          </w:p>
        </w:tc>
        <w:tc>
          <w:tcPr>
            <w:tcW w:w="1392" w:type="dxa"/>
            <w:vAlign w:val="center"/>
          </w:tcPr>
          <w:p>
            <w:pPr>
              <w:jc w:val="center"/>
              <w:rPr>
                <w:rFonts w:ascii="宋体" w:hAnsi="宋体"/>
                <w:color w:val="000000"/>
                <w:sz w:val="24"/>
                <w:highlight w:val="none"/>
              </w:rPr>
            </w:pPr>
            <w:r>
              <w:rPr>
                <w:rFonts w:hint="eastAsia" w:ascii="宋体" w:hAnsi="宋体"/>
                <w:color w:val="000000"/>
                <w:sz w:val="24"/>
                <w:highlight w:val="none"/>
              </w:rPr>
              <w:t>单位</w:t>
            </w:r>
          </w:p>
        </w:tc>
        <w:tc>
          <w:tcPr>
            <w:tcW w:w="3579" w:type="dxa"/>
            <w:vAlign w:val="center"/>
          </w:tcPr>
          <w:p>
            <w:pPr>
              <w:jc w:val="center"/>
              <w:rPr>
                <w:rFonts w:ascii="宋体" w:hAnsi="宋体"/>
                <w:color w:val="000000"/>
                <w:sz w:val="24"/>
                <w:highlight w:val="none"/>
              </w:rPr>
            </w:pPr>
            <w:r>
              <w:rPr>
                <w:rFonts w:hint="eastAsia" w:ascii="宋体" w:hAnsi="宋体"/>
                <w:color w:val="000000"/>
                <w:sz w:val="24"/>
                <w:highlight w:val="none"/>
              </w:rPr>
              <w:t>约定内容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磋商总报价</w:t>
            </w:r>
          </w:p>
        </w:tc>
        <w:tc>
          <w:tcPr>
            <w:tcW w:w="1392" w:type="dxa"/>
            <w:vAlign w:val="center"/>
          </w:tcPr>
          <w:p>
            <w:pPr>
              <w:jc w:val="center"/>
              <w:rPr>
                <w:rFonts w:ascii="宋体" w:hAnsi="宋体"/>
                <w:color w:val="000000"/>
                <w:sz w:val="24"/>
                <w:highlight w:val="none"/>
              </w:rPr>
            </w:pPr>
            <w:r>
              <w:rPr>
                <w:rFonts w:hint="eastAsia" w:ascii="宋体" w:hAnsi="宋体"/>
                <w:color w:val="000000"/>
                <w:sz w:val="24"/>
                <w:highlight w:val="none"/>
              </w:rPr>
              <w:t>万元</w:t>
            </w: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响应工期</w:t>
            </w:r>
          </w:p>
        </w:tc>
        <w:tc>
          <w:tcPr>
            <w:tcW w:w="1392" w:type="dxa"/>
            <w:vAlign w:val="center"/>
          </w:tcPr>
          <w:p>
            <w:pPr>
              <w:jc w:val="center"/>
              <w:rPr>
                <w:rFonts w:ascii="宋体" w:hAnsi="宋体"/>
                <w:color w:val="000000"/>
                <w:sz w:val="24"/>
                <w:highlight w:val="none"/>
              </w:rPr>
            </w:pPr>
            <w:r>
              <w:rPr>
                <w:rFonts w:hint="eastAsia" w:ascii="宋体" w:hAnsi="宋体"/>
                <w:color w:val="000000"/>
                <w:sz w:val="24"/>
                <w:highlight w:val="none"/>
              </w:rPr>
              <w:t>日历天</w:t>
            </w:r>
          </w:p>
        </w:tc>
        <w:tc>
          <w:tcPr>
            <w:tcW w:w="3579" w:type="dxa"/>
            <w:vAlign w:val="center"/>
          </w:tcPr>
          <w:p>
            <w:pPr>
              <w:jc w:val="center"/>
              <w:rPr>
                <w:rFonts w:ascii="宋体" w:hAnsi="宋体"/>
                <w:color w:val="000000"/>
                <w:sz w:val="24"/>
                <w:highlight w:val="none"/>
              </w:rPr>
            </w:pP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日历天（计划开工日期：以采购人书面通知为准）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误期违约赔偿金额</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误期违约金赔偿限额</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工程质量等级目标</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对质量目标的承诺</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文明施工管理目标</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对文明施工目标的承诺</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安全生产管理目标</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rPr>
                <w:rFonts w:ascii="宋体" w:hAnsi="宋体"/>
                <w:color w:val="000000"/>
                <w:sz w:val="24"/>
                <w:highlight w:val="none"/>
              </w:rPr>
            </w:pPr>
            <w:r>
              <w:rPr>
                <w:rFonts w:hint="eastAsia" w:ascii="宋体" w:hAnsi="宋体"/>
                <w:color w:val="000000"/>
                <w:sz w:val="24"/>
                <w:highlight w:val="none"/>
              </w:rPr>
              <w:t>对安全生产目标的承诺</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70" w:hRule="atLeast"/>
          <w:jc w:val="center"/>
        </w:trPr>
        <w:tc>
          <w:tcPr>
            <w:tcW w:w="996" w:type="dxa"/>
            <w:vMerge w:val="restart"/>
            <w:vAlign w:val="center"/>
          </w:tcPr>
          <w:p>
            <w:pPr>
              <w:numPr>
                <w:ilvl w:val="0"/>
                <w:numId w:val="6"/>
              </w:numPr>
              <w:jc w:val="center"/>
              <w:rPr>
                <w:rFonts w:ascii="宋体" w:hAnsi="宋体"/>
                <w:color w:val="000000"/>
                <w:sz w:val="24"/>
                <w:highlight w:val="none"/>
              </w:rPr>
            </w:pPr>
          </w:p>
        </w:tc>
        <w:tc>
          <w:tcPr>
            <w:tcW w:w="1424" w:type="dxa"/>
            <w:vMerge w:val="restart"/>
            <w:vAlign w:val="center"/>
          </w:tcPr>
          <w:p>
            <w:pPr>
              <w:jc w:val="center"/>
              <w:rPr>
                <w:rFonts w:ascii="宋体" w:hAnsi="宋体"/>
                <w:color w:val="000000"/>
                <w:sz w:val="24"/>
                <w:highlight w:val="none"/>
              </w:rPr>
            </w:pPr>
            <w:r>
              <w:rPr>
                <w:rFonts w:hint="eastAsia" w:ascii="宋体" w:hAnsi="宋体"/>
                <w:color w:val="000000"/>
                <w:sz w:val="24"/>
                <w:highlight w:val="none"/>
              </w:rPr>
              <w:t>项目经理</w:t>
            </w:r>
          </w:p>
        </w:tc>
        <w:tc>
          <w:tcPr>
            <w:tcW w:w="1757" w:type="dxa"/>
            <w:vAlign w:val="center"/>
          </w:tcPr>
          <w:p>
            <w:pPr>
              <w:jc w:val="center"/>
              <w:rPr>
                <w:rFonts w:ascii="宋体" w:hAnsi="宋体"/>
                <w:color w:val="000000"/>
                <w:sz w:val="24"/>
                <w:highlight w:val="none"/>
              </w:rPr>
            </w:pPr>
            <w:r>
              <w:rPr>
                <w:rFonts w:hint="eastAsia" w:ascii="宋体" w:hAnsi="宋体"/>
                <w:color w:val="000000"/>
                <w:sz w:val="24"/>
                <w:highlight w:val="none"/>
              </w:rPr>
              <w:t>姓名、专业、级别</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70" w:hRule="atLeast"/>
          <w:jc w:val="center"/>
        </w:trPr>
        <w:tc>
          <w:tcPr>
            <w:tcW w:w="996" w:type="dxa"/>
            <w:vMerge w:val="continue"/>
            <w:vAlign w:val="center"/>
          </w:tcPr>
          <w:p>
            <w:pPr>
              <w:numPr>
                <w:ilvl w:val="0"/>
                <w:numId w:val="6"/>
              </w:numPr>
              <w:jc w:val="center"/>
              <w:rPr>
                <w:rFonts w:ascii="宋体" w:hAnsi="宋体"/>
                <w:color w:val="000000"/>
                <w:sz w:val="24"/>
                <w:highlight w:val="none"/>
              </w:rPr>
            </w:pPr>
          </w:p>
        </w:tc>
        <w:tc>
          <w:tcPr>
            <w:tcW w:w="1424" w:type="dxa"/>
            <w:vMerge w:val="continue"/>
            <w:vAlign w:val="center"/>
          </w:tcPr>
          <w:p>
            <w:pPr>
              <w:rPr>
                <w:rFonts w:ascii="宋体" w:hAnsi="宋体"/>
                <w:color w:val="000000"/>
                <w:sz w:val="24"/>
                <w:highlight w:val="none"/>
              </w:rPr>
            </w:pPr>
          </w:p>
        </w:tc>
        <w:tc>
          <w:tcPr>
            <w:tcW w:w="1757" w:type="dxa"/>
            <w:vAlign w:val="center"/>
          </w:tcPr>
          <w:p>
            <w:pPr>
              <w:jc w:val="center"/>
              <w:rPr>
                <w:rFonts w:ascii="宋体" w:hAnsi="宋体"/>
                <w:color w:val="000000"/>
                <w:sz w:val="24"/>
                <w:highlight w:val="none"/>
              </w:rPr>
            </w:pPr>
            <w:r>
              <w:rPr>
                <w:rFonts w:hint="eastAsia" w:ascii="宋体" w:hAnsi="宋体"/>
                <w:color w:val="000000"/>
                <w:sz w:val="24"/>
                <w:highlight w:val="none"/>
              </w:rPr>
              <w:t>承诺</w:t>
            </w:r>
          </w:p>
        </w:tc>
        <w:tc>
          <w:tcPr>
            <w:tcW w:w="1392" w:type="dxa"/>
            <w:vAlign w:val="center"/>
          </w:tcPr>
          <w:p>
            <w:pPr>
              <w:jc w:val="center"/>
              <w:rPr>
                <w:rFonts w:ascii="宋体" w:hAnsi="宋体"/>
                <w:color w:val="000000"/>
                <w:sz w:val="24"/>
                <w:highlight w:val="none"/>
              </w:rPr>
            </w:pPr>
          </w:p>
        </w:tc>
        <w:tc>
          <w:tcPr>
            <w:tcW w:w="3579" w:type="dxa"/>
            <w:vAlign w:val="center"/>
          </w:tcPr>
          <w:p>
            <w:pPr>
              <w:jc w:val="center"/>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jc w:val="center"/>
              <w:rPr>
                <w:rFonts w:ascii="宋体" w:hAnsi="宋体"/>
                <w:color w:val="000000"/>
                <w:sz w:val="24"/>
                <w:highlight w:val="none"/>
              </w:rPr>
            </w:pPr>
            <w:r>
              <w:rPr>
                <w:rFonts w:hint="eastAsia" w:ascii="宋体" w:hAnsi="宋体"/>
                <w:color w:val="000000"/>
                <w:sz w:val="24"/>
                <w:highlight w:val="none"/>
              </w:rPr>
              <w:t>质保期</w:t>
            </w:r>
          </w:p>
        </w:tc>
        <w:tc>
          <w:tcPr>
            <w:tcW w:w="1392" w:type="dxa"/>
            <w:vAlign w:val="center"/>
          </w:tcPr>
          <w:p>
            <w:pPr>
              <w:jc w:val="center"/>
              <w:rPr>
                <w:rFonts w:ascii="宋体" w:hAnsi="宋体"/>
                <w:color w:val="000000"/>
                <w:sz w:val="24"/>
                <w:highlight w:val="none"/>
              </w:rPr>
            </w:pPr>
          </w:p>
        </w:tc>
        <w:tc>
          <w:tcPr>
            <w:tcW w:w="3579" w:type="dxa"/>
            <w:vAlign w:val="center"/>
          </w:tcPr>
          <w:p>
            <w:pPr>
              <w:jc w:val="both"/>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jc w:val="center"/>
              <w:rPr>
                <w:rFonts w:ascii="宋体" w:hAnsi="宋体"/>
                <w:sz w:val="24"/>
                <w:highlight w:val="none"/>
              </w:rPr>
            </w:pPr>
            <w:r>
              <w:rPr>
                <w:rFonts w:hint="eastAsia" w:ascii="宋体" w:hAnsi="宋体"/>
                <w:sz w:val="24"/>
                <w:highlight w:val="none"/>
              </w:rPr>
              <w:t>付款方式</w:t>
            </w:r>
          </w:p>
        </w:tc>
        <w:tc>
          <w:tcPr>
            <w:tcW w:w="1392" w:type="dxa"/>
            <w:vAlign w:val="center"/>
          </w:tcPr>
          <w:p>
            <w:pPr>
              <w:jc w:val="center"/>
              <w:rPr>
                <w:rFonts w:ascii="宋体" w:hAnsi="宋体"/>
                <w:sz w:val="24"/>
                <w:highlight w:val="none"/>
              </w:rPr>
            </w:pPr>
          </w:p>
        </w:tc>
        <w:tc>
          <w:tcPr>
            <w:tcW w:w="3579" w:type="dxa"/>
            <w:vAlign w:val="center"/>
          </w:tcPr>
          <w:p>
            <w:pPr>
              <w:jc w:val="both"/>
              <w:rPr>
                <w:rFonts w:ascii="宋体" w:hAnsi="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996" w:type="dxa"/>
            <w:vAlign w:val="center"/>
          </w:tcPr>
          <w:p>
            <w:pPr>
              <w:numPr>
                <w:ilvl w:val="0"/>
                <w:numId w:val="6"/>
              </w:numPr>
              <w:jc w:val="center"/>
              <w:rPr>
                <w:rFonts w:ascii="宋体" w:hAnsi="宋体"/>
                <w:color w:val="000000"/>
                <w:sz w:val="24"/>
                <w:highlight w:val="none"/>
              </w:rPr>
            </w:pPr>
          </w:p>
        </w:tc>
        <w:tc>
          <w:tcPr>
            <w:tcW w:w="3181" w:type="dxa"/>
            <w:gridSpan w:val="2"/>
            <w:vAlign w:val="center"/>
          </w:tcPr>
          <w:p>
            <w:pPr>
              <w:jc w:val="center"/>
              <w:rPr>
                <w:rFonts w:ascii="宋体" w:hAnsi="宋体"/>
                <w:sz w:val="24"/>
                <w:highlight w:val="none"/>
              </w:rPr>
            </w:pPr>
            <w:r>
              <w:rPr>
                <w:rFonts w:hint="eastAsia" w:ascii="宋体" w:hAnsi="宋体"/>
                <w:sz w:val="24"/>
                <w:highlight w:val="none"/>
              </w:rPr>
              <w:t>备注</w:t>
            </w:r>
          </w:p>
        </w:tc>
        <w:tc>
          <w:tcPr>
            <w:tcW w:w="1392" w:type="dxa"/>
            <w:vAlign w:val="center"/>
          </w:tcPr>
          <w:p>
            <w:pPr>
              <w:jc w:val="center"/>
              <w:rPr>
                <w:rFonts w:ascii="宋体" w:hAnsi="宋体"/>
                <w:sz w:val="24"/>
                <w:highlight w:val="none"/>
              </w:rPr>
            </w:pPr>
          </w:p>
        </w:tc>
        <w:tc>
          <w:tcPr>
            <w:tcW w:w="3579" w:type="dxa"/>
            <w:vAlign w:val="center"/>
          </w:tcPr>
          <w:p>
            <w:pPr>
              <w:jc w:val="center"/>
              <w:rPr>
                <w:rFonts w:ascii="宋体" w:hAnsi="宋体"/>
                <w:color w:val="000000"/>
                <w:sz w:val="24"/>
                <w:highlight w:val="none"/>
              </w:rPr>
            </w:pPr>
          </w:p>
        </w:tc>
      </w:tr>
    </w:tbl>
    <w:p>
      <w:pPr>
        <w:rPr>
          <w:rFonts w:ascii="宋体" w:hAnsi="宋体"/>
          <w:highlight w:val="none"/>
        </w:rPr>
      </w:pPr>
    </w:p>
    <w:p>
      <w:pPr>
        <w:rPr>
          <w:rFonts w:ascii="宋体" w:hAnsi="宋体"/>
          <w:highlight w:val="none"/>
        </w:rPr>
      </w:pPr>
      <w:r>
        <w:rPr>
          <w:rFonts w:hint="eastAsia" w:ascii="宋体" w:hAnsi="宋体"/>
          <w:highlight w:val="none"/>
        </w:rPr>
        <w:br w:type="page"/>
      </w:r>
    </w:p>
    <w:bookmarkEnd w:id="118"/>
    <w:bookmarkEnd w:id="123"/>
    <w:bookmarkEnd w:id="124"/>
    <w:bookmarkEnd w:id="125"/>
    <w:bookmarkEnd w:id="126"/>
    <w:p>
      <w:pPr>
        <w:rPr>
          <w:rFonts w:ascii="宋体" w:hAnsi="宋体"/>
          <w:highlight w:val="none"/>
        </w:rPr>
      </w:pPr>
      <w:bookmarkStart w:id="142" w:name="_Toc460258117"/>
      <w:bookmarkStart w:id="143" w:name="_Toc424832831"/>
      <w:bookmarkStart w:id="144" w:name="_Toc259028723"/>
      <w:bookmarkStart w:id="145" w:name="_Toc432149007"/>
    </w:p>
    <w:p>
      <w:pPr>
        <w:pStyle w:val="5"/>
        <w:spacing w:before="240" w:after="240"/>
        <w:jc w:val="center"/>
        <w:rPr>
          <w:rFonts w:hAnsi="宋体"/>
          <w:sz w:val="28"/>
          <w:highlight w:val="none"/>
        </w:rPr>
      </w:pPr>
      <w:bookmarkStart w:id="146" w:name="_Toc420786260"/>
      <w:bookmarkStart w:id="147" w:name="_Toc26411"/>
      <w:r>
        <w:rPr>
          <w:rFonts w:hint="eastAsia" w:hAnsi="宋体"/>
          <w:sz w:val="28"/>
          <w:highlight w:val="none"/>
        </w:rPr>
        <w:t>（三）</w:t>
      </w:r>
      <w:bookmarkEnd w:id="146"/>
      <w:r>
        <w:rPr>
          <w:rFonts w:hint="eastAsia" w:hAnsi="宋体"/>
          <w:sz w:val="28"/>
          <w:highlight w:val="none"/>
        </w:rPr>
        <w:t>已标价工程量清单</w:t>
      </w:r>
      <w:bookmarkEnd w:id="147"/>
    </w:p>
    <w:p>
      <w:pPr>
        <w:rPr>
          <w:highlight w:val="none"/>
        </w:rPr>
      </w:pPr>
      <w:r>
        <w:rPr>
          <w:highlight w:val="none"/>
        </w:rPr>
        <w:br w:type="page"/>
      </w:r>
    </w:p>
    <w:p>
      <w:pPr>
        <w:pStyle w:val="5"/>
        <w:spacing w:before="240" w:after="240"/>
        <w:jc w:val="center"/>
        <w:rPr>
          <w:rFonts w:hint="default" w:hAnsi="宋体" w:eastAsia="宋体"/>
          <w:sz w:val="28"/>
          <w:highlight w:val="none"/>
          <w:lang w:val="en-US" w:eastAsia="zh-CN"/>
        </w:rPr>
      </w:pPr>
      <w:r>
        <w:rPr>
          <w:rFonts w:hint="eastAsia" w:hAnsi="宋体"/>
          <w:sz w:val="28"/>
          <w:highlight w:val="none"/>
        </w:rPr>
        <w:t>（</w:t>
      </w:r>
      <w:r>
        <w:rPr>
          <w:rFonts w:hint="eastAsia" w:hAnsi="宋体"/>
          <w:sz w:val="28"/>
          <w:highlight w:val="none"/>
          <w:lang w:val="en-US" w:eastAsia="zh-CN"/>
        </w:rPr>
        <w:t>四</w:t>
      </w:r>
      <w:r>
        <w:rPr>
          <w:rFonts w:hint="eastAsia" w:hAnsi="宋体"/>
          <w:sz w:val="28"/>
          <w:highlight w:val="none"/>
        </w:rPr>
        <w:t>）</w:t>
      </w:r>
      <w:r>
        <w:rPr>
          <w:rFonts w:hint="eastAsia" w:hAnsi="宋体"/>
          <w:sz w:val="28"/>
          <w:highlight w:val="none"/>
          <w:lang w:val="en-US" w:eastAsia="zh-CN"/>
        </w:rPr>
        <w:t>法人身份证明</w:t>
      </w:r>
    </w:p>
    <w:p>
      <w:pPr>
        <w:widowControl/>
        <w:spacing w:line="360" w:lineRule="auto"/>
        <w:rPr>
          <w:rFonts w:ascii="Times New Roman" w:hAnsi="Times New Roman" w:eastAsia="宋体" w:cs="Times New Roman"/>
          <w:color w:val="auto"/>
          <w:highlight w:val="none"/>
        </w:rPr>
      </w:pPr>
    </w:p>
    <w:p>
      <w:pPr>
        <w:widowControl/>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供应商</w:t>
      </w:r>
      <w:r>
        <w:rPr>
          <w:rFonts w:ascii="Times New Roman" w:hAnsi="Times New Roman" w:eastAsia="宋体" w:cs="Times New Roman"/>
          <w:color w:val="auto"/>
          <w:highlight w:val="none"/>
        </w:rPr>
        <w:t>名称：</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p>
    <w:p>
      <w:pPr>
        <w:widowControl/>
        <w:spacing w:line="360" w:lineRule="auto"/>
        <w:rPr>
          <w:rFonts w:ascii="Times New Roman" w:hAnsi="Times New Roman" w:eastAsia="宋体" w:cs="Times New Roman"/>
          <w:color w:val="auto"/>
          <w:highlight w:val="none"/>
          <w:u w:val="single"/>
        </w:rPr>
      </w:pPr>
      <w:r>
        <w:rPr>
          <w:rFonts w:ascii="Times New Roman" w:hAnsi="Times New Roman" w:eastAsia="宋体" w:cs="Times New Roman"/>
          <w:color w:val="auto"/>
          <w:highlight w:val="none"/>
        </w:rPr>
        <w:t>单位性质：</w:t>
      </w:r>
      <w:r>
        <w:rPr>
          <w:rFonts w:ascii="Times New Roman" w:hAnsi="Times New Roman" w:eastAsia="宋体" w:cs="Times New Roman"/>
          <w:color w:val="auto"/>
          <w:highlight w:val="none"/>
          <w:u w:val="single"/>
        </w:rPr>
        <w:t xml:space="preserve">                                       </w:t>
      </w:r>
    </w:p>
    <w:p>
      <w:pPr>
        <w:widowControl/>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p>
    <w:p>
      <w:pPr>
        <w:widowControl/>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成立时间：</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年</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月 </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日 </w:t>
      </w:r>
    </w:p>
    <w:p>
      <w:pPr>
        <w:widowControl/>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经营期限：</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p>
    <w:p>
      <w:pPr>
        <w:widowControl/>
        <w:spacing w:line="360" w:lineRule="auto"/>
        <w:rPr>
          <w:rFonts w:ascii="Times New Roman" w:hAnsi="Times New Roman" w:eastAsia="宋体" w:cs="Times New Roman"/>
          <w:color w:val="auto"/>
          <w:highlight w:val="none"/>
          <w:u w:val="single"/>
        </w:rPr>
      </w:pPr>
      <w:r>
        <w:rPr>
          <w:rFonts w:ascii="Times New Roman" w:hAnsi="Times New Roman" w:eastAsia="宋体" w:cs="Times New Roman"/>
          <w:color w:val="auto"/>
          <w:highlight w:val="none"/>
        </w:rPr>
        <w:t>姓名：</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性别：</w:t>
      </w:r>
      <w:r>
        <w:rPr>
          <w:rFonts w:ascii="Times New Roman" w:hAnsi="Times New Roman" w:eastAsia="宋体" w:cs="Times New Roman"/>
          <w:color w:val="auto"/>
          <w:highlight w:val="none"/>
          <w:u w:val="single"/>
        </w:rPr>
        <w:t xml:space="preserve">                   </w:t>
      </w:r>
    </w:p>
    <w:p>
      <w:pPr>
        <w:widowControl/>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年龄：</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职务：</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w:t>
      </w:r>
    </w:p>
    <w:p>
      <w:pPr>
        <w:widowControl/>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系 </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供应商</w:t>
      </w:r>
      <w:r>
        <w:rPr>
          <w:rFonts w:ascii="Times New Roman" w:hAnsi="Times New Roman" w:eastAsia="宋体" w:cs="Times New Roman"/>
          <w:color w:val="auto"/>
          <w:highlight w:val="none"/>
        </w:rPr>
        <w:t xml:space="preserve">名称）的法定代表人。 </w:t>
      </w:r>
    </w:p>
    <w:p>
      <w:pPr>
        <w:widowControl/>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特此证明。 </w:t>
      </w:r>
    </w:p>
    <w:p>
      <w:pPr>
        <w:widowControl/>
        <w:spacing w:line="360" w:lineRule="auto"/>
        <w:rPr>
          <w:rFonts w:ascii="Times New Roman" w:hAnsi="Times New Roman" w:eastAsia="宋体" w:cs="Times New Roman"/>
          <w:color w:val="auto"/>
          <w:highlight w:val="none"/>
        </w:rPr>
      </w:pPr>
    </w:p>
    <w:p>
      <w:pPr>
        <w:widowControl/>
        <w:spacing w:line="360" w:lineRule="auto"/>
        <w:rPr>
          <w:rFonts w:ascii="Times New Roman" w:hAnsi="Times New Roman" w:eastAsia="宋体" w:cs="Times New Roman"/>
          <w:color w:val="auto"/>
          <w:highlight w:val="none"/>
        </w:rPr>
      </w:pPr>
    </w:p>
    <w:p>
      <w:pPr>
        <w:widowControl/>
        <w:spacing w:line="360" w:lineRule="auto"/>
        <w:rPr>
          <w:rFonts w:ascii="Times New Roman" w:hAnsi="Times New Roman" w:eastAsia="宋体" w:cs="Times New Roman"/>
          <w:color w:val="auto"/>
          <w:highlight w:val="none"/>
        </w:rPr>
      </w:pPr>
    </w:p>
    <w:p>
      <w:pPr>
        <w:widowControl/>
        <w:spacing w:line="360" w:lineRule="auto"/>
        <w:jc w:val="righ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供应商</w:t>
      </w:r>
      <w:r>
        <w:rPr>
          <w:rFonts w:ascii="Times New Roman" w:hAnsi="Times New Roman" w:eastAsia="宋体" w:cs="Times New Roman"/>
          <w:color w:val="auto"/>
          <w:highlight w:val="none"/>
        </w:rPr>
        <w:t>：</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（盖单位章） </w:t>
      </w:r>
    </w:p>
    <w:p>
      <w:pPr>
        <w:widowControl/>
        <w:spacing w:line="360" w:lineRule="auto"/>
        <w:jc w:val="right"/>
        <w:rPr>
          <w:rFonts w:ascii="Times New Roman" w:hAnsi="Times New Roman" w:eastAsia="宋体" w:cs="Times New Roman"/>
          <w:color w:val="auto"/>
          <w:highlight w:val="none"/>
        </w:rPr>
      </w:pP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年 </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月</w:t>
      </w:r>
      <w:r>
        <w:rPr>
          <w:rFonts w:ascii="Times New Roman" w:hAnsi="Times New Roman" w:eastAsia="宋体" w:cs="Times New Roman"/>
          <w:color w:val="auto"/>
          <w:highlight w:val="none"/>
          <w:u w:val="single"/>
        </w:rPr>
        <w:t xml:space="preserve">     </w:t>
      </w:r>
      <w:r>
        <w:rPr>
          <w:rFonts w:ascii="Times New Roman" w:hAnsi="Times New Roman" w:eastAsia="宋体" w:cs="Times New Roman"/>
          <w:color w:val="auto"/>
          <w:highlight w:val="none"/>
        </w:rPr>
        <w:t xml:space="preserve"> 日 </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附：法定代表人身份证复印件</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noWrap w:val="0"/>
            <w:vAlign w:val="top"/>
          </w:tcPr>
          <w:p>
            <w:pPr>
              <w:rPr>
                <w:rFonts w:ascii="Times New Roman" w:hAnsi="Times New Roman" w:eastAsia="宋体" w:cs="Times New Roman"/>
                <w:color w:val="auto"/>
                <w:highlight w:val="none"/>
              </w:rPr>
            </w:pPr>
          </w:p>
        </w:tc>
      </w:tr>
    </w:tbl>
    <w:p>
      <w:pPr>
        <w:spacing w:line="360" w:lineRule="auto"/>
        <w:ind w:firstLine="735" w:firstLineChars="350"/>
        <w:jc w:val="center"/>
        <w:rPr>
          <w:rFonts w:ascii="Times New Roman" w:hAnsi="Times New Roman" w:eastAsia="宋体" w:cs="Times New Roman"/>
          <w:color w:val="auto"/>
          <w:highlight w:val="none"/>
        </w:rPr>
      </w:pPr>
    </w:p>
    <w:p/>
    <w:p>
      <w:pPr>
        <w:rPr>
          <w:rFonts w:ascii="宋体" w:hAnsi="宋体"/>
          <w:highlight w:val="none"/>
        </w:rPr>
      </w:pPr>
      <w:r>
        <w:rPr>
          <w:rFonts w:ascii="宋体" w:hAnsi="宋体"/>
          <w:highlight w:val="none"/>
        </w:rPr>
        <w:br w:type="page"/>
      </w:r>
    </w:p>
    <w:p>
      <w:pPr>
        <w:pStyle w:val="5"/>
        <w:spacing w:before="240" w:after="240"/>
        <w:jc w:val="center"/>
        <w:rPr>
          <w:rFonts w:hint="default" w:hAnsi="宋体" w:eastAsia="宋体"/>
          <w:sz w:val="28"/>
          <w:highlight w:val="none"/>
          <w:lang w:val="en-US" w:eastAsia="zh-CN"/>
        </w:rPr>
      </w:pPr>
      <w:r>
        <w:rPr>
          <w:rFonts w:hint="eastAsia" w:hAnsi="宋体"/>
          <w:sz w:val="28"/>
          <w:highlight w:val="none"/>
        </w:rPr>
        <w:t>（</w:t>
      </w:r>
      <w:r>
        <w:rPr>
          <w:rFonts w:hint="eastAsia" w:hAnsi="宋体"/>
          <w:sz w:val="28"/>
          <w:highlight w:val="none"/>
          <w:lang w:val="en-US" w:eastAsia="zh-CN"/>
        </w:rPr>
        <w:t>五</w:t>
      </w:r>
      <w:r>
        <w:rPr>
          <w:rFonts w:hint="eastAsia" w:hAnsi="宋体"/>
          <w:sz w:val="28"/>
          <w:highlight w:val="none"/>
        </w:rPr>
        <w:t>）</w:t>
      </w:r>
      <w:r>
        <w:rPr>
          <w:rFonts w:hint="eastAsia" w:hAnsi="宋体"/>
          <w:sz w:val="28"/>
          <w:highlight w:val="none"/>
          <w:lang w:val="en-US" w:eastAsia="zh-CN"/>
        </w:rPr>
        <w:t>法人授权委托书</w:t>
      </w:r>
    </w:p>
    <w:p>
      <w:pPr>
        <w:spacing w:line="360" w:lineRule="auto"/>
        <w:rPr>
          <w:rFonts w:ascii="宋体" w:hAnsi="宋体" w:eastAsia="宋体"/>
          <w:color w:val="auto"/>
          <w:highlight w:val="none"/>
        </w:rPr>
      </w:pPr>
    </w:p>
    <w:p>
      <w:pPr>
        <w:snapToGrid w:val="0"/>
        <w:spacing w:line="360" w:lineRule="auto"/>
        <w:ind w:firstLine="403" w:firstLineChars="192"/>
        <w:rPr>
          <w:rFonts w:ascii="宋体" w:hAnsi="宋体" w:eastAsia="宋体"/>
          <w:color w:val="auto"/>
          <w:szCs w:val="21"/>
          <w:highlight w:val="none"/>
        </w:rPr>
      </w:pPr>
      <w:r>
        <w:rPr>
          <w:rFonts w:hint="eastAsia" w:ascii="宋体" w:hAnsi="宋体" w:eastAsia="宋体"/>
          <w:color w:val="auto"/>
          <w:szCs w:val="21"/>
          <w:highlight w:val="none"/>
        </w:rPr>
        <w:t>本授权委托书声明：我</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（姓名）系</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（供应商名称）的法定代表人，现授权委托</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（单位名称）的</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（姓名）为我公司签署本工程已递交的响应文件的法定代表人的授权委托代理人，代理人全权代表我所签署的本工程已递交的响应文件内容我均承认。</w:t>
      </w:r>
    </w:p>
    <w:p>
      <w:pPr>
        <w:snapToGrid w:val="0"/>
        <w:spacing w:line="360" w:lineRule="auto"/>
        <w:ind w:firstLine="403" w:firstLineChars="192"/>
        <w:rPr>
          <w:rFonts w:ascii="宋体" w:hAnsi="宋体" w:eastAsia="宋体"/>
          <w:color w:val="auto"/>
          <w:szCs w:val="21"/>
          <w:highlight w:val="none"/>
        </w:rPr>
      </w:pPr>
    </w:p>
    <w:p>
      <w:pPr>
        <w:snapToGrid w:val="0"/>
        <w:spacing w:line="360" w:lineRule="auto"/>
        <w:ind w:firstLine="403" w:firstLineChars="192"/>
        <w:rPr>
          <w:rFonts w:ascii="宋体" w:hAnsi="宋体" w:eastAsia="宋体"/>
          <w:color w:val="auto"/>
          <w:szCs w:val="21"/>
          <w:highlight w:val="none"/>
        </w:rPr>
      </w:pPr>
    </w:p>
    <w:p>
      <w:pPr>
        <w:snapToGrid w:val="0"/>
        <w:spacing w:line="360" w:lineRule="auto"/>
        <w:ind w:firstLine="403" w:firstLineChars="192"/>
        <w:rPr>
          <w:rFonts w:ascii="宋体" w:hAnsi="宋体" w:eastAsia="宋体"/>
          <w:color w:val="auto"/>
          <w:szCs w:val="21"/>
          <w:highlight w:val="none"/>
        </w:rPr>
      </w:pPr>
      <w:r>
        <w:rPr>
          <w:rFonts w:hint="eastAsia" w:ascii="宋体" w:hAnsi="宋体" w:eastAsia="宋体"/>
          <w:color w:val="auto"/>
          <w:szCs w:val="21"/>
          <w:highlight w:val="none"/>
        </w:rPr>
        <w:t>代理人无转委托权，特此委托。</w:t>
      </w:r>
    </w:p>
    <w:p>
      <w:pPr>
        <w:snapToGrid w:val="0"/>
        <w:spacing w:line="360" w:lineRule="auto"/>
        <w:ind w:firstLine="403" w:firstLineChars="192"/>
        <w:rPr>
          <w:rFonts w:ascii="宋体" w:hAnsi="宋体" w:eastAsia="宋体"/>
          <w:color w:val="auto"/>
          <w:szCs w:val="21"/>
          <w:highlight w:val="none"/>
        </w:rPr>
      </w:pPr>
    </w:p>
    <w:p>
      <w:pPr>
        <w:snapToGrid w:val="0"/>
        <w:spacing w:line="360" w:lineRule="auto"/>
        <w:ind w:firstLine="403" w:firstLineChars="192"/>
        <w:rPr>
          <w:rFonts w:ascii="宋体" w:hAnsi="宋体" w:eastAsia="宋体"/>
          <w:color w:val="auto"/>
          <w:szCs w:val="21"/>
          <w:highlight w:val="none"/>
        </w:rPr>
      </w:pPr>
    </w:p>
    <w:p>
      <w:pPr>
        <w:snapToGrid w:val="0"/>
        <w:spacing w:line="360" w:lineRule="auto"/>
        <w:ind w:firstLine="403" w:firstLineChars="192"/>
        <w:rPr>
          <w:rFonts w:ascii="宋体" w:hAnsi="宋体" w:eastAsia="宋体"/>
          <w:color w:val="auto"/>
          <w:szCs w:val="21"/>
          <w:highlight w:val="none"/>
        </w:rPr>
      </w:pPr>
    </w:p>
    <w:p>
      <w:pPr>
        <w:snapToGrid w:val="0"/>
        <w:spacing w:line="360" w:lineRule="auto"/>
        <w:ind w:firstLine="403" w:firstLineChars="192"/>
        <w:rPr>
          <w:rFonts w:ascii="宋体" w:hAnsi="宋体" w:eastAsia="宋体"/>
          <w:color w:val="auto"/>
          <w:szCs w:val="21"/>
          <w:highlight w:val="none"/>
        </w:rPr>
      </w:pPr>
      <w:r>
        <w:rPr>
          <w:rFonts w:hint="eastAsia" w:ascii="宋体" w:hAnsi="宋体" w:eastAsia="宋体"/>
          <w:color w:val="auto"/>
          <w:szCs w:val="21"/>
          <w:highlight w:val="none"/>
        </w:rPr>
        <w:t xml:space="preserve">代理人：          性别：        年龄：            </w:t>
      </w:r>
    </w:p>
    <w:p>
      <w:pPr>
        <w:snapToGrid w:val="0"/>
        <w:spacing w:line="360" w:lineRule="auto"/>
        <w:ind w:firstLine="403" w:firstLineChars="192"/>
        <w:rPr>
          <w:rFonts w:ascii="宋体" w:hAnsi="宋体" w:eastAsia="宋体"/>
          <w:color w:val="auto"/>
          <w:szCs w:val="21"/>
          <w:highlight w:val="none"/>
        </w:rPr>
      </w:pPr>
      <w:r>
        <w:rPr>
          <w:rFonts w:hint="eastAsia" w:ascii="宋体" w:hAnsi="宋体" w:eastAsia="宋体"/>
          <w:color w:val="auto"/>
          <w:szCs w:val="21"/>
          <w:highlight w:val="none"/>
        </w:rPr>
        <w:t xml:space="preserve">身份证号码：                   职务：             </w:t>
      </w:r>
    </w:p>
    <w:p>
      <w:pPr>
        <w:snapToGrid w:val="0"/>
        <w:spacing w:line="360" w:lineRule="auto"/>
        <w:ind w:firstLine="403" w:firstLineChars="192"/>
        <w:rPr>
          <w:rFonts w:ascii="宋体" w:hAnsi="宋体" w:eastAsia="宋体"/>
          <w:color w:val="auto"/>
          <w:szCs w:val="21"/>
          <w:highlight w:val="none"/>
        </w:rPr>
      </w:pPr>
      <w:r>
        <w:rPr>
          <w:rFonts w:hint="eastAsia" w:ascii="宋体" w:hAnsi="宋体" w:eastAsia="宋体"/>
          <w:color w:val="auto"/>
          <w:szCs w:val="21"/>
          <w:highlight w:val="none"/>
        </w:rPr>
        <w:t>供应商：                                  （盖章）</w:t>
      </w:r>
    </w:p>
    <w:p>
      <w:pPr>
        <w:snapToGrid w:val="0"/>
        <w:spacing w:line="360" w:lineRule="auto"/>
        <w:ind w:firstLine="403" w:firstLineChars="192"/>
        <w:rPr>
          <w:rFonts w:ascii="宋体" w:hAnsi="宋体" w:eastAsia="宋体"/>
          <w:color w:val="auto"/>
          <w:szCs w:val="21"/>
          <w:highlight w:val="none"/>
        </w:rPr>
      </w:pPr>
      <w:r>
        <w:rPr>
          <w:rFonts w:hint="eastAsia" w:ascii="宋体" w:hAnsi="宋体" w:eastAsia="宋体"/>
          <w:color w:val="auto"/>
          <w:szCs w:val="21"/>
          <w:highlight w:val="none"/>
        </w:rPr>
        <w:t>法定代表人：                        （签字或盖章）</w:t>
      </w:r>
    </w:p>
    <w:p>
      <w:pPr>
        <w:snapToGrid w:val="0"/>
        <w:spacing w:line="360" w:lineRule="auto"/>
        <w:ind w:firstLine="403" w:firstLineChars="192"/>
        <w:rPr>
          <w:rFonts w:ascii="宋体" w:hAnsi="宋体"/>
          <w:color w:val="auto"/>
          <w:sz w:val="24"/>
          <w:highlight w:val="none"/>
        </w:rPr>
        <w:sectPr>
          <w:type w:val="nextColumn"/>
          <w:pgSz w:w="11907" w:h="16840"/>
          <w:pgMar w:top="1247" w:right="1531" w:bottom="1134" w:left="1531" w:header="907" w:footer="907" w:gutter="0"/>
          <w:cols w:space="720" w:num="1"/>
          <w:docGrid w:linePitch="312" w:charSpace="0"/>
        </w:sectPr>
      </w:pPr>
      <w:r>
        <w:rPr>
          <w:rFonts w:hint="eastAsia" w:ascii="宋体" w:hAnsi="宋体" w:eastAsia="宋体"/>
          <w:color w:val="auto"/>
          <w:szCs w:val="21"/>
          <w:highlight w:val="none"/>
        </w:rPr>
        <w:t>授权委托日期：      年     月     日</w:t>
      </w:r>
    </w:p>
    <w:bookmarkEnd w:id="142"/>
    <w:bookmarkEnd w:id="143"/>
    <w:bookmarkEnd w:id="144"/>
    <w:bookmarkEnd w:id="145"/>
    <w:p>
      <w:pPr>
        <w:pStyle w:val="4"/>
        <w:rPr>
          <w:rFonts w:ascii="宋体" w:hAnsi="宋体" w:eastAsia="宋体"/>
          <w:highlight w:val="none"/>
        </w:rPr>
      </w:pPr>
      <w:bookmarkStart w:id="148" w:name="_Toc470172718"/>
      <w:bookmarkStart w:id="149" w:name="_Toc477283143"/>
      <w:bookmarkStart w:id="150" w:name="_Toc460258123"/>
      <w:bookmarkStart w:id="151" w:name="_Toc12370"/>
      <w:r>
        <w:rPr>
          <w:rFonts w:hint="eastAsia" w:ascii="宋体" w:hAnsi="宋体" w:eastAsia="宋体"/>
          <w:highlight w:val="none"/>
        </w:rPr>
        <w:t>技术文件</w:t>
      </w:r>
      <w:bookmarkEnd w:id="148"/>
      <w:bookmarkEnd w:id="149"/>
      <w:bookmarkEnd w:id="150"/>
      <w:bookmarkEnd w:id="151"/>
    </w:p>
    <w:p>
      <w:pPr>
        <w:pStyle w:val="4"/>
        <w:snapToGrid w:val="0"/>
        <w:spacing w:before="120" w:after="120" w:line="360" w:lineRule="auto"/>
        <w:rPr>
          <w:rFonts w:cs="Arial"/>
          <w:bCs w:val="0"/>
          <w:highlight w:val="none"/>
        </w:rPr>
      </w:pPr>
      <w:bookmarkStart w:id="152" w:name="_Toc431964667"/>
      <w:bookmarkStart w:id="153" w:name="_Toc492408479"/>
      <w:bookmarkStart w:id="154" w:name="_Toc485936398"/>
      <w:bookmarkStart w:id="155" w:name="_Toc21992"/>
      <w:bookmarkStart w:id="156" w:name="_Toc470172719"/>
      <w:bookmarkStart w:id="157" w:name="_Toc477283144"/>
      <w:r>
        <w:rPr>
          <w:rFonts w:hint="eastAsia" w:cs="Arial"/>
          <w:bCs w:val="0"/>
          <w:highlight w:val="none"/>
        </w:rPr>
        <w:t>（一）</w:t>
      </w:r>
      <w:bookmarkEnd w:id="152"/>
      <w:bookmarkEnd w:id="153"/>
      <w:bookmarkEnd w:id="154"/>
      <w:r>
        <w:rPr>
          <w:rFonts w:hint="eastAsia" w:cs="Arial"/>
          <w:bCs w:val="0"/>
          <w:highlight w:val="none"/>
        </w:rPr>
        <w:t>施工组织设计</w:t>
      </w:r>
      <w:bookmarkEnd w:id="155"/>
    </w:p>
    <w:p>
      <w:pPr>
        <w:autoSpaceDE w:val="0"/>
        <w:autoSpaceDN w:val="0"/>
        <w:adjustRightInd w:val="0"/>
        <w:snapToGrid w:val="0"/>
        <w:spacing w:line="324" w:lineRule="auto"/>
        <w:jc w:val="left"/>
        <w:rPr>
          <w:rFonts w:ascii="宋体" w:cs="宋体" w:eastAsiaTheme="minorEastAsia"/>
          <w:kern w:val="0"/>
          <w:szCs w:val="21"/>
          <w:highlight w:val="none"/>
        </w:rPr>
      </w:pPr>
      <w:r>
        <w:rPr>
          <w:rFonts w:ascii="宋体" w:cs="宋体" w:eastAsiaTheme="minorEastAsia"/>
          <w:kern w:val="0"/>
          <w:szCs w:val="21"/>
          <w:highlight w:val="none"/>
        </w:rPr>
        <w:t>1</w:t>
      </w:r>
      <w:r>
        <w:rPr>
          <w:rFonts w:hint="eastAsia" w:ascii="宋体" w:cs="宋体" w:eastAsiaTheme="minorEastAsia"/>
          <w:kern w:val="0"/>
          <w:szCs w:val="21"/>
          <w:highlight w:val="none"/>
        </w:rPr>
        <w:t>．供应商应根据竞争性磋商文件和对现场的勘察情况，采用文字并结合图表形式，按照中华人民共和国国家标准《建筑施工组织设计规范》（</w:t>
      </w:r>
      <w:r>
        <w:rPr>
          <w:rFonts w:ascii="宋体" w:cs="宋体" w:eastAsiaTheme="minorEastAsia"/>
          <w:kern w:val="0"/>
          <w:szCs w:val="21"/>
          <w:highlight w:val="none"/>
        </w:rPr>
        <w:t>GB/T50502-2009</w:t>
      </w:r>
      <w:r>
        <w:rPr>
          <w:rFonts w:hint="eastAsia" w:ascii="宋体" w:cs="宋体" w:eastAsiaTheme="minorEastAsia"/>
          <w:kern w:val="0"/>
          <w:szCs w:val="21"/>
          <w:highlight w:val="none"/>
        </w:rPr>
        <w:t>）的要求编制本工程的施工组织设计，其要点如下：</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1</w:t>
      </w:r>
      <w:r>
        <w:rPr>
          <w:rFonts w:hint="eastAsia" w:ascii="宋体" w:cs="宋体" w:eastAsiaTheme="minorEastAsia"/>
          <w:kern w:val="0"/>
          <w:szCs w:val="21"/>
          <w:highlight w:val="none"/>
        </w:rPr>
        <w:t>）工程概况</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包括工程主要情况、各专业设计简介、工程施工条件等；</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2</w:t>
      </w:r>
      <w:r>
        <w:rPr>
          <w:rFonts w:hint="eastAsia" w:ascii="宋体" w:cs="宋体" w:eastAsiaTheme="minorEastAsia"/>
          <w:kern w:val="0"/>
          <w:szCs w:val="21"/>
          <w:highlight w:val="none"/>
        </w:rPr>
        <w:t>）施工部署</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包括工程施工目标、主要施工内容及其进度安排、施工流水段划分、施工的重点和难点分析、工程管理的组织机构形式、项目经理部的工作岗位设置及其职责划分、新技术、新工艺部署及其技术和管理要求（如有）、主要分包工程施工单位的选择要求及管理方式（如有）；</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3</w:t>
      </w:r>
      <w:r>
        <w:rPr>
          <w:rFonts w:hint="eastAsia" w:ascii="宋体" w:cs="宋体" w:eastAsiaTheme="minorEastAsia"/>
          <w:kern w:val="0"/>
          <w:szCs w:val="21"/>
          <w:highlight w:val="none"/>
        </w:rPr>
        <w:t>）施工进度计划</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可采用网络图或横道图表示，并附必要说明；</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4</w:t>
      </w:r>
      <w:r>
        <w:rPr>
          <w:rFonts w:hint="eastAsia" w:ascii="宋体" w:cs="宋体" w:eastAsiaTheme="minorEastAsia"/>
          <w:kern w:val="0"/>
          <w:szCs w:val="21"/>
          <w:highlight w:val="none"/>
        </w:rPr>
        <w:t>）施工准备与资源配置计划</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施工准备包括技术准备、现场准备和资金准备；资源配置计划包括劳动力配置计划、主要工程材料和设备配置计划、主要周转材料和施工机具配置计划等；</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5</w:t>
      </w:r>
      <w:r>
        <w:rPr>
          <w:rFonts w:hint="eastAsia" w:ascii="宋体" w:cs="宋体" w:eastAsiaTheme="minorEastAsia"/>
          <w:kern w:val="0"/>
          <w:szCs w:val="21"/>
          <w:highlight w:val="none"/>
        </w:rPr>
        <w:t>）主要施工方案</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对主要分部、分项工程制定施工方案；对脚手架工程、起重吊装工程、临时用水用电工程、季节性施工等专项工程所采用的施工方案进行必要的验算和说明；对易发生质量通病、易出现安全问题、施工难度大、技术含量高的分项工程（工序）等做出重点说明；</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6</w:t>
      </w:r>
      <w:r>
        <w:rPr>
          <w:rFonts w:hint="eastAsia" w:ascii="宋体" w:cs="宋体" w:eastAsiaTheme="minorEastAsia"/>
          <w:kern w:val="0"/>
          <w:szCs w:val="21"/>
          <w:highlight w:val="none"/>
        </w:rPr>
        <w:t>）施工现场平面布置</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按不同施工阶段绘制施工现场平面布置图并附文字说明，说明施工场地状况；拟建建（构）筑物的位置轮廓、尺寸、层数；加工设施、存储设施、办公和生活用房的位置和面积；布置垂直运输设施、供电设施、供水、供热设施、排水排污设施和临时施工道路；必备的安全、消防、保卫和环境保护设施；相邻的地上地下既有建（构）筑物及相关环境等；</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w:t>
      </w:r>
      <w:r>
        <w:rPr>
          <w:rFonts w:ascii="宋体" w:cs="宋体" w:eastAsiaTheme="minorEastAsia"/>
          <w:kern w:val="0"/>
          <w:szCs w:val="21"/>
          <w:highlight w:val="none"/>
        </w:rPr>
        <w:t>7</w:t>
      </w:r>
      <w:r>
        <w:rPr>
          <w:rFonts w:hint="eastAsia" w:ascii="宋体" w:cs="宋体" w:eastAsiaTheme="minorEastAsia"/>
          <w:kern w:val="0"/>
          <w:szCs w:val="21"/>
          <w:highlight w:val="none"/>
        </w:rPr>
        <w:t>）主要施工管理计划</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包括进度管理计划、质量管理计划、安全管理计划、环境管理计划、成本管理计划和其他管理计划，其中其他管理计划宜包括治安保卫管理计划、合同管理计划，组织协调管理计划、创优质工程管理计划、成品保护管理计划、质量保修管理计划、对施工现场人力资源、施工机具、材料设备等管理计划。</w:t>
      </w:r>
    </w:p>
    <w:p>
      <w:pPr>
        <w:autoSpaceDE w:val="0"/>
        <w:autoSpaceDN w:val="0"/>
        <w:adjustRightInd w:val="0"/>
        <w:snapToGrid w:val="0"/>
        <w:spacing w:line="324" w:lineRule="auto"/>
        <w:jc w:val="left"/>
        <w:rPr>
          <w:rFonts w:ascii="宋体" w:cs="宋体" w:eastAsiaTheme="minorEastAsia"/>
          <w:kern w:val="0"/>
          <w:szCs w:val="21"/>
          <w:highlight w:val="none"/>
        </w:rPr>
      </w:pPr>
      <w:r>
        <w:rPr>
          <w:rFonts w:ascii="宋体" w:cs="宋体" w:eastAsiaTheme="minorEastAsia"/>
          <w:kern w:val="0"/>
          <w:szCs w:val="21"/>
          <w:highlight w:val="none"/>
        </w:rPr>
        <w:t>2</w:t>
      </w:r>
      <w:r>
        <w:rPr>
          <w:rFonts w:hint="eastAsia" w:ascii="宋体" w:cs="宋体" w:eastAsiaTheme="minorEastAsia"/>
          <w:kern w:val="0"/>
          <w:szCs w:val="21"/>
          <w:highlight w:val="none"/>
        </w:rPr>
        <w:t>．施工组织设计除采用文字表述外可附下列图表，图表及格式要求附后。下述表格应按照章节内容，严格按给定的格式附在相应的章节中。</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附表一 ：拟投入本工程的主要施工设备表</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附表二：劳动力计划表</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附表三：计划开、竣工日期和施工进度网络图</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附表四：施工总平面图</w:t>
      </w:r>
    </w:p>
    <w:p>
      <w:pPr>
        <w:autoSpaceDE w:val="0"/>
        <w:autoSpaceDN w:val="0"/>
        <w:adjustRightInd w:val="0"/>
        <w:snapToGrid w:val="0"/>
        <w:spacing w:line="324" w:lineRule="auto"/>
        <w:jc w:val="left"/>
        <w:rPr>
          <w:rFonts w:ascii="宋体" w:cs="宋体" w:eastAsiaTheme="minorEastAsia"/>
          <w:kern w:val="0"/>
          <w:szCs w:val="21"/>
          <w:highlight w:val="none"/>
        </w:rPr>
      </w:pPr>
      <w:r>
        <w:rPr>
          <w:rFonts w:hint="eastAsia" w:ascii="宋体" w:cs="宋体" w:eastAsiaTheme="minorEastAsia"/>
          <w:kern w:val="0"/>
          <w:szCs w:val="21"/>
          <w:highlight w:val="none"/>
        </w:rPr>
        <w:t>附表五：临时用地表</w:t>
      </w:r>
    </w:p>
    <w:p>
      <w:pPr>
        <w:autoSpaceDE w:val="0"/>
        <w:autoSpaceDN w:val="0"/>
        <w:adjustRightInd w:val="0"/>
        <w:jc w:val="left"/>
        <w:rPr>
          <w:rFonts w:ascii="宋体" w:cs="宋体"/>
          <w:kern w:val="0"/>
          <w:szCs w:val="21"/>
          <w:highlight w:val="none"/>
        </w:rPr>
      </w:pPr>
    </w:p>
    <w:p>
      <w:pPr>
        <w:autoSpaceDE w:val="0"/>
        <w:autoSpaceDN w:val="0"/>
        <w:adjustRightInd w:val="0"/>
        <w:jc w:val="left"/>
        <w:rPr>
          <w:rFonts w:ascii="宋体" w:cs="宋体"/>
          <w:b/>
          <w:kern w:val="0"/>
          <w:szCs w:val="21"/>
          <w:highlight w:val="none"/>
        </w:rPr>
      </w:pPr>
      <w:r>
        <w:rPr>
          <w:rFonts w:hint="eastAsia" w:ascii="宋体" w:cs="宋体"/>
          <w:b/>
          <w:kern w:val="0"/>
          <w:szCs w:val="21"/>
          <w:highlight w:val="none"/>
        </w:rPr>
        <w:t>附表一：拟投入本工程的主要施工设备表</w:t>
      </w:r>
    </w:p>
    <w:p>
      <w:pPr>
        <w:autoSpaceDE w:val="0"/>
        <w:autoSpaceDN w:val="0"/>
        <w:adjustRightInd w:val="0"/>
        <w:jc w:val="left"/>
        <w:rPr>
          <w:rFonts w:ascii="宋体" w:cs="宋体"/>
          <w:kern w:val="0"/>
          <w:szCs w:val="21"/>
          <w:highlight w:val="none"/>
        </w:rPr>
      </w:pPr>
    </w:p>
    <w:tbl>
      <w:tblPr>
        <w:tblStyle w:val="42"/>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74"/>
        <w:gridCol w:w="738"/>
        <w:gridCol w:w="767"/>
        <w:gridCol w:w="704"/>
        <w:gridCol w:w="808"/>
        <w:gridCol w:w="968"/>
        <w:gridCol w:w="704"/>
        <w:gridCol w:w="874"/>
        <w:gridCol w:w="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704" w:type="dxa"/>
            <w:vAlign w:val="center"/>
          </w:tcPr>
          <w:p>
            <w:pPr>
              <w:jc w:val="center"/>
              <w:rPr>
                <w:highlight w:val="none"/>
              </w:rPr>
            </w:pPr>
            <w:r>
              <w:rPr>
                <w:rFonts w:hint="eastAsia"/>
                <w:highlight w:val="none"/>
              </w:rPr>
              <w:t>序号</w:t>
            </w:r>
          </w:p>
        </w:tc>
        <w:tc>
          <w:tcPr>
            <w:tcW w:w="1574" w:type="dxa"/>
            <w:vAlign w:val="center"/>
          </w:tcPr>
          <w:p>
            <w:pPr>
              <w:jc w:val="center"/>
              <w:rPr>
                <w:highlight w:val="none"/>
              </w:rPr>
            </w:pPr>
            <w:r>
              <w:rPr>
                <w:rFonts w:hint="eastAsia"/>
                <w:highlight w:val="none"/>
              </w:rPr>
              <w:t>机械或</w:t>
            </w:r>
          </w:p>
          <w:p>
            <w:pPr>
              <w:jc w:val="center"/>
              <w:rPr>
                <w:highlight w:val="none"/>
              </w:rPr>
            </w:pPr>
            <w:r>
              <w:rPr>
                <w:rFonts w:hint="eastAsia"/>
                <w:highlight w:val="none"/>
              </w:rPr>
              <w:t>设备名称</w:t>
            </w:r>
          </w:p>
        </w:tc>
        <w:tc>
          <w:tcPr>
            <w:tcW w:w="738" w:type="dxa"/>
            <w:vAlign w:val="center"/>
          </w:tcPr>
          <w:p>
            <w:pPr>
              <w:jc w:val="center"/>
              <w:rPr>
                <w:highlight w:val="none"/>
              </w:rPr>
            </w:pPr>
            <w:r>
              <w:rPr>
                <w:rFonts w:hint="eastAsia"/>
                <w:highlight w:val="none"/>
              </w:rPr>
              <w:t>型号</w:t>
            </w:r>
          </w:p>
          <w:p>
            <w:pPr>
              <w:jc w:val="center"/>
              <w:rPr>
                <w:highlight w:val="none"/>
              </w:rPr>
            </w:pPr>
            <w:r>
              <w:rPr>
                <w:rFonts w:hint="eastAsia"/>
                <w:highlight w:val="none"/>
              </w:rPr>
              <w:t>规格</w:t>
            </w:r>
          </w:p>
        </w:tc>
        <w:tc>
          <w:tcPr>
            <w:tcW w:w="767" w:type="dxa"/>
            <w:vAlign w:val="center"/>
          </w:tcPr>
          <w:p>
            <w:pPr>
              <w:jc w:val="center"/>
              <w:rPr>
                <w:highlight w:val="none"/>
              </w:rPr>
            </w:pPr>
            <w:r>
              <w:rPr>
                <w:rFonts w:hint="eastAsia"/>
                <w:highlight w:val="none"/>
              </w:rPr>
              <w:t>数量</w:t>
            </w:r>
          </w:p>
        </w:tc>
        <w:tc>
          <w:tcPr>
            <w:tcW w:w="704" w:type="dxa"/>
            <w:vAlign w:val="center"/>
          </w:tcPr>
          <w:p>
            <w:pPr>
              <w:jc w:val="center"/>
              <w:rPr>
                <w:highlight w:val="none"/>
              </w:rPr>
            </w:pPr>
            <w:r>
              <w:rPr>
                <w:rFonts w:hint="eastAsia"/>
                <w:highlight w:val="none"/>
              </w:rPr>
              <w:t>国别</w:t>
            </w:r>
          </w:p>
          <w:p>
            <w:pPr>
              <w:jc w:val="center"/>
              <w:rPr>
                <w:highlight w:val="none"/>
              </w:rPr>
            </w:pPr>
            <w:r>
              <w:rPr>
                <w:rFonts w:hint="eastAsia"/>
                <w:highlight w:val="none"/>
              </w:rPr>
              <w:t>产地</w:t>
            </w:r>
          </w:p>
        </w:tc>
        <w:tc>
          <w:tcPr>
            <w:tcW w:w="808" w:type="dxa"/>
            <w:vAlign w:val="center"/>
          </w:tcPr>
          <w:p>
            <w:pPr>
              <w:jc w:val="center"/>
              <w:rPr>
                <w:highlight w:val="none"/>
              </w:rPr>
            </w:pPr>
            <w:r>
              <w:rPr>
                <w:rFonts w:hint="eastAsia"/>
                <w:highlight w:val="none"/>
              </w:rPr>
              <w:t>制造年份</w:t>
            </w:r>
          </w:p>
        </w:tc>
        <w:tc>
          <w:tcPr>
            <w:tcW w:w="968" w:type="dxa"/>
            <w:vAlign w:val="center"/>
          </w:tcPr>
          <w:p>
            <w:pPr>
              <w:jc w:val="center"/>
              <w:rPr>
                <w:highlight w:val="none"/>
              </w:rPr>
            </w:pPr>
            <w:r>
              <w:rPr>
                <w:rFonts w:hint="eastAsia"/>
                <w:highlight w:val="none"/>
              </w:rPr>
              <w:t>额定功率（</w:t>
            </w:r>
            <w:r>
              <w:rPr>
                <w:highlight w:val="none"/>
              </w:rPr>
              <w:t>Kw）</w:t>
            </w:r>
          </w:p>
        </w:tc>
        <w:tc>
          <w:tcPr>
            <w:tcW w:w="704" w:type="dxa"/>
            <w:vAlign w:val="center"/>
          </w:tcPr>
          <w:p>
            <w:pPr>
              <w:jc w:val="center"/>
              <w:rPr>
                <w:highlight w:val="none"/>
              </w:rPr>
            </w:pPr>
            <w:r>
              <w:rPr>
                <w:rFonts w:hint="eastAsia"/>
                <w:highlight w:val="none"/>
              </w:rPr>
              <w:t>生产能力</w:t>
            </w:r>
          </w:p>
        </w:tc>
        <w:tc>
          <w:tcPr>
            <w:tcW w:w="874" w:type="dxa"/>
            <w:vAlign w:val="center"/>
          </w:tcPr>
          <w:p>
            <w:pPr>
              <w:jc w:val="center"/>
              <w:rPr>
                <w:highlight w:val="none"/>
              </w:rPr>
            </w:pPr>
            <w:r>
              <w:rPr>
                <w:rFonts w:hint="eastAsia"/>
                <w:highlight w:val="none"/>
              </w:rPr>
              <w:t>用于施工部位</w:t>
            </w:r>
          </w:p>
        </w:tc>
        <w:tc>
          <w:tcPr>
            <w:tcW w:w="874" w:type="dxa"/>
            <w:vAlign w:val="center"/>
          </w:tcPr>
          <w:p>
            <w:pPr>
              <w:jc w:val="center"/>
              <w:rPr>
                <w:highlight w:val="none"/>
              </w:rPr>
            </w:pPr>
            <w:r>
              <w:rPr>
                <w:rFonts w:hint="eastAsia"/>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04" w:type="dxa"/>
            <w:vAlign w:val="center"/>
          </w:tcPr>
          <w:p>
            <w:pPr>
              <w:jc w:val="center"/>
              <w:rPr>
                <w:highlight w:val="none"/>
              </w:rPr>
            </w:pPr>
          </w:p>
        </w:tc>
        <w:tc>
          <w:tcPr>
            <w:tcW w:w="1574" w:type="dxa"/>
            <w:vAlign w:val="center"/>
          </w:tcPr>
          <w:p>
            <w:pPr>
              <w:jc w:val="center"/>
              <w:rPr>
                <w:highlight w:val="none"/>
              </w:rPr>
            </w:pPr>
          </w:p>
        </w:tc>
        <w:tc>
          <w:tcPr>
            <w:tcW w:w="738" w:type="dxa"/>
            <w:vAlign w:val="center"/>
          </w:tcPr>
          <w:p>
            <w:pPr>
              <w:jc w:val="center"/>
              <w:rPr>
                <w:highlight w:val="none"/>
              </w:rPr>
            </w:pPr>
          </w:p>
        </w:tc>
        <w:tc>
          <w:tcPr>
            <w:tcW w:w="767" w:type="dxa"/>
            <w:vAlign w:val="center"/>
          </w:tcPr>
          <w:p>
            <w:pPr>
              <w:jc w:val="center"/>
              <w:rPr>
                <w:highlight w:val="none"/>
              </w:rPr>
            </w:pPr>
          </w:p>
        </w:tc>
        <w:tc>
          <w:tcPr>
            <w:tcW w:w="704" w:type="dxa"/>
            <w:vAlign w:val="center"/>
          </w:tcPr>
          <w:p>
            <w:pPr>
              <w:jc w:val="center"/>
              <w:rPr>
                <w:highlight w:val="none"/>
              </w:rPr>
            </w:pPr>
          </w:p>
        </w:tc>
        <w:tc>
          <w:tcPr>
            <w:tcW w:w="808" w:type="dxa"/>
            <w:vAlign w:val="center"/>
          </w:tcPr>
          <w:p>
            <w:pPr>
              <w:jc w:val="center"/>
              <w:rPr>
                <w:highlight w:val="none"/>
              </w:rPr>
            </w:pPr>
          </w:p>
        </w:tc>
        <w:tc>
          <w:tcPr>
            <w:tcW w:w="968" w:type="dxa"/>
            <w:vAlign w:val="center"/>
          </w:tcPr>
          <w:p>
            <w:pPr>
              <w:jc w:val="center"/>
              <w:rPr>
                <w:highlight w:val="none"/>
              </w:rPr>
            </w:pPr>
          </w:p>
        </w:tc>
        <w:tc>
          <w:tcPr>
            <w:tcW w:w="704" w:type="dxa"/>
            <w:vAlign w:val="center"/>
          </w:tcPr>
          <w:p>
            <w:pPr>
              <w:jc w:val="center"/>
              <w:rPr>
                <w:highlight w:val="none"/>
              </w:rPr>
            </w:pPr>
          </w:p>
        </w:tc>
        <w:tc>
          <w:tcPr>
            <w:tcW w:w="874" w:type="dxa"/>
            <w:vAlign w:val="center"/>
          </w:tcPr>
          <w:p>
            <w:pPr>
              <w:jc w:val="center"/>
              <w:rPr>
                <w:highlight w:val="none"/>
              </w:rPr>
            </w:pPr>
          </w:p>
        </w:tc>
        <w:tc>
          <w:tcPr>
            <w:tcW w:w="874" w:type="dxa"/>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04" w:type="dxa"/>
            <w:vAlign w:val="center"/>
          </w:tcPr>
          <w:p>
            <w:pPr>
              <w:jc w:val="center"/>
              <w:rPr>
                <w:highlight w:val="none"/>
              </w:rPr>
            </w:pPr>
          </w:p>
        </w:tc>
        <w:tc>
          <w:tcPr>
            <w:tcW w:w="1574" w:type="dxa"/>
            <w:vAlign w:val="center"/>
          </w:tcPr>
          <w:p>
            <w:pPr>
              <w:jc w:val="center"/>
              <w:rPr>
                <w:highlight w:val="none"/>
              </w:rPr>
            </w:pPr>
          </w:p>
        </w:tc>
        <w:tc>
          <w:tcPr>
            <w:tcW w:w="738" w:type="dxa"/>
            <w:vAlign w:val="center"/>
          </w:tcPr>
          <w:p>
            <w:pPr>
              <w:jc w:val="center"/>
              <w:rPr>
                <w:highlight w:val="none"/>
              </w:rPr>
            </w:pPr>
          </w:p>
        </w:tc>
        <w:tc>
          <w:tcPr>
            <w:tcW w:w="767" w:type="dxa"/>
            <w:vAlign w:val="center"/>
          </w:tcPr>
          <w:p>
            <w:pPr>
              <w:jc w:val="center"/>
              <w:rPr>
                <w:highlight w:val="none"/>
              </w:rPr>
            </w:pPr>
          </w:p>
        </w:tc>
        <w:tc>
          <w:tcPr>
            <w:tcW w:w="704" w:type="dxa"/>
            <w:vAlign w:val="center"/>
          </w:tcPr>
          <w:p>
            <w:pPr>
              <w:jc w:val="center"/>
              <w:rPr>
                <w:highlight w:val="none"/>
              </w:rPr>
            </w:pPr>
          </w:p>
        </w:tc>
        <w:tc>
          <w:tcPr>
            <w:tcW w:w="808" w:type="dxa"/>
            <w:vAlign w:val="center"/>
          </w:tcPr>
          <w:p>
            <w:pPr>
              <w:jc w:val="center"/>
              <w:rPr>
                <w:highlight w:val="none"/>
              </w:rPr>
            </w:pPr>
          </w:p>
        </w:tc>
        <w:tc>
          <w:tcPr>
            <w:tcW w:w="968" w:type="dxa"/>
            <w:vAlign w:val="center"/>
          </w:tcPr>
          <w:p>
            <w:pPr>
              <w:jc w:val="center"/>
              <w:rPr>
                <w:highlight w:val="none"/>
              </w:rPr>
            </w:pPr>
          </w:p>
        </w:tc>
        <w:tc>
          <w:tcPr>
            <w:tcW w:w="704" w:type="dxa"/>
            <w:vAlign w:val="center"/>
          </w:tcPr>
          <w:p>
            <w:pPr>
              <w:jc w:val="center"/>
              <w:rPr>
                <w:highlight w:val="none"/>
              </w:rPr>
            </w:pPr>
          </w:p>
        </w:tc>
        <w:tc>
          <w:tcPr>
            <w:tcW w:w="874" w:type="dxa"/>
            <w:vAlign w:val="center"/>
          </w:tcPr>
          <w:p>
            <w:pPr>
              <w:jc w:val="center"/>
              <w:rPr>
                <w:highlight w:val="none"/>
              </w:rPr>
            </w:pPr>
          </w:p>
        </w:tc>
        <w:tc>
          <w:tcPr>
            <w:tcW w:w="874" w:type="dxa"/>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04" w:type="dxa"/>
            <w:vAlign w:val="center"/>
          </w:tcPr>
          <w:p>
            <w:pPr>
              <w:jc w:val="center"/>
              <w:rPr>
                <w:highlight w:val="none"/>
              </w:rPr>
            </w:pPr>
          </w:p>
        </w:tc>
        <w:tc>
          <w:tcPr>
            <w:tcW w:w="1574" w:type="dxa"/>
            <w:vAlign w:val="center"/>
          </w:tcPr>
          <w:p>
            <w:pPr>
              <w:jc w:val="center"/>
              <w:rPr>
                <w:highlight w:val="none"/>
              </w:rPr>
            </w:pPr>
          </w:p>
        </w:tc>
        <w:tc>
          <w:tcPr>
            <w:tcW w:w="738" w:type="dxa"/>
            <w:vAlign w:val="center"/>
          </w:tcPr>
          <w:p>
            <w:pPr>
              <w:jc w:val="center"/>
              <w:rPr>
                <w:highlight w:val="none"/>
              </w:rPr>
            </w:pPr>
          </w:p>
        </w:tc>
        <w:tc>
          <w:tcPr>
            <w:tcW w:w="767" w:type="dxa"/>
            <w:vAlign w:val="center"/>
          </w:tcPr>
          <w:p>
            <w:pPr>
              <w:jc w:val="center"/>
              <w:rPr>
                <w:highlight w:val="none"/>
              </w:rPr>
            </w:pPr>
          </w:p>
        </w:tc>
        <w:tc>
          <w:tcPr>
            <w:tcW w:w="704" w:type="dxa"/>
            <w:vAlign w:val="center"/>
          </w:tcPr>
          <w:p>
            <w:pPr>
              <w:jc w:val="center"/>
              <w:rPr>
                <w:highlight w:val="none"/>
              </w:rPr>
            </w:pPr>
          </w:p>
        </w:tc>
        <w:tc>
          <w:tcPr>
            <w:tcW w:w="808" w:type="dxa"/>
            <w:vAlign w:val="center"/>
          </w:tcPr>
          <w:p>
            <w:pPr>
              <w:jc w:val="center"/>
              <w:rPr>
                <w:highlight w:val="none"/>
              </w:rPr>
            </w:pPr>
          </w:p>
        </w:tc>
        <w:tc>
          <w:tcPr>
            <w:tcW w:w="968" w:type="dxa"/>
            <w:vAlign w:val="center"/>
          </w:tcPr>
          <w:p>
            <w:pPr>
              <w:jc w:val="center"/>
              <w:rPr>
                <w:highlight w:val="none"/>
              </w:rPr>
            </w:pPr>
          </w:p>
        </w:tc>
        <w:tc>
          <w:tcPr>
            <w:tcW w:w="704" w:type="dxa"/>
            <w:vAlign w:val="center"/>
          </w:tcPr>
          <w:p>
            <w:pPr>
              <w:jc w:val="center"/>
              <w:rPr>
                <w:highlight w:val="none"/>
              </w:rPr>
            </w:pPr>
          </w:p>
        </w:tc>
        <w:tc>
          <w:tcPr>
            <w:tcW w:w="874" w:type="dxa"/>
            <w:vAlign w:val="center"/>
          </w:tcPr>
          <w:p>
            <w:pPr>
              <w:jc w:val="center"/>
              <w:rPr>
                <w:highlight w:val="none"/>
              </w:rPr>
            </w:pPr>
          </w:p>
        </w:tc>
        <w:tc>
          <w:tcPr>
            <w:tcW w:w="874" w:type="dxa"/>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jc w:val="center"/>
        </w:trPr>
        <w:tc>
          <w:tcPr>
            <w:tcW w:w="704" w:type="dxa"/>
            <w:vAlign w:val="center"/>
          </w:tcPr>
          <w:p>
            <w:pPr>
              <w:jc w:val="center"/>
              <w:rPr>
                <w:highlight w:val="none"/>
              </w:rPr>
            </w:pPr>
          </w:p>
        </w:tc>
        <w:tc>
          <w:tcPr>
            <w:tcW w:w="1574" w:type="dxa"/>
            <w:vAlign w:val="center"/>
          </w:tcPr>
          <w:p>
            <w:pPr>
              <w:jc w:val="center"/>
              <w:rPr>
                <w:highlight w:val="none"/>
              </w:rPr>
            </w:pPr>
          </w:p>
        </w:tc>
        <w:tc>
          <w:tcPr>
            <w:tcW w:w="738" w:type="dxa"/>
            <w:vAlign w:val="center"/>
          </w:tcPr>
          <w:p>
            <w:pPr>
              <w:jc w:val="center"/>
              <w:rPr>
                <w:highlight w:val="none"/>
              </w:rPr>
            </w:pPr>
          </w:p>
        </w:tc>
        <w:tc>
          <w:tcPr>
            <w:tcW w:w="767" w:type="dxa"/>
            <w:vAlign w:val="center"/>
          </w:tcPr>
          <w:p>
            <w:pPr>
              <w:jc w:val="center"/>
              <w:rPr>
                <w:highlight w:val="none"/>
              </w:rPr>
            </w:pPr>
          </w:p>
        </w:tc>
        <w:tc>
          <w:tcPr>
            <w:tcW w:w="704" w:type="dxa"/>
            <w:vAlign w:val="center"/>
          </w:tcPr>
          <w:p>
            <w:pPr>
              <w:jc w:val="center"/>
              <w:rPr>
                <w:highlight w:val="none"/>
              </w:rPr>
            </w:pPr>
          </w:p>
        </w:tc>
        <w:tc>
          <w:tcPr>
            <w:tcW w:w="808" w:type="dxa"/>
            <w:vAlign w:val="center"/>
          </w:tcPr>
          <w:p>
            <w:pPr>
              <w:jc w:val="center"/>
              <w:rPr>
                <w:highlight w:val="none"/>
              </w:rPr>
            </w:pPr>
          </w:p>
        </w:tc>
        <w:tc>
          <w:tcPr>
            <w:tcW w:w="968" w:type="dxa"/>
            <w:vAlign w:val="center"/>
          </w:tcPr>
          <w:p>
            <w:pPr>
              <w:jc w:val="center"/>
              <w:rPr>
                <w:highlight w:val="none"/>
              </w:rPr>
            </w:pPr>
          </w:p>
        </w:tc>
        <w:tc>
          <w:tcPr>
            <w:tcW w:w="704" w:type="dxa"/>
            <w:vAlign w:val="center"/>
          </w:tcPr>
          <w:p>
            <w:pPr>
              <w:jc w:val="center"/>
              <w:rPr>
                <w:highlight w:val="none"/>
              </w:rPr>
            </w:pPr>
          </w:p>
        </w:tc>
        <w:tc>
          <w:tcPr>
            <w:tcW w:w="874" w:type="dxa"/>
            <w:vAlign w:val="center"/>
          </w:tcPr>
          <w:p>
            <w:pPr>
              <w:jc w:val="center"/>
              <w:rPr>
                <w:highlight w:val="none"/>
              </w:rPr>
            </w:pPr>
          </w:p>
        </w:tc>
        <w:tc>
          <w:tcPr>
            <w:tcW w:w="874" w:type="dxa"/>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04" w:type="dxa"/>
            <w:vAlign w:val="center"/>
          </w:tcPr>
          <w:p>
            <w:pPr>
              <w:jc w:val="center"/>
              <w:rPr>
                <w:highlight w:val="none"/>
              </w:rPr>
            </w:pPr>
          </w:p>
        </w:tc>
        <w:tc>
          <w:tcPr>
            <w:tcW w:w="1574" w:type="dxa"/>
            <w:vAlign w:val="center"/>
          </w:tcPr>
          <w:p>
            <w:pPr>
              <w:jc w:val="center"/>
              <w:rPr>
                <w:highlight w:val="none"/>
              </w:rPr>
            </w:pPr>
          </w:p>
        </w:tc>
        <w:tc>
          <w:tcPr>
            <w:tcW w:w="738" w:type="dxa"/>
            <w:vAlign w:val="center"/>
          </w:tcPr>
          <w:p>
            <w:pPr>
              <w:jc w:val="center"/>
              <w:rPr>
                <w:highlight w:val="none"/>
              </w:rPr>
            </w:pPr>
          </w:p>
        </w:tc>
        <w:tc>
          <w:tcPr>
            <w:tcW w:w="767" w:type="dxa"/>
            <w:vAlign w:val="center"/>
          </w:tcPr>
          <w:p>
            <w:pPr>
              <w:jc w:val="center"/>
              <w:rPr>
                <w:highlight w:val="none"/>
              </w:rPr>
            </w:pPr>
          </w:p>
        </w:tc>
        <w:tc>
          <w:tcPr>
            <w:tcW w:w="704" w:type="dxa"/>
            <w:vAlign w:val="center"/>
          </w:tcPr>
          <w:p>
            <w:pPr>
              <w:jc w:val="center"/>
              <w:rPr>
                <w:highlight w:val="none"/>
              </w:rPr>
            </w:pPr>
          </w:p>
        </w:tc>
        <w:tc>
          <w:tcPr>
            <w:tcW w:w="808" w:type="dxa"/>
            <w:vAlign w:val="center"/>
          </w:tcPr>
          <w:p>
            <w:pPr>
              <w:jc w:val="center"/>
              <w:rPr>
                <w:highlight w:val="none"/>
              </w:rPr>
            </w:pPr>
          </w:p>
        </w:tc>
        <w:tc>
          <w:tcPr>
            <w:tcW w:w="968" w:type="dxa"/>
            <w:vAlign w:val="center"/>
          </w:tcPr>
          <w:p>
            <w:pPr>
              <w:jc w:val="center"/>
              <w:rPr>
                <w:highlight w:val="none"/>
              </w:rPr>
            </w:pPr>
          </w:p>
        </w:tc>
        <w:tc>
          <w:tcPr>
            <w:tcW w:w="704" w:type="dxa"/>
            <w:vAlign w:val="center"/>
          </w:tcPr>
          <w:p>
            <w:pPr>
              <w:jc w:val="center"/>
              <w:rPr>
                <w:highlight w:val="none"/>
              </w:rPr>
            </w:pPr>
          </w:p>
        </w:tc>
        <w:tc>
          <w:tcPr>
            <w:tcW w:w="874" w:type="dxa"/>
            <w:vAlign w:val="center"/>
          </w:tcPr>
          <w:p>
            <w:pPr>
              <w:jc w:val="center"/>
              <w:rPr>
                <w:highlight w:val="none"/>
              </w:rPr>
            </w:pPr>
          </w:p>
        </w:tc>
        <w:tc>
          <w:tcPr>
            <w:tcW w:w="874" w:type="dxa"/>
            <w:vAlign w:val="center"/>
          </w:tcPr>
          <w:p>
            <w:pPr>
              <w:jc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04" w:type="dxa"/>
            <w:vAlign w:val="center"/>
          </w:tcPr>
          <w:p>
            <w:pPr>
              <w:jc w:val="center"/>
              <w:rPr>
                <w:highlight w:val="none"/>
              </w:rPr>
            </w:pPr>
          </w:p>
        </w:tc>
        <w:tc>
          <w:tcPr>
            <w:tcW w:w="1574" w:type="dxa"/>
            <w:vAlign w:val="center"/>
          </w:tcPr>
          <w:p>
            <w:pPr>
              <w:jc w:val="center"/>
              <w:rPr>
                <w:highlight w:val="none"/>
              </w:rPr>
            </w:pPr>
          </w:p>
        </w:tc>
        <w:tc>
          <w:tcPr>
            <w:tcW w:w="738" w:type="dxa"/>
            <w:vAlign w:val="center"/>
          </w:tcPr>
          <w:p>
            <w:pPr>
              <w:jc w:val="center"/>
              <w:rPr>
                <w:highlight w:val="none"/>
              </w:rPr>
            </w:pPr>
          </w:p>
        </w:tc>
        <w:tc>
          <w:tcPr>
            <w:tcW w:w="767" w:type="dxa"/>
            <w:vAlign w:val="center"/>
          </w:tcPr>
          <w:p>
            <w:pPr>
              <w:jc w:val="center"/>
              <w:rPr>
                <w:highlight w:val="none"/>
              </w:rPr>
            </w:pPr>
          </w:p>
        </w:tc>
        <w:tc>
          <w:tcPr>
            <w:tcW w:w="704" w:type="dxa"/>
            <w:vAlign w:val="center"/>
          </w:tcPr>
          <w:p>
            <w:pPr>
              <w:jc w:val="center"/>
              <w:rPr>
                <w:highlight w:val="none"/>
              </w:rPr>
            </w:pPr>
          </w:p>
        </w:tc>
        <w:tc>
          <w:tcPr>
            <w:tcW w:w="808" w:type="dxa"/>
            <w:vAlign w:val="center"/>
          </w:tcPr>
          <w:p>
            <w:pPr>
              <w:jc w:val="center"/>
              <w:rPr>
                <w:highlight w:val="none"/>
              </w:rPr>
            </w:pPr>
          </w:p>
        </w:tc>
        <w:tc>
          <w:tcPr>
            <w:tcW w:w="968" w:type="dxa"/>
            <w:vAlign w:val="center"/>
          </w:tcPr>
          <w:p>
            <w:pPr>
              <w:jc w:val="center"/>
              <w:rPr>
                <w:highlight w:val="none"/>
              </w:rPr>
            </w:pPr>
          </w:p>
        </w:tc>
        <w:tc>
          <w:tcPr>
            <w:tcW w:w="704" w:type="dxa"/>
            <w:vAlign w:val="center"/>
          </w:tcPr>
          <w:p>
            <w:pPr>
              <w:jc w:val="center"/>
              <w:rPr>
                <w:highlight w:val="none"/>
              </w:rPr>
            </w:pPr>
          </w:p>
        </w:tc>
        <w:tc>
          <w:tcPr>
            <w:tcW w:w="874" w:type="dxa"/>
            <w:vAlign w:val="center"/>
          </w:tcPr>
          <w:p>
            <w:pPr>
              <w:jc w:val="center"/>
              <w:rPr>
                <w:highlight w:val="none"/>
              </w:rPr>
            </w:pPr>
          </w:p>
        </w:tc>
        <w:tc>
          <w:tcPr>
            <w:tcW w:w="874" w:type="dxa"/>
            <w:vAlign w:val="center"/>
          </w:tcPr>
          <w:p>
            <w:pPr>
              <w:jc w:val="center"/>
              <w:rPr>
                <w:highlight w:val="none"/>
              </w:rPr>
            </w:pPr>
          </w:p>
        </w:tc>
      </w:tr>
    </w:tbl>
    <w:p>
      <w:pPr>
        <w:spacing w:line="360" w:lineRule="auto"/>
        <w:ind w:firstLine="630" w:firstLineChars="300"/>
        <w:rPr>
          <w:highlight w:val="none"/>
        </w:rPr>
      </w:pPr>
    </w:p>
    <w:p>
      <w:pPr>
        <w:spacing w:line="360" w:lineRule="auto"/>
        <w:ind w:firstLine="420" w:firstLineChars="200"/>
        <w:rPr>
          <w:highlight w:val="none"/>
        </w:rPr>
      </w:pPr>
    </w:p>
    <w:p>
      <w:pPr>
        <w:autoSpaceDE w:val="0"/>
        <w:autoSpaceDN w:val="0"/>
        <w:adjustRightInd w:val="0"/>
        <w:jc w:val="left"/>
        <w:rPr>
          <w:rFonts w:ascii="宋体" w:cs="宋体"/>
          <w:b/>
          <w:kern w:val="0"/>
          <w:szCs w:val="21"/>
          <w:highlight w:val="none"/>
        </w:rPr>
      </w:pPr>
      <w:r>
        <w:rPr>
          <w:rFonts w:hint="eastAsia" w:ascii="宋体" w:cs="宋体"/>
          <w:b/>
          <w:kern w:val="0"/>
          <w:szCs w:val="21"/>
          <w:highlight w:val="none"/>
        </w:rPr>
        <w:t>附表二：劳动力计划表</w:t>
      </w:r>
    </w:p>
    <w:p>
      <w:pPr>
        <w:spacing w:line="360" w:lineRule="auto"/>
        <w:ind w:firstLine="6615" w:firstLineChars="3150"/>
        <w:rPr>
          <w:highlight w:val="none"/>
        </w:rPr>
      </w:pPr>
      <w:r>
        <w:rPr>
          <w:rFonts w:hint="eastAsia"/>
          <w:highlight w:val="none"/>
        </w:rPr>
        <w:t>工程单位：人</w:t>
      </w:r>
    </w:p>
    <w:tbl>
      <w:tblPr>
        <w:tblStyle w:val="42"/>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gridCol w:w="1093"/>
        <w:gridCol w:w="1101"/>
        <w:gridCol w:w="1101"/>
        <w:gridCol w:w="1101"/>
        <w:gridCol w:w="1101"/>
        <w:gridCol w:w="1101"/>
        <w:gridCol w:w="1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16" w:type="dxa"/>
            <w:vMerge w:val="restart"/>
            <w:vAlign w:val="center"/>
          </w:tcPr>
          <w:p>
            <w:pPr>
              <w:jc w:val="center"/>
              <w:rPr>
                <w:highlight w:val="none"/>
              </w:rPr>
            </w:pPr>
            <w:r>
              <w:rPr>
                <w:rFonts w:hint="eastAsia"/>
                <w:highlight w:val="none"/>
              </w:rPr>
              <w:t>工种</w:t>
            </w:r>
          </w:p>
        </w:tc>
        <w:tc>
          <w:tcPr>
            <w:tcW w:w="7699" w:type="dxa"/>
            <w:gridSpan w:val="7"/>
            <w:vAlign w:val="center"/>
          </w:tcPr>
          <w:p>
            <w:pPr>
              <w:jc w:val="center"/>
              <w:rPr>
                <w:highlight w:val="none"/>
              </w:rPr>
            </w:pPr>
            <w:r>
              <w:rPr>
                <w:rFonts w:hint="eastAsia"/>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016" w:type="dxa"/>
            <w:vMerge w:val="continue"/>
            <w:vAlign w:val="center"/>
          </w:tcPr>
          <w:p>
            <w:pPr>
              <w:rPr>
                <w:highlight w:val="none"/>
              </w:rPr>
            </w:pPr>
          </w:p>
        </w:tc>
        <w:tc>
          <w:tcPr>
            <w:tcW w:w="1093" w:type="dxa"/>
            <w:vAlign w:val="center"/>
          </w:tcPr>
          <w:p>
            <w:pPr>
              <w:rPr>
                <w:highlight w:val="none"/>
              </w:rPr>
            </w:pPr>
          </w:p>
        </w:tc>
        <w:tc>
          <w:tcPr>
            <w:tcW w:w="1101" w:type="dxa"/>
            <w:vAlign w:val="center"/>
          </w:tcPr>
          <w:p>
            <w:pPr>
              <w:rPr>
                <w:highlight w:val="none"/>
              </w:rPr>
            </w:pPr>
          </w:p>
        </w:tc>
        <w:tc>
          <w:tcPr>
            <w:tcW w:w="1101" w:type="dxa"/>
            <w:vAlign w:val="center"/>
          </w:tcPr>
          <w:p>
            <w:pPr>
              <w:rPr>
                <w:highlight w:val="none"/>
              </w:rPr>
            </w:pPr>
          </w:p>
        </w:tc>
        <w:tc>
          <w:tcPr>
            <w:tcW w:w="1101" w:type="dxa"/>
            <w:vAlign w:val="center"/>
          </w:tcPr>
          <w:p>
            <w:pPr>
              <w:rPr>
                <w:highlight w:val="none"/>
              </w:rPr>
            </w:pPr>
          </w:p>
        </w:tc>
        <w:tc>
          <w:tcPr>
            <w:tcW w:w="1101" w:type="dxa"/>
            <w:vAlign w:val="center"/>
          </w:tcPr>
          <w:p>
            <w:pPr>
              <w:rPr>
                <w:highlight w:val="none"/>
              </w:rPr>
            </w:pPr>
          </w:p>
        </w:tc>
        <w:tc>
          <w:tcPr>
            <w:tcW w:w="1101" w:type="dxa"/>
            <w:vAlign w:val="center"/>
          </w:tcPr>
          <w:p>
            <w:pPr>
              <w:rPr>
                <w:highlight w:val="none"/>
              </w:rPr>
            </w:pPr>
          </w:p>
        </w:tc>
        <w:tc>
          <w:tcPr>
            <w:tcW w:w="1101"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6" w:type="dxa"/>
          </w:tcPr>
          <w:p>
            <w:pPr>
              <w:rPr>
                <w:highlight w:val="none"/>
              </w:rPr>
            </w:pPr>
          </w:p>
        </w:tc>
        <w:tc>
          <w:tcPr>
            <w:tcW w:w="1093"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16" w:type="dxa"/>
          </w:tcPr>
          <w:p>
            <w:pPr>
              <w:rPr>
                <w:highlight w:val="none"/>
              </w:rPr>
            </w:pPr>
          </w:p>
        </w:tc>
        <w:tc>
          <w:tcPr>
            <w:tcW w:w="1093"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c>
          <w:tcPr>
            <w:tcW w:w="1101" w:type="dxa"/>
          </w:tcPr>
          <w:p>
            <w:pPr>
              <w:rPr>
                <w:highlight w:val="none"/>
              </w:rPr>
            </w:pPr>
          </w:p>
        </w:tc>
      </w:tr>
    </w:tbl>
    <w:p>
      <w:pPr>
        <w:spacing w:line="400" w:lineRule="exact"/>
        <w:ind w:firstLine="630" w:firstLineChars="300"/>
        <w:rPr>
          <w:highlight w:val="none"/>
        </w:rPr>
      </w:pPr>
      <w:r>
        <w:rPr>
          <w:rFonts w:hint="eastAsia"/>
          <w:highlight w:val="none"/>
        </w:rPr>
        <w:t>注：1、供应商应按所列格式提交包括分包人在内的估计劳动力计划表。</w:t>
      </w:r>
    </w:p>
    <w:p>
      <w:pPr>
        <w:spacing w:line="400" w:lineRule="exact"/>
        <w:rPr>
          <w:highlight w:val="none"/>
        </w:rPr>
      </w:pPr>
      <w:r>
        <w:rPr>
          <w:rFonts w:hint="eastAsia"/>
          <w:highlight w:val="none"/>
        </w:rPr>
        <w:t xml:space="preserve">          2、本计划表是以每班八小时工作制为基础编制的。</w:t>
      </w:r>
    </w:p>
    <w:p>
      <w:pPr>
        <w:spacing w:line="400" w:lineRule="exact"/>
        <w:rPr>
          <w:highlight w:val="none"/>
        </w:rPr>
      </w:pPr>
    </w:p>
    <w:p>
      <w:pPr>
        <w:autoSpaceDE w:val="0"/>
        <w:autoSpaceDN w:val="0"/>
        <w:adjustRightInd w:val="0"/>
        <w:jc w:val="left"/>
        <w:rPr>
          <w:rFonts w:ascii="宋体" w:cs="宋体"/>
          <w:kern w:val="0"/>
          <w:szCs w:val="21"/>
          <w:highlight w:val="none"/>
        </w:rPr>
      </w:pPr>
    </w:p>
    <w:p>
      <w:pPr>
        <w:widowControl/>
        <w:jc w:val="left"/>
        <w:rPr>
          <w:rFonts w:ascii="宋体" w:cs="宋体"/>
          <w:b/>
          <w:kern w:val="0"/>
          <w:szCs w:val="21"/>
          <w:highlight w:val="none"/>
        </w:rPr>
      </w:pPr>
      <w:r>
        <w:rPr>
          <w:rFonts w:ascii="宋体" w:cs="宋体"/>
          <w:b/>
          <w:kern w:val="0"/>
          <w:szCs w:val="21"/>
          <w:highlight w:val="none"/>
        </w:rPr>
        <w:br w:type="page"/>
      </w:r>
    </w:p>
    <w:p>
      <w:pPr>
        <w:autoSpaceDE w:val="0"/>
        <w:autoSpaceDN w:val="0"/>
        <w:adjustRightInd w:val="0"/>
        <w:jc w:val="left"/>
        <w:rPr>
          <w:rFonts w:ascii="宋体" w:cs="宋体"/>
          <w:b/>
          <w:kern w:val="0"/>
          <w:szCs w:val="21"/>
          <w:highlight w:val="none"/>
        </w:rPr>
      </w:pPr>
      <w:r>
        <w:rPr>
          <w:rFonts w:hint="eastAsia" w:ascii="宋体" w:cs="宋体"/>
          <w:b/>
          <w:kern w:val="0"/>
          <w:szCs w:val="21"/>
          <w:highlight w:val="none"/>
        </w:rPr>
        <w:t>附表三：计划开、竣工日期和施工进度网络图</w:t>
      </w:r>
    </w:p>
    <w:p>
      <w:pPr>
        <w:spacing w:line="400" w:lineRule="exact"/>
        <w:ind w:firstLine="420" w:firstLineChars="200"/>
        <w:rPr>
          <w:highlight w:val="none"/>
        </w:rPr>
      </w:pPr>
      <w:r>
        <w:rPr>
          <w:rFonts w:hint="eastAsia"/>
          <w:highlight w:val="none"/>
        </w:rPr>
        <w:t>1、供应商应提交的施工进度网络图或施工进度表，说明按磋商文件要求的工期进行施工的各个关键日期。中标的供应商还应按合同条件有关条款的要求提交详细的施工进度计划。</w:t>
      </w:r>
    </w:p>
    <w:p>
      <w:pPr>
        <w:spacing w:line="400" w:lineRule="exact"/>
        <w:ind w:firstLine="420" w:firstLineChars="200"/>
        <w:rPr>
          <w:highlight w:val="none"/>
        </w:rPr>
      </w:pPr>
      <w:r>
        <w:rPr>
          <w:rFonts w:hint="eastAsia"/>
          <w:highlight w:val="none"/>
        </w:rPr>
        <w:t>2、施工进度表可采用网络图（或横道图）表示，说明计划开工日期和各分项工程各阶段的完工日期以及分包合同签订的日期。</w:t>
      </w:r>
    </w:p>
    <w:p>
      <w:pPr>
        <w:spacing w:line="400" w:lineRule="exact"/>
        <w:ind w:firstLine="420" w:firstLineChars="200"/>
        <w:rPr>
          <w:highlight w:val="none"/>
        </w:rPr>
      </w:pPr>
      <w:r>
        <w:rPr>
          <w:rFonts w:hint="eastAsia"/>
          <w:highlight w:val="none"/>
        </w:rPr>
        <w:t>3、施工进度计划应与施工组织设计相适应。</w:t>
      </w:r>
    </w:p>
    <w:p>
      <w:pPr>
        <w:spacing w:line="360" w:lineRule="auto"/>
        <w:ind w:firstLine="420" w:firstLineChars="200"/>
        <w:rPr>
          <w:highlight w:val="none"/>
        </w:rPr>
      </w:pPr>
    </w:p>
    <w:p>
      <w:pPr>
        <w:spacing w:line="360" w:lineRule="auto"/>
        <w:ind w:firstLine="420" w:firstLineChars="200"/>
        <w:rPr>
          <w:highlight w:val="none"/>
        </w:rPr>
      </w:pPr>
    </w:p>
    <w:p>
      <w:pPr>
        <w:autoSpaceDE w:val="0"/>
        <w:autoSpaceDN w:val="0"/>
        <w:adjustRightInd w:val="0"/>
        <w:jc w:val="left"/>
        <w:rPr>
          <w:rFonts w:ascii="宋体" w:cs="宋体"/>
          <w:b/>
          <w:kern w:val="0"/>
          <w:szCs w:val="21"/>
          <w:highlight w:val="none"/>
        </w:rPr>
      </w:pPr>
      <w:r>
        <w:rPr>
          <w:rFonts w:hint="eastAsia" w:ascii="宋体" w:cs="宋体"/>
          <w:b/>
          <w:kern w:val="0"/>
          <w:szCs w:val="21"/>
          <w:highlight w:val="none"/>
        </w:rPr>
        <w:t>附表四：施工总平面图</w:t>
      </w:r>
    </w:p>
    <w:p>
      <w:pPr>
        <w:spacing w:line="400" w:lineRule="exact"/>
        <w:ind w:firstLine="420" w:firstLineChars="200"/>
        <w:rPr>
          <w:highlight w:val="none"/>
        </w:rPr>
      </w:pPr>
      <w:r>
        <w:rPr>
          <w:rFonts w:hint="eastAsia"/>
          <w:highlight w:val="none"/>
        </w:rPr>
        <w:t>供应商提交一份施工总平面图，绘出现场临时设施布置图表并附文字说明，说明临时设施、加工车间、现场办公、设备及仓储、供电、供水、卫生、生活等设施的情况和布置。</w:t>
      </w:r>
    </w:p>
    <w:p>
      <w:pPr>
        <w:ind w:firstLine="420" w:firstLineChars="200"/>
        <w:rPr>
          <w:highlight w:val="none"/>
        </w:rPr>
      </w:pPr>
    </w:p>
    <w:p>
      <w:pPr>
        <w:ind w:firstLine="420" w:firstLineChars="200"/>
        <w:rPr>
          <w:highlight w:val="none"/>
        </w:rPr>
      </w:pPr>
    </w:p>
    <w:p>
      <w:pPr>
        <w:autoSpaceDE w:val="0"/>
        <w:autoSpaceDN w:val="0"/>
        <w:adjustRightInd w:val="0"/>
        <w:jc w:val="left"/>
        <w:rPr>
          <w:rFonts w:ascii="宋体" w:cs="宋体"/>
          <w:b/>
          <w:kern w:val="0"/>
          <w:szCs w:val="21"/>
          <w:highlight w:val="none"/>
        </w:rPr>
      </w:pPr>
      <w:r>
        <w:rPr>
          <w:highlight w:val="none"/>
        </w:rPr>
        <w:br w:type="page"/>
      </w:r>
      <w:r>
        <w:rPr>
          <w:rFonts w:hint="eastAsia" w:ascii="宋体" w:cs="宋体"/>
          <w:b/>
          <w:kern w:val="0"/>
          <w:szCs w:val="21"/>
          <w:highlight w:val="none"/>
        </w:rPr>
        <w:t>附表五：临时用地表</w:t>
      </w:r>
    </w:p>
    <w:p>
      <w:pPr>
        <w:jc w:val="center"/>
        <w:rPr>
          <w:highlight w:val="none"/>
        </w:rPr>
      </w:pPr>
    </w:p>
    <w:tbl>
      <w:tblPr>
        <w:tblStyle w:val="42"/>
        <w:tblW w:w="8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1483"/>
        <w:gridCol w:w="2596"/>
        <w:gridCol w:w="2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411" w:type="dxa"/>
            <w:vAlign w:val="center"/>
          </w:tcPr>
          <w:p>
            <w:pPr>
              <w:jc w:val="center"/>
              <w:rPr>
                <w:highlight w:val="none"/>
              </w:rPr>
            </w:pPr>
            <w:r>
              <w:rPr>
                <w:rFonts w:hint="eastAsia"/>
                <w:highlight w:val="none"/>
              </w:rPr>
              <w:t>用途</w:t>
            </w:r>
          </w:p>
        </w:tc>
        <w:tc>
          <w:tcPr>
            <w:tcW w:w="1483" w:type="dxa"/>
            <w:vAlign w:val="center"/>
          </w:tcPr>
          <w:p>
            <w:pPr>
              <w:jc w:val="center"/>
              <w:rPr>
                <w:highlight w:val="none"/>
              </w:rPr>
            </w:pPr>
            <w:r>
              <w:rPr>
                <w:rFonts w:hint="eastAsia"/>
                <w:highlight w:val="none"/>
              </w:rPr>
              <w:t>面积（</w:t>
            </w:r>
            <w:r>
              <w:rPr>
                <w:highlight w:val="none"/>
              </w:rPr>
              <w:t>m</w:t>
            </w:r>
            <w:r>
              <w:rPr>
                <w:highlight w:val="none"/>
                <w:vertAlign w:val="superscript"/>
              </w:rPr>
              <w:t>2</w:t>
            </w:r>
            <w:r>
              <w:rPr>
                <w:highlight w:val="none"/>
              </w:rPr>
              <w:t>）</w:t>
            </w:r>
          </w:p>
        </w:tc>
        <w:tc>
          <w:tcPr>
            <w:tcW w:w="2596" w:type="dxa"/>
            <w:vAlign w:val="center"/>
          </w:tcPr>
          <w:p>
            <w:pPr>
              <w:jc w:val="center"/>
              <w:rPr>
                <w:highlight w:val="none"/>
              </w:rPr>
            </w:pPr>
            <w:r>
              <w:rPr>
                <w:rFonts w:hint="eastAsia"/>
                <w:highlight w:val="none"/>
              </w:rPr>
              <w:t>位置</w:t>
            </w:r>
          </w:p>
        </w:tc>
        <w:tc>
          <w:tcPr>
            <w:tcW w:w="2225" w:type="dxa"/>
            <w:vAlign w:val="center"/>
          </w:tcPr>
          <w:p>
            <w:pPr>
              <w:jc w:val="center"/>
              <w:rPr>
                <w:highlight w:val="none"/>
              </w:rPr>
            </w:pPr>
            <w:r>
              <w:rPr>
                <w:rFonts w:hint="eastAsia"/>
                <w:highlight w:val="none"/>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1" w:type="dxa"/>
          </w:tcPr>
          <w:p>
            <w:pPr>
              <w:rPr>
                <w:highlight w:val="none"/>
              </w:rPr>
            </w:pPr>
          </w:p>
        </w:tc>
        <w:tc>
          <w:tcPr>
            <w:tcW w:w="1483" w:type="dxa"/>
          </w:tcPr>
          <w:p>
            <w:pPr>
              <w:rPr>
                <w:highlight w:val="none"/>
              </w:rPr>
            </w:pPr>
          </w:p>
        </w:tc>
        <w:tc>
          <w:tcPr>
            <w:tcW w:w="2596" w:type="dxa"/>
          </w:tcPr>
          <w:p>
            <w:pPr>
              <w:rPr>
                <w:highlight w:val="none"/>
              </w:rPr>
            </w:pPr>
          </w:p>
        </w:tc>
        <w:tc>
          <w:tcPr>
            <w:tcW w:w="2225"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1" w:type="dxa"/>
          </w:tcPr>
          <w:p>
            <w:pPr>
              <w:rPr>
                <w:highlight w:val="none"/>
              </w:rPr>
            </w:pPr>
          </w:p>
        </w:tc>
        <w:tc>
          <w:tcPr>
            <w:tcW w:w="1483" w:type="dxa"/>
          </w:tcPr>
          <w:p>
            <w:pPr>
              <w:rPr>
                <w:highlight w:val="none"/>
              </w:rPr>
            </w:pPr>
          </w:p>
        </w:tc>
        <w:tc>
          <w:tcPr>
            <w:tcW w:w="2596" w:type="dxa"/>
          </w:tcPr>
          <w:p>
            <w:pPr>
              <w:rPr>
                <w:highlight w:val="none"/>
              </w:rPr>
            </w:pPr>
          </w:p>
        </w:tc>
        <w:tc>
          <w:tcPr>
            <w:tcW w:w="2225"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1" w:type="dxa"/>
          </w:tcPr>
          <w:p>
            <w:pPr>
              <w:rPr>
                <w:highlight w:val="none"/>
              </w:rPr>
            </w:pPr>
          </w:p>
        </w:tc>
        <w:tc>
          <w:tcPr>
            <w:tcW w:w="1483" w:type="dxa"/>
          </w:tcPr>
          <w:p>
            <w:pPr>
              <w:rPr>
                <w:highlight w:val="none"/>
              </w:rPr>
            </w:pPr>
          </w:p>
        </w:tc>
        <w:tc>
          <w:tcPr>
            <w:tcW w:w="2596" w:type="dxa"/>
          </w:tcPr>
          <w:p>
            <w:pPr>
              <w:rPr>
                <w:highlight w:val="none"/>
              </w:rPr>
            </w:pPr>
          </w:p>
        </w:tc>
        <w:tc>
          <w:tcPr>
            <w:tcW w:w="2225"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1" w:type="dxa"/>
          </w:tcPr>
          <w:p>
            <w:pPr>
              <w:rPr>
                <w:highlight w:val="none"/>
              </w:rPr>
            </w:pPr>
          </w:p>
        </w:tc>
        <w:tc>
          <w:tcPr>
            <w:tcW w:w="1483" w:type="dxa"/>
          </w:tcPr>
          <w:p>
            <w:pPr>
              <w:rPr>
                <w:highlight w:val="none"/>
              </w:rPr>
            </w:pPr>
          </w:p>
        </w:tc>
        <w:tc>
          <w:tcPr>
            <w:tcW w:w="2596" w:type="dxa"/>
          </w:tcPr>
          <w:p>
            <w:pPr>
              <w:rPr>
                <w:highlight w:val="none"/>
              </w:rPr>
            </w:pPr>
          </w:p>
        </w:tc>
        <w:tc>
          <w:tcPr>
            <w:tcW w:w="2225" w:type="dxa"/>
          </w:tcPr>
          <w:p>
            <w:pP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411" w:type="dxa"/>
            <w:vAlign w:val="center"/>
          </w:tcPr>
          <w:p>
            <w:pPr>
              <w:jc w:val="center"/>
              <w:rPr>
                <w:highlight w:val="none"/>
              </w:rPr>
            </w:pPr>
            <w:r>
              <w:rPr>
                <w:rFonts w:hint="eastAsia"/>
                <w:highlight w:val="none"/>
              </w:rPr>
              <w:t>合计</w:t>
            </w:r>
          </w:p>
        </w:tc>
        <w:tc>
          <w:tcPr>
            <w:tcW w:w="1483" w:type="dxa"/>
          </w:tcPr>
          <w:p>
            <w:pPr>
              <w:rPr>
                <w:highlight w:val="none"/>
              </w:rPr>
            </w:pPr>
          </w:p>
        </w:tc>
        <w:tc>
          <w:tcPr>
            <w:tcW w:w="2596" w:type="dxa"/>
          </w:tcPr>
          <w:p>
            <w:pPr>
              <w:rPr>
                <w:highlight w:val="none"/>
              </w:rPr>
            </w:pPr>
          </w:p>
        </w:tc>
        <w:tc>
          <w:tcPr>
            <w:tcW w:w="2225" w:type="dxa"/>
          </w:tcPr>
          <w:p>
            <w:pPr>
              <w:rPr>
                <w:highlight w:val="none"/>
              </w:rPr>
            </w:pPr>
          </w:p>
        </w:tc>
      </w:tr>
    </w:tbl>
    <w:p>
      <w:pPr>
        <w:spacing w:line="400" w:lineRule="exact"/>
        <w:ind w:firstLine="630" w:firstLineChars="300"/>
        <w:rPr>
          <w:highlight w:val="none"/>
        </w:rPr>
      </w:pPr>
      <w:r>
        <w:rPr>
          <w:rFonts w:hint="eastAsia"/>
          <w:highlight w:val="none"/>
        </w:rPr>
        <w:t>注：1、供应商应逐项填写本表，指出全部临时设施用地面积以及详细用途。</w:t>
      </w:r>
    </w:p>
    <w:p>
      <w:pPr>
        <w:spacing w:line="400" w:lineRule="exact"/>
        <w:ind w:firstLine="1050" w:firstLineChars="500"/>
        <w:rPr>
          <w:highlight w:val="none"/>
        </w:rPr>
        <w:sectPr>
          <w:headerReference r:id="rId7" w:type="first"/>
          <w:type w:val="nextColumn"/>
          <w:pgSz w:w="11906" w:h="16838"/>
          <w:pgMar w:top="1247" w:right="1531" w:bottom="1134" w:left="1531" w:header="737" w:footer="851" w:gutter="0"/>
          <w:cols w:space="720" w:num="1"/>
          <w:docGrid w:linePitch="312" w:charSpace="0"/>
        </w:sectPr>
      </w:pPr>
      <w:r>
        <w:rPr>
          <w:rFonts w:hint="eastAsia"/>
          <w:highlight w:val="none"/>
        </w:rPr>
        <w:t>2、若本表不够，可加附页</w:t>
      </w:r>
    </w:p>
    <w:p>
      <w:pPr>
        <w:pStyle w:val="4"/>
        <w:snapToGrid w:val="0"/>
        <w:spacing w:before="120" w:after="120" w:line="360" w:lineRule="auto"/>
        <w:rPr>
          <w:rFonts w:cs="Arial"/>
          <w:bCs w:val="0"/>
          <w:highlight w:val="none"/>
        </w:rPr>
      </w:pPr>
      <w:bookmarkStart w:id="158" w:name="_Toc420786261"/>
      <w:bookmarkStart w:id="159" w:name="_Toc9969"/>
      <w:r>
        <w:rPr>
          <w:rFonts w:hint="eastAsia" w:cs="Arial"/>
          <w:bCs w:val="0"/>
          <w:highlight w:val="none"/>
        </w:rPr>
        <w:t>（二）项目人员的组成</w:t>
      </w:r>
      <w:bookmarkEnd w:id="158"/>
      <w:bookmarkEnd w:id="159"/>
    </w:p>
    <w:p>
      <w:pPr>
        <w:jc w:val="center"/>
        <w:rPr>
          <w:rFonts w:ascii="宋体" w:hAnsi="宋体"/>
          <w:b/>
          <w:bCs/>
          <w:sz w:val="30"/>
          <w:highlight w:val="none"/>
        </w:rPr>
      </w:pPr>
      <w:r>
        <w:rPr>
          <w:rFonts w:hint="eastAsia" w:ascii="宋体" w:hAnsi="宋体"/>
          <w:b/>
          <w:bCs/>
          <w:sz w:val="30"/>
          <w:highlight w:val="none"/>
        </w:rPr>
        <w:t>（1）项目管理机构配备情况表</w:t>
      </w:r>
    </w:p>
    <w:tbl>
      <w:tblPr>
        <w:tblStyle w:val="4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979"/>
        <w:gridCol w:w="978"/>
        <w:gridCol w:w="1212"/>
        <w:gridCol w:w="844"/>
        <w:gridCol w:w="966"/>
        <w:gridCol w:w="933"/>
        <w:gridCol w:w="962"/>
        <w:gridCol w:w="1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860" w:type="dxa"/>
            <w:vMerge w:val="restart"/>
            <w:vAlign w:val="center"/>
          </w:tcPr>
          <w:p>
            <w:pPr>
              <w:jc w:val="center"/>
              <w:rPr>
                <w:rFonts w:ascii="宋体" w:hAnsi="宋体"/>
                <w:szCs w:val="21"/>
                <w:highlight w:val="none"/>
              </w:rPr>
            </w:pPr>
            <w:r>
              <w:rPr>
                <w:rFonts w:hint="eastAsia" w:ascii="宋体" w:hAnsi="宋体"/>
                <w:szCs w:val="21"/>
                <w:highlight w:val="none"/>
              </w:rPr>
              <w:t>职务</w:t>
            </w:r>
          </w:p>
        </w:tc>
        <w:tc>
          <w:tcPr>
            <w:tcW w:w="979" w:type="dxa"/>
            <w:vMerge w:val="restart"/>
            <w:vAlign w:val="center"/>
          </w:tcPr>
          <w:p>
            <w:pPr>
              <w:jc w:val="center"/>
              <w:rPr>
                <w:rFonts w:ascii="宋体" w:hAnsi="宋体"/>
                <w:szCs w:val="21"/>
                <w:highlight w:val="none"/>
              </w:rPr>
            </w:pPr>
            <w:r>
              <w:rPr>
                <w:rFonts w:hint="eastAsia" w:ascii="宋体" w:hAnsi="宋体"/>
                <w:szCs w:val="21"/>
                <w:highlight w:val="none"/>
              </w:rPr>
              <w:t>姓名</w:t>
            </w:r>
          </w:p>
        </w:tc>
        <w:tc>
          <w:tcPr>
            <w:tcW w:w="978" w:type="dxa"/>
            <w:vMerge w:val="restart"/>
            <w:vAlign w:val="center"/>
          </w:tcPr>
          <w:p>
            <w:pPr>
              <w:jc w:val="center"/>
              <w:rPr>
                <w:rFonts w:ascii="宋体" w:hAnsi="宋体"/>
                <w:szCs w:val="21"/>
                <w:highlight w:val="none"/>
              </w:rPr>
            </w:pPr>
            <w:r>
              <w:rPr>
                <w:rFonts w:hint="eastAsia" w:ascii="宋体" w:hAnsi="宋体"/>
                <w:szCs w:val="21"/>
                <w:highlight w:val="none"/>
              </w:rPr>
              <w:t>职称</w:t>
            </w:r>
          </w:p>
        </w:tc>
        <w:tc>
          <w:tcPr>
            <w:tcW w:w="3955" w:type="dxa"/>
            <w:gridSpan w:val="4"/>
            <w:vAlign w:val="center"/>
          </w:tcPr>
          <w:p>
            <w:pPr>
              <w:jc w:val="center"/>
              <w:rPr>
                <w:rFonts w:ascii="宋体" w:hAnsi="宋体"/>
                <w:szCs w:val="21"/>
                <w:highlight w:val="none"/>
              </w:rPr>
            </w:pPr>
            <w:r>
              <w:rPr>
                <w:rFonts w:hint="eastAsia" w:ascii="宋体" w:hAnsi="宋体"/>
                <w:szCs w:val="21"/>
                <w:highlight w:val="none"/>
              </w:rPr>
              <w:t>执业或职业资格证明</w:t>
            </w:r>
          </w:p>
        </w:tc>
        <w:tc>
          <w:tcPr>
            <w:tcW w:w="2288" w:type="dxa"/>
            <w:gridSpan w:val="2"/>
            <w:vAlign w:val="center"/>
          </w:tcPr>
          <w:p>
            <w:pPr>
              <w:jc w:val="center"/>
              <w:rPr>
                <w:rFonts w:ascii="宋体" w:hAnsi="宋体"/>
                <w:szCs w:val="21"/>
                <w:highlight w:val="none"/>
              </w:rPr>
            </w:pPr>
            <w:r>
              <w:rPr>
                <w:rFonts w:hint="eastAsia" w:ascii="宋体" w:hAnsi="宋体"/>
                <w:szCs w:val="21"/>
                <w:highlight w:val="none"/>
              </w:rPr>
              <w:t>已承担在建</w:t>
            </w:r>
          </w:p>
          <w:p>
            <w:pPr>
              <w:jc w:val="center"/>
              <w:rPr>
                <w:rFonts w:ascii="宋体" w:hAnsi="宋体"/>
                <w:szCs w:val="21"/>
                <w:highlight w:val="none"/>
              </w:rPr>
            </w:pPr>
            <w:r>
              <w:rPr>
                <w:rFonts w:hint="eastAsia" w:ascii="宋体" w:hAnsi="宋体"/>
                <w:szCs w:val="21"/>
                <w:highlight w:val="none"/>
              </w:rPr>
              <w:t>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60" w:type="dxa"/>
            <w:vMerge w:val="continue"/>
            <w:vAlign w:val="center"/>
          </w:tcPr>
          <w:p>
            <w:pPr>
              <w:jc w:val="center"/>
              <w:rPr>
                <w:rFonts w:ascii="宋体" w:hAnsi="宋体"/>
                <w:szCs w:val="21"/>
                <w:highlight w:val="none"/>
              </w:rPr>
            </w:pPr>
          </w:p>
        </w:tc>
        <w:tc>
          <w:tcPr>
            <w:tcW w:w="979" w:type="dxa"/>
            <w:vMerge w:val="continue"/>
            <w:vAlign w:val="center"/>
          </w:tcPr>
          <w:p>
            <w:pPr>
              <w:jc w:val="center"/>
              <w:rPr>
                <w:rFonts w:ascii="宋体" w:hAnsi="宋体"/>
                <w:szCs w:val="21"/>
                <w:highlight w:val="none"/>
              </w:rPr>
            </w:pPr>
          </w:p>
        </w:tc>
        <w:tc>
          <w:tcPr>
            <w:tcW w:w="978" w:type="dxa"/>
            <w:vMerge w:val="continue"/>
            <w:vAlign w:val="center"/>
          </w:tcPr>
          <w:p>
            <w:pPr>
              <w:jc w:val="center"/>
              <w:rPr>
                <w:rFonts w:ascii="宋体" w:hAnsi="宋体"/>
                <w:szCs w:val="21"/>
                <w:highlight w:val="none"/>
              </w:rPr>
            </w:pPr>
          </w:p>
        </w:tc>
        <w:tc>
          <w:tcPr>
            <w:tcW w:w="1212" w:type="dxa"/>
            <w:vAlign w:val="center"/>
          </w:tcPr>
          <w:p>
            <w:pPr>
              <w:jc w:val="center"/>
              <w:rPr>
                <w:rFonts w:ascii="宋体" w:hAnsi="宋体"/>
                <w:szCs w:val="21"/>
                <w:highlight w:val="none"/>
              </w:rPr>
            </w:pPr>
            <w:r>
              <w:rPr>
                <w:rFonts w:hint="eastAsia" w:ascii="宋体" w:hAnsi="宋体"/>
                <w:szCs w:val="21"/>
                <w:highlight w:val="none"/>
              </w:rPr>
              <w:t>证书名称</w:t>
            </w:r>
          </w:p>
        </w:tc>
        <w:tc>
          <w:tcPr>
            <w:tcW w:w="844" w:type="dxa"/>
            <w:vAlign w:val="center"/>
          </w:tcPr>
          <w:p>
            <w:pPr>
              <w:jc w:val="center"/>
              <w:rPr>
                <w:rFonts w:ascii="宋体" w:hAnsi="宋体"/>
                <w:szCs w:val="21"/>
                <w:highlight w:val="none"/>
              </w:rPr>
            </w:pPr>
            <w:r>
              <w:rPr>
                <w:rFonts w:hint="eastAsia" w:ascii="宋体" w:hAnsi="宋体"/>
                <w:szCs w:val="21"/>
                <w:highlight w:val="none"/>
              </w:rPr>
              <w:t>级别</w:t>
            </w:r>
          </w:p>
        </w:tc>
        <w:tc>
          <w:tcPr>
            <w:tcW w:w="966" w:type="dxa"/>
            <w:vAlign w:val="center"/>
          </w:tcPr>
          <w:p>
            <w:pPr>
              <w:jc w:val="center"/>
              <w:rPr>
                <w:rFonts w:ascii="宋体" w:hAnsi="宋体"/>
                <w:szCs w:val="21"/>
                <w:highlight w:val="none"/>
              </w:rPr>
            </w:pPr>
            <w:r>
              <w:rPr>
                <w:rFonts w:hint="eastAsia" w:ascii="宋体" w:hAnsi="宋体"/>
                <w:szCs w:val="21"/>
                <w:highlight w:val="none"/>
              </w:rPr>
              <w:t>证号</w:t>
            </w:r>
          </w:p>
        </w:tc>
        <w:tc>
          <w:tcPr>
            <w:tcW w:w="933" w:type="dxa"/>
            <w:vAlign w:val="center"/>
          </w:tcPr>
          <w:p>
            <w:pPr>
              <w:jc w:val="center"/>
              <w:rPr>
                <w:rFonts w:ascii="宋体" w:hAnsi="宋体"/>
                <w:szCs w:val="21"/>
                <w:highlight w:val="none"/>
              </w:rPr>
            </w:pPr>
            <w:r>
              <w:rPr>
                <w:rFonts w:hint="eastAsia" w:ascii="宋体" w:hAnsi="宋体"/>
                <w:szCs w:val="21"/>
                <w:highlight w:val="none"/>
              </w:rPr>
              <w:t>专业</w:t>
            </w:r>
          </w:p>
        </w:tc>
        <w:tc>
          <w:tcPr>
            <w:tcW w:w="962" w:type="dxa"/>
            <w:vAlign w:val="center"/>
          </w:tcPr>
          <w:p>
            <w:pPr>
              <w:jc w:val="center"/>
              <w:rPr>
                <w:rFonts w:ascii="宋体" w:hAnsi="宋体"/>
                <w:szCs w:val="21"/>
                <w:highlight w:val="none"/>
              </w:rPr>
            </w:pPr>
            <w:r>
              <w:rPr>
                <w:rFonts w:hint="eastAsia" w:ascii="宋体" w:hAnsi="宋体"/>
                <w:szCs w:val="21"/>
                <w:highlight w:val="none"/>
              </w:rPr>
              <w:t>项目数</w:t>
            </w:r>
          </w:p>
        </w:tc>
        <w:tc>
          <w:tcPr>
            <w:tcW w:w="1326" w:type="dxa"/>
            <w:vAlign w:val="center"/>
          </w:tcPr>
          <w:p>
            <w:pPr>
              <w:adjustRightInd w:val="0"/>
              <w:snapToGrid w:val="0"/>
              <w:jc w:val="center"/>
              <w:rPr>
                <w:rFonts w:ascii="宋体" w:hAnsi="宋体"/>
                <w:szCs w:val="21"/>
                <w:highlight w:val="none"/>
              </w:rPr>
            </w:pPr>
            <w:r>
              <w:rPr>
                <w:rFonts w:hint="eastAsia" w:ascii="宋体" w:hAnsi="宋体"/>
                <w:szCs w:val="21"/>
                <w:highlight w:val="none"/>
              </w:rPr>
              <w:t>主要项目</w:t>
            </w:r>
          </w:p>
          <w:p>
            <w:pPr>
              <w:adjustRightInd w:val="0"/>
              <w:snapToGrid w:val="0"/>
              <w:jc w:val="center"/>
              <w:rPr>
                <w:rFonts w:ascii="宋体" w:hAnsi="宋体"/>
                <w:szCs w:val="21"/>
                <w:highlight w:val="none"/>
              </w:rPr>
            </w:pPr>
            <w:r>
              <w:rPr>
                <w:rFonts w:hint="eastAsia" w:ascii="宋体" w:hAnsi="宋体"/>
                <w:szCs w:val="21"/>
                <w:highlight w:val="none"/>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Cs w:val="21"/>
                <w:highlight w:val="none"/>
              </w:rPr>
            </w:pPr>
          </w:p>
        </w:tc>
        <w:tc>
          <w:tcPr>
            <w:tcW w:w="979" w:type="dxa"/>
          </w:tcPr>
          <w:p>
            <w:pPr>
              <w:jc w:val="center"/>
              <w:rPr>
                <w:rFonts w:ascii="宋体" w:hAnsi="宋体"/>
                <w:szCs w:val="21"/>
                <w:highlight w:val="none"/>
              </w:rPr>
            </w:pPr>
          </w:p>
        </w:tc>
        <w:tc>
          <w:tcPr>
            <w:tcW w:w="978" w:type="dxa"/>
          </w:tcPr>
          <w:p>
            <w:pPr>
              <w:jc w:val="center"/>
              <w:rPr>
                <w:rFonts w:ascii="宋体" w:hAnsi="宋体"/>
                <w:szCs w:val="21"/>
                <w:highlight w:val="none"/>
              </w:rPr>
            </w:pPr>
          </w:p>
        </w:tc>
        <w:tc>
          <w:tcPr>
            <w:tcW w:w="1212" w:type="dxa"/>
          </w:tcPr>
          <w:p>
            <w:pPr>
              <w:jc w:val="center"/>
              <w:rPr>
                <w:rFonts w:ascii="宋体" w:hAnsi="宋体"/>
                <w:szCs w:val="21"/>
                <w:highlight w:val="none"/>
              </w:rPr>
            </w:pPr>
          </w:p>
        </w:tc>
        <w:tc>
          <w:tcPr>
            <w:tcW w:w="844" w:type="dxa"/>
          </w:tcPr>
          <w:p>
            <w:pPr>
              <w:jc w:val="center"/>
              <w:rPr>
                <w:rFonts w:ascii="宋体" w:hAnsi="宋体"/>
                <w:szCs w:val="21"/>
                <w:highlight w:val="none"/>
              </w:rPr>
            </w:pPr>
          </w:p>
        </w:tc>
        <w:tc>
          <w:tcPr>
            <w:tcW w:w="966" w:type="dxa"/>
          </w:tcPr>
          <w:p>
            <w:pPr>
              <w:jc w:val="center"/>
              <w:rPr>
                <w:rFonts w:ascii="宋体" w:hAnsi="宋体"/>
                <w:szCs w:val="21"/>
                <w:highlight w:val="none"/>
              </w:rPr>
            </w:pPr>
          </w:p>
        </w:tc>
        <w:tc>
          <w:tcPr>
            <w:tcW w:w="933" w:type="dxa"/>
          </w:tcPr>
          <w:p>
            <w:pPr>
              <w:jc w:val="center"/>
              <w:rPr>
                <w:rFonts w:ascii="宋体" w:hAnsi="宋体"/>
                <w:szCs w:val="21"/>
                <w:highlight w:val="none"/>
              </w:rPr>
            </w:pPr>
          </w:p>
        </w:tc>
        <w:tc>
          <w:tcPr>
            <w:tcW w:w="962" w:type="dxa"/>
          </w:tcPr>
          <w:p>
            <w:pPr>
              <w:jc w:val="center"/>
              <w:rPr>
                <w:rFonts w:ascii="宋体" w:hAnsi="宋体"/>
                <w:szCs w:val="21"/>
                <w:highlight w:val="none"/>
              </w:rPr>
            </w:pPr>
          </w:p>
        </w:tc>
        <w:tc>
          <w:tcPr>
            <w:tcW w:w="1326" w:type="dxa"/>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860" w:type="dxa"/>
          </w:tcPr>
          <w:p>
            <w:pPr>
              <w:jc w:val="center"/>
              <w:rPr>
                <w:rFonts w:ascii="宋体" w:hAnsi="宋体"/>
                <w:sz w:val="24"/>
                <w:highlight w:val="none"/>
              </w:rPr>
            </w:pPr>
          </w:p>
        </w:tc>
        <w:tc>
          <w:tcPr>
            <w:tcW w:w="979" w:type="dxa"/>
          </w:tcPr>
          <w:p>
            <w:pPr>
              <w:jc w:val="center"/>
              <w:rPr>
                <w:rFonts w:ascii="宋体" w:hAnsi="宋体"/>
                <w:sz w:val="24"/>
                <w:highlight w:val="none"/>
              </w:rPr>
            </w:pPr>
          </w:p>
        </w:tc>
        <w:tc>
          <w:tcPr>
            <w:tcW w:w="978" w:type="dxa"/>
          </w:tcPr>
          <w:p>
            <w:pPr>
              <w:jc w:val="center"/>
              <w:rPr>
                <w:rFonts w:ascii="宋体" w:hAnsi="宋体"/>
                <w:sz w:val="24"/>
                <w:highlight w:val="none"/>
              </w:rPr>
            </w:pPr>
          </w:p>
        </w:tc>
        <w:tc>
          <w:tcPr>
            <w:tcW w:w="1212" w:type="dxa"/>
          </w:tcPr>
          <w:p>
            <w:pPr>
              <w:jc w:val="center"/>
              <w:rPr>
                <w:rFonts w:ascii="宋体" w:hAnsi="宋体"/>
                <w:sz w:val="24"/>
                <w:highlight w:val="none"/>
              </w:rPr>
            </w:pPr>
          </w:p>
        </w:tc>
        <w:tc>
          <w:tcPr>
            <w:tcW w:w="844" w:type="dxa"/>
          </w:tcPr>
          <w:p>
            <w:pPr>
              <w:jc w:val="center"/>
              <w:rPr>
                <w:rFonts w:ascii="宋体" w:hAnsi="宋体"/>
                <w:sz w:val="24"/>
                <w:highlight w:val="none"/>
              </w:rPr>
            </w:pPr>
          </w:p>
        </w:tc>
        <w:tc>
          <w:tcPr>
            <w:tcW w:w="966" w:type="dxa"/>
          </w:tcPr>
          <w:p>
            <w:pPr>
              <w:jc w:val="center"/>
              <w:rPr>
                <w:rFonts w:ascii="宋体" w:hAnsi="宋体"/>
                <w:sz w:val="24"/>
                <w:highlight w:val="none"/>
              </w:rPr>
            </w:pPr>
          </w:p>
        </w:tc>
        <w:tc>
          <w:tcPr>
            <w:tcW w:w="933" w:type="dxa"/>
          </w:tcPr>
          <w:p>
            <w:pPr>
              <w:jc w:val="center"/>
              <w:rPr>
                <w:rFonts w:ascii="宋体" w:hAnsi="宋体"/>
                <w:sz w:val="24"/>
                <w:highlight w:val="none"/>
              </w:rPr>
            </w:pPr>
          </w:p>
        </w:tc>
        <w:tc>
          <w:tcPr>
            <w:tcW w:w="962" w:type="dxa"/>
          </w:tcPr>
          <w:p>
            <w:pPr>
              <w:jc w:val="center"/>
              <w:rPr>
                <w:rFonts w:ascii="宋体" w:hAnsi="宋体"/>
                <w:sz w:val="24"/>
                <w:highlight w:val="none"/>
              </w:rPr>
            </w:pPr>
          </w:p>
        </w:tc>
        <w:tc>
          <w:tcPr>
            <w:tcW w:w="1326" w:type="dxa"/>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60" w:type="dxa"/>
            <w:gridSpan w:val="9"/>
            <w:vAlign w:val="center"/>
          </w:tcPr>
          <w:p>
            <w:pPr>
              <w:ind w:firstLine="415" w:firstLineChars="198"/>
              <w:rPr>
                <w:rFonts w:ascii="宋体" w:hAnsi="宋体"/>
                <w:szCs w:val="21"/>
                <w:highlight w:val="none"/>
              </w:rPr>
            </w:pPr>
            <w:r>
              <w:rPr>
                <w:rFonts w:hint="eastAsia" w:ascii="宋体" w:hAnsi="宋体"/>
                <w:szCs w:val="21"/>
                <w:highlight w:val="none"/>
              </w:rPr>
              <w:t>一旦我单位成交，将实行项目经理负责制，并配备上述项目管理机构。我方保证项数填报内容真实，若不真实，愿按有关规定接收处理。项目管理班子机构设置、职责分工等情况另付资料说明。</w:t>
            </w:r>
          </w:p>
        </w:tc>
      </w:tr>
    </w:tbl>
    <w:p>
      <w:pPr>
        <w:rPr>
          <w:rFonts w:ascii="宋体" w:hAnsi="宋体"/>
          <w:szCs w:val="21"/>
          <w:highlight w:val="none"/>
        </w:rPr>
        <w:sectPr>
          <w:headerReference r:id="rId8" w:type="first"/>
          <w:footerReference r:id="rId9" w:type="first"/>
          <w:pgSz w:w="11906" w:h="16838"/>
          <w:pgMar w:top="1247" w:right="1531" w:bottom="1134" w:left="1531" w:header="964" w:footer="964" w:gutter="0"/>
          <w:cols w:space="720" w:num="1"/>
          <w:docGrid w:linePitch="381" w:charSpace="0"/>
        </w:sectPr>
      </w:pPr>
      <w:r>
        <w:rPr>
          <w:rFonts w:hint="eastAsia" w:ascii="宋体" w:hAnsi="宋体"/>
          <w:szCs w:val="21"/>
          <w:highlight w:val="none"/>
        </w:rPr>
        <w:t>备注：应提供职称、执业或职业资格证（如果有的话）、学历、合同、社保缴纳证明、业绩等相关文件。</w:t>
      </w:r>
    </w:p>
    <w:p>
      <w:pPr>
        <w:jc w:val="center"/>
        <w:rPr>
          <w:rFonts w:ascii="宋体" w:hAnsi="宋体"/>
          <w:b/>
          <w:bCs/>
          <w:sz w:val="30"/>
          <w:highlight w:val="none"/>
        </w:rPr>
      </w:pPr>
      <w:r>
        <w:rPr>
          <w:rFonts w:hint="eastAsia" w:ascii="宋体" w:hAnsi="宋体"/>
          <w:b/>
          <w:bCs/>
          <w:sz w:val="30"/>
          <w:highlight w:val="none"/>
        </w:rPr>
        <w:t>（2）项目经理简历表</w:t>
      </w:r>
    </w:p>
    <w:tbl>
      <w:tblPr>
        <w:tblStyle w:val="4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643"/>
        <w:gridCol w:w="1546"/>
        <w:gridCol w:w="91"/>
        <w:gridCol w:w="1450"/>
        <w:gridCol w:w="964"/>
        <w:gridCol w:w="7"/>
        <w:gridCol w:w="382"/>
        <w:gridCol w:w="1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801" w:type="dxa"/>
            <w:gridSpan w:val="2"/>
            <w:vAlign w:val="center"/>
          </w:tcPr>
          <w:p>
            <w:pPr>
              <w:jc w:val="center"/>
              <w:rPr>
                <w:rFonts w:ascii="宋体" w:hAnsi="宋体"/>
                <w:szCs w:val="21"/>
                <w:highlight w:val="none"/>
              </w:rPr>
            </w:pPr>
            <w:r>
              <w:rPr>
                <w:rFonts w:hint="eastAsia" w:ascii="宋体" w:hAnsi="宋体"/>
                <w:szCs w:val="21"/>
                <w:highlight w:val="none"/>
              </w:rPr>
              <w:t>姓名</w:t>
            </w:r>
          </w:p>
        </w:tc>
        <w:tc>
          <w:tcPr>
            <w:tcW w:w="1546" w:type="dxa"/>
            <w:vAlign w:val="center"/>
          </w:tcPr>
          <w:p>
            <w:pPr>
              <w:jc w:val="center"/>
              <w:rPr>
                <w:rFonts w:ascii="宋体" w:hAnsi="宋体"/>
                <w:szCs w:val="21"/>
                <w:highlight w:val="none"/>
              </w:rPr>
            </w:pPr>
          </w:p>
        </w:tc>
        <w:tc>
          <w:tcPr>
            <w:tcW w:w="2512" w:type="dxa"/>
            <w:gridSpan w:val="4"/>
            <w:vAlign w:val="center"/>
          </w:tcPr>
          <w:p>
            <w:pPr>
              <w:jc w:val="center"/>
              <w:rPr>
                <w:rFonts w:ascii="宋体" w:hAnsi="宋体"/>
                <w:szCs w:val="21"/>
                <w:highlight w:val="none"/>
              </w:rPr>
            </w:pPr>
            <w:r>
              <w:rPr>
                <w:rFonts w:hint="eastAsia" w:ascii="宋体" w:hAnsi="宋体"/>
                <w:szCs w:val="21"/>
                <w:highlight w:val="none"/>
              </w:rPr>
              <w:t>年龄</w:t>
            </w:r>
          </w:p>
        </w:tc>
        <w:tc>
          <w:tcPr>
            <w:tcW w:w="2201" w:type="dxa"/>
            <w:gridSpan w:val="2"/>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exact"/>
        </w:trPr>
        <w:tc>
          <w:tcPr>
            <w:tcW w:w="2801" w:type="dxa"/>
            <w:gridSpan w:val="2"/>
            <w:vAlign w:val="center"/>
          </w:tcPr>
          <w:p>
            <w:pPr>
              <w:jc w:val="center"/>
              <w:rPr>
                <w:rFonts w:ascii="宋体" w:hAnsi="宋体"/>
                <w:szCs w:val="21"/>
                <w:highlight w:val="none"/>
              </w:rPr>
            </w:pPr>
            <w:r>
              <w:rPr>
                <w:rFonts w:hint="eastAsia" w:ascii="宋体" w:hAnsi="宋体"/>
                <w:szCs w:val="21"/>
                <w:highlight w:val="none"/>
              </w:rPr>
              <w:t>职称</w:t>
            </w:r>
          </w:p>
        </w:tc>
        <w:tc>
          <w:tcPr>
            <w:tcW w:w="1546" w:type="dxa"/>
            <w:vAlign w:val="center"/>
          </w:tcPr>
          <w:p>
            <w:pPr>
              <w:jc w:val="center"/>
              <w:rPr>
                <w:rFonts w:ascii="宋体" w:hAnsi="宋体"/>
                <w:szCs w:val="21"/>
                <w:highlight w:val="none"/>
              </w:rPr>
            </w:pPr>
          </w:p>
        </w:tc>
        <w:tc>
          <w:tcPr>
            <w:tcW w:w="2512" w:type="dxa"/>
            <w:gridSpan w:val="4"/>
            <w:vAlign w:val="center"/>
          </w:tcPr>
          <w:p>
            <w:pPr>
              <w:jc w:val="center"/>
              <w:rPr>
                <w:rFonts w:ascii="宋体" w:hAnsi="宋体"/>
                <w:szCs w:val="21"/>
                <w:highlight w:val="none"/>
              </w:rPr>
            </w:pPr>
            <w:r>
              <w:rPr>
                <w:rFonts w:hint="eastAsia" w:ascii="宋体" w:hAnsi="宋体"/>
                <w:szCs w:val="21"/>
                <w:highlight w:val="none"/>
              </w:rPr>
              <w:t>学历</w:t>
            </w:r>
          </w:p>
        </w:tc>
        <w:tc>
          <w:tcPr>
            <w:tcW w:w="2201" w:type="dxa"/>
            <w:gridSpan w:val="2"/>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801" w:type="dxa"/>
            <w:gridSpan w:val="2"/>
            <w:vAlign w:val="center"/>
          </w:tcPr>
          <w:p>
            <w:pPr>
              <w:jc w:val="center"/>
              <w:rPr>
                <w:rFonts w:ascii="宋体" w:hAnsi="宋体"/>
                <w:szCs w:val="21"/>
                <w:highlight w:val="none"/>
              </w:rPr>
            </w:pPr>
            <w:r>
              <w:rPr>
                <w:rFonts w:hint="eastAsia" w:ascii="宋体" w:hAnsi="宋体"/>
                <w:szCs w:val="21"/>
                <w:highlight w:val="none"/>
              </w:rPr>
              <w:t>参加工作时间</w:t>
            </w:r>
          </w:p>
        </w:tc>
        <w:tc>
          <w:tcPr>
            <w:tcW w:w="1546" w:type="dxa"/>
            <w:vAlign w:val="center"/>
          </w:tcPr>
          <w:p>
            <w:pPr>
              <w:jc w:val="center"/>
              <w:rPr>
                <w:rFonts w:ascii="宋体" w:hAnsi="宋体"/>
                <w:szCs w:val="21"/>
                <w:highlight w:val="none"/>
              </w:rPr>
            </w:pPr>
          </w:p>
        </w:tc>
        <w:tc>
          <w:tcPr>
            <w:tcW w:w="2512" w:type="dxa"/>
            <w:gridSpan w:val="4"/>
            <w:vAlign w:val="center"/>
          </w:tcPr>
          <w:p>
            <w:pPr>
              <w:jc w:val="center"/>
              <w:rPr>
                <w:rFonts w:ascii="宋体" w:hAnsi="宋体"/>
                <w:szCs w:val="21"/>
                <w:highlight w:val="none"/>
              </w:rPr>
            </w:pPr>
            <w:r>
              <w:rPr>
                <w:rFonts w:hint="eastAsia" w:ascii="宋体" w:hAnsi="宋体"/>
                <w:szCs w:val="21"/>
                <w:highlight w:val="none"/>
              </w:rPr>
              <w:t>担任项目经理年限</w:t>
            </w:r>
          </w:p>
        </w:tc>
        <w:tc>
          <w:tcPr>
            <w:tcW w:w="2201" w:type="dxa"/>
            <w:gridSpan w:val="2"/>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801" w:type="dxa"/>
            <w:gridSpan w:val="2"/>
            <w:vAlign w:val="center"/>
          </w:tcPr>
          <w:p>
            <w:pPr>
              <w:jc w:val="center"/>
              <w:rPr>
                <w:rFonts w:ascii="宋体" w:hAnsi="宋体"/>
                <w:szCs w:val="21"/>
                <w:highlight w:val="none"/>
              </w:rPr>
            </w:pPr>
            <w:r>
              <w:rPr>
                <w:rFonts w:hint="eastAsia" w:ascii="宋体" w:hAnsi="宋体"/>
                <w:szCs w:val="21"/>
                <w:highlight w:val="none"/>
              </w:rPr>
              <w:t>注册建造师执业资格等级</w:t>
            </w:r>
          </w:p>
        </w:tc>
        <w:tc>
          <w:tcPr>
            <w:tcW w:w="1546" w:type="dxa"/>
            <w:vAlign w:val="center"/>
          </w:tcPr>
          <w:p>
            <w:pPr>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级</w:t>
            </w:r>
          </w:p>
        </w:tc>
        <w:tc>
          <w:tcPr>
            <w:tcW w:w="2505" w:type="dxa"/>
            <w:gridSpan w:val="3"/>
            <w:vAlign w:val="center"/>
          </w:tcPr>
          <w:p>
            <w:pPr>
              <w:jc w:val="center"/>
              <w:rPr>
                <w:rFonts w:ascii="宋体" w:hAnsi="宋体"/>
                <w:szCs w:val="21"/>
                <w:highlight w:val="none"/>
              </w:rPr>
            </w:pPr>
            <w:r>
              <w:rPr>
                <w:rFonts w:hint="eastAsia" w:ascii="宋体" w:hAnsi="宋体"/>
                <w:szCs w:val="21"/>
                <w:highlight w:val="none"/>
              </w:rPr>
              <w:t>建造师专业</w:t>
            </w:r>
          </w:p>
        </w:tc>
        <w:tc>
          <w:tcPr>
            <w:tcW w:w="2208" w:type="dxa"/>
            <w:gridSpan w:val="3"/>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801" w:type="dxa"/>
            <w:gridSpan w:val="2"/>
            <w:vAlign w:val="center"/>
          </w:tcPr>
          <w:p>
            <w:pPr>
              <w:jc w:val="center"/>
              <w:rPr>
                <w:rFonts w:ascii="宋体" w:hAnsi="宋体"/>
                <w:szCs w:val="21"/>
                <w:highlight w:val="none"/>
              </w:rPr>
            </w:pPr>
            <w:r>
              <w:rPr>
                <w:rFonts w:hint="eastAsia" w:ascii="宋体" w:hAnsi="宋体"/>
                <w:szCs w:val="21"/>
                <w:highlight w:val="none"/>
              </w:rPr>
              <w:t>安全生产考核合格证书</w:t>
            </w:r>
          </w:p>
        </w:tc>
        <w:tc>
          <w:tcPr>
            <w:tcW w:w="6259" w:type="dxa"/>
            <w:gridSpan w:val="7"/>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801" w:type="dxa"/>
            <w:gridSpan w:val="2"/>
            <w:vAlign w:val="center"/>
          </w:tcPr>
          <w:p>
            <w:pPr>
              <w:jc w:val="center"/>
              <w:rPr>
                <w:rFonts w:ascii="宋体" w:hAnsi="宋体"/>
                <w:szCs w:val="21"/>
                <w:highlight w:val="none"/>
              </w:rPr>
            </w:pPr>
            <w:r>
              <w:rPr>
                <w:rFonts w:hint="eastAsia" w:ascii="宋体" w:hAnsi="宋体"/>
                <w:szCs w:val="21"/>
                <w:highlight w:val="none"/>
              </w:rPr>
              <w:t>毕业学校</w:t>
            </w:r>
          </w:p>
        </w:tc>
        <w:tc>
          <w:tcPr>
            <w:tcW w:w="6259" w:type="dxa"/>
            <w:gridSpan w:val="7"/>
            <w:vAlign w:val="center"/>
          </w:tcPr>
          <w:p>
            <w:pP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年毕业于</w:t>
            </w:r>
            <w:r>
              <w:rPr>
                <w:rFonts w:hint="eastAsia" w:ascii="宋体" w:hAnsi="宋体"/>
                <w:szCs w:val="21"/>
                <w:highlight w:val="none"/>
                <w:u w:val="single"/>
              </w:rPr>
              <w:t xml:space="preserve">              </w:t>
            </w:r>
            <w:r>
              <w:rPr>
                <w:rFonts w:hint="eastAsia" w:ascii="宋体" w:hAnsi="宋体"/>
                <w:szCs w:val="21"/>
                <w:highlight w:val="none"/>
              </w:rPr>
              <w:t>（学校）</w:t>
            </w:r>
            <w:r>
              <w:rPr>
                <w:rFonts w:hint="eastAsia" w:ascii="宋体" w:hAnsi="宋体"/>
                <w:szCs w:val="21"/>
                <w:highlight w:val="none"/>
                <w:u w:val="single"/>
              </w:rPr>
              <w:t xml:space="preserve">         </w:t>
            </w:r>
            <w:r>
              <w:rPr>
                <w:rFonts w:hint="eastAsia" w:ascii="宋体" w:hAnsi="宋体"/>
                <w:szCs w:val="21"/>
                <w:highlight w:val="none"/>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9060" w:type="dxa"/>
            <w:gridSpan w:val="9"/>
            <w:vAlign w:val="center"/>
          </w:tcPr>
          <w:p>
            <w:pPr>
              <w:jc w:val="center"/>
              <w:rPr>
                <w:rFonts w:ascii="宋体" w:hAnsi="宋体"/>
                <w:szCs w:val="21"/>
                <w:highlight w:val="none"/>
              </w:rPr>
            </w:pPr>
            <w:r>
              <w:rPr>
                <w:rFonts w:hint="eastAsia" w:ascii="宋体" w:hAnsi="宋体"/>
                <w:szCs w:val="21"/>
                <w:highlight w:val="none"/>
              </w:rPr>
              <w:t>在建和已完成工程项目情况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Cs w:val="21"/>
                <w:highlight w:val="none"/>
              </w:rPr>
            </w:pPr>
            <w:r>
              <w:rPr>
                <w:rFonts w:hint="eastAsia" w:ascii="宋体" w:hAnsi="宋体"/>
                <w:szCs w:val="21"/>
                <w:highlight w:val="none"/>
              </w:rPr>
              <w:t>建设单位</w:t>
            </w:r>
          </w:p>
        </w:tc>
        <w:tc>
          <w:tcPr>
            <w:tcW w:w="1643" w:type="dxa"/>
            <w:vAlign w:val="center"/>
          </w:tcPr>
          <w:p>
            <w:pPr>
              <w:jc w:val="center"/>
              <w:rPr>
                <w:rFonts w:ascii="宋体" w:hAnsi="宋体"/>
                <w:szCs w:val="21"/>
                <w:highlight w:val="none"/>
              </w:rPr>
            </w:pPr>
            <w:r>
              <w:rPr>
                <w:rFonts w:hint="eastAsia" w:ascii="宋体" w:hAnsi="宋体"/>
                <w:szCs w:val="21"/>
                <w:highlight w:val="none"/>
              </w:rPr>
              <w:t>项目名称</w:t>
            </w:r>
          </w:p>
        </w:tc>
        <w:tc>
          <w:tcPr>
            <w:tcW w:w="1637" w:type="dxa"/>
            <w:gridSpan w:val="2"/>
            <w:vAlign w:val="center"/>
          </w:tcPr>
          <w:p>
            <w:pPr>
              <w:jc w:val="center"/>
              <w:rPr>
                <w:rFonts w:ascii="宋体" w:hAnsi="宋体"/>
                <w:szCs w:val="21"/>
                <w:highlight w:val="none"/>
              </w:rPr>
            </w:pPr>
            <w:r>
              <w:rPr>
                <w:rFonts w:hint="eastAsia" w:ascii="宋体" w:hAnsi="宋体"/>
                <w:szCs w:val="21"/>
                <w:highlight w:val="none"/>
              </w:rPr>
              <w:t>建设规模</w:t>
            </w:r>
          </w:p>
        </w:tc>
        <w:tc>
          <w:tcPr>
            <w:tcW w:w="1450" w:type="dxa"/>
            <w:vAlign w:val="center"/>
          </w:tcPr>
          <w:p>
            <w:pPr>
              <w:jc w:val="center"/>
              <w:rPr>
                <w:rFonts w:ascii="宋体" w:hAnsi="宋体"/>
                <w:szCs w:val="21"/>
                <w:highlight w:val="none"/>
              </w:rPr>
            </w:pPr>
            <w:r>
              <w:rPr>
                <w:rFonts w:hint="eastAsia" w:ascii="宋体" w:hAnsi="宋体"/>
                <w:szCs w:val="21"/>
                <w:highlight w:val="none"/>
              </w:rPr>
              <w:t>开、竣工日期</w:t>
            </w:r>
          </w:p>
        </w:tc>
        <w:tc>
          <w:tcPr>
            <w:tcW w:w="1353" w:type="dxa"/>
            <w:gridSpan w:val="3"/>
            <w:vAlign w:val="center"/>
          </w:tcPr>
          <w:p>
            <w:pPr>
              <w:jc w:val="center"/>
              <w:rPr>
                <w:rFonts w:ascii="宋体" w:hAnsi="宋体"/>
                <w:szCs w:val="21"/>
                <w:highlight w:val="none"/>
              </w:rPr>
            </w:pPr>
            <w:r>
              <w:rPr>
                <w:rFonts w:hint="eastAsia" w:ascii="宋体" w:hAnsi="宋体"/>
                <w:szCs w:val="21"/>
                <w:highlight w:val="none"/>
              </w:rPr>
              <w:t>在建或已完</w:t>
            </w:r>
          </w:p>
        </w:tc>
        <w:tc>
          <w:tcPr>
            <w:tcW w:w="1819" w:type="dxa"/>
            <w:vAlign w:val="center"/>
          </w:tcPr>
          <w:p>
            <w:pPr>
              <w:jc w:val="center"/>
              <w:rPr>
                <w:rFonts w:ascii="宋体" w:hAnsi="宋体"/>
                <w:szCs w:val="21"/>
                <w:highlight w:val="none"/>
              </w:rPr>
            </w:pPr>
            <w:r>
              <w:rPr>
                <w:rFonts w:hint="eastAsia" w:ascii="宋体" w:hAnsi="宋体"/>
                <w:szCs w:val="21"/>
                <w:highlight w:val="none"/>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158" w:type="dxa"/>
            <w:vAlign w:val="center"/>
          </w:tcPr>
          <w:p>
            <w:pPr>
              <w:jc w:val="center"/>
              <w:rPr>
                <w:rFonts w:ascii="宋体" w:hAnsi="宋体"/>
                <w:sz w:val="24"/>
                <w:highlight w:val="none"/>
              </w:rPr>
            </w:pPr>
          </w:p>
        </w:tc>
        <w:tc>
          <w:tcPr>
            <w:tcW w:w="1643" w:type="dxa"/>
            <w:vAlign w:val="center"/>
          </w:tcPr>
          <w:p>
            <w:pPr>
              <w:jc w:val="center"/>
              <w:rPr>
                <w:rFonts w:ascii="宋体" w:hAnsi="宋体"/>
                <w:sz w:val="24"/>
                <w:highlight w:val="none"/>
              </w:rPr>
            </w:pPr>
          </w:p>
        </w:tc>
        <w:tc>
          <w:tcPr>
            <w:tcW w:w="1637" w:type="dxa"/>
            <w:gridSpan w:val="2"/>
            <w:vAlign w:val="center"/>
          </w:tcPr>
          <w:p>
            <w:pPr>
              <w:jc w:val="center"/>
              <w:rPr>
                <w:rFonts w:ascii="宋体" w:hAnsi="宋体"/>
                <w:sz w:val="24"/>
                <w:highlight w:val="none"/>
              </w:rPr>
            </w:pPr>
          </w:p>
        </w:tc>
        <w:tc>
          <w:tcPr>
            <w:tcW w:w="1450" w:type="dxa"/>
            <w:vAlign w:val="center"/>
          </w:tcPr>
          <w:p>
            <w:pPr>
              <w:jc w:val="center"/>
              <w:rPr>
                <w:rFonts w:ascii="宋体" w:hAnsi="宋体"/>
                <w:sz w:val="24"/>
                <w:highlight w:val="none"/>
              </w:rPr>
            </w:pPr>
          </w:p>
        </w:tc>
        <w:tc>
          <w:tcPr>
            <w:tcW w:w="1353" w:type="dxa"/>
            <w:gridSpan w:val="3"/>
            <w:vAlign w:val="center"/>
          </w:tcPr>
          <w:p>
            <w:pPr>
              <w:jc w:val="center"/>
              <w:rPr>
                <w:rFonts w:ascii="宋体" w:hAnsi="宋体"/>
                <w:sz w:val="24"/>
                <w:highlight w:val="none"/>
              </w:rPr>
            </w:pPr>
          </w:p>
        </w:tc>
        <w:tc>
          <w:tcPr>
            <w:tcW w:w="1819" w:type="dxa"/>
            <w:vAlign w:val="center"/>
          </w:tcPr>
          <w:p>
            <w:pPr>
              <w:jc w:val="center"/>
              <w:rPr>
                <w:rFonts w:ascii="宋体" w:hAnsi="宋体"/>
                <w:sz w:val="24"/>
                <w:highlight w:val="none"/>
              </w:rPr>
            </w:pPr>
          </w:p>
        </w:tc>
      </w:tr>
    </w:tbl>
    <w:p>
      <w:pPr>
        <w:rPr>
          <w:rFonts w:ascii="宋体" w:hAnsi="宋体"/>
          <w:szCs w:val="21"/>
          <w:highlight w:val="none"/>
        </w:rPr>
      </w:pPr>
      <w:r>
        <w:rPr>
          <w:rFonts w:hint="eastAsia" w:ascii="宋体" w:hAnsi="宋体"/>
          <w:szCs w:val="21"/>
          <w:highlight w:val="none"/>
        </w:rPr>
        <w:t>备注：应附建造师资格证书（如有）、注册执业证书、安全生产考核合格证书（</w:t>
      </w:r>
      <w:r>
        <w:rPr>
          <w:rFonts w:ascii="宋体" w:hAnsi="宋体"/>
          <w:szCs w:val="21"/>
          <w:highlight w:val="none"/>
        </w:rPr>
        <w:t>B</w:t>
      </w:r>
      <w:r>
        <w:rPr>
          <w:rFonts w:hint="eastAsia" w:ascii="宋体" w:hAnsi="宋体"/>
          <w:szCs w:val="21"/>
          <w:highlight w:val="none"/>
        </w:rPr>
        <w:t>证）、身份证、职称证、学历证、社会保险复印件及未担任其他在施建设工程项目项目经理的</w:t>
      </w:r>
    </w:p>
    <w:p>
      <w:pPr>
        <w:autoSpaceDE w:val="0"/>
        <w:autoSpaceDN w:val="0"/>
        <w:adjustRightInd w:val="0"/>
        <w:jc w:val="left"/>
        <w:rPr>
          <w:rFonts w:ascii="宋体" w:hAnsi="宋体"/>
          <w:szCs w:val="21"/>
          <w:highlight w:val="none"/>
        </w:rPr>
      </w:pPr>
      <w:r>
        <w:rPr>
          <w:rFonts w:hint="eastAsia" w:ascii="宋体" w:hAnsi="宋体"/>
          <w:szCs w:val="21"/>
          <w:highlight w:val="none"/>
        </w:rPr>
        <w:t>承诺书，类似项目限于以项目经理身份参与的项目，须附成交通知书和（或）合同协议</w:t>
      </w:r>
    </w:p>
    <w:p>
      <w:pPr>
        <w:rPr>
          <w:rFonts w:ascii="宋体" w:hAnsi="宋体"/>
          <w:szCs w:val="21"/>
          <w:highlight w:val="none"/>
        </w:rPr>
      </w:pPr>
      <w:r>
        <w:rPr>
          <w:rFonts w:hint="eastAsia" w:ascii="宋体" w:hAnsi="宋体"/>
          <w:szCs w:val="21"/>
          <w:highlight w:val="none"/>
        </w:rPr>
        <w:t>书、工程接收证书或工程竣工验收证书（工程竣工验收备案证）复印件。</w:t>
      </w:r>
    </w:p>
    <w:p>
      <w:pPr>
        <w:rPr>
          <w:rFonts w:ascii="宋体" w:hAnsi="宋体"/>
          <w:sz w:val="24"/>
          <w:highlight w:val="none"/>
        </w:rPr>
      </w:pPr>
    </w:p>
    <w:p>
      <w:pPr>
        <w:widowControl/>
        <w:jc w:val="left"/>
        <w:rPr>
          <w:rFonts w:ascii="宋体" w:hAnsi="宋体"/>
          <w:sz w:val="24"/>
          <w:highlight w:val="none"/>
        </w:rPr>
      </w:pPr>
      <w:r>
        <w:rPr>
          <w:rFonts w:ascii="宋体" w:hAnsi="宋体"/>
          <w:sz w:val="24"/>
          <w:highlight w:val="none"/>
        </w:rPr>
        <w:br w:type="page"/>
      </w:r>
    </w:p>
    <w:p>
      <w:pPr>
        <w:autoSpaceDE w:val="0"/>
        <w:autoSpaceDN w:val="0"/>
        <w:adjustRightInd w:val="0"/>
        <w:jc w:val="center"/>
        <w:rPr>
          <w:rFonts w:ascii="黑体" w:eastAsia="黑体" w:cs="黑体"/>
          <w:kern w:val="0"/>
          <w:sz w:val="32"/>
          <w:szCs w:val="32"/>
          <w:highlight w:val="none"/>
        </w:rPr>
      </w:pPr>
      <w:r>
        <w:rPr>
          <w:rFonts w:hint="eastAsia" w:ascii="黑体" w:eastAsia="黑体" w:cs="黑体"/>
          <w:kern w:val="0"/>
          <w:sz w:val="32"/>
          <w:szCs w:val="32"/>
          <w:highlight w:val="none"/>
        </w:rPr>
        <w:t>承  诺  书</w:t>
      </w:r>
    </w:p>
    <w:p>
      <w:pPr>
        <w:autoSpaceDE w:val="0"/>
        <w:autoSpaceDN w:val="0"/>
        <w:adjustRightInd w:val="0"/>
        <w:snapToGrid w:val="0"/>
        <w:spacing w:line="324" w:lineRule="auto"/>
        <w:jc w:val="left"/>
        <w:rPr>
          <w:rFonts w:ascii="宋体" w:hAnsi="宋体"/>
          <w:sz w:val="24"/>
          <w:highlight w:val="none"/>
        </w:rPr>
      </w:pPr>
    </w:p>
    <w:p>
      <w:pPr>
        <w:autoSpaceDE w:val="0"/>
        <w:autoSpaceDN w:val="0"/>
        <w:adjustRightInd w:val="0"/>
        <w:snapToGrid w:val="0"/>
        <w:spacing w:line="360" w:lineRule="auto"/>
        <w:jc w:val="left"/>
        <w:rPr>
          <w:rFonts w:ascii="宋体" w:hAnsi="宋体"/>
          <w:szCs w:val="21"/>
          <w:highlight w:val="none"/>
        </w:rPr>
      </w:pPr>
      <w:r>
        <w:rPr>
          <w:rFonts w:hint="eastAsia" w:ascii="宋体" w:hAnsi="宋体"/>
          <w:szCs w:val="21"/>
          <w:highlight w:val="none"/>
          <w:u w:val="single"/>
        </w:rPr>
        <w:t>（采购人名称）</w:t>
      </w:r>
      <w:r>
        <w:rPr>
          <w:rFonts w:hint="eastAsia" w:ascii="宋体" w:hAnsi="宋体"/>
          <w:szCs w:val="21"/>
          <w:highlight w:val="none"/>
        </w:rPr>
        <w:t>：</w:t>
      </w:r>
    </w:p>
    <w:p>
      <w:pPr>
        <w:autoSpaceDE w:val="0"/>
        <w:autoSpaceDN w:val="0"/>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我方在此声明，我方拟派往</w:t>
      </w:r>
      <w:r>
        <w:rPr>
          <w:rFonts w:hint="eastAsia" w:ascii="宋体" w:hAnsi="宋体"/>
          <w:szCs w:val="21"/>
          <w:highlight w:val="none"/>
          <w:u w:val="single"/>
        </w:rPr>
        <w:t>（项目名称）</w:t>
      </w:r>
      <w:r>
        <w:rPr>
          <w:rFonts w:hint="eastAsia" w:ascii="宋体" w:hAnsi="宋体"/>
          <w:szCs w:val="21"/>
          <w:highlight w:val="none"/>
        </w:rPr>
        <w:t>（以下简称“本工程”）的项目经理</w:t>
      </w:r>
      <w:r>
        <w:rPr>
          <w:rFonts w:hint="eastAsia" w:ascii="宋体" w:hAnsi="宋体"/>
          <w:szCs w:val="21"/>
          <w:highlight w:val="none"/>
          <w:u w:val="single"/>
        </w:rPr>
        <w:t>（项目经理姓名）</w:t>
      </w:r>
      <w:r>
        <w:rPr>
          <w:rFonts w:hint="eastAsia" w:ascii="宋体" w:hAnsi="宋体"/>
          <w:szCs w:val="21"/>
          <w:highlight w:val="none"/>
        </w:rPr>
        <w:t>现阶段没有担任任何在施建设工程项目的项目经理。</w:t>
      </w:r>
    </w:p>
    <w:p>
      <w:pPr>
        <w:autoSpaceDE w:val="0"/>
        <w:autoSpaceDN w:val="0"/>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我方保证上述信息的真实和准确，并愿意承担因我方就此弄虚作假所引起的一切法律后果。</w:t>
      </w:r>
    </w:p>
    <w:p>
      <w:pPr>
        <w:autoSpaceDE w:val="0"/>
        <w:autoSpaceDN w:val="0"/>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rPr>
        <w:t>特此承诺。</w:t>
      </w:r>
    </w:p>
    <w:p>
      <w:pPr>
        <w:autoSpaceDE w:val="0"/>
        <w:autoSpaceDN w:val="0"/>
        <w:adjustRightInd w:val="0"/>
        <w:snapToGrid w:val="0"/>
        <w:spacing w:line="360" w:lineRule="auto"/>
        <w:jc w:val="left"/>
        <w:rPr>
          <w:rFonts w:ascii="宋体" w:hAnsi="宋体"/>
          <w:szCs w:val="21"/>
          <w:highlight w:val="none"/>
        </w:rPr>
      </w:pPr>
    </w:p>
    <w:p>
      <w:pPr>
        <w:autoSpaceDE w:val="0"/>
        <w:autoSpaceDN w:val="0"/>
        <w:adjustRightInd w:val="0"/>
        <w:snapToGrid w:val="0"/>
        <w:spacing w:line="360" w:lineRule="auto"/>
        <w:jc w:val="left"/>
        <w:rPr>
          <w:rFonts w:ascii="宋体" w:hAnsi="宋体"/>
          <w:szCs w:val="21"/>
          <w:highlight w:val="none"/>
        </w:rPr>
      </w:pPr>
    </w:p>
    <w:p>
      <w:pPr>
        <w:autoSpaceDE w:val="0"/>
        <w:autoSpaceDN w:val="0"/>
        <w:adjustRightInd w:val="0"/>
        <w:snapToGrid w:val="0"/>
        <w:spacing w:line="360" w:lineRule="auto"/>
        <w:ind w:firstLine="420" w:firstLineChars="200"/>
        <w:jc w:val="left"/>
        <w:rPr>
          <w:rFonts w:ascii="宋体" w:hAnsi="宋体"/>
          <w:szCs w:val="21"/>
          <w:highlight w:val="none"/>
          <w:u w:val="single"/>
        </w:rPr>
      </w:pPr>
      <w:r>
        <w:rPr>
          <w:rFonts w:hint="eastAsia" w:ascii="宋体" w:hAnsi="宋体"/>
          <w:szCs w:val="21"/>
          <w:highlight w:val="none"/>
        </w:rPr>
        <w:t>供应商：</w:t>
      </w:r>
      <w:r>
        <w:rPr>
          <w:rFonts w:ascii="宋体" w:hAnsi="宋体"/>
          <w:szCs w:val="21"/>
          <w:highlight w:val="none"/>
          <w:u w:val="single"/>
        </w:rPr>
        <w:t xml:space="preserve"> </w:t>
      </w:r>
      <w:r>
        <w:rPr>
          <w:rFonts w:hint="eastAsia" w:ascii="宋体" w:hAnsi="宋体"/>
          <w:szCs w:val="21"/>
          <w:highlight w:val="none"/>
          <w:u w:val="single"/>
        </w:rPr>
        <w:t>（盖单位章）</w:t>
      </w:r>
    </w:p>
    <w:p>
      <w:pPr>
        <w:autoSpaceDE w:val="0"/>
        <w:autoSpaceDN w:val="0"/>
        <w:adjustRightInd w:val="0"/>
        <w:snapToGrid w:val="0"/>
        <w:spacing w:line="360" w:lineRule="auto"/>
        <w:jc w:val="left"/>
        <w:rPr>
          <w:rFonts w:ascii="宋体" w:hAnsi="宋体"/>
          <w:szCs w:val="21"/>
          <w:highlight w:val="none"/>
        </w:rPr>
      </w:pPr>
    </w:p>
    <w:p>
      <w:pPr>
        <w:autoSpaceDE w:val="0"/>
        <w:autoSpaceDN w:val="0"/>
        <w:adjustRightInd w:val="0"/>
        <w:snapToGrid w:val="0"/>
        <w:spacing w:line="360" w:lineRule="auto"/>
        <w:ind w:firstLine="420" w:firstLineChars="200"/>
        <w:jc w:val="left"/>
        <w:rPr>
          <w:rFonts w:ascii="宋体" w:hAnsi="宋体"/>
          <w:szCs w:val="21"/>
          <w:highlight w:val="none"/>
          <w:u w:val="single"/>
        </w:rPr>
      </w:pPr>
      <w:r>
        <w:rPr>
          <w:rFonts w:hint="eastAsia" w:ascii="宋体" w:hAnsi="宋体"/>
          <w:szCs w:val="21"/>
          <w:highlight w:val="none"/>
        </w:rPr>
        <w:t>法定代表人或其委托代理人：</w:t>
      </w:r>
      <w:r>
        <w:rPr>
          <w:rFonts w:ascii="宋体" w:hAnsi="宋体"/>
          <w:szCs w:val="21"/>
          <w:highlight w:val="none"/>
          <w:u w:val="single"/>
        </w:rPr>
        <w:t xml:space="preserve"> </w:t>
      </w:r>
      <w:r>
        <w:rPr>
          <w:rFonts w:hint="eastAsia" w:ascii="宋体" w:hAnsi="宋体"/>
          <w:szCs w:val="21"/>
          <w:highlight w:val="none"/>
          <w:u w:val="single"/>
        </w:rPr>
        <w:t>（签字）</w:t>
      </w:r>
    </w:p>
    <w:p>
      <w:pPr>
        <w:widowControl/>
        <w:snapToGrid w:val="0"/>
        <w:spacing w:line="360" w:lineRule="auto"/>
        <w:ind w:firstLine="420" w:firstLineChars="200"/>
        <w:jc w:val="left"/>
        <w:rPr>
          <w:rFonts w:ascii="宋体" w:hAnsi="宋体"/>
          <w:szCs w:val="21"/>
          <w:highlight w:val="none"/>
        </w:rPr>
      </w:pPr>
    </w:p>
    <w:p>
      <w:pPr>
        <w:widowControl/>
        <w:snapToGrid w:val="0"/>
        <w:spacing w:line="360" w:lineRule="auto"/>
        <w:ind w:firstLine="840" w:firstLineChars="400"/>
        <w:jc w:val="left"/>
        <w:rPr>
          <w:rFonts w:ascii="宋体" w:hAnsi="宋体"/>
          <w:szCs w:val="21"/>
          <w:highlight w:val="none"/>
        </w:rPr>
      </w:pPr>
      <w:r>
        <w:rPr>
          <w:rFonts w:hint="eastAsia" w:ascii="宋体" w:hAnsi="宋体"/>
          <w:szCs w:val="21"/>
          <w:highlight w:val="none"/>
        </w:rPr>
        <w:t>年   月     日</w:t>
      </w:r>
      <w:r>
        <w:rPr>
          <w:rFonts w:ascii="宋体" w:hAnsi="宋体"/>
          <w:szCs w:val="21"/>
          <w:highlight w:val="none"/>
        </w:rPr>
        <w:br w:type="page"/>
      </w:r>
    </w:p>
    <w:p>
      <w:pPr>
        <w:snapToGrid w:val="0"/>
        <w:spacing w:line="360" w:lineRule="auto"/>
        <w:jc w:val="center"/>
        <w:rPr>
          <w:rFonts w:ascii="宋体" w:hAnsi="宋体"/>
          <w:sz w:val="24"/>
          <w:highlight w:val="none"/>
        </w:rPr>
        <w:sectPr>
          <w:pgSz w:w="11906" w:h="16838"/>
          <w:pgMar w:top="1247" w:right="1531" w:bottom="1134" w:left="1531" w:header="964" w:footer="964" w:gutter="0"/>
          <w:cols w:space="720" w:num="1"/>
          <w:titlePg/>
          <w:docGrid w:linePitch="381" w:charSpace="0"/>
        </w:sectPr>
      </w:pPr>
    </w:p>
    <w:p>
      <w:pPr>
        <w:jc w:val="center"/>
        <w:rPr>
          <w:rFonts w:ascii="宋体" w:hAnsi="宋体"/>
          <w:b/>
          <w:bCs/>
          <w:sz w:val="30"/>
          <w:highlight w:val="none"/>
        </w:rPr>
      </w:pPr>
      <w:r>
        <w:rPr>
          <w:rFonts w:hint="eastAsia" w:ascii="宋体" w:hAnsi="宋体"/>
          <w:b/>
          <w:bCs/>
          <w:sz w:val="30"/>
          <w:highlight w:val="none"/>
        </w:rPr>
        <w:t>（3）其他项目人员简历表</w:t>
      </w:r>
    </w:p>
    <w:p>
      <w:pPr>
        <w:jc w:val="center"/>
        <w:rPr>
          <w:rFonts w:ascii="宋体" w:hAnsi="宋体"/>
          <w:b/>
          <w:bCs/>
          <w:sz w:val="30"/>
          <w:highlight w:val="none"/>
        </w:rPr>
      </w:pPr>
    </w:p>
    <w:tbl>
      <w:tblPr>
        <w:tblStyle w:val="4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968"/>
        <w:gridCol w:w="2098"/>
        <w:gridCol w:w="1600"/>
        <w:gridCol w:w="2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835" w:type="dxa"/>
            <w:vAlign w:val="center"/>
          </w:tcPr>
          <w:p>
            <w:pPr>
              <w:jc w:val="center"/>
              <w:rPr>
                <w:rFonts w:ascii="宋体" w:hAnsi="宋体"/>
                <w:szCs w:val="21"/>
                <w:highlight w:val="none"/>
              </w:rPr>
            </w:pPr>
            <w:r>
              <w:rPr>
                <w:rFonts w:hint="eastAsia" w:ascii="宋体" w:hAnsi="宋体"/>
                <w:szCs w:val="21"/>
                <w:highlight w:val="none"/>
              </w:rPr>
              <w:t>姓名</w:t>
            </w:r>
          </w:p>
        </w:tc>
        <w:tc>
          <w:tcPr>
            <w:tcW w:w="3066" w:type="dxa"/>
            <w:gridSpan w:val="2"/>
            <w:vAlign w:val="center"/>
          </w:tcPr>
          <w:p>
            <w:pPr>
              <w:jc w:val="center"/>
              <w:rPr>
                <w:rFonts w:ascii="宋体" w:hAnsi="宋体"/>
                <w:szCs w:val="21"/>
                <w:highlight w:val="none"/>
              </w:rPr>
            </w:pPr>
          </w:p>
        </w:tc>
        <w:tc>
          <w:tcPr>
            <w:tcW w:w="1600" w:type="dxa"/>
            <w:vAlign w:val="center"/>
          </w:tcPr>
          <w:p>
            <w:pPr>
              <w:jc w:val="center"/>
              <w:rPr>
                <w:rFonts w:ascii="宋体" w:hAnsi="宋体"/>
                <w:szCs w:val="21"/>
                <w:highlight w:val="none"/>
              </w:rPr>
            </w:pPr>
            <w:r>
              <w:rPr>
                <w:rFonts w:hint="eastAsia" w:ascii="宋体" w:hAnsi="宋体"/>
                <w:szCs w:val="21"/>
                <w:highlight w:val="none"/>
              </w:rPr>
              <w:t>年龄</w:t>
            </w:r>
          </w:p>
        </w:tc>
        <w:tc>
          <w:tcPr>
            <w:tcW w:w="2559" w:type="dxa"/>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835" w:type="dxa"/>
            <w:vAlign w:val="center"/>
          </w:tcPr>
          <w:p>
            <w:pPr>
              <w:jc w:val="center"/>
              <w:rPr>
                <w:rFonts w:ascii="宋体" w:hAnsi="宋体"/>
                <w:szCs w:val="21"/>
                <w:highlight w:val="none"/>
              </w:rPr>
            </w:pPr>
            <w:r>
              <w:rPr>
                <w:rFonts w:hint="eastAsia" w:ascii="宋体" w:hAnsi="宋体"/>
                <w:szCs w:val="21"/>
                <w:highlight w:val="none"/>
              </w:rPr>
              <w:t>性别</w:t>
            </w:r>
          </w:p>
        </w:tc>
        <w:tc>
          <w:tcPr>
            <w:tcW w:w="3066" w:type="dxa"/>
            <w:gridSpan w:val="2"/>
            <w:vAlign w:val="center"/>
          </w:tcPr>
          <w:p>
            <w:pPr>
              <w:jc w:val="center"/>
              <w:rPr>
                <w:rFonts w:ascii="宋体" w:hAnsi="宋体"/>
                <w:szCs w:val="21"/>
                <w:highlight w:val="none"/>
              </w:rPr>
            </w:pPr>
          </w:p>
        </w:tc>
        <w:tc>
          <w:tcPr>
            <w:tcW w:w="1600" w:type="dxa"/>
            <w:vAlign w:val="center"/>
          </w:tcPr>
          <w:p>
            <w:pPr>
              <w:jc w:val="center"/>
              <w:rPr>
                <w:rFonts w:ascii="宋体" w:hAnsi="宋体"/>
                <w:szCs w:val="21"/>
                <w:highlight w:val="none"/>
              </w:rPr>
            </w:pPr>
            <w:r>
              <w:rPr>
                <w:rFonts w:hint="eastAsia" w:ascii="宋体" w:hAnsi="宋体"/>
                <w:szCs w:val="21"/>
                <w:highlight w:val="none"/>
              </w:rPr>
              <w:t>毕业学校</w:t>
            </w:r>
          </w:p>
        </w:tc>
        <w:tc>
          <w:tcPr>
            <w:tcW w:w="2559" w:type="dxa"/>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835" w:type="dxa"/>
            <w:vAlign w:val="center"/>
          </w:tcPr>
          <w:p>
            <w:pPr>
              <w:jc w:val="center"/>
              <w:rPr>
                <w:rFonts w:ascii="宋体" w:hAnsi="宋体"/>
                <w:szCs w:val="21"/>
                <w:highlight w:val="none"/>
              </w:rPr>
            </w:pPr>
            <w:r>
              <w:rPr>
                <w:rFonts w:hint="eastAsia" w:ascii="宋体" w:hAnsi="宋体"/>
                <w:szCs w:val="21"/>
                <w:highlight w:val="none"/>
              </w:rPr>
              <w:t>学历和专业</w:t>
            </w:r>
          </w:p>
        </w:tc>
        <w:tc>
          <w:tcPr>
            <w:tcW w:w="3066" w:type="dxa"/>
            <w:gridSpan w:val="2"/>
            <w:vAlign w:val="center"/>
          </w:tcPr>
          <w:p>
            <w:pPr>
              <w:jc w:val="center"/>
              <w:rPr>
                <w:rFonts w:ascii="宋体" w:hAnsi="宋体"/>
                <w:szCs w:val="21"/>
                <w:highlight w:val="none"/>
              </w:rPr>
            </w:pPr>
          </w:p>
        </w:tc>
        <w:tc>
          <w:tcPr>
            <w:tcW w:w="1600" w:type="dxa"/>
            <w:vAlign w:val="center"/>
          </w:tcPr>
          <w:p>
            <w:pPr>
              <w:jc w:val="center"/>
              <w:rPr>
                <w:rFonts w:ascii="宋体" w:hAnsi="宋体"/>
                <w:szCs w:val="21"/>
                <w:highlight w:val="none"/>
              </w:rPr>
            </w:pPr>
            <w:r>
              <w:rPr>
                <w:rFonts w:hint="eastAsia" w:ascii="宋体" w:hAnsi="宋体"/>
                <w:szCs w:val="21"/>
                <w:highlight w:val="none"/>
              </w:rPr>
              <w:t>毕业时间</w:t>
            </w:r>
          </w:p>
        </w:tc>
        <w:tc>
          <w:tcPr>
            <w:tcW w:w="2559" w:type="dxa"/>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835" w:type="dxa"/>
            <w:vAlign w:val="center"/>
          </w:tcPr>
          <w:p>
            <w:pPr>
              <w:jc w:val="center"/>
              <w:rPr>
                <w:rFonts w:ascii="宋体" w:hAnsi="宋体"/>
                <w:szCs w:val="21"/>
                <w:highlight w:val="none"/>
              </w:rPr>
            </w:pPr>
            <w:r>
              <w:rPr>
                <w:rFonts w:hint="eastAsia" w:ascii="宋体" w:hAnsi="宋体"/>
                <w:szCs w:val="21"/>
                <w:highlight w:val="none"/>
              </w:rPr>
              <w:t>执业/岗位资格</w:t>
            </w:r>
          </w:p>
        </w:tc>
        <w:tc>
          <w:tcPr>
            <w:tcW w:w="3066" w:type="dxa"/>
            <w:gridSpan w:val="2"/>
            <w:vAlign w:val="center"/>
          </w:tcPr>
          <w:p>
            <w:pPr>
              <w:jc w:val="center"/>
              <w:rPr>
                <w:rFonts w:ascii="宋体" w:hAnsi="宋体"/>
                <w:szCs w:val="21"/>
                <w:highlight w:val="none"/>
              </w:rPr>
            </w:pPr>
          </w:p>
        </w:tc>
        <w:tc>
          <w:tcPr>
            <w:tcW w:w="1600" w:type="dxa"/>
            <w:vAlign w:val="center"/>
          </w:tcPr>
          <w:p>
            <w:pPr>
              <w:jc w:val="center"/>
              <w:rPr>
                <w:rFonts w:ascii="宋体" w:hAnsi="宋体"/>
                <w:szCs w:val="21"/>
                <w:highlight w:val="none"/>
              </w:rPr>
            </w:pPr>
            <w:r>
              <w:rPr>
                <w:rFonts w:hint="eastAsia" w:ascii="宋体" w:hAnsi="宋体"/>
                <w:szCs w:val="21"/>
                <w:highlight w:val="none"/>
              </w:rPr>
              <w:t>职称</w:t>
            </w:r>
          </w:p>
        </w:tc>
        <w:tc>
          <w:tcPr>
            <w:tcW w:w="2559" w:type="dxa"/>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835" w:type="dxa"/>
            <w:vAlign w:val="center"/>
          </w:tcPr>
          <w:p>
            <w:pPr>
              <w:jc w:val="center"/>
              <w:rPr>
                <w:rFonts w:ascii="宋体" w:hAnsi="宋体"/>
                <w:szCs w:val="21"/>
                <w:highlight w:val="none"/>
              </w:rPr>
            </w:pPr>
            <w:r>
              <w:rPr>
                <w:rFonts w:hint="eastAsia" w:ascii="宋体" w:hAnsi="宋体"/>
                <w:szCs w:val="21"/>
                <w:highlight w:val="none"/>
              </w:rPr>
              <w:t>执业/岗位证书编号</w:t>
            </w:r>
          </w:p>
        </w:tc>
        <w:tc>
          <w:tcPr>
            <w:tcW w:w="3066" w:type="dxa"/>
            <w:gridSpan w:val="2"/>
            <w:vAlign w:val="center"/>
          </w:tcPr>
          <w:p>
            <w:pPr>
              <w:jc w:val="center"/>
              <w:rPr>
                <w:rFonts w:ascii="宋体" w:hAnsi="宋体"/>
                <w:szCs w:val="21"/>
                <w:highlight w:val="none"/>
              </w:rPr>
            </w:pPr>
          </w:p>
        </w:tc>
        <w:tc>
          <w:tcPr>
            <w:tcW w:w="1600" w:type="dxa"/>
            <w:vAlign w:val="center"/>
          </w:tcPr>
          <w:p>
            <w:pPr>
              <w:jc w:val="center"/>
              <w:rPr>
                <w:rFonts w:ascii="宋体" w:hAnsi="宋体"/>
                <w:szCs w:val="21"/>
                <w:highlight w:val="none"/>
              </w:rPr>
            </w:pPr>
            <w:r>
              <w:rPr>
                <w:rFonts w:hint="eastAsia" w:ascii="宋体" w:hAnsi="宋体"/>
                <w:szCs w:val="21"/>
                <w:highlight w:val="none"/>
              </w:rPr>
              <w:t>专业工作年限</w:t>
            </w:r>
          </w:p>
        </w:tc>
        <w:tc>
          <w:tcPr>
            <w:tcW w:w="2559" w:type="dxa"/>
            <w:vAlign w:val="center"/>
          </w:tcPr>
          <w:p>
            <w:pPr>
              <w:jc w:val="center"/>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2" w:hRule="exact"/>
        </w:trPr>
        <w:tc>
          <w:tcPr>
            <w:tcW w:w="2803" w:type="dxa"/>
            <w:gridSpan w:val="2"/>
            <w:vAlign w:val="center"/>
          </w:tcPr>
          <w:p>
            <w:pPr>
              <w:jc w:val="center"/>
              <w:rPr>
                <w:rFonts w:ascii="宋体" w:hAnsi="宋体"/>
                <w:szCs w:val="21"/>
                <w:highlight w:val="none"/>
              </w:rPr>
            </w:pPr>
            <w:r>
              <w:rPr>
                <w:rFonts w:hint="eastAsia" w:ascii="宋体" w:hAnsi="宋体"/>
                <w:szCs w:val="21"/>
                <w:highlight w:val="none"/>
              </w:rPr>
              <w:t>主要工作业绩及担任的主要工作</w:t>
            </w:r>
          </w:p>
          <w:p>
            <w:pPr>
              <w:jc w:val="center"/>
              <w:rPr>
                <w:rFonts w:ascii="宋体" w:hAnsi="宋体"/>
                <w:szCs w:val="21"/>
                <w:highlight w:val="none"/>
              </w:rPr>
            </w:pPr>
          </w:p>
        </w:tc>
        <w:tc>
          <w:tcPr>
            <w:tcW w:w="6257" w:type="dxa"/>
            <w:gridSpan w:val="3"/>
            <w:vAlign w:val="center"/>
          </w:tcPr>
          <w:p>
            <w:pPr>
              <w:jc w:val="center"/>
              <w:rPr>
                <w:rFonts w:ascii="宋体" w:hAnsi="宋体"/>
                <w:szCs w:val="21"/>
                <w:highlight w:val="none"/>
              </w:rPr>
            </w:pPr>
          </w:p>
        </w:tc>
      </w:tr>
    </w:tbl>
    <w:p>
      <w:pPr>
        <w:rPr>
          <w:rFonts w:ascii="宋体" w:hAnsi="宋体"/>
          <w:sz w:val="24"/>
          <w:highlight w:val="none"/>
        </w:rPr>
        <w:sectPr>
          <w:pgSz w:w="11906" w:h="16838"/>
          <w:pgMar w:top="1247" w:right="1531" w:bottom="1134" w:left="1531" w:header="964" w:footer="964" w:gutter="0"/>
          <w:cols w:space="720" w:num="1"/>
          <w:titlePg/>
          <w:docGrid w:linePitch="381" w:charSpace="0"/>
        </w:sectPr>
      </w:pPr>
      <w:r>
        <w:rPr>
          <w:rFonts w:hint="eastAsia" w:ascii="宋体" w:hAnsi="宋体"/>
          <w:szCs w:val="21"/>
          <w:highlight w:val="none"/>
        </w:rPr>
        <w:t>备注：其他主要项目管理人员指项目副经理、技术负责人、专职安全生产管理人员等岗位人员。应附资格证书（如有）、注册执业证书、岗位证书、身份证、职称证、学历证、社会保险复印件，专职安全生产管理人员应附安全生产考核合格证书（C 证），主要业绩须附合同协议书。</w:t>
      </w:r>
    </w:p>
    <w:p>
      <w:pPr>
        <w:pStyle w:val="4"/>
        <w:snapToGrid w:val="0"/>
        <w:spacing w:before="120" w:after="120" w:line="360" w:lineRule="auto"/>
        <w:rPr>
          <w:rFonts w:cs="Arial"/>
          <w:bCs w:val="0"/>
          <w:highlight w:val="none"/>
        </w:rPr>
      </w:pPr>
      <w:bookmarkStart w:id="160" w:name="_Toc477283139"/>
      <w:bookmarkStart w:id="161" w:name="_Toc432149013"/>
      <w:bookmarkStart w:id="162" w:name="_Toc24487"/>
      <w:bookmarkStart w:id="163" w:name="_Toc362935521"/>
      <w:bookmarkStart w:id="164" w:name="_Toc470172714"/>
      <w:r>
        <w:rPr>
          <w:rFonts w:hint="eastAsia" w:cs="Arial"/>
          <w:bCs w:val="0"/>
          <w:highlight w:val="none"/>
        </w:rPr>
        <w:t>（三）类似业绩一览表</w:t>
      </w:r>
      <w:bookmarkEnd w:id="160"/>
      <w:bookmarkEnd w:id="161"/>
      <w:bookmarkEnd w:id="162"/>
      <w:bookmarkEnd w:id="163"/>
      <w:bookmarkEnd w:id="164"/>
    </w:p>
    <w:p>
      <w:pPr>
        <w:rPr>
          <w:rFonts w:ascii="Arial" w:hAnsi="Arial" w:cs="Arial" w:eastAsiaTheme="minorEastAsia"/>
          <w:bCs/>
          <w:color w:val="000000" w:themeColor="text1"/>
          <w:szCs w:val="21"/>
          <w:highlight w:val="none"/>
          <w14:textFill>
            <w14:solidFill>
              <w14:schemeClr w14:val="tx1"/>
            </w14:solidFill>
          </w14:textFill>
        </w:rPr>
      </w:pPr>
      <w:r>
        <w:rPr>
          <w:rFonts w:ascii="Arial" w:hAnsi="Arial" w:cs="Arial" w:eastAsiaTheme="minorEastAsia"/>
          <w:bCs/>
          <w:color w:val="000000" w:themeColor="text1"/>
          <w:szCs w:val="21"/>
          <w:highlight w:val="none"/>
          <w14:textFill>
            <w14:solidFill>
              <w14:schemeClr w14:val="tx1"/>
            </w14:solidFill>
          </w14:textFill>
        </w:rPr>
        <w:fldChar w:fldCharType="begin"/>
      </w:r>
      <w:r>
        <w:rPr>
          <w:rFonts w:ascii="Arial" w:hAnsi="Arial" w:cs="Arial" w:eastAsiaTheme="minorEastAsia"/>
          <w:bCs/>
          <w:color w:val="000000" w:themeColor="text1"/>
          <w:szCs w:val="21"/>
          <w:highlight w:val="none"/>
          <w14:textFill>
            <w14:solidFill>
              <w14:schemeClr w14:val="tx1"/>
            </w14:solidFill>
          </w14:textFill>
        </w:rPr>
        <w:instrText xml:space="preserve"> LINK Word.Document.8 "D:\\音乐厅\\4通用设备\\招标文件\\音乐厅空调设备招标文件v1.0.doc" "OLE_LINK8" \r  \* MERGEFORMAT </w:instrText>
      </w:r>
      <w:r>
        <w:rPr>
          <w:rFonts w:ascii="Arial" w:hAnsi="Arial" w:cs="Arial" w:eastAsiaTheme="minorEastAsia"/>
          <w:bCs/>
          <w:color w:val="000000" w:themeColor="text1"/>
          <w:szCs w:val="21"/>
          <w:highlight w:val="none"/>
          <w14:textFill>
            <w14:solidFill>
              <w14:schemeClr w14:val="tx1"/>
            </w14:solidFill>
          </w14:textFill>
        </w:rPr>
        <w:fldChar w:fldCharType="separate"/>
      </w:r>
      <w:r>
        <w:rPr>
          <w:rFonts w:hint="eastAsia" w:ascii="Arial" w:hAnsi="Arial" w:cs="Arial" w:eastAsiaTheme="minorEastAsia"/>
          <w:bCs/>
          <w:color w:val="000000" w:themeColor="text1"/>
          <w:szCs w:val="21"/>
          <w:highlight w:val="none"/>
          <w14:textFill>
            <w14:solidFill>
              <w14:schemeClr w14:val="tx1"/>
            </w14:solidFill>
          </w14:textFill>
        </w:rPr>
        <w:t>项目</w:t>
      </w:r>
      <w:r>
        <w:rPr>
          <w:rFonts w:ascii="Arial" w:hAnsi="Arial" w:cs="Arial" w:eastAsiaTheme="minorEastAsia"/>
          <w:bCs/>
          <w:color w:val="000000" w:themeColor="text1"/>
          <w:szCs w:val="21"/>
          <w:highlight w:val="none"/>
          <w14:textFill>
            <w14:solidFill>
              <w14:schemeClr w14:val="tx1"/>
            </w14:solidFill>
          </w14:textFill>
        </w:rPr>
        <w:t>名称：</w:t>
      </w:r>
      <w:r>
        <w:rPr>
          <w:rFonts w:ascii="Arial" w:hAnsi="Arial" w:cs="Arial" w:eastAsiaTheme="minorEastAsia"/>
          <w:bCs/>
          <w:color w:val="000000" w:themeColor="text1"/>
          <w:szCs w:val="21"/>
          <w:highlight w:val="none"/>
          <w:u w:val="single"/>
          <w14:textFill>
            <w14:solidFill>
              <w14:schemeClr w14:val="tx1"/>
            </w14:solidFill>
          </w14:textFill>
        </w:rPr>
        <w:t xml:space="preserve">            </w:t>
      </w:r>
      <w:r>
        <w:rPr>
          <w:rFonts w:ascii="Arial" w:hAnsi="Arial" w:cs="Arial" w:eastAsiaTheme="minorEastAsia"/>
          <w:bCs/>
          <w:color w:val="000000" w:themeColor="text1"/>
          <w:szCs w:val="21"/>
          <w:highlight w:val="none"/>
          <w14:textFill>
            <w14:solidFill>
              <w14:schemeClr w14:val="tx1"/>
            </w14:solidFill>
          </w14:textFill>
        </w:rPr>
        <w:t xml:space="preserve">                             </w:t>
      </w:r>
      <w:r>
        <w:rPr>
          <w:rFonts w:ascii="Arial" w:hAnsi="Arial" w:cs="Arial" w:eastAsiaTheme="minorEastAsia"/>
          <w:color w:val="000000" w:themeColor="text1"/>
          <w:szCs w:val="21"/>
          <w:highlight w:val="none"/>
          <w14:textFill>
            <w14:solidFill>
              <w14:schemeClr w14:val="tx1"/>
            </w14:solidFill>
          </w14:textFill>
        </w:rPr>
        <w:t>项目编号</w:t>
      </w:r>
      <w:r>
        <w:rPr>
          <w:rFonts w:ascii="Arial" w:hAnsi="Arial" w:cs="Arial" w:eastAsiaTheme="minorEastAsia"/>
          <w:bCs/>
          <w:color w:val="000000" w:themeColor="text1"/>
          <w:szCs w:val="21"/>
          <w:highlight w:val="none"/>
          <w14:textFill>
            <w14:solidFill>
              <w14:schemeClr w14:val="tx1"/>
            </w14:solidFill>
          </w14:textFill>
        </w:rPr>
        <w:t>：</w:t>
      </w:r>
      <w:r>
        <w:rPr>
          <w:rFonts w:ascii="Arial" w:hAnsi="Arial" w:cs="Arial" w:eastAsiaTheme="minorEastAsia"/>
          <w:bCs/>
          <w:color w:val="000000" w:themeColor="text1"/>
          <w:szCs w:val="21"/>
          <w:highlight w:val="none"/>
          <w:u w:val="single"/>
          <w14:textFill>
            <w14:solidFill>
              <w14:schemeClr w14:val="tx1"/>
            </w14:solidFill>
          </w14:textFill>
        </w:rPr>
        <w:t xml:space="preserve">       </w:t>
      </w:r>
      <w:r>
        <w:rPr>
          <w:rFonts w:ascii="Arial" w:hAnsi="Arial" w:cs="Arial" w:eastAsiaTheme="minorEastAsia"/>
          <w:bCs/>
          <w:color w:val="000000" w:themeColor="text1"/>
          <w:szCs w:val="21"/>
          <w:highlight w:val="none"/>
          <w14:textFill>
            <w14:solidFill>
              <w14:schemeClr w14:val="tx1"/>
            </w14:solidFill>
          </w14:textFill>
        </w:rPr>
        <w:t xml:space="preserve">                       </w:t>
      </w:r>
      <w:r>
        <w:rPr>
          <w:rFonts w:ascii="Arial" w:hAnsi="Arial" w:cs="Arial" w:eastAsiaTheme="minorEastAsia"/>
          <w:bCs/>
          <w:color w:val="000000" w:themeColor="text1"/>
          <w:szCs w:val="21"/>
          <w:highlight w:val="none"/>
          <w14:textFill>
            <w14:solidFill>
              <w14:schemeClr w14:val="tx1"/>
            </w14:solidFill>
          </w14:textFill>
        </w:rPr>
        <w:fldChar w:fldCharType="end"/>
      </w:r>
    </w:p>
    <w:tbl>
      <w:tblPr>
        <w:tblStyle w:val="4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550"/>
        <w:gridCol w:w="1829"/>
        <w:gridCol w:w="1678"/>
        <w:gridCol w:w="1643"/>
        <w:gridCol w:w="1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序号</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项目名称</w:t>
            </w:r>
          </w:p>
        </w:tc>
        <w:tc>
          <w:tcPr>
            <w:tcW w:w="1829"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合同总额</w:t>
            </w: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hint="eastAsia" w:ascii="Arial" w:hAnsi="Arial" w:cs="Arial" w:eastAsiaTheme="minorEastAsia"/>
                <w:color w:val="000000" w:themeColor="text1"/>
                <w:kern w:val="0"/>
                <w:szCs w:val="21"/>
                <w:highlight w:val="none"/>
                <w14:textFill>
                  <w14:solidFill>
                    <w14:schemeClr w14:val="tx1"/>
                  </w14:solidFill>
                </w14:textFill>
              </w:rPr>
              <w:t>项目开、竣工日期</w:t>
            </w: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hint="eastAsia" w:ascii="Arial" w:hAnsi="Arial" w:cs="Arial" w:eastAsiaTheme="minorEastAsia"/>
                <w:color w:val="000000" w:themeColor="text1"/>
                <w:kern w:val="0"/>
                <w:szCs w:val="21"/>
                <w:highlight w:val="none"/>
                <w14:textFill>
                  <w14:solidFill>
                    <w14:schemeClr w14:val="tx1"/>
                  </w14:solidFill>
                </w14:textFill>
              </w:rPr>
              <w:t>项目经理</w:t>
            </w: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hint="eastAsia" w:ascii="Arial" w:hAnsi="Arial" w:cs="Arial" w:eastAsiaTheme="minorEastAsia"/>
                <w:color w:val="000000" w:themeColor="text1"/>
                <w:kern w:val="0"/>
                <w:szCs w:val="21"/>
                <w:highlight w:val="none"/>
                <w14:textFill>
                  <w14:solidFill>
                    <w14:schemeClr w14:val="tx1"/>
                  </w14:solidFill>
                </w14:textFill>
              </w:rPr>
              <w:t>委托</w:t>
            </w:r>
            <w:r>
              <w:rPr>
                <w:rFonts w:ascii="Arial" w:hAnsi="Arial" w:cs="Arial" w:eastAsiaTheme="minorEastAsia"/>
                <w:color w:val="000000" w:themeColor="text1"/>
                <w:kern w:val="0"/>
                <w:szCs w:val="21"/>
                <w:highlight w:val="none"/>
                <w14:textFill>
                  <w14:solidFill>
                    <w14:schemeClr w14:val="tx1"/>
                  </w14:solidFill>
                </w14:textFill>
              </w:rPr>
              <w:t>方名称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1.</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829"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2.</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829"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3.</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829"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4.</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829"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5.</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829"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97"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r>
              <w:rPr>
                <w:rFonts w:ascii="Arial" w:hAnsi="Arial" w:cs="Arial" w:eastAsiaTheme="minorEastAsia"/>
                <w:color w:val="000000" w:themeColor="text1"/>
                <w:kern w:val="0"/>
                <w:szCs w:val="21"/>
                <w:highlight w:val="none"/>
                <w14:textFill>
                  <w14:solidFill>
                    <w14:schemeClr w14:val="tx1"/>
                  </w14:solidFill>
                </w14:textFill>
              </w:rPr>
              <w:t>6.</w:t>
            </w:r>
          </w:p>
        </w:tc>
        <w:tc>
          <w:tcPr>
            <w:tcW w:w="1550"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829" w:type="dxa"/>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78"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4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c>
          <w:tcPr>
            <w:tcW w:w="1663" w:type="dxa"/>
            <w:vAlign w:val="center"/>
          </w:tcPr>
          <w:p>
            <w:pPr>
              <w:widowControl/>
              <w:spacing w:before="100" w:beforeAutospacing="1" w:after="100" w:afterAutospacing="1"/>
              <w:jc w:val="center"/>
              <w:rPr>
                <w:rFonts w:ascii="Arial" w:hAnsi="Arial" w:cs="Arial" w:eastAsiaTheme="minorEastAsia"/>
                <w:color w:val="000000" w:themeColor="text1"/>
                <w:kern w:val="0"/>
                <w:szCs w:val="21"/>
                <w:highlight w:val="none"/>
                <w14:textFill>
                  <w14:solidFill>
                    <w14:schemeClr w14:val="tx1"/>
                  </w14:solidFill>
                </w14:textFill>
              </w:rPr>
            </w:pPr>
          </w:p>
        </w:tc>
      </w:tr>
    </w:tbl>
    <w:p>
      <w:pPr>
        <w:bidi w:val="0"/>
        <w:rPr>
          <w:rFonts w:ascii="宋体" w:hAnsi="宋体" w:eastAsia="宋体" w:cs="Times New Roman"/>
          <w:sz w:val="24"/>
          <w:szCs w:val="24"/>
          <w:highlight w:val="none"/>
        </w:rPr>
      </w:pPr>
      <w:r>
        <w:rPr>
          <w:rFonts w:ascii="宋体" w:hAnsi="宋体" w:cs="Times New Roman" w:eastAsiaTheme="minorEastAsia"/>
          <w:color w:val="000000" w:themeColor="text1"/>
          <w:szCs w:val="21"/>
          <w:highlight w:val="none"/>
          <w14:textFill>
            <w14:solidFill>
              <w14:schemeClr w14:val="tx1"/>
            </w14:solidFill>
          </w14:textFill>
        </w:rPr>
        <w:t>注：</w:t>
      </w:r>
      <w:r>
        <w:rPr>
          <w:rFonts w:hint="eastAsia" w:ascii="宋体" w:hAnsi="宋体" w:cs="Times New Roman" w:eastAsiaTheme="minorEastAsia"/>
          <w:color w:val="000000" w:themeColor="text1"/>
          <w:szCs w:val="21"/>
          <w:highlight w:val="none"/>
          <w14:textFill>
            <w14:solidFill>
              <w14:schemeClr w14:val="tx1"/>
            </w14:solidFill>
          </w14:textFill>
        </w:rPr>
        <w:t>本表后附合同协议书、工程接收证书或工程竣工验收证书（工程竣工验收备案证）及其他证明材料（如需要）的复印件。具体年份要求见供应商须知前附表。</w:t>
      </w:r>
      <w:r>
        <w:rPr>
          <w:rFonts w:ascii="宋体" w:hAnsi="宋体" w:eastAsia="宋体" w:cs="Times New Roman"/>
          <w:sz w:val="24"/>
          <w:szCs w:val="24"/>
          <w:highlight w:val="none"/>
        </w:rPr>
        <w:br w:type="page"/>
      </w:r>
      <w:bookmarkStart w:id="165" w:name="_Toc260903011"/>
      <w:bookmarkStart w:id="166" w:name="_Toc431940821"/>
      <w:bookmarkStart w:id="167" w:name="_Toc138838485"/>
      <w:bookmarkStart w:id="168" w:name="_Toc485936403"/>
      <w:bookmarkStart w:id="169" w:name="_Toc415646555"/>
      <w:bookmarkStart w:id="170" w:name="_Toc428651630"/>
      <w:bookmarkStart w:id="171" w:name="_Toc492408484"/>
      <w:bookmarkStart w:id="172" w:name="_Toc431964672"/>
    </w:p>
    <w:bookmarkEnd w:id="156"/>
    <w:bookmarkEnd w:id="157"/>
    <w:bookmarkEnd w:id="165"/>
    <w:bookmarkEnd w:id="166"/>
    <w:bookmarkEnd w:id="167"/>
    <w:bookmarkEnd w:id="168"/>
    <w:bookmarkEnd w:id="169"/>
    <w:bookmarkEnd w:id="170"/>
    <w:bookmarkEnd w:id="171"/>
    <w:bookmarkEnd w:id="172"/>
    <w:p>
      <w:pPr>
        <w:pStyle w:val="4"/>
        <w:rPr>
          <w:rFonts w:ascii="宋体" w:hAnsi="宋体" w:eastAsia="宋体"/>
          <w:highlight w:val="none"/>
        </w:rPr>
      </w:pPr>
      <w:bookmarkStart w:id="173" w:name="_Toc259028731"/>
      <w:bookmarkStart w:id="174" w:name="_Toc7811"/>
      <w:bookmarkStart w:id="175" w:name="_Toc450827823"/>
      <w:bookmarkStart w:id="176" w:name="_Toc477283142"/>
      <w:bookmarkStart w:id="177" w:name="_Toc470172717"/>
      <w:r>
        <w:rPr>
          <w:rFonts w:hint="eastAsia" w:ascii="宋体" w:hAnsi="宋体" w:eastAsia="宋体"/>
          <w:highlight w:val="none"/>
        </w:rPr>
        <w:t>资格证明文件</w:t>
      </w:r>
      <w:bookmarkEnd w:id="173"/>
      <w:bookmarkEnd w:id="174"/>
      <w:bookmarkEnd w:id="175"/>
      <w:bookmarkEnd w:id="176"/>
      <w:bookmarkEnd w:id="177"/>
    </w:p>
    <w:p>
      <w:pPr>
        <w:pStyle w:val="4"/>
        <w:snapToGrid w:val="0"/>
        <w:spacing w:before="120" w:after="120" w:line="360" w:lineRule="auto"/>
        <w:rPr>
          <w:rFonts w:cs="Arial"/>
          <w:bCs w:val="0"/>
          <w:highlight w:val="none"/>
        </w:rPr>
      </w:pPr>
      <w:bookmarkStart w:id="178" w:name="_Toc8612"/>
      <w:r>
        <w:rPr>
          <w:rFonts w:hint="eastAsia" w:cs="Arial"/>
          <w:bCs w:val="0"/>
          <w:highlight w:val="none"/>
        </w:rPr>
        <w:t>（一）供应商基本情况表</w:t>
      </w:r>
      <w:bookmarkEnd w:id="178"/>
    </w:p>
    <w:p>
      <w:pPr>
        <w:rPr>
          <w:rFonts w:ascii="Arial" w:hAnsi="Arial" w:cs="Arial"/>
          <w:bCs/>
          <w:szCs w:val="21"/>
          <w:highlight w:val="none"/>
        </w:rPr>
      </w:pPr>
      <w:r>
        <w:rPr>
          <w:rFonts w:ascii="Arial" w:hAnsi="Arial" w:cs="Arial"/>
          <w:szCs w:val="21"/>
          <w:highlight w:val="none"/>
        </w:rPr>
        <w:t>项目名称：</w:t>
      </w:r>
      <w:r>
        <w:rPr>
          <w:rFonts w:ascii="Arial" w:hAnsi="Arial" w:cs="Arial"/>
          <w:szCs w:val="21"/>
          <w:highlight w:val="none"/>
          <w:u w:val="single"/>
        </w:rPr>
        <w:t xml:space="preserve">          </w:t>
      </w:r>
      <w:r>
        <w:rPr>
          <w:rFonts w:hint="eastAsia" w:ascii="Arial" w:hAnsi="Arial" w:cs="Arial"/>
          <w:szCs w:val="21"/>
          <w:highlight w:val="none"/>
        </w:rPr>
        <w:t xml:space="preserve">                               </w:t>
      </w:r>
      <w:r>
        <w:rPr>
          <w:rFonts w:ascii="Arial" w:hAnsi="Arial" w:cs="Arial"/>
          <w:szCs w:val="21"/>
          <w:highlight w:val="none"/>
        </w:rPr>
        <w:t>项目编号：</w:t>
      </w:r>
      <w:r>
        <w:rPr>
          <w:rFonts w:ascii="Arial" w:hAnsi="Arial" w:cs="Arial"/>
          <w:szCs w:val="21"/>
          <w:highlight w:val="none"/>
          <w:u w:val="single"/>
        </w:rPr>
        <w:t xml:space="preserve">              </w:t>
      </w:r>
      <w:r>
        <w:rPr>
          <w:rFonts w:ascii="Arial" w:hAnsi="Arial" w:cs="Arial"/>
          <w:bCs/>
          <w:szCs w:val="21"/>
          <w:highlight w:val="none"/>
        </w:rPr>
        <w:t xml:space="preserve">  </w:t>
      </w:r>
      <w:r>
        <w:rPr>
          <w:rFonts w:hint="eastAsia" w:ascii="Arial" w:hAnsi="Arial" w:cs="Arial"/>
          <w:bCs/>
          <w:szCs w:val="21"/>
          <w:highlight w:val="none"/>
        </w:rPr>
        <w:t xml:space="preserve"> </w:t>
      </w:r>
      <w:r>
        <w:rPr>
          <w:rFonts w:ascii="Arial" w:hAnsi="Arial" w:cs="Arial"/>
          <w:bCs/>
          <w:szCs w:val="21"/>
          <w:highlight w:val="none"/>
        </w:rPr>
        <w:t xml:space="preserve">    </w:t>
      </w:r>
      <w:r>
        <w:rPr>
          <w:rFonts w:hint="eastAsia" w:ascii="Arial" w:hAnsi="Arial" w:cs="Arial"/>
          <w:bCs/>
          <w:szCs w:val="21"/>
          <w:highlight w:val="none"/>
        </w:rPr>
        <w:t xml:space="preserve"> </w:t>
      </w:r>
      <w:r>
        <w:rPr>
          <w:rFonts w:ascii="Arial" w:hAnsi="Arial" w:cs="Arial"/>
          <w:bCs/>
          <w:szCs w:val="21"/>
          <w:highlight w:val="none"/>
        </w:rPr>
        <w:t xml:space="preserve">      </w:t>
      </w:r>
    </w:p>
    <w:tbl>
      <w:tblPr>
        <w:tblStyle w:val="42"/>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6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供应商名</w:t>
            </w:r>
            <w:r>
              <w:rPr>
                <w:rFonts w:ascii="Arial" w:hAnsi="Arial" w:cs="Arial"/>
                <w:highlight w:val="none"/>
              </w:rPr>
              <w:t>称</w:t>
            </w:r>
          </w:p>
        </w:tc>
        <w:tc>
          <w:tcPr>
            <w:tcW w:w="6654"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联系地址</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ascii="Arial" w:hAnsi="Arial" w:cs="Arial"/>
                <w:highlight w:val="none"/>
              </w:rPr>
              <w:t>企业资质</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企业从业人员数量</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资产总额</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r>
              <w:rPr>
                <w:rFonts w:hint="eastAsia" w:ascii="Arial" w:hAnsi="Arial" w:cs="Arial"/>
                <w:highlight w:val="none"/>
              </w:rPr>
              <w:t>截止上一年度资产总额：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营业收入</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r>
              <w:rPr>
                <w:rFonts w:hint="eastAsia" w:ascii="Arial" w:hAnsi="Arial" w:cs="Arial"/>
                <w:highlight w:val="none"/>
              </w:rPr>
              <w:t>上一年度营业收入：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法定代表人</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r>
              <w:rPr>
                <w:rFonts w:ascii="Arial" w:hAnsi="Arial" w:cs="Arial"/>
                <w:highlight w:val="none"/>
              </w:rPr>
              <w:t>姓名：　　　职务：　　　职称：</w:t>
            </w:r>
            <w:r>
              <w:rPr>
                <w:rFonts w:hint="eastAsia" w:ascii="Arial" w:hAnsi="Arial" w:cs="Arial"/>
                <w:highlight w:val="none"/>
              </w:rPr>
              <w:t xml:space="preserve">       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ascii="Arial" w:hAnsi="Arial" w:cs="Arial"/>
                <w:highlight w:val="none"/>
              </w:rPr>
              <w:t>技术负责人</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r>
              <w:rPr>
                <w:rFonts w:ascii="Arial" w:hAnsi="Arial" w:cs="Arial"/>
                <w:highlight w:val="none"/>
              </w:rPr>
              <w:t>姓名：　　　职务：　　　职称：</w:t>
            </w:r>
            <w:r>
              <w:rPr>
                <w:rFonts w:hint="eastAsia" w:ascii="Arial" w:hAnsi="Arial" w:cs="Arial"/>
                <w:highlight w:val="none"/>
              </w:rPr>
              <w:t xml:space="preserve">       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ascii="Arial" w:hAnsi="Arial" w:cs="Arial"/>
                <w:highlight w:val="none"/>
              </w:rPr>
              <w:t>联系方式</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r>
              <w:rPr>
                <w:rFonts w:hint="eastAsia" w:ascii="Arial" w:hAnsi="Arial" w:cs="Arial"/>
                <w:highlight w:val="none"/>
              </w:rPr>
              <w:t>联系人</w:t>
            </w:r>
            <w:r>
              <w:rPr>
                <w:rFonts w:ascii="Arial" w:hAnsi="Arial" w:cs="Arial"/>
                <w:highlight w:val="none"/>
              </w:rPr>
              <w:t>：</w:t>
            </w:r>
            <w:r>
              <w:rPr>
                <w:rFonts w:hint="eastAsia" w:ascii="Arial" w:hAnsi="Arial" w:cs="Arial"/>
                <w:highlight w:val="none"/>
              </w:rPr>
              <w:t xml:space="preserve">                      </w:t>
            </w:r>
            <w:r>
              <w:rPr>
                <w:rFonts w:ascii="Arial" w:hAnsi="Arial" w:cs="Arial"/>
                <w:highlight w:val="none"/>
              </w:rPr>
              <w:t>电　话：</w:t>
            </w:r>
          </w:p>
          <w:p>
            <w:pPr>
              <w:rPr>
                <w:rFonts w:ascii="Arial" w:hAnsi="Arial" w:cs="Arial"/>
                <w:highlight w:val="none"/>
              </w:rPr>
            </w:pPr>
            <w:r>
              <w:rPr>
                <w:rFonts w:ascii="Arial" w:hAnsi="Arial" w:cs="Arial"/>
                <w:highlight w:val="none"/>
              </w:rPr>
              <w:t>传　真：　　　　　　　　　　　</w:t>
            </w:r>
            <w:r>
              <w:rPr>
                <w:rFonts w:hint="eastAsia" w:ascii="Arial" w:hAnsi="Arial" w:cs="Arial"/>
                <w:highlight w:val="none"/>
              </w:rPr>
              <w:t>邮  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6" w:type="dxa"/>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highlight w:val="none"/>
              </w:rPr>
            </w:pPr>
            <w:r>
              <w:rPr>
                <w:rFonts w:hint="eastAsia" w:ascii="Arial" w:hAnsi="Arial" w:cs="Arial"/>
                <w:highlight w:val="none"/>
              </w:rPr>
              <w:t>基本账户</w:t>
            </w:r>
          </w:p>
        </w:tc>
        <w:tc>
          <w:tcPr>
            <w:tcW w:w="6654" w:type="dxa"/>
            <w:tcBorders>
              <w:top w:val="single" w:color="auto" w:sz="4" w:space="0"/>
              <w:left w:val="single" w:color="auto" w:sz="4" w:space="0"/>
              <w:bottom w:val="single" w:color="auto" w:sz="4" w:space="0"/>
              <w:right w:val="single" w:color="auto" w:sz="4" w:space="0"/>
            </w:tcBorders>
            <w:vAlign w:val="center"/>
          </w:tcPr>
          <w:p>
            <w:pPr>
              <w:rPr>
                <w:rFonts w:ascii="Arial" w:hAnsi="Arial" w:cs="Arial"/>
                <w:highlight w:val="none"/>
              </w:rPr>
            </w:pPr>
            <w:r>
              <w:rPr>
                <w:rFonts w:ascii="Arial" w:hAnsi="Arial" w:cs="Arial"/>
                <w:highlight w:val="none"/>
              </w:rPr>
              <w:t>名　称：　　　　　　　　　　　</w:t>
            </w:r>
            <w:r>
              <w:rPr>
                <w:rFonts w:hint="eastAsia" w:ascii="Arial" w:hAnsi="Arial" w:cs="Arial"/>
                <w:highlight w:val="none"/>
              </w:rPr>
              <w:t xml:space="preserve">账  </w:t>
            </w:r>
            <w:r>
              <w:rPr>
                <w:rFonts w:ascii="Arial" w:hAnsi="Arial" w:cs="Arial"/>
                <w:highlight w:val="none"/>
              </w:rPr>
              <w:t>号：</w:t>
            </w:r>
          </w:p>
        </w:tc>
      </w:tr>
    </w:tbl>
    <w:p>
      <w:pPr>
        <w:rPr>
          <w:rFonts w:ascii="Arial" w:hAnsi="Arial" w:cs="Arial"/>
          <w:highlight w:val="none"/>
        </w:rPr>
      </w:pPr>
    </w:p>
    <w:p>
      <w:pPr>
        <w:rPr>
          <w:rFonts w:ascii="Arial" w:hAnsi="Arial" w:cs="Arial"/>
          <w:szCs w:val="21"/>
          <w:highlight w:val="none"/>
        </w:rPr>
      </w:pPr>
      <w:r>
        <w:rPr>
          <w:rFonts w:ascii="Arial" w:hAnsi="Arial" w:cs="Arial"/>
          <w:szCs w:val="21"/>
          <w:highlight w:val="none"/>
        </w:rPr>
        <w:t>供应商名称[盖章]：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ascii="Arial" w:hAnsi="Arial" w:cs="Arial"/>
          <w:highlight w:val="none"/>
          <w:u w:val="single"/>
        </w:rPr>
      </w:pPr>
      <w:r>
        <w:rPr>
          <w:rFonts w:ascii="Arial" w:hAnsi="Arial" w:cs="Arial"/>
          <w:szCs w:val="21"/>
          <w:highlight w:val="none"/>
        </w:rPr>
        <w:t>供应商授权代表签字：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highlight w:val="none"/>
          <w:u w:val="single"/>
        </w:rPr>
        <w:t xml:space="preserve"> </w:t>
      </w:r>
    </w:p>
    <w:p>
      <w:pPr>
        <w:widowControl/>
        <w:jc w:val="left"/>
        <w:rPr>
          <w:b/>
          <w:sz w:val="28"/>
          <w:szCs w:val="28"/>
          <w:highlight w:val="none"/>
        </w:rPr>
      </w:pPr>
      <w:r>
        <w:rPr>
          <w:rFonts w:hint="eastAsia"/>
          <w:b/>
          <w:sz w:val="28"/>
          <w:szCs w:val="28"/>
          <w:highlight w:val="none"/>
        </w:rPr>
        <w:t>本表后应附《资格审查表》中所需提供的全部资料。</w:t>
      </w:r>
      <w:r>
        <w:rPr>
          <w:b/>
          <w:sz w:val="28"/>
          <w:szCs w:val="28"/>
          <w:highlight w:val="none"/>
        </w:rPr>
        <w:br w:type="page"/>
      </w:r>
    </w:p>
    <w:p>
      <w:pPr>
        <w:pStyle w:val="4"/>
        <w:snapToGrid w:val="0"/>
        <w:spacing w:before="120" w:after="120" w:line="360" w:lineRule="auto"/>
        <w:rPr>
          <w:rFonts w:cs="Arial"/>
          <w:bCs w:val="0"/>
          <w:highlight w:val="none"/>
        </w:rPr>
      </w:pPr>
      <w:bookmarkStart w:id="179" w:name="_Toc430164400"/>
      <w:bookmarkStart w:id="180" w:name="_Toc10520"/>
      <w:r>
        <w:rPr>
          <w:rFonts w:hint="eastAsia" w:cs="Arial"/>
          <w:bCs w:val="0"/>
          <w:highlight w:val="none"/>
        </w:rPr>
        <w:t>（二）</w:t>
      </w:r>
      <w:bookmarkEnd w:id="179"/>
      <w:r>
        <w:rPr>
          <w:rFonts w:hint="eastAsia" w:cs="宋体" w:asciiTheme="minorEastAsia" w:hAnsiTheme="minorEastAsia" w:eastAsiaTheme="minorEastAsia"/>
          <w:b/>
          <w:bCs w:val="0"/>
          <w:szCs w:val="21"/>
          <w:highlight w:val="none"/>
        </w:rPr>
        <w:t>关于资格条件的有关承诺及声明</w:t>
      </w:r>
      <w:bookmarkEnd w:id="180"/>
    </w:p>
    <w:p>
      <w:pPr>
        <w:snapToGrid w:val="0"/>
        <w:spacing w:line="480" w:lineRule="auto"/>
        <w:ind w:firstLine="482" w:firstLineChars="200"/>
        <w:jc w:val="center"/>
        <w:rPr>
          <w:b/>
          <w:sz w:val="24"/>
          <w:szCs w:val="21"/>
          <w:highlight w:val="none"/>
        </w:rPr>
      </w:pPr>
    </w:p>
    <w:p>
      <w:pPr>
        <w:snapToGrid w:val="0"/>
        <w:spacing w:line="480" w:lineRule="auto"/>
        <w:ind w:firstLine="482" w:firstLineChars="200"/>
        <w:jc w:val="center"/>
        <w:rPr>
          <w:b/>
          <w:sz w:val="24"/>
          <w:szCs w:val="21"/>
          <w:highlight w:val="none"/>
        </w:rPr>
      </w:pPr>
      <w:r>
        <w:rPr>
          <w:rFonts w:hint="eastAsia"/>
          <w:b/>
          <w:sz w:val="24"/>
          <w:szCs w:val="21"/>
          <w:highlight w:val="none"/>
        </w:rPr>
        <w:t>（磋商供应商应根据本单位实际情况进行承诺和声明）</w:t>
      </w:r>
    </w:p>
    <w:p>
      <w:pPr>
        <w:snapToGrid w:val="0"/>
        <w:spacing w:line="480" w:lineRule="auto"/>
        <w:rPr>
          <w:kern w:val="0"/>
          <w:szCs w:val="21"/>
          <w:highlight w:val="none"/>
        </w:rPr>
      </w:pPr>
    </w:p>
    <w:p>
      <w:pPr>
        <w:snapToGrid w:val="0"/>
        <w:spacing w:line="360" w:lineRule="auto"/>
        <w:rPr>
          <w:szCs w:val="21"/>
          <w:highlight w:val="none"/>
        </w:rPr>
      </w:pPr>
      <w:r>
        <w:rPr>
          <w:kern w:val="0"/>
          <w:szCs w:val="21"/>
          <w:highlight w:val="none"/>
        </w:rPr>
        <w:t>采购人和采购代理机构：</w:t>
      </w:r>
    </w:p>
    <w:p>
      <w:pPr>
        <w:snapToGrid w:val="0"/>
        <w:spacing w:line="360" w:lineRule="auto"/>
        <w:ind w:firstLine="420" w:firstLineChars="200"/>
        <w:rPr>
          <w:color w:val="333333"/>
          <w:szCs w:val="21"/>
          <w:highlight w:val="none"/>
        </w:rPr>
      </w:pPr>
      <w:r>
        <w:rPr>
          <w:kern w:val="0"/>
          <w:szCs w:val="21"/>
          <w:highlight w:val="none"/>
        </w:rPr>
        <w:t>一、我方在此郑重承诺，我方</w:t>
      </w:r>
      <w:r>
        <w:rPr>
          <w:color w:val="333333"/>
          <w:szCs w:val="21"/>
          <w:highlight w:val="none"/>
        </w:rPr>
        <w:t>满足本磋商文件</w:t>
      </w:r>
      <w:r>
        <w:rPr>
          <w:szCs w:val="21"/>
          <w:highlight w:val="none"/>
        </w:rPr>
        <w:t>第一章《磋商公告》第二条“申请人资格要求”（具体要求详见第</w:t>
      </w:r>
      <w:r>
        <w:rPr>
          <w:rFonts w:hint="eastAsia"/>
          <w:szCs w:val="21"/>
          <w:highlight w:val="none"/>
          <w:lang w:val="en-US" w:eastAsia="zh-CN"/>
        </w:rPr>
        <w:t>四</w:t>
      </w:r>
      <w:r>
        <w:rPr>
          <w:szCs w:val="21"/>
          <w:highlight w:val="none"/>
        </w:rPr>
        <w:t>章《评审程序、方法及标准》中的《资格审查表》），</w:t>
      </w:r>
      <w:r>
        <w:rPr>
          <w:color w:val="333333"/>
          <w:szCs w:val="21"/>
          <w:highlight w:val="none"/>
        </w:rPr>
        <w:t>且无纳税、社保等方面失信记录。</w:t>
      </w:r>
    </w:p>
    <w:p>
      <w:pPr>
        <w:snapToGrid w:val="0"/>
        <w:spacing w:line="360" w:lineRule="auto"/>
        <w:ind w:firstLine="420" w:firstLineChars="200"/>
        <w:rPr>
          <w:szCs w:val="21"/>
          <w:highlight w:val="none"/>
        </w:rPr>
      </w:pPr>
      <w:r>
        <w:rPr>
          <w:kern w:val="0"/>
          <w:szCs w:val="21"/>
          <w:highlight w:val="none"/>
        </w:rPr>
        <w:t>二、我方在此声明，我方在参加本</w:t>
      </w:r>
      <w:r>
        <w:rPr>
          <w:kern w:val="0"/>
          <w:szCs w:val="21"/>
          <w:highlight w:val="none"/>
          <w:shd w:val="clear" w:color="auto" w:fill="FFFFFF"/>
        </w:rPr>
        <w:t>次采购活动前三年内，在经营活动中没有以下重大违法记录：</w:t>
      </w:r>
    </w:p>
    <w:p>
      <w:pPr>
        <w:snapToGrid w:val="0"/>
        <w:spacing w:line="360" w:lineRule="auto"/>
        <w:ind w:firstLine="420" w:firstLineChars="200"/>
        <w:rPr>
          <w:szCs w:val="21"/>
          <w:highlight w:val="none"/>
        </w:rPr>
      </w:pPr>
      <w:r>
        <w:rPr>
          <w:kern w:val="0"/>
          <w:szCs w:val="21"/>
          <w:highlight w:val="none"/>
          <w:shd w:val="clear" w:color="auto" w:fill="FFFFFF"/>
        </w:rPr>
        <w:t>1、我方因违法经营被追究过刑事责任；</w:t>
      </w:r>
    </w:p>
    <w:p>
      <w:pPr>
        <w:snapToGrid w:val="0"/>
        <w:spacing w:line="360" w:lineRule="auto"/>
        <w:ind w:firstLine="420" w:firstLineChars="200"/>
        <w:rPr>
          <w:szCs w:val="21"/>
          <w:highlight w:val="none"/>
        </w:rPr>
      </w:pPr>
      <w:r>
        <w:rPr>
          <w:kern w:val="0"/>
          <w:szCs w:val="21"/>
          <w:highlight w:val="none"/>
          <w:shd w:val="clear" w:color="auto" w:fill="FFFFFF"/>
        </w:rPr>
        <w:t>2、我方因违法经营被责令停产停业、吊销许可证或者执照；</w:t>
      </w:r>
    </w:p>
    <w:p>
      <w:pPr>
        <w:snapToGrid w:val="0"/>
        <w:spacing w:line="360" w:lineRule="auto"/>
        <w:ind w:firstLine="420" w:firstLineChars="200"/>
        <w:rPr>
          <w:szCs w:val="21"/>
          <w:highlight w:val="none"/>
        </w:rPr>
      </w:pPr>
      <w:r>
        <w:rPr>
          <w:kern w:val="0"/>
          <w:szCs w:val="21"/>
          <w:highlight w:val="none"/>
          <w:shd w:val="clear" w:color="auto" w:fill="FFFFFF"/>
        </w:rPr>
        <w:t>3、我方因违法经营被处以较大数额罚款等行政处罚。</w:t>
      </w:r>
    </w:p>
    <w:p>
      <w:pPr>
        <w:snapToGrid w:val="0"/>
        <w:spacing w:line="360" w:lineRule="auto"/>
        <w:ind w:firstLine="420" w:firstLineChars="200"/>
        <w:rPr>
          <w:szCs w:val="21"/>
          <w:highlight w:val="none"/>
        </w:rPr>
      </w:pPr>
      <w:r>
        <w:rPr>
          <w:kern w:val="0"/>
          <w:szCs w:val="21"/>
          <w:highlight w:val="none"/>
          <w:shd w:val="clear" w:color="auto" w:fill="FFFFFF"/>
        </w:rPr>
        <w:t>我方保证上述承诺或声明内容的客观、真实、准确，并愿意承担我方因提供虚假承诺或声明谋骗取中标、成交所引起的一切法律后果</w:t>
      </w:r>
      <w:r>
        <w:rPr>
          <w:rFonts w:hint="eastAsia"/>
          <w:kern w:val="0"/>
          <w:szCs w:val="21"/>
          <w:highlight w:val="none"/>
          <w:shd w:val="clear" w:color="auto" w:fill="FFFFFF"/>
        </w:rPr>
        <w:t>。</w:t>
      </w:r>
    </w:p>
    <w:p>
      <w:pPr>
        <w:snapToGrid w:val="0"/>
        <w:spacing w:line="360" w:lineRule="auto"/>
        <w:ind w:firstLine="420" w:firstLineChars="200"/>
        <w:rPr>
          <w:szCs w:val="21"/>
          <w:highlight w:val="none"/>
        </w:rPr>
      </w:pPr>
      <w:r>
        <w:rPr>
          <w:rFonts w:hint="eastAsia"/>
          <w:kern w:val="0"/>
          <w:szCs w:val="21"/>
          <w:highlight w:val="none"/>
          <w:shd w:val="clear" w:color="auto" w:fill="FFFFFF"/>
        </w:rPr>
        <w:t>特此声明！</w:t>
      </w:r>
    </w:p>
    <w:p>
      <w:pPr>
        <w:snapToGrid w:val="0"/>
        <w:spacing w:line="480" w:lineRule="auto"/>
        <w:ind w:firstLine="420" w:firstLineChars="200"/>
        <w:rPr>
          <w:szCs w:val="21"/>
          <w:highlight w:val="none"/>
        </w:rPr>
      </w:pPr>
    </w:p>
    <w:p>
      <w:pPr>
        <w:snapToGrid w:val="0"/>
        <w:spacing w:line="480" w:lineRule="auto"/>
        <w:ind w:firstLine="420" w:firstLineChars="200"/>
        <w:rPr>
          <w:szCs w:val="21"/>
          <w:highlight w:val="none"/>
        </w:rPr>
      </w:pPr>
      <w:r>
        <w:rPr>
          <w:rFonts w:hint="eastAsia"/>
          <w:kern w:val="0"/>
          <w:szCs w:val="21"/>
          <w:highlight w:val="none"/>
          <w:shd w:val="clear" w:color="auto" w:fill="FFFFFF"/>
        </w:rPr>
        <w:t> </w:t>
      </w:r>
    </w:p>
    <w:p>
      <w:pPr>
        <w:snapToGrid w:val="0"/>
        <w:spacing w:line="480" w:lineRule="auto"/>
        <w:ind w:firstLine="420" w:firstLineChars="200"/>
        <w:jc w:val="right"/>
        <w:rPr>
          <w:szCs w:val="21"/>
          <w:highlight w:val="none"/>
        </w:rPr>
      </w:pPr>
      <w:r>
        <w:rPr>
          <w:rFonts w:hint="eastAsia"/>
          <w:kern w:val="0"/>
          <w:szCs w:val="21"/>
          <w:highlight w:val="none"/>
          <w:shd w:val="clear" w:color="auto" w:fill="FFFFFF"/>
        </w:rPr>
        <w:t>供应商：</w:t>
      </w:r>
      <w:r>
        <w:rPr>
          <w:rFonts w:hint="eastAsia"/>
          <w:kern w:val="0"/>
          <w:szCs w:val="21"/>
          <w:highlight w:val="none"/>
          <w:u w:val="single"/>
          <w:shd w:val="clear" w:color="auto" w:fill="FFFFFF"/>
        </w:rPr>
        <w:t>                    </w:t>
      </w:r>
      <w:r>
        <w:rPr>
          <w:rFonts w:hint="eastAsia"/>
          <w:kern w:val="0"/>
          <w:szCs w:val="21"/>
          <w:highlight w:val="none"/>
          <w:shd w:val="clear" w:color="auto" w:fill="FFFFFF"/>
        </w:rPr>
        <w:t>（盖单位章）</w:t>
      </w:r>
    </w:p>
    <w:p>
      <w:pPr>
        <w:snapToGrid w:val="0"/>
        <w:spacing w:line="480" w:lineRule="auto"/>
        <w:ind w:firstLine="420" w:firstLineChars="200"/>
        <w:jc w:val="right"/>
        <w:rPr>
          <w:szCs w:val="21"/>
          <w:highlight w:val="none"/>
        </w:rPr>
      </w:pPr>
      <w:r>
        <w:rPr>
          <w:rFonts w:hint="eastAsia"/>
          <w:kern w:val="0"/>
          <w:szCs w:val="21"/>
          <w:highlight w:val="none"/>
          <w:shd w:val="clear" w:color="auto" w:fill="FFFFFF"/>
        </w:rPr>
        <w:t>法定代表人或其委托代理人：</w:t>
      </w:r>
      <w:r>
        <w:rPr>
          <w:rFonts w:hint="eastAsia"/>
          <w:kern w:val="0"/>
          <w:szCs w:val="21"/>
          <w:highlight w:val="none"/>
          <w:u w:val="single"/>
          <w:shd w:val="clear" w:color="auto" w:fill="FFFFFF"/>
        </w:rPr>
        <w:t>               </w:t>
      </w:r>
      <w:r>
        <w:rPr>
          <w:rFonts w:hint="eastAsia"/>
          <w:kern w:val="0"/>
          <w:szCs w:val="21"/>
          <w:highlight w:val="none"/>
          <w:shd w:val="clear" w:color="auto" w:fill="FFFFFF"/>
        </w:rPr>
        <w:t>（签字）</w:t>
      </w:r>
    </w:p>
    <w:p>
      <w:pPr>
        <w:snapToGrid w:val="0"/>
        <w:spacing w:line="480" w:lineRule="auto"/>
        <w:ind w:firstLine="420" w:firstLineChars="200"/>
        <w:jc w:val="right"/>
        <w:rPr>
          <w:szCs w:val="21"/>
          <w:highlight w:val="none"/>
        </w:rPr>
      </w:pPr>
      <w:r>
        <w:rPr>
          <w:rFonts w:hint="eastAsia"/>
          <w:kern w:val="0"/>
          <w:szCs w:val="21"/>
          <w:highlight w:val="none"/>
          <w:u w:val="single"/>
          <w:shd w:val="clear" w:color="auto" w:fill="FFFFFF"/>
        </w:rPr>
        <w:t>          </w:t>
      </w:r>
      <w:r>
        <w:rPr>
          <w:rFonts w:hint="eastAsia"/>
          <w:kern w:val="0"/>
          <w:szCs w:val="21"/>
          <w:highlight w:val="none"/>
          <w:shd w:val="clear" w:color="auto" w:fill="FFFFFF"/>
        </w:rPr>
        <w:t>年</w:t>
      </w:r>
      <w:r>
        <w:rPr>
          <w:rFonts w:hint="eastAsia"/>
          <w:kern w:val="0"/>
          <w:szCs w:val="21"/>
          <w:highlight w:val="none"/>
          <w:u w:val="single"/>
          <w:shd w:val="clear" w:color="auto" w:fill="FFFFFF"/>
        </w:rPr>
        <w:t>        </w:t>
      </w:r>
      <w:r>
        <w:rPr>
          <w:rFonts w:hint="eastAsia"/>
          <w:kern w:val="0"/>
          <w:szCs w:val="21"/>
          <w:highlight w:val="none"/>
          <w:shd w:val="clear" w:color="auto" w:fill="FFFFFF"/>
        </w:rPr>
        <w:t>月</w:t>
      </w:r>
      <w:r>
        <w:rPr>
          <w:rFonts w:hint="eastAsia"/>
          <w:kern w:val="0"/>
          <w:szCs w:val="21"/>
          <w:highlight w:val="none"/>
          <w:u w:val="single"/>
          <w:shd w:val="clear" w:color="auto" w:fill="FFFFFF"/>
        </w:rPr>
        <w:t>        </w:t>
      </w:r>
      <w:r>
        <w:rPr>
          <w:rFonts w:hint="eastAsia"/>
          <w:kern w:val="0"/>
          <w:szCs w:val="21"/>
          <w:highlight w:val="none"/>
          <w:shd w:val="clear" w:color="auto" w:fill="FFFFFF"/>
        </w:rPr>
        <w:t>日</w:t>
      </w:r>
      <w:bookmarkStart w:id="181" w:name="_Toc27204"/>
      <w:bookmarkEnd w:id="181"/>
      <w:bookmarkStart w:id="182" w:name="_Toc25994"/>
      <w:bookmarkEnd w:id="182"/>
    </w:p>
    <w:p>
      <w:pPr>
        <w:rPr>
          <w:highlight w:val="none"/>
        </w:rPr>
      </w:pPr>
    </w:p>
    <w:p>
      <w:pPr>
        <w:rPr>
          <w:highlight w:val="none"/>
        </w:rPr>
      </w:pPr>
    </w:p>
    <w:p>
      <w:pPr>
        <w:widowControl/>
        <w:jc w:val="left"/>
        <w:rPr>
          <w:highlight w:val="none"/>
        </w:rPr>
      </w:pPr>
      <w:r>
        <w:rPr>
          <w:highlight w:val="none"/>
        </w:rPr>
        <w:br w:type="page"/>
      </w:r>
    </w:p>
    <w:p>
      <w:pPr>
        <w:rPr>
          <w:highlight w:val="none"/>
        </w:rPr>
      </w:pPr>
    </w:p>
    <w:p>
      <w:pPr>
        <w:pStyle w:val="4"/>
        <w:snapToGrid w:val="0"/>
        <w:spacing w:before="120" w:after="120" w:line="360" w:lineRule="auto"/>
        <w:rPr>
          <w:rFonts w:cs="Arial"/>
          <w:bCs w:val="0"/>
          <w:highlight w:val="none"/>
        </w:rPr>
      </w:pPr>
      <w:bookmarkStart w:id="183" w:name="_Toc12393"/>
      <w:r>
        <w:rPr>
          <w:rFonts w:hint="eastAsia" w:cs="Arial"/>
          <w:bCs w:val="0"/>
          <w:highlight w:val="none"/>
        </w:rPr>
        <w:t>（三）其它声明</w:t>
      </w:r>
      <w:bookmarkEnd w:id="183"/>
    </w:p>
    <w:p>
      <w:pPr>
        <w:snapToGrid w:val="0"/>
        <w:spacing w:line="480" w:lineRule="auto"/>
        <w:ind w:firstLine="482" w:firstLineChars="200"/>
        <w:jc w:val="center"/>
        <w:rPr>
          <w:b/>
          <w:sz w:val="24"/>
          <w:szCs w:val="21"/>
          <w:highlight w:val="none"/>
        </w:rPr>
      </w:pPr>
      <w:r>
        <w:rPr>
          <w:rFonts w:hint="eastAsia"/>
          <w:b/>
          <w:sz w:val="24"/>
          <w:szCs w:val="21"/>
          <w:highlight w:val="none"/>
        </w:rPr>
        <w:t>（磋商供应商应根据本单位实际情况进行声明）</w:t>
      </w:r>
    </w:p>
    <w:p>
      <w:pPr>
        <w:snapToGrid w:val="0"/>
        <w:spacing w:line="480" w:lineRule="auto"/>
        <w:rPr>
          <w:szCs w:val="21"/>
          <w:highlight w:val="none"/>
        </w:rPr>
      </w:pPr>
      <w:r>
        <w:rPr>
          <w:rFonts w:hint="eastAsia"/>
          <w:kern w:val="0"/>
          <w:szCs w:val="21"/>
          <w:highlight w:val="none"/>
        </w:rPr>
        <w:t>采购人和采购代理机构：</w:t>
      </w:r>
    </w:p>
    <w:p>
      <w:pPr>
        <w:snapToGrid w:val="0"/>
        <w:spacing w:line="480" w:lineRule="auto"/>
        <w:ind w:firstLine="420" w:firstLineChars="200"/>
        <w:rPr>
          <w:rFonts w:cs="宋体" w:asciiTheme="minorEastAsia" w:hAnsiTheme="minorEastAsia" w:eastAsiaTheme="minorEastAsia"/>
          <w:snapToGrid w:val="0"/>
          <w:kern w:val="0"/>
          <w:szCs w:val="21"/>
          <w:highlight w:val="none"/>
        </w:rPr>
      </w:pPr>
      <w:r>
        <w:rPr>
          <w:rFonts w:hint="eastAsia"/>
          <w:kern w:val="0"/>
          <w:szCs w:val="21"/>
          <w:highlight w:val="none"/>
        </w:rPr>
        <w:t>我方在此声明，我方作为本项目的供应商，</w:t>
      </w:r>
      <w:r>
        <w:rPr>
          <w:rFonts w:hint="eastAsia" w:cs="宋体" w:asciiTheme="minorEastAsia" w:hAnsiTheme="minorEastAsia" w:eastAsiaTheme="minorEastAsia"/>
          <w:snapToGrid w:val="0"/>
          <w:kern w:val="0"/>
          <w:szCs w:val="21"/>
          <w:highlight w:val="none"/>
        </w:rPr>
        <w:t>不存在以下任一情形：</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（1）为采购人不具有独立法人资格的附属机构（单位）；</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（2）为本项目包前期准备提供整体设计，但设计施工总承包的除外；</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（3）为本项目包的监理人；</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（4）为本项目包的代建人（或项目管理方）；</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（5）为本项目包提供采购代理机构；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（6）为本项目包提供工程检测服务的；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（7）与本项目包的监理人或代建人或采购代理机构同为一个法定代表人的；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（8）与本项目包的监理人或代建人或采购代理机构相互控股或参股的；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（9）与本项目包的监理人或代建人或采购代理机构相互任职或工作的；</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cs="宋体" w:asciiTheme="minorEastAsia" w:hAnsiTheme="minorEastAsia" w:eastAsiaTheme="minorEastAsia"/>
          <w:snapToGrid w:val="0"/>
          <w:kern w:val="0"/>
          <w:szCs w:val="21"/>
          <w:highlight w:val="none"/>
        </w:rPr>
        <w:t>（10）被暂停或取消参与采购资格的。</w:t>
      </w:r>
    </w:p>
    <w:p>
      <w:pPr>
        <w:snapToGrid w:val="0"/>
        <w:spacing w:line="480" w:lineRule="auto"/>
        <w:ind w:firstLine="420" w:firstLineChars="200"/>
        <w:rPr>
          <w:kern w:val="0"/>
          <w:szCs w:val="21"/>
          <w:highlight w:val="none"/>
          <w:shd w:val="clear" w:color="auto" w:fill="FFFFFF"/>
        </w:rPr>
      </w:pPr>
    </w:p>
    <w:p>
      <w:pPr>
        <w:snapToGrid w:val="0"/>
        <w:spacing w:line="480" w:lineRule="auto"/>
        <w:ind w:firstLine="735" w:firstLineChars="350"/>
        <w:rPr>
          <w:szCs w:val="21"/>
          <w:highlight w:val="none"/>
        </w:rPr>
      </w:pPr>
      <w:r>
        <w:rPr>
          <w:rFonts w:hint="eastAsia"/>
          <w:kern w:val="0"/>
          <w:szCs w:val="21"/>
          <w:highlight w:val="none"/>
          <w:shd w:val="clear" w:color="auto" w:fill="FFFFFF"/>
        </w:rPr>
        <w:t>特此声明！</w:t>
      </w:r>
    </w:p>
    <w:p>
      <w:pPr>
        <w:snapToGrid w:val="0"/>
        <w:spacing w:line="480" w:lineRule="auto"/>
        <w:ind w:firstLine="420" w:firstLineChars="200"/>
        <w:rPr>
          <w:szCs w:val="21"/>
          <w:highlight w:val="none"/>
        </w:rPr>
      </w:pPr>
    </w:p>
    <w:p>
      <w:pPr>
        <w:snapToGrid w:val="0"/>
        <w:spacing w:line="480" w:lineRule="auto"/>
        <w:ind w:firstLine="420" w:firstLineChars="200"/>
        <w:rPr>
          <w:szCs w:val="21"/>
          <w:highlight w:val="none"/>
        </w:rPr>
      </w:pPr>
      <w:r>
        <w:rPr>
          <w:rFonts w:hint="eastAsia"/>
          <w:kern w:val="0"/>
          <w:szCs w:val="21"/>
          <w:highlight w:val="none"/>
          <w:shd w:val="clear" w:color="auto" w:fill="FFFFFF"/>
        </w:rPr>
        <w:t> </w:t>
      </w:r>
    </w:p>
    <w:p>
      <w:pPr>
        <w:snapToGrid w:val="0"/>
        <w:spacing w:line="480" w:lineRule="auto"/>
        <w:ind w:firstLine="420" w:firstLineChars="200"/>
        <w:jc w:val="right"/>
        <w:rPr>
          <w:szCs w:val="21"/>
          <w:highlight w:val="none"/>
        </w:rPr>
      </w:pPr>
      <w:r>
        <w:rPr>
          <w:rFonts w:hint="eastAsia"/>
          <w:kern w:val="0"/>
          <w:szCs w:val="21"/>
          <w:highlight w:val="none"/>
          <w:shd w:val="clear" w:color="auto" w:fill="FFFFFF"/>
        </w:rPr>
        <w:t>供应商：</w:t>
      </w:r>
      <w:r>
        <w:rPr>
          <w:rFonts w:hint="eastAsia"/>
          <w:kern w:val="0"/>
          <w:szCs w:val="21"/>
          <w:highlight w:val="none"/>
          <w:u w:val="single"/>
          <w:shd w:val="clear" w:color="auto" w:fill="FFFFFF"/>
        </w:rPr>
        <w:t>                    </w:t>
      </w:r>
      <w:r>
        <w:rPr>
          <w:rFonts w:hint="eastAsia"/>
          <w:kern w:val="0"/>
          <w:szCs w:val="21"/>
          <w:highlight w:val="none"/>
          <w:shd w:val="clear" w:color="auto" w:fill="FFFFFF"/>
        </w:rPr>
        <w:t>（盖单位章）</w:t>
      </w:r>
    </w:p>
    <w:p>
      <w:pPr>
        <w:snapToGrid w:val="0"/>
        <w:spacing w:line="480" w:lineRule="auto"/>
        <w:ind w:firstLine="420" w:firstLineChars="200"/>
        <w:jc w:val="right"/>
        <w:rPr>
          <w:szCs w:val="21"/>
          <w:highlight w:val="none"/>
        </w:rPr>
      </w:pPr>
      <w:r>
        <w:rPr>
          <w:rFonts w:hint="eastAsia"/>
          <w:kern w:val="0"/>
          <w:szCs w:val="21"/>
          <w:highlight w:val="none"/>
          <w:shd w:val="clear" w:color="auto" w:fill="FFFFFF"/>
        </w:rPr>
        <w:t>法定代表人或其委托代理人：</w:t>
      </w:r>
      <w:r>
        <w:rPr>
          <w:rFonts w:hint="eastAsia"/>
          <w:kern w:val="0"/>
          <w:szCs w:val="21"/>
          <w:highlight w:val="none"/>
          <w:u w:val="single"/>
          <w:shd w:val="clear" w:color="auto" w:fill="FFFFFF"/>
        </w:rPr>
        <w:t>               </w:t>
      </w:r>
      <w:r>
        <w:rPr>
          <w:rFonts w:hint="eastAsia"/>
          <w:kern w:val="0"/>
          <w:szCs w:val="21"/>
          <w:highlight w:val="none"/>
          <w:shd w:val="clear" w:color="auto" w:fill="FFFFFF"/>
        </w:rPr>
        <w:t>（签字）</w:t>
      </w:r>
    </w:p>
    <w:p>
      <w:pPr>
        <w:snapToGrid w:val="0"/>
        <w:spacing w:line="480" w:lineRule="auto"/>
        <w:ind w:firstLine="420" w:firstLineChars="200"/>
        <w:jc w:val="right"/>
        <w:rPr>
          <w:szCs w:val="21"/>
          <w:highlight w:val="none"/>
        </w:rPr>
      </w:pPr>
      <w:r>
        <w:rPr>
          <w:rFonts w:hint="eastAsia"/>
          <w:kern w:val="0"/>
          <w:szCs w:val="21"/>
          <w:highlight w:val="none"/>
          <w:u w:val="single"/>
          <w:shd w:val="clear" w:color="auto" w:fill="FFFFFF"/>
        </w:rPr>
        <w:t>          </w:t>
      </w:r>
      <w:r>
        <w:rPr>
          <w:rFonts w:hint="eastAsia"/>
          <w:kern w:val="0"/>
          <w:szCs w:val="21"/>
          <w:highlight w:val="none"/>
          <w:shd w:val="clear" w:color="auto" w:fill="FFFFFF"/>
        </w:rPr>
        <w:t>年</w:t>
      </w:r>
      <w:r>
        <w:rPr>
          <w:rFonts w:hint="eastAsia"/>
          <w:kern w:val="0"/>
          <w:szCs w:val="21"/>
          <w:highlight w:val="none"/>
          <w:u w:val="single"/>
          <w:shd w:val="clear" w:color="auto" w:fill="FFFFFF"/>
        </w:rPr>
        <w:t>        </w:t>
      </w:r>
      <w:r>
        <w:rPr>
          <w:rFonts w:hint="eastAsia"/>
          <w:kern w:val="0"/>
          <w:szCs w:val="21"/>
          <w:highlight w:val="none"/>
          <w:shd w:val="clear" w:color="auto" w:fill="FFFFFF"/>
        </w:rPr>
        <w:t>月</w:t>
      </w:r>
      <w:r>
        <w:rPr>
          <w:rFonts w:hint="eastAsia"/>
          <w:kern w:val="0"/>
          <w:szCs w:val="21"/>
          <w:highlight w:val="none"/>
          <w:u w:val="single"/>
          <w:shd w:val="clear" w:color="auto" w:fill="FFFFFF"/>
        </w:rPr>
        <w:t>        </w:t>
      </w:r>
      <w:r>
        <w:rPr>
          <w:rFonts w:hint="eastAsia"/>
          <w:kern w:val="0"/>
          <w:szCs w:val="21"/>
          <w:highlight w:val="none"/>
          <w:shd w:val="clear" w:color="auto" w:fill="FFFFFF"/>
        </w:rPr>
        <w:t>日</w:t>
      </w: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p>
    <w:p>
      <w:pPr>
        <w:tabs>
          <w:tab w:val="left" w:pos="426"/>
        </w:tabs>
        <w:autoSpaceDE w:val="0"/>
        <w:autoSpaceDN w:val="0"/>
        <w:adjustRightInd w:val="0"/>
        <w:snapToGrid w:val="0"/>
        <w:spacing w:line="360" w:lineRule="auto"/>
        <w:ind w:firstLine="420" w:firstLineChars="200"/>
        <w:jc w:val="left"/>
        <w:rPr>
          <w:rFonts w:cs="宋体" w:asciiTheme="minorEastAsia" w:hAnsiTheme="minorEastAsia" w:eastAsiaTheme="minorEastAsia"/>
          <w:snapToGrid w:val="0"/>
          <w:kern w:val="0"/>
          <w:szCs w:val="21"/>
          <w:highlight w:val="none"/>
        </w:rPr>
      </w:pPr>
      <w:r>
        <w:rPr>
          <w:rFonts w:hint="eastAsia" w:ascii="Arial" w:hAnsi="Arial" w:cs="Arial"/>
          <w:highlight w:val="none"/>
        </w:rPr>
        <w:t>其它供应商须提供的资格证明文件详见第五章《资格审查表》。</w:t>
      </w:r>
    </w:p>
    <w:p>
      <w:pPr>
        <w:pStyle w:val="4"/>
        <w:rPr>
          <w:rFonts w:ascii="宋体" w:hAnsi="宋体" w:eastAsia="宋体"/>
          <w:highlight w:val="none"/>
        </w:rPr>
      </w:pPr>
      <w:r>
        <w:rPr>
          <w:rFonts w:hint="eastAsia" w:ascii="宋体" w:hAnsi="宋体"/>
          <w:b/>
          <w:sz w:val="24"/>
          <w:highlight w:val="none"/>
        </w:rPr>
        <w:br w:type="page"/>
      </w:r>
      <w:bookmarkStart w:id="184" w:name="_Toc4318"/>
      <w:bookmarkStart w:id="185" w:name="_Toc355802499"/>
      <w:bookmarkStart w:id="186" w:name="_Toc477283145"/>
      <w:bookmarkStart w:id="187" w:name="_Toc470172720"/>
      <w:bookmarkStart w:id="188" w:name="_Toc422466739"/>
      <w:bookmarkStart w:id="189" w:name="_Toc356836516"/>
      <w:bookmarkStart w:id="190" w:name="_Toc12119"/>
      <w:bookmarkStart w:id="191" w:name="_Toc22465"/>
      <w:bookmarkStart w:id="192" w:name="_Toc432149016"/>
      <w:r>
        <w:rPr>
          <w:rFonts w:hint="eastAsia" w:ascii="宋体" w:hAnsi="宋体" w:eastAsia="宋体"/>
          <w:highlight w:val="none"/>
        </w:rPr>
        <w:t>其他证明文件</w:t>
      </w:r>
      <w:bookmarkEnd w:id="184"/>
    </w:p>
    <w:p>
      <w:pPr>
        <w:pStyle w:val="4"/>
        <w:spacing w:before="120" w:beforeLines="50" w:after="120" w:afterLines="50" w:line="300" w:lineRule="auto"/>
        <w:jc w:val="center"/>
        <w:rPr>
          <w:rFonts w:ascii="宋体" w:hAnsi="宋体"/>
          <w:szCs w:val="21"/>
          <w:highlight w:val="none"/>
        </w:rPr>
      </w:pPr>
      <w:bookmarkStart w:id="193" w:name="_Toc24053"/>
      <w:r>
        <w:rPr>
          <w:rFonts w:hint="eastAsia" w:cs="宋体" w:asciiTheme="minorEastAsia" w:hAnsiTheme="minorEastAsia" w:eastAsiaTheme="minorEastAsia"/>
          <w:b/>
          <w:bCs w:val="0"/>
          <w:szCs w:val="21"/>
          <w:highlight w:val="none"/>
        </w:rPr>
        <w:t>（一）中小企业声明函</w:t>
      </w:r>
      <w:bookmarkEnd w:id="185"/>
      <w:bookmarkEnd w:id="186"/>
      <w:bookmarkEnd w:id="187"/>
      <w:bookmarkEnd w:id="188"/>
      <w:bookmarkEnd w:id="189"/>
      <w:bookmarkEnd w:id="190"/>
      <w:bookmarkEnd w:id="191"/>
      <w:bookmarkEnd w:id="192"/>
      <w:bookmarkEnd w:id="193"/>
    </w:p>
    <w:p>
      <w:pPr>
        <w:rPr>
          <w:rFonts w:ascii="Arial" w:hAnsi="Arial" w:cs="Arial"/>
          <w:szCs w:val="21"/>
          <w:highlight w:val="none"/>
        </w:rPr>
      </w:pPr>
    </w:p>
    <w:p>
      <w:pPr>
        <w:spacing w:line="360" w:lineRule="auto"/>
        <w:ind w:firstLine="643" w:firstLineChars="200"/>
        <w:jc w:val="center"/>
        <w:rPr>
          <w:b/>
          <w:sz w:val="32"/>
          <w:szCs w:val="32"/>
          <w:highlight w:val="none"/>
        </w:rPr>
      </w:pPr>
      <w:r>
        <w:rPr>
          <w:rFonts w:hint="eastAsia"/>
          <w:b/>
          <w:sz w:val="32"/>
          <w:szCs w:val="32"/>
          <w:highlight w:val="none"/>
        </w:rPr>
        <w:t>中小企业声明函（工程）</w:t>
      </w:r>
    </w:p>
    <w:p>
      <w:pPr>
        <w:spacing w:line="360" w:lineRule="auto"/>
        <w:ind w:firstLine="420" w:firstLineChars="200"/>
        <w:rPr>
          <w:szCs w:val="21"/>
          <w:highlight w:val="none"/>
        </w:rPr>
      </w:pPr>
      <w:r>
        <w:rPr>
          <w:rFonts w:hint="eastAsia"/>
          <w:szCs w:val="21"/>
          <w:highlight w:val="none"/>
        </w:rPr>
        <w:t>本公司（联合体）郑重声明，根据《政府采购促进中小企业发展管理办法》 （财库﹝2020﹞46号）的规定，本公司（联合体）参加</w:t>
      </w:r>
      <w:r>
        <w:rPr>
          <w:rFonts w:hint="eastAsia"/>
          <w:szCs w:val="21"/>
          <w:highlight w:val="none"/>
          <w:u w:val="single"/>
        </w:rPr>
        <w:t xml:space="preserve"> </w:t>
      </w:r>
      <w:r>
        <w:rPr>
          <w:szCs w:val="21"/>
          <w:highlight w:val="none"/>
          <w:u w:val="single"/>
        </w:rPr>
        <w:t xml:space="preserve"> </w:t>
      </w:r>
      <w:r>
        <w:rPr>
          <w:b/>
          <w:bCs/>
          <w:i w:val="0"/>
          <w:iCs w:val="0"/>
          <w:szCs w:val="21"/>
          <w:highlight w:val="none"/>
          <w:u w:val="single"/>
        </w:rPr>
        <w:t xml:space="preserve"> </w:t>
      </w:r>
      <w:r>
        <w:rPr>
          <w:rFonts w:hint="eastAsia"/>
          <w:b/>
          <w:bCs/>
          <w:i w:val="0"/>
          <w:iCs w:val="0"/>
          <w:szCs w:val="21"/>
          <w:highlight w:val="none"/>
          <w:u w:val="single"/>
          <w:lang w:val="en-US" w:eastAsia="zh-CN"/>
        </w:rPr>
        <w:t>中南民族大学</w:t>
      </w:r>
      <w:r>
        <w:rPr>
          <w:b/>
          <w:bCs/>
          <w:i w:val="0"/>
          <w:iCs w:val="0"/>
          <w:szCs w:val="21"/>
          <w:highlight w:val="none"/>
          <w:u w:val="single"/>
        </w:rPr>
        <w:t xml:space="preserve"> </w:t>
      </w:r>
      <w:r>
        <w:rPr>
          <w:szCs w:val="21"/>
          <w:highlight w:val="none"/>
          <w:u w:val="single"/>
        </w:rPr>
        <w:t xml:space="preserve">  </w:t>
      </w:r>
      <w:r>
        <w:rPr>
          <w:rFonts w:hint="eastAsia"/>
          <w:szCs w:val="21"/>
          <w:highlight w:val="none"/>
        </w:rPr>
        <w:t>的</w:t>
      </w:r>
      <w:r>
        <w:rPr>
          <w:rFonts w:hint="eastAsia"/>
          <w:szCs w:val="21"/>
          <w:highlight w:val="none"/>
          <w:u w:val="single"/>
        </w:rPr>
        <w:t xml:space="preserve"> </w:t>
      </w:r>
      <w:r>
        <w:rPr>
          <w:szCs w:val="21"/>
          <w:highlight w:val="none"/>
          <w:u w:val="single"/>
        </w:rPr>
        <w:t xml:space="preserve">  </w:t>
      </w:r>
      <w:r>
        <w:rPr>
          <w:rFonts w:hint="eastAsia"/>
          <w:b/>
          <w:bCs/>
          <w:i w:val="0"/>
          <w:iCs/>
          <w:szCs w:val="21"/>
          <w:highlight w:val="none"/>
          <w:u w:val="single"/>
          <w:lang w:eastAsia="zh-CN"/>
        </w:rPr>
        <w:t>中南民族大学学生宿舍消防防火门更换（三期）</w:t>
      </w:r>
      <w:r>
        <w:rPr>
          <w:b/>
          <w:bCs/>
          <w:i w:val="0"/>
          <w:iCs/>
          <w:szCs w:val="21"/>
          <w:highlight w:val="none"/>
          <w:u w:val="single"/>
        </w:rPr>
        <w:t xml:space="preserve"> </w:t>
      </w:r>
      <w:r>
        <w:rPr>
          <w:szCs w:val="21"/>
          <w:highlight w:val="none"/>
          <w:u w:val="single"/>
        </w:rPr>
        <w:t xml:space="preserve"> </w:t>
      </w:r>
      <w:r>
        <w:rPr>
          <w:rFonts w:hint="eastAsia"/>
          <w:szCs w:val="21"/>
          <w:highlight w:val="none"/>
        </w:rPr>
        <w:t>采购活动，工程的施工单位全部为符合政策要求的中小企业。相关企业（含联合体中的中小企业、签订分包意向协议的中小企业）的具体情况如下：</w:t>
      </w:r>
    </w:p>
    <w:p>
      <w:pPr>
        <w:spacing w:line="360" w:lineRule="auto"/>
        <w:ind w:firstLine="420" w:firstLineChars="200"/>
        <w:rPr>
          <w:szCs w:val="21"/>
          <w:highlight w:val="none"/>
        </w:rPr>
      </w:pPr>
      <w:r>
        <w:rPr>
          <w:rFonts w:hint="eastAsia"/>
          <w:szCs w:val="21"/>
          <w:highlight w:val="none"/>
        </w:rPr>
        <w:t>1.</w:t>
      </w:r>
      <w:r>
        <w:rPr>
          <w:szCs w:val="21"/>
          <w:highlight w:val="none"/>
        </w:rPr>
        <w:t xml:space="preserve"> </w:t>
      </w:r>
      <w:r>
        <w:rPr>
          <w:i/>
          <w:szCs w:val="21"/>
          <w:highlight w:val="none"/>
          <w:u w:val="single"/>
        </w:rPr>
        <w:t xml:space="preserve">  </w:t>
      </w:r>
      <w:r>
        <w:rPr>
          <w:b/>
          <w:bCs/>
          <w:i w:val="0"/>
          <w:iCs/>
          <w:szCs w:val="21"/>
          <w:highlight w:val="none"/>
          <w:u w:val="single"/>
        </w:rPr>
        <w:t xml:space="preserve"> </w:t>
      </w:r>
      <w:r>
        <w:rPr>
          <w:rFonts w:hint="eastAsia"/>
          <w:b/>
          <w:bCs/>
          <w:i w:val="0"/>
          <w:iCs/>
          <w:szCs w:val="21"/>
          <w:highlight w:val="none"/>
          <w:u w:val="single"/>
          <w:lang w:eastAsia="zh-CN"/>
        </w:rPr>
        <w:t>中南民族大学学生宿舍消防防火门更换（三期）</w:t>
      </w:r>
      <w:r>
        <w:rPr>
          <w:b/>
          <w:bCs/>
          <w:i w:val="0"/>
          <w:iCs/>
          <w:szCs w:val="21"/>
          <w:highlight w:val="none"/>
          <w:u w:val="single"/>
        </w:rPr>
        <w:t xml:space="preserve"> </w:t>
      </w:r>
      <w:r>
        <w:rPr>
          <w:i/>
          <w:szCs w:val="21"/>
          <w:highlight w:val="none"/>
          <w:u w:val="single"/>
        </w:rPr>
        <w:t xml:space="preserve">  </w:t>
      </w:r>
      <w:r>
        <w:rPr>
          <w:rFonts w:hint="eastAsia"/>
          <w:szCs w:val="21"/>
          <w:highlight w:val="none"/>
        </w:rPr>
        <w:t>，属于</w:t>
      </w:r>
      <w:r>
        <w:rPr>
          <w:rFonts w:hint="eastAsia"/>
          <w:i/>
          <w:szCs w:val="21"/>
          <w:highlight w:val="none"/>
          <w:u w:val="single"/>
        </w:rPr>
        <w:t xml:space="preserve"> </w:t>
      </w:r>
      <w:r>
        <w:rPr>
          <w:i/>
          <w:szCs w:val="21"/>
          <w:highlight w:val="none"/>
          <w:u w:val="single"/>
        </w:rPr>
        <w:t xml:space="preserve">    </w:t>
      </w:r>
      <w:r>
        <w:rPr>
          <w:b/>
          <w:i w:val="0"/>
          <w:iCs/>
          <w:szCs w:val="21"/>
          <w:highlight w:val="none"/>
          <w:u w:val="single"/>
        </w:rPr>
        <w:t xml:space="preserve"> </w:t>
      </w:r>
      <w:r>
        <w:rPr>
          <w:rFonts w:hint="eastAsia"/>
          <w:b/>
          <w:i w:val="0"/>
          <w:iCs/>
          <w:szCs w:val="21"/>
          <w:highlight w:val="none"/>
          <w:u w:val="single"/>
        </w:rPr>
        <w:t>建筑业</w:t>
      </w:r>
      <w:r>
        <w:rPr>
          <w:rFonts w:hint="eastAsia"/>
          <w:b/>
          <w:i/>
          <w:szCs w:val="21"/>
          <w:highlight w:val="none"/>
          <w:u w:val="single"/>
        </w:rPr>
        <w:t xml:space="preserve"> </w:t>
      </w:r>
      <w:r>
        <w:rPr>
          <w:i/>
          <w:szCs w:val="21"/>
          <w:highlight w:val="none"/>
          <w:u w:val="single"/>
        </w:rPr>
        <w:t xml:space="preserve">   </w:t>
      </w:r>
      <w:r>
        <w:rPr>
          <w:rFonts w:hint="eastAsia"/>
          <w:szCs w:val="21"/>
          <w:highlight w:val="none"/>
        </w:rPr>
        <w:t xml:space="preserve"> ；承接企业为</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（企业名称） </w:t>
      </w:r>
      <w:r>
        <w:rPr>
          <w:i/>
          <w:szCs w:val="21"/>
          <w:highlight w:val="none"/>
          <w:u w:val="single"/>
        </w:rPr>
        <w:t xml:space="preserve">   </w:t>
      </w:r>
      <w:r>
        <w:rPr>
          <w:rFonts w:hint="eastAsia"/>
          <w:i/>
          <w:szCs w:val="21"/>
          <w:highlight w:val="none"/>
          <w:u w:val="single"/>
        </w:rPr>
        <w:t xml:space="preserve"> </w:t>
      </w:r>
      <w:r>
        <w:rPr>
          <w:rFonts w:hint="eastAsia"/>
          <w:szCs w:val="21"/>
          <w:highlight w:val="none"/>
        </w:rPr>
        <w:t>，从业人员</w:t>
      </w:r>
      <w:r>
        <w:rPr>
          <w:rFonts w:hint="eastAsia"/>
          <w:szCs w:val="21"/>
          <w:highlight w:val="none"/>
          <w:u w:val="single"/>
        </w:rPr>
        <w:t xml:space="preserve"> </w:t>
      </w:r>
      <w:r>
        <w:rPr>
          <w:szCs w:val="21"/>
          <w:highlight w:val="none"/>
          <w:u w:val="single"/>
        </w:rPr>
        <w:t xml:space="preserve">        </w:t>
      </w:r>
      <w:r>
        <w:rPr>
          <w:rFonts w:hint="eastAsia"/>
          <w:szCs w:val="21"/>
          <w:highlight w:val="none"/>
        </w:rPr>
        <w:t>人，营业收入为</w:t>
      </w:r>
      <w:r>
        <w:rPr>
          <w:rFonts w:hint="eastAsia"/>
          <w:szCs w:val="21"/>
          <w:highlight w:val="none"/>
          <w:u w:val="single"/>
        </w:rPr>
        <w:t xml:space="preserve"> </w:t>
      </w:r>
      <w:r>
        <w:rPr>
          <w:szCs w:val="21"/>
          <w:highlight w:val="none"/>
          <w:u w:val="single"/>
        </w:rPr>
        <w:t xml:space="preserve">                  </w:t>
      </w:r>
      <w:r>
        <w:rPr>
          <w:rFonts w:hint="eastAsia"/>
          <w:szCs w:val="21"/>
          <w:highlight w:val="none"/>
        </w:rPr>
        <w:t>万元，资产总额为</w:t>
      </w:r>
      <w:r>
        <w:rPr>
          <w:rFonts w:hint="eastAsia"/>
          <w:szCs w:val="21"/>
          <w:highlight w:val="none"/>
          <w:u w:val="single"/>
        </w:rPr>
        <w:t xml:space="preserve"> </w:t>
      </w:r>
      <w:r>
        <w:rPr>
          <w:szCs w:val="21"/>
          <w:highlight w:val="none"/>
          <w:u w:val="single"/>
        </w:rPr>
        <w:t xml:space="preserve">              </w:t>
      </w:r>
      <w:r>
        <w:rPr>
          <w:rFonts w:hint="eastAsia"/>
          <w:szCs w:val="21"/>
          <w:highlight w:val="none"/>
        </w:rPr>
        <w:t>万元，属于</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（中型企业、小型企业、微型企业） </w:t>
      </w:r>
      <w:r>
        <w:rPr>
          <w:i/>
          <w:szCs w:val="21"/>
          <w:highlight w:val="none"/>
          <w:u w:val="single"/>
        </w:rPr>
        <w:t xml:space="preserve">   </w:t>
      </w:r>
      <w:r>
        <w:rPr>
          <w:rFonts w:hint="eastAsia"/>
          <w:szCs w:val="21"/>
          <w:highlight w:val="none"/>
        </w:rPr>
        <w:t xml:space="preserve"> ；</w:t>
      </w:r>
    </w:p>
    <w:p>
      <w:pPr>
        <w:spacing w:line="360" w:lineRule="auto"/>
        <w:ind w:firstLine="420" w:firstLineChars="200"/>
        <w:rPr>
          <w:szCs w:val="21"/>
          <w:highlight w:val="none"/>
        </w:rPr>
      </w:pPr>
      <w:r>
        <w:rPr>
          <w:rFonts w:hint="eastAsia"/>
          <w:szCs w:val="21"/>
          <w:highlight w:val="none"/>
        </w:rPr>
        <w:t xml:space="preserve">2. </w:t>
      </w:r>
      <w:r>
        <w:rPr>
          <w:i/>
          <w:szCs w:val="21"/>
          <w:highlight w:val="none"/>
          <w:u w:val="single"/>
        </w:rPr>
        <w:t xml:space="preserve">    </w:t>
      </w:r>
      <w:r>
        <w:rPr>
          <w:rFonts w:hint="eastAsia"/>
          <w:i/>
          <w:szCs w:val="21"/>
          <w:highlight w:val="none"/>
          <w:u w:val="single"/>
        </w:rPr>
        <w:t xml:space="preserve">（标的名称） </w:t>
      </w:r>
      <w:r>
        <w:rPr>
          <w:i/>
          <w:szCs w:val="21"/>
          <w:highlight w:val="none"/>
          <w:u w:val="single"/>
        </w:rPr>
        <w:t xml:space="preserve">    </w:t>
      </w:r>
      <w:r>
        <w:rPr>
          <w:rFonts w:hint="eastAsia"/>
          <w:szCs w:val="21"/>
          <w:highlight w:val="none"/>
        </w:rPr>
        <w:t>，属于</w:t>
      </w:r>
      <w:r>
        <w:rPr>
          <w:rFonts w:hint="eastAsia"/>
          <w:i/>
          <w:szCs w:val="21"/>
          <w:highlight w:val="none"/>
          <w:u w:val="single"/>
        </w:rPr>
        <w:t xml:space="preserve"> </w:t>
      </w:r>
      <w:r>
        <w:rPr>
          <w:i/>
          <w:szCs w:val="21"/>
          <w:highlight w:val="none"/>
          <w:u w:val="single"/>
        </w:rPr>
        <w:t xml:space="preserve">     </w:t>
      </w:r>
      <w:r>
        <w:rPr>
          <w:rFonts w:hint="eastAsia"/>
          <w:b/>
          <w:i/>
          <w:szCs w:val="21"/>
          <w:highlight w:val="none"/>
          <w:u w:val="single"/>
        </w:rPr>
        <w:t>建筑业</w:t>
      </w:r>
      <w:r>
        <w:rPr>
          <w:i/>
          <w:szCs w:val="21"/>
          <w:highlight w:val="none"/>
          <w:u w:val="single"/>
        </w:rPr>
        <w:t xml:space="preserve">   </w:t>
      </w:r>
      <w:r>
        <w:rPr>
          <w:rFonts w:hint="eastAsia"/>
          <w:szCs w:val="21"/>
          <w:highlight w:val="none"/>
        </w:rPr>
        <w:t xml:space="preserve"> ；承接企业为</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（企业名称） </w:t>
      </w:r>
      <w:r>
        <w:rPr>
          <w:i/>
          <w:szCs w:val="21"/>
          <w:highlight w:val="none"/>
          <w:u w:val="single"/>
        </w:rPr>
        <w:t xml:space="preserve">   </w:t>
      </w:r>
      <w:r>
        <w:rPr>
          <w:rFonts w:hint="eastAsia"/>
          <w:i/>
          <w:szCs w:val="21"/>
          <w:highlight w:val="none"/>
          <w:u w:val="single"/>
        </w:rPr>
        <w:t xml:space="preserve"> </w:t>
      </w:r>
      <w:r>
        <w:rPr>
          <w:rFonts w:hint="eastAsia"/>
          <w:szCs w:val="21"/>
          <w:highlight w:val="none"/>
        </w:rPr>
        <w:t>，从业人员</w:t>
      </w:r>
      <w:r>
        <w:rPr>
          <w:rFonts w:hint="eastAsia"/>
          <w:szCs w:val="21"/>
          <w:highlight w:val="none"/>
          <w:u w:val="single"/>
        </w:rPr>
        <w:t xml:space="preserve"> </w:t>
      </w:r>
      <w:r>
        <w:rPr>
          <w:szCs w:val="21"/>
          <w:highlight w:val="none"/>
          <w:u w:val="single"/>
        </w:rPr>
        <w:t xml:space="preserve">        </w:t>
      </w:r>
      <w:r>
        <w:rPr>
          <w:rFonts w:hint="eastAsia"/>
          <w:szCs w:val="21"/>
          <w:highlight w:val="none"/>
        </w:rPr>
        <w:t>人，营业收入为</w:t>
      </w:r>
      <w:r>
        <w:rPr>
          <w:rFonts w:hint="eastAsia"/>
          <w:szCs w:val="21"/>
          <w:highlight w:val="none"/>
          <w:u w:val="single"/>
        </w:rPr>
        <w:t xml:space="preserve"> </w:t>
      </w:r>
      <w:r>
        <w:rPr>
          <w:szCs w:val="21"/>
          <w:highlight w:val="none"/>
          <w:u w:val="single"/>
        </w:rPr>
        <w:t xml:space="preserve">                  </w:t>
      </w:r>
      <w:r>
        <w:rPr>
          <w:rFonts w:hint="eastAsia"/>
          <w:szCs w:val="21"/>
          <w:highlight w:val="none"/>
        </w:rPr>
        <w:t>万元，资产总额为</w:t>
      </w:r>
      <w:r>
        <w:rPr>
          <w:rFonts w:hint="eastAsia"/>
          <w:szCs w:val="21"/>
          <w:highlight w:val="none"/>
          <w:u w:val="single"/>
        </w:rPr>
        <w:t xml:space="preserve"> </w:t>
      </w:r>
      <w:r>
        <w:rPr>
          <w:szCs w:val="21"/>
          <w:highlight w:val="none"/>
          <w:u w:val="single"/>
        </w:rPr>
        <w:t xml:space="preserve">              </w:t>
      </w:r>
      <w:r>
        <w:rPr>
          <w:rFonts w:hint="eastAsia"/>
          <w:szCs w:val="21"/>
          <w:highlight w:val="none"/>
        </w:rPr>
        <w:t>万元，属于</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（中型企业、小型企业、微型企业） </w:t>
      </w:r>
      <w:r>
        <w:rPr>
          <w:i/>
          <w:szCs w:val="21"/>
          <w:highlight w:val="none"/>
          <w:u w:val="single"/>
        </w:rPr>
        <w:t xml:space="preserve">   </w:t>
      </w:r>
      <w:r>
        <w:rPr>
          <w:rFonts w:hint="eastAsia"/>
          <w:szCs w:val="21"/>
          <w:highlight w:val="none"/>
        </w:rPr>
        <w:t xml:space="preserve"> ；</w:t>
      </w:r>
    </w:p>
    <w:p>
      <w:pPr>
        <w:spacing w:line="360" w:lineRule="auto"/>
        <w:ind w:firstLine="420" w:firstLineChars="200"/>
        <w:rPr>
          <w:szCs w:val="21"/>
          <w:highlight w:val="none"/>
        </w:rPr>
      </w:pPr>
      <w:r>
        <w:rPr>
          <w:rFonts w:hint="eastAsia"/>
          <w:szCs w:val="21"/>
          <w:highlight w:val="none"/>
        </w:rPr>
        <w:t>……</w:t>
      </w:r>
    </w:p>
    <w:p>
      <w:pPr>
        <w:spacing w:line="360" w:lineRule="auto"/>
        <w:ind w:firstLine="420" w:firstLineChars="200"/>
        <w:rPr>
          <w:szCs w:val="21"/>
          <w:highlight w:val="none"/>
        </w:rPr>
      </w:pPr>
    </w:p>
    <w:p>
      <w:pPr>
        <w:spacing w:line="360" w:lineRule="auto"/>
        <w:ind w:firstLine="420" w:firstLineChars="200"/>
        <w:rPr>
          <w:szCs w:val="21"/>
          <w:highlight w:val="none"/>
        </w:rPr>
      </w:pPr>
      <w:r>
        <w:rPr>
          <w:rFonts w:hint="eastAsia"/>
          <w:szCs w:val="21"/>
          <w:highlight w:val="none"/>
        </w:rPr>
        <w:t>以上企业，不属于大企业的分支机构，不存在控股股东为大企业的情形，也不存在与大企业的负责人为同一人的情形。</w:t>
      </w:r>
    </w:p>
    <w:p>
      <w:pPr>
        <w:spacing w:line="360" w:lineRule="auto"/>
        <w:ind w:firstLine="420" w:firstLineChars="200"/>
        <w:rPr>
          <w:szCs w:val="21"/>
          <w:highlight w:val="none"/>
        </w:rPr>
      </w:pPr>
      <w:r>
        <w:rPr>
          <w:rFonts w:hint="eastAsia"/>
          <w:szCs w:val="21"/>
          <w:highlight w:val="none"/>
        </w:rPr>
        <w:t>本企业对上述声明内容的真实性负责。如有虚假，将依法承担相应责任。</w:t>
      </w:r>
    </w:p>
    <w:p>
      <w:pPr>
        <w:spacing w:line="360" w:lineRule="auto"/>
        <w:ind w:firstLine="420" w:firstLineChars="200"/>
        <w:rPr>
          <w:szCs w:val="21"/>
          <w:highlight w:val="none"/>
        </w:rPr>
      </w:pPr>
    </w:p>
    <w:p>
      <w:pPr>
        <w:spacing w:line="360" w:lineRule="auto"/>
        <w:ind w:firstLine="4830" w:firstLineChars="2300"/>
        <w:rPr>
          <w:szCs w:val="21"/>
          <w:highlight w:val="none"/>
        </w:rPr>
      </w:pPr>
      <w:r>
        <w:rPr>
          <w:rFonts w:hint="eastAsia"/>
          <w:szCs w:val="21"/>
          <w:highlight w:val="none"/>
        </w:rPr>
        <w:t>企业名称（盖章） ：</w:t>
      </w:r>
    </w:p>
    <w:p>
      <w:pPr>
        <w:spacing w:line="360" w:lineRule="auto"/>
        <w:ind w:firstLine="420" w:firstLineChars="200"/>
        <w:rPr>
          <w:szCs w:val="21"/>
          <w:highlight w:val="none"/>
        </w:rPr>
      </w:pPr>
    </w:p>
    <w:p>
      <w:pPr>
        <w:spacing w:line="360" w:lineRule="auto"/>
        <w:ind w:firstLine="5250" w:firstLineChars="2500"/>
        <w:rPr>
          <w:szCs w:val="21"/>
          <w:highlight w:val="none"/>
        </w:rPr>
      </w:pPr>
      <w:r>
        <w:rPr>
          <w:rFonts w:hint="eastAsia"/>
          <w:szCs w:val="21"/>
          <w:highlight w:val="none"/>
        </w:rPr>
        <w:t>日期：</w:t>
      </w:r>
    </w:p>
    <w:p>
      <w:pPr>
        <w:spacing w:line="360" w:lineRule="auto"/>
        <w:ind w:firstLine="5250" w:firstLineChars="2500"/>
        <w:rPr>
          <w:szCs w:val="21"/>
          <w:highlight w:val="none"/>
        </w:rPr>
      </w:pPr>
    </w:p>
    <w:p>
      <w:pPr>
        <w:spacing w:line="360" w:lineRule="auto"/>
        <w:jc w:val="left"/>
        <w:rPr>
          <w:szCs w:val="21"/>
          <w:highlight w:val="none"/>
        </w:rPr>
      </w:pPr>
      <w:r>
        <w:rPr>
          <w:rFonts w:hint="eastAsia"/>
          <w:szCs w:val="21"/>
          <w:highlight w:val="none"/>
        </w:rPr>
        <w:t xml:space="preserve"> </w:t>
      </w:r>
      <w:r>
        <w:rPr>
          <w:szCs w:val="21"/>
          <w:highlight w:val="none"/>
        </w:rPr>
        <w:t xml:space="preserve">  </w:t>
      </w:r>
      <w:r>
        <w:rPr>
          <w:rFonts w:hint="eastAsia"/>
          <w:szCs w:val="21"/>
          <w:highlight w:val="none"/>
        </w:rPr>
        <w:t>备注：</w:t>
      </w:r>
    </w:p>
    <w:p>
      <w:pPr>
        <w:spacing w:line="360" w:lineRule="auto"/>
        <w:ind w:firstLine="840" w:firstLineChars="400"/>
        <w:rPr>
          <w:szCs w:val="21"/>
          <w:highlight w:val="none"/>
        </w:rPr>
      </w:pPr>
      <w:r>
        <w:rPr>
          <w:rFonts w:hint="eastAsia"/>
          <w:szCs w:val="21"/>
          <w:highlight w:val="none"/>
        </w:rPr>
        <w:t>1、从业人员、营业收入、资产总额填报上一年度数据，无上一年度数据的新成立企业可不填报。</w:t>
      </w:r>
    </w:p>
    <w:p>
      <w:pPr>
        <w:spacing w:line="360" w:lineRule="auto"/>
        <w:ind w:firstLine="446" w:firstLineChars="200"/>
        <w:rPr>
          <w:szCs w:val="21"/>
          <w:highlight w:val="none"/>
        </w:rPr>
      </w:pPr>
      <w:r>
        <w:rPr>
          <w:rFonts w:ascii="宋体" w:hAnsi="宋体" w:cs="宋体"/>
          <w:b/>
          <w:spacing w:val="6"/>
          <w:szCs w:val="21"/>
          <w:highlight w:val="none"/>
        </w:rPr>
        <w:t xml:space="preserve">   </w:t>
      </w:r>
      <w:r>
        <w:rPr>
          <w:rFonts w:hint="eastAsia"/>
          <w:szCs w:val="21"/>
          <w:highlight w:val="none"/>
        </w:rPr>
        <w:t>2、以联合体形式参加政府采购活动，联合体各方均为中小企业的，联合体视同中小企业。其中，联合体各方均为小微企业的，联合体视同小微企业。</w:t>
      </w:r>
    </w:p>
    <w:p>
      <w:pPr>
        <w:snapToGrid w:val="0"/>
        <w:spacing w:line="300" w:lineRule="auto"/>
        <w:ind w:firstLine="779" w:firstLineChars="371"/>
        <w:jc w:val="left"/>
        <w:rPr>
          <w:szCs w:val="21"/>
          <w:highlight w:val="none"/>
        </w:rPr>
      </w:pPr>
      <w:r>
        <w:rPr>
          <w:rFonts w:hint="eastAsia"/>
          <w:szCs w:val="21"/>
          <w:highlight w:val="none"/>
        </w:rPr>
        <w:t>3、在工程采购项目中，工程由中小企业承建，即工程施工单位为中小企业。</w:t>
      </w:r>
    </w:p>
    <w:p>
      <w:pPr>
        <w:snapToGrid w:val="0"/>
        <w:spacing w:line="300" w:lineRule="auto"/>
        <w:ind w:firstLine="779" w:firstLineChars="371"/>
        <w:jc w:val="left"/>
        <w:rPr>
          <w:szCs w:val="21"/>
          <w:highlight w:val="none"/>
        </w:rPr>
      </w:pPr>
      <w:r>
        <w:rPr>
          <w:rFonts w:hint="eastAsia"/>
          <w:szCs w:val="21"/>
          <w:highlight w:val="none"/>
        </w:rPr>
        <w:t>4、符合中小企业划分标准的个体工商户，在政府采购活动中视同中小企业。</w:t>
      </w:r>
    </w:p>
    <w:p>
      <w:pPr>
        <w:spacing w:line="360" w:lineRule="auto"/>
        <w:ind w:firstLine="2266" w:firstLineChars="1021"/>
        <w:jc w:val="right"/>
        <w:rPr>
          <w:rFonts w:ascii="宋体" w:hAnsi="宋体" w:cs="宋体"/>
          <w:spacing w:val="6"/>
          <w:szCs w:val="21"/>
          <w:highlight w:val="none"/>
        </w:rPr>
      </w:pPr>
    </w:p>
    <w:p>
      <w:pPr>
        <w:widowControl/>
        <w:jc w:val="left"/>
        <w:rPr>
          <w:rFonts w:ascii="宋体" w:hAnsi="宋体" w:cs="宋体"/>
          <w:spacing w:val="6"/>
          <w:szCs w:val="21"/>
          <w:highlight w:val="none"/>
        </w:rPr>
      </w:pPr>
      <w:r>
        <w:rPr>
          <w:rFonts w:ascii="宋体" w:hAnsi="宋体" w:cs="宋体"/>
          <w:spacing w:val="6"/>
          <w:szCs w:val="21"/>
          <w:highlight w:val="none"/>
        </w:rPr>
        <w:br w:type="page"/>
      </w:r>
    </w:p>
    <w:p>
      <w:pPr>
        <w:pStyle w:val="4"/>
        <w:spacing w:before="120" w:beforeLines="50" w:after="120" w:afterLines="50" w:line="300" w:lineRule="auto"/>
        <w:jc w:val="center"/>
        <w:rPr>
          <w:rFonts w:cs="宋体" w:asciiTheme="minorEastAsia" w:hAnsiTheme="minorEastAsia" w:eastAsiaTheme="minorEastAsia"/>
          <w:b/>
          <w:bCs w:val="0"/>
          <w:szCs w:val="21"/>
          <w:highlight w:val="none"/>
        </w:rPr>
      </w:pPr>
      <w:bookmarkStart w:id="194" w:name="_Toc492403861"/>
      <w:bookmarkStart w:id="195" w:name="_Toc30269"/>
      <w:r>
        <w:rPr>
          <w:rFonts w:hint="eastAsia" w:cs="宋体" w:asciiTheme="minorEastAsia" w:hAnsiTheme="minorEastAsia" w:eastAsiaTheme="minorEastAsia"/>
          <w:b/>
          <w:bCs w:val="0"/>
          <w:szCs w:val="21"/>
          <w:highlight w:val="none"/>
        </w:rPr>
        <w:t>（二）监狱企业证明文件</w:t>
      </w:r>
      <w:bookmarkEnd w:id="194"/>
      <w:bookmarkEnd w:id="195"/>
    </w:p>
    <w:p>
      <w:pPr>
        <w:widowControl/>
        <w:spacing w:before="100" w:beforeAutospacing="1" w:after="100" w:afterAutospacing="1"/>
        <w:ind w:firstLine="315" w:firstLineChars="150"/>
        <w:rPr>
          <w:rFonts w:ascii="Arial" w:hAnsi="Arial" w:cs="Arial"/>
          <w:szCs w:val="21"/>
          <w:highlight w:val="none"/>
        </w:rPr>
      </w:pPr>
      <w:r>
        <w:rPr>
          <w:rFonts w:hint="eastAsia" w:ascii="Arial" w:hAnsi="Arial" w:cs="Arial"/>
          <w:szCs w:val="21"/>
          <w:highlight w:val="none"/>
        </w:rPr>
        <w:t>供应商如是</w:t>
      </w:r>
      <w:r>
        <w:rPr>
          <w:rFonts w:hint="eastAsia" w:ascii="宋体" w:hAnsi="宋体" w:cs="Arial"/>
          <w:szCs w:val="21"/>
          <w:highlight w:val="none"/>
        </w:rPr>
        <w:t>监狱企业，提供相关证明文件。</w:t>
      </w:r>
    </w:p>
    <w:p>
      <w:pPr>
        <w:widowControl/>
        <w:spacing w:before="100" w:beforeAutospacing="1" w:after="100" w:afterAutospacing="1"/>
        <w:rPr>
          <w:rFonts w:ascii="Arial" w:hAnsi="Arial" w:cs="Arial"/>
          <w:szCs w:val="21"/>
          <w:highlight w:val="none"/>
        </w:rPr>
      </w:pPr>
    </w:p>
    <w:p>
      <w:pPr>
        <w:widowControl/>
        <w:spacing w:before="100" w:beforeAutospacing="1" w:after="100" w:afterAutospacing="1"/>
        <w:rPr>
          <w:rFonts w:ascii="Arial" w:hAnsi="Arial" w:cs="Arial"/>
          <w:szCs w:val="21"/>
          <w:highlight w:val="none"/>
        </w:rPr>
      </w:pPr>
    </w:p>
    <w:p>
      <w:pPr>
        <w:widowControl/>
        <w:spacing w:before="100" w:beforeAutospacing="1" w:after="100" w:afterAutospacing="1"/>
        <w:rPr>
          <w:rFonts w:ascii="Arial" w:hAnsi="Arial" w:cs="Arial"/>
          <w:szCs w:val="21"/>
          <w:highlight w:val="none"/>
        </w:rPr>
      </w:pPr>
    </w:p>
    <w:p>
      <w:pPr>
        <w:widowControl/>
        <w:spacing w:before="100" w:beforeAutospacing="1" w:after="100" w:afterAutospacing="1"/>
        <w:rPr>
          <w:rFonts w:ascii="Arial" w:hAnsi="Arial" w:cs="Arial"/>
          <w:szCs w:val="21"/>
          <w:highlight w:val="none"/>
        </w:rPr>
      </w:pPr>
    </w:p>
    <w:p>
      <w:pPr>
        <w:widowControl/>
        <w:spacing w:before="100" w:beforeAutospacing="1" w:after="100" w:afterAutospacing="1"/>
        <w:rPr>
          <w:rFonts w:ascii="Arial" w:hAnsi="Arial" w:cs="Arial"/>
          <w:szCs w:val="21"/>
          <w:highlight w:val="none"/>
        </w:rPr>
      </w:pPr>
    </w:p>
    <w:p>
      <w:pPr>
        <w:spacing w:line="300" w:lineRule="auto"/>
        <w:rPr>
          <w:rFonts w:ascii="Arial" w:hAnsi="Arial" w:cs="Arial"/>
          <w:szCs w:val="21"/>
          <w:highlight w:val="none"/>
        </w:rPr>
      </w:pPr>
      <w:r>
        <w:rPr>
          <w:rFonts w:ascii="Arial" w:hAnsi="Arial" w:cs="Arial"/>
          <w:szCs w:val="21"/>
          <w:highlight w:val="none"/>
        </w:rPr>
        <w:t>供应商名称[盖章]：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ascii="Arial" w:hAnsi="Arial" w:cs="Arial"/>
          <w:szCs w:val="21"/>
          <w:highlight w:val="none"/>
          <w:u w:val="single"/>
        </w:rPr>
      </w:pPr>
      <w:r>
        <w:rPr>
          <w:rFonts w:ascii="Arial" w:hAnsi="Arial" w:cs="Arial"/>
          <w:szCs w:val="21"/>
          <w:highlight w:val="none"/>
        </w:rPr>
        <w:t>供应商授权代表签字：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p>
    <w:p>
      <w:pPr>
        <w:rPr>
          <w:highlight w:val="none"/>
        </w:rPr>
      </w:pPr>
    </w:p>
    <w:p>
      <w:pPr>
        <w:rPr>
          <w:highlight w:val="none"/>
        </w:rPr>
      </w:pPr>
    </w:p>
    <w:p>
      <w:pPr>
        <w:pStyle w:val="4"/>
        <w:spacing w:before="120" w:beforeLines="50" w:after="120" w:afterLines="50" w:line="300" w:lineRule="auto"/>
        <w:jc w:val="center"/>
        <w:rPr>
          <w:rFonts w:cs="宋体" w:asciiTheme="minorEastAsia" w:hAnsiTheme="minorEastAsia" w:eastAsiaTheme="minorEastAsia"/>
          <w:b/>
          <w:bCs w:val="0"/>
          <w:szCs w:val="21"/>
          <w:highlight w:val="none"/>
        </w:rPr>
      </w:pPr>
      <w:r>
        <w:rPr>
          <w:b/>
          <w:highlight w:val="none"/>
        </w:rPr>
        <w:br w:type="page"/>
      </w:r>
      <w:bookmarkStart w:id="196" w:name="_Toc492403862"/>
      <w:bookmarkStart w:id="197" w:name="_Toc3564"/>
      <w:r>
        <w:rPr>
          <w:rFonts w:hint="eastAsia" w:cs="宋体" w:asciiTheme="minorEastAsia" w:hAnsiTheme="minorEastAsia" w:eastAsiaTheme="minorEastAsia"/>
          <w:b/>
          <w:bCs w:val="0"/>
          <w:szCs w:val="21"/>
          <w:highlight w:val="none"/>
        </w:rPr>
        <w:t>（三）</w:t>
      </w:r>
      <w:r>
        <w:rPr>
          <w:rFonts w:cs="宋体" w:asciiTheme="minorEastAsia" w:hAnsiTheme="minorEastAsia" w:eastAsiaTheme="minorEastAsia"/>
          <w:b/>
          <w:bCs w:val="0"/>
          <w:szCs w:val="21"/>
          <w:highlight w:val="none"/>
        </w:rPr>
        <w:t>残疾人福利性单位声明函</w:t>
      </w:r>
      <w:bookmarkEnd w:id="196"/>
      <w:bookmarkEnd w:id="197"/>
    </w:p>
    <w:p>
      <w:pPr>
        <w:spacing w:line="588" w:lineRule="exact"/>
        <w:jc w:val="center"/>
        <w:rPr>
          <w:rFonts w:ascii="宋体" w:hAnsi="宋体"/>
          <w:b/>
          <w:spacing w:val="6"/>
          <w:szCs w:val="21"/>
          <w:highlight w:val="none"/>
        </w:rPr>
      </w:pPr>
      <w:bookmarkStart w:id="198" w:name="OLE_LINK14"/>
      <w:bookmarkStart w:id="199" w:name="OLE_LINK13"/>
      <w:r>
        <w:rPr>
          <w:rFonts w:hint="eastAsia" w:ascii="宋体" w:hAnsi="宋体"/>
          <w:b/>
          <w:spacing w:val="6"/>
          <w:szCs w:val="21"/>
          <w:highlight w:val="none"/>
        </w:rPr>
        <w:t>残疾人福利性单位声明函</w:t>
      </w:r>
    </w:p>
    <w:bookmarkEnd w:id="198"/>
    <w:bookmarkEnd w:id="199"/>
    <w:p>
      <w:pPr>
        <w:spacing w:line="588" w:lineRule="exact"/>
        <w:rPr>
          <w:rFonts w:ascii="宋体" w:hAnsi="宋体"/>
          <w:b/>
          <w:spacing w:val="6"/>
          <w:szCs w:val="21"/>
          <w:highlight w:val="none"/>
        </w:rPr>
      </w:pPr>
    </w:p>
    <w:p>
      <w:pPr>
        <w:spacing w:line="588" w:lineRule="exact"/>
        <w:ind w:firstLine="444" w:firstLineChars="200"/>
        <w:rPr>
          <w:rFonts w:ascii="宋体" w:hAnsi="宋体"/>
          <w:spacing w:val="6"/>
          <w:szCs w:val="21"/>
          <w:highlight w:val="none"/>
        </w:rPr>
      </w:pPr>
      <w:r>
        <w:rPr>
          <w:rFonts w:hint="eastAsia" w:ascii="宋体" w:hAnsi="宋体"/>
          <w:spacing w:val="6"/>
          <w:szCs w:val="21"/>
          <w:highlight w:val="none"/>
        </w:rPr>
        <w:t>本单位郑重声明，根据《财政部 民政部 中国残疾人联合会关于促进残疾人就业政府采购政策的通知》（财库</w:t>
      </w:r>
      <w:r>
        <w:rPr>
          <w:rFonts w:hint="eastAsia" w:ascii="宋体" w:hAnsi="宋体"/>
          <w:szCs w:val="21"/>
          <w:highlight w:val="none"/>
        </w:rPr>
        <w:t>〔2017〕 141</w:t>
      </w:r>
      <w:r>
        <w:rPr>
          <w:rFonts w:hint="eastAsia" w:ascii="宋体" w:hAnsi="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ascii="宋体" w:hAnsi="宋体"/>
          <w:spacing w:val="6"/>
          <w:szCs w:val="21"/>
          <w:highlight w:val="none"/>
        </w:rPr>
      </w:pPr>
      <w:r>
        <w:rPr>
          <w:rFonts w:hint="eastAsia" w:ascii="宋体" w:hAnsi="宋体"/>
          <w:spacing w:val="6"/>
          <w:szCs w:val="21"/>
          <w:highlight w:val="none"/>
        </w:rPr>
        <w:t>本单位对上述声明的真实性负责。如有虚假，将依法承担相应责任。</w:t>
      </w:r>
    </w:p>
    <w:p>
      <w:pPr>
        <w:tabs>
          <w:tab w:val="left" w:pos="4860"/>
        </w:tabs>
        <w:spacing w:line="588" w:lineRule="exact"/>
        <w:ind w:right="1560" w:firstLine="444" w:firstLineChars="200"/>
        <w:jc w:val="right"/>
        <w:rPr>
          <w:rFonts w:ascii="宋体" w:hAnsi="宋体"/>
          <w:spacing w:val="6"/>
          <w:szCs w:val="21"/>
          <w:highlight w:val="none"/>
        </w:rPr>
      </w:pPr>
      <w:r>
        <w:rPr>
          <w:rFonts w:hint="eastAsia" w:ascii="宋体" w:hAnsi="宋体"/>
          <w:spacing w:val="6"/>
          <w:szCs w:val="21"/>
          <w:highlight w:val="none"/>
        </w:rPr>
        <w:t>单位名称（盖章）：</w:t>
      </w:r>
    </w:p>
    <w:p>
      <w:pPr>
        <w:tabs>
          <w:tab w:val="left" w:pos="4860"/>
        </w:tabs>
        <w:spacing w:line="588" w:lineRule="exact"/>
        <w:ind w:right="1560" w:firstLine="444" w:firstLineChars="200"/>
        <w:jc w:val="right"/>
        <w:rPr>
          <w:rFonts w:ascii="宋体" w:hAnsi="宋体"/>
          <w:spacing w:val="6"/>
          <w:szCs w:val="21"/>
          <w:highlight w:val="none"/>
        </w:rPr>
      </w:pPr>
      <w:r>
        <w:rPr>
          <w:rFonts w:hint="eastAsia" w:ascii="宋体" w:hAnsi="宋体"/>
          <w:spacing w:val="6"/>
          <w:szCs w:val="21"/>
          <w:highlight w:val="none"/>
        </w:rPr>
        <w:t>日  期：</w:t>
      </w:r>
    </w:p>
    <w:p>
      <w:pPr>
        <w:tabs>
          <w:tab w:val="left" w:pos="4860"/>
        </w:tabs>
        <w:spacing w:line="588" w:lineRule="exact"/>
        <w:ind w:right="1560" w:firstLine="444" w:firstLineChars="200"/>
        <w:jc w:val="right"/>
        <w:rPr>
          <w:rFonts w:ascii="宋体" w:hAnsi="宋体"/>
          <w:spacing w:val="6"/>
          <w:szCs w:val="21"/>
          <w:highlight w:val="none"/>
        </w:rPr>
      </w:pPr>
    </w:p>
    <w:p>
      <w:pPr>
        <w:tabs>
          <w:tab w:val="left" w:pos="4860"/>
        </w:tabs>
        <w:spacing w:line="588" w:lineRule="exact"/>
        <w:ind w:right="1560" w:firstLine="444" w:firstLineChars="200"/>
        <w:jc w:val="right"/>
        <w:rPr>
          <w:rFonts w:ascii="宋体" w:hAnsi="宋体"/>
          <w:spacing w:val="6"/>
          <w:szCs w:val="21"/>
          <w:highlight w:val="none"/>
        </w:rPr>
      </w:pPr>
    </w:p>
    <w:p>
      <w:pPr>
        <w:tabs>
          <w:tab w:val="left" w:pos="4860"/>
        </w:tabs>
        <w:spacing w:line="588" w:lineRule="exact"/>
        <w:ind w:right="1560" w:firstLine="444" w:firstLineChars="200"/>
        <w:jc w:val="right"/>
        <w:rPr>
          <w:rFonts w:ascii="宋体" w:hAnsi="宋体"/>
          <w:spacing w:val="6"/>
          <w:szCs w:val="21"/>
          <w:highlight w:val="none"/>
        </w:rPr>
      </w:pPr>
    </w:p>
    <w:p>
      <w:pPr>
        <w:tabs>
          <w:tab w:val="left" w:pos="4860"/>
        </w:tabs>
        <w:spacing w:line="588" w:lineRule="exact"/>
        <w:ind w:right="1560" w:firstLine="444" w:firstLineChars="200"/>
        <w:jc w:val="right"/>
        <w:rPr>
          <w:rFonts w:ascii="宋体" w:hAnsi="宋体"/>
          <w:spacing w:val="6"/>
          <w:szCs w:val="21"/>
          <w:highlight w:val="none"/>
        </w:rPr>
      </w:pPr>
    </w:p>
    <w:p>
      <w:pPr>
        <w:snapToGrid w:val="0"/>
        <w:spacing w:line="300" w:lineRule="auto"/>
        <w:rPr>
          <w:sz w:val="20"/>
          <w:highlight w:val="none"/>
        </w:rPr>
      </w:pPr>
      <w:r>
        <w:rPr>
          <w:rFonts w:hint="eastAsia"/>
          <w:sz w:val="20"/>
          <w:highlight w:val="none"/>
        </w:rPr>
        <w:t>备注：享受政府采购支持政策的残疾人福利性单位应当同时满足以下条件：</w:t>
      </w:r>
    </w:p>
    <w:p>
      <w:pPr>
        <w:snapToGrid w:val="0"/>
        <w:spacing w:line="300" w:lineRule="auto"/>
        <w:ind w:firstLine="400" w:firstLineChars="200"/>
        <w:rPr>
          <w:sz w:val="20"/>
          <w:highlight w:val="none"/>
        </w:rPr>
      </w:pPr>
      <w:r>
        <w:rPr>
          <w:rFonts w:hint="eastAsia"/>
          <w:sz w:val="20"/>
          <w:highlight w:val="none"/>
        </w:rPr>
        <w:t>（1）安置的残疾人占本单位在职职工人数的比例不低于25%（含25%），并且安置的残疾人人数不少于10人（含10人）；</w:t>
      </w:r>
    </w:p>
    <w:p>
      <w:pPr>
        <w:snapToGrid w:val="0"/>
        <w:spacing w:line="300" w:lineRule="auto"/>
        <w:ind w:firstLine="400" w:firstLineChars="200"/>
        <w:rPr>
          <w:sz w:val="20"/>
          <w:highlight w:val="none"/>
        </w:rPr>
      </w:pPr>
      <w:r>
        <w:rPr>
          <w:rFonts w:hint="eastAsia"/>
          <w:sz w:val="20"/>
          <w:highlight w:val="none"/>
        </w:rPr>
        <w:t>（2）依法与安置的每位残疾人签订了一年以上（含一年）的劳动合同或服务协议；</w:t>
      </w:r>
    </w:p>
    <w:p>
      <w:pPr>
        <w:snapToGrid w:val="0"/>
        <w:spacing w:line="300" w:lineRule="auto"/>
        <w:ind w:firstLine="400" w:firstLineChars="200"/>
        <w:rPr>
          <w:sz w:val="20"/>
          <w:highlight w:val="none"/>
        </w:rPr>
      </w:pPr>
      <w:r>
        <w:rPr>
          <w:rFonts w:hint="eastAsia"/>
          <w:sz w:val="20"/>
          <w:highlight w:val="none"/>
        </w:rPr>
        <w:t>（3）为安置的每位残疾人按月足额缴纳了基本养老保险、基本医疗保险、失业保险、工伤保险和生育保险等社会保险费；</w:t>
      </w:r>
    </w:p>
    <w:p>
      <w:pPr>
        <w:snapToGrid w:val="0"/>
        <w:spacing w:line="300" w:lineRule="auto"/>
        <w:ind w:firstLine="400" w:firstLineChars="200"/>
        <w:rPr>
          <w:sz w:val="20"/>
          <w:highlight w:val="none"/>
        </w:rPr>
      </w:pPr>
      <w:r>
        <w:rPr>
          <w:rFonts w:hint="eastAsia"/>
          <w:sz w:val="20"/>
          <w:highlight w:val="none"/>
        </w:rPr>
        <w:t>（4）通过银行等金融机构向安置的每位残疾人，按月支付了不低于单位所在区县适用的经省级人民政府批准的月最低工资标准的工资；</w:t>
      </w:r>
    </w:p>
    <w:p>
      <w:pPr>
        <w:snapToGrid w:val="0"/>
        <w:spacing w:line="300" w:lineRule="auto"/>
        <w:ind w:firstLine="400" w:firstLineChars="200"/>
        <w:rPr>
          <w:sz w:val="20"/>
          <w:highlight w:val="none"/>
        </w:rPr>
      </w:pPr>
      <w:r>
        <w:rPr>
          <w:rFonts w:hint="eastAsia"/>
          <w:sz w:val="20"/>
          <w:highlight w:val="none"/>
        </w:rPr>
        <w:t>（5）提供本单位制造的货物、承担的工程或者服务（以下简称产品），或者提供其他残疾人福利性单位制造的货物（不包括使用非残疾人福利性单位注册商标的货物）。</w:t>
      </w:r>
    </w:p>
    <w:p>
      <w:pPr>
        <w:snapToGrid w:val="0"/>
        <w:spacing w:line="300" w:lineRule="auto"/>
        <w:ind w:firstLine="400" w:firstLineChars="200"/>
        <w:rPr>
          <w:sz w:val="20"/>
          <w:highlight w:val="none"/>
        </w:rPr>
      </w:pPr>
      <w:r>
        <w:rPr>
          <w:rFonts w:hint="eastAsia"/>
          <w:sz w:val="20"/>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jc w:val="left"/>
        <w:rPr>
          <w:rFonts w:cs="宋体" w:asciiTheme="minorEastAsia" w:hAnsiTheme="minorEastAsia" w:eastAsiaTheme="minorEastAsia"/>
          <w:b/>
          <w:sz w:val="32"/>
          <w:szCs w:val="21"/>
          <w:highlight w:val="none"/>
        </w:rPr>
      </w:pPr>
      <w:r>
        <w:rPr>
          <w:highlight w:val="none"/>
        </w:rPr>
        <w:br w:type="page"/>
      </w:r>
    </w:p>
    <w:p>
      <w:pPr>
        <w:pStyle w:val="3"/>
        <w:spacing w:before="120" w:after="120"/>
        <w:rPr>
          <w:rFonts w:ascii="宋体" w:hAnsi="宋体"/>
          <w:color w:val="000000" w:themeColor="text1"/>
          <w:highlight w:val="none"/>
          <w14:textFill>
            <w14:solidFill>
              <w14:schemeClr w14:val="tx1"/>
            </w14:solidFill>
          </w14:textFill>
        </w:rPr>
      </w:pPr>
      <w:bookmarkStart w:id="200" w:name="_Toc18363"/>
      <w:r>
        <w:rPr>
          <w:rFonts w:ascii="宋体" w:hAnsi="宋体"/>
          <w:color w:val="000000" w:themeColor="text1"/>
          <w:highlight w:val="none"/>
          <w14:textFill>
            <w14:solidFill>
              <w14:schemeClr w14:val="tx1"/>
            </w14:solidFill>
          </w14:textFill>
        </w:rPr>
        <w:t>第</w:t>
      </w:r>
      <w:r>
        <w:rPr>
          <w:rFonts w:hint="eastAsia" w:ascii="宋体" w:hAnsi="宋体"/>
          <w:color w:val="000000" w:themeColor="text1"/>
          <w:highlight w:val="none"/>
          <w14:textFill>
            <w14:solidFill>
              <w14:schemeClr w14:val="tx1"/>
            </w14:solidFill>
          </w14:textFill>
        </w:rPr>
        <w:t>六</w:t>
      </w:r>
      <w:r>
        <w:rPr>
          <w:rFonts w:ascii="宋体" w:hAnsi="宋体"/>
          <w:color w:val="000000" w:themeColor="text1"/>
          <w:highlight w:val="none"/>
          <w14:textFill>
            <w14:solidFill>
              <w14:schemeClr w14:val="tx1"/>
            </w14:solidFill>
          </w14:textFill>
        </w:rPr>
        <w:t>章</w:t>
      </w:r>
      <w:r>
        <w:rPr>
          <w:rFonts w:hint="eastAsia" w:ascii="宋体" w:hAnsi="宋体"/>
          <w:color w:val="000000" w:themeColor="text1"/>
          <w:highlight w:val="none"/>
          <w14:textFill>
            <w14:solidFill>
              <w14:schemeClr w14:val="tx1"/>
            </w14:solidFill>
          </w14:textFill>
        </w:rPr>
        <w:t xml:space="preserve"> 工程量清单</w:t>
      </w:r>
      <w:bookmarkEnd w:id="200"/>
    </w:p>
    <w:p>
      <w:pPr>
        <w:widowControl/>
        <w:jc w:val="left"/>
        <w:rPr>
          <w:highlight w:val="none"/>
        </w:rPr>
      </w:pPr>
    </w:p>
    <w:p>
      <w:pPr>
        <w:widowControl/>
        <w:jc w:val="center"/>
        <w:rPr>
          <w:rFonts w:ascii="宋体" w:hAnsi="宋体"/>
          <w:b/>
          <w:bCs/>
          <w:color w:val="000000" w:themeColor="text1"/>
          <w:kern w:val="44"/>
          <w:sz w:val="32"/>
          <w:szCs w:val="44"/>
          <w:highlight w:val="none"/>
          <w14:textFill>
            <w14:solidFill>
              <w14:schemeClr w14:val="tx1"/>
            </w14:solidFill>
          </w14:textFill>
        </w:rPr>
      </w:pPr>
      <w:r>
        <w:rPr>
          <w:rFonts w:hint="eastAsia"/>
          <w:sz w:val="28"/>
          <w:szCs w:val="28"/>
          <w:highlight w:val="none"/>
          <w:lang w:val="en-US" w:eastAsia="zh-CN"/>
        </w:rPr>
        <w:t xml:space="preserve">另附 </w:t>
      </w:r>
      <w:r>
        <w:rPr>
          <w:rFonts w:ascii="宋体" w:hAnsi="宋体"/>
          <w:b/>
          <w:bCs/>
          <w:color w:val="000000" w:themeColor="text1"/>
          <w:kern w:val="44"/>
          <w:sz w:val="32"/>
          <w:szCs w:val="44"/>
          <w:highlight w:val="none"/>
          <w14:textFill>
            <w14:solidFill>
              <w14:schemeClr w14:val="tx1"/>
            </w14:solidFill>
          </w14:textFill>
        </w:rPr>
        <w:br w:type="page"/>
      </w:r>
    </w:p>
    <w:p>
      <w:pPr>
        <w:widowControl/>
        <w:jc w:val="center"/>
        <w:rPr>
          <w:sz w:val="28"/>
          <w:szCs w:val="28"/>
          <w:highlight w:val="none"/>
        </w:rPr>
      </w:pPr>
    </w:p>
    <w:p>
      <w:pPr>
        <w:pStyle w:val="3"/>
        <w:spacing w:before="120" w:after="120"/>
        <w:rPr>
          <w:rFonts w:ascii="宋体" w:hAnsi="宋体"/>
          <w:color w:val="000000" w:themeColor="text1"/>
          <w:highlight w:val="none"/>
          <w14:textFill>
            <w14:solidFill>
              <w14:schemeClr w14:val="tx1"/>
            </w14:solidFill>
          </w14:textFill>
        </w:rPr>
      </w:pPr>
      <w:bookmarkStart w:id="201" w:name="_Toc10779"/>
      <w:bookmarkStart w:id="202" w:name="OLE_LINK6"/>
      <w:r>
        <w:rPr>
          <w:rFonts w:ascii="宋体" w:hAnsi="宋体"/>
          <w:color w:val="000000" w:themeColor="text1"/>
          <w:highlight w:val="none"/>
          <w14:textFill>
            <w14:solidFill>
              <w14:schemeClr w14:val="tx1"/>
            </w14:solidFill>
          </w14:textFill>
        </w:rPr>
        <w:t>第</w:t>
      </w:r>
      <w:r>
        <w:rPr>
          <w:rFonts w:hint="eastAsia" w:ascii="宋体" w:hAnsi="宋体"/>
          <w:color w:val="000000" w:themeColor="text1"/>
          <w:highlight w:val="none"/>
          <w:lang w:val="en-US" w:eastAsia="zh-CN"/>
          <w14:textFill>
            <w14:solidFill>
              <w14:schemeClr w14:val="tx1"/>
            </w14:solidFill>
          </w14:textFill>
        </w:rPr>
        <w:t>七</w:t>
      </w:r>
      <w:r>
        <w:rPr>
          <w:rFonts w:ascii="宋体" w:hAnsi="宋体"/>
          <w:color w:val="000000" w:themeColor="text1"/>
          <w:highlight w:val="none"/>
          <w14:textFill>
            <w14:solidFill>
              <w14:schemeClr w14:val="tx1"/>
            </w14:solidFill>
          </w14:textFill>
        </w:rPr>
        <w:t>章</w:t>
      </w:r>
      <w:r>
        <w:rPr>
          <w:rFonts w:hint="eastAsia" w:ascii="宋体" w:hAnsi="宋体"/>
          <w:color w:val="000000" w:themeColor="text1"/>
          <w:highlight w:val="none"/>
          <w14:textFill>
            <w14:solidFill>
              <w14:schemeClr w14:val="tx1"/>
            </w14:solidFill>
          </w14:textFill>
        </w:rPr>
        <w:t xml:space="preserve"> 技术标准和要求</w:t>
      </w:r>
      <w:bookmarkEnd w:id="201"/>
    </w:p>
    <w:bookmarkEnd w:id="202"/>
    <w:p>
      <w:pPr>
        <w:spacing w:line="360" w:lineRule="auto"/>
        <w:rPr>
          <w:rFonts w:ascii="宋体" w:hAnsi="宋体" w:eastAsia="宋体" w:cs="宋体"/>
          <w:b/>
          <w:color w:val="000000"/>
          <w:szCs w:val="21"/>
          <w:highlight w:val="none"/>
        </w:rPr>
      </w:pPr>
      <w:bookmarkStart w:id="203" w:name="OLE_LINK17"/>
      <w:r>
        <w:rPr>
          <w:rFonts w:hint="eastAsia" w:ascii="宋体" w:hAnsi="宋体" w:eastAsia="宋体" w:cs="宋体"/>
          <w:b/>
          <w:color w:val="000000"/>
          <w:szCs w:val="21"/>
          <w:highlight w:val="none"/>
        </w:rPr>
        <w:t>一、项目概况</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1.项目名称：</w:t>
      </w:r>
      <w:bookmarkStart w:id="204" w:name="OLE_LINK1"/>
      <w:r>
        <w:rPr>
          <w:rFonts w:hint="eastAsia" w:ascii="宋体" w:hAnsi="宋体" w:cs="宋体"/>
          <w:bCs/>
          <w:color w:val="000000"/>
          <w:szCs w:val="21"/>
          <w:highlight w:val="none"/>
          <w:lang w:eastAsia="zh-CN"/>
        </w:rPr>
        <w:t>中南民族大学</w:t>
      </w:r>
      <w:bookmarkEnd w:id="204"/>
      <w:r>
        <w:rPr>
          <w:rFonts w:hint="eastAsia" w:ascii="宋体" w:hAnsi="宋体" w:cs="宋体"/>
          <w:bCs/>
          <w:color w:val="000000"/>
          <w:szCs w:val="21"/>
          <w:highlight w:val="none"/>
          <w:lang w:eastAsia="zh-CN"/>
        </w:rPr>
        <w:t>学生宿舍消防防火门更换（三期）</w:t>
      </w:r>
      <w:r>
        <w:rPr>
          <w:rFonts w:hint="eastAsia" w:ascii="宋体" w:hAnsi="宋体" w:eastAsia="宋体" w:cs="宋体"/>
          <w:bCs/>
          <w:color w:val="000000"/>
          <w:szCs w:val="21"/>
          <w:highlight w:val="none"/>
        </w:rPr>
        <w:t>；</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2.建设地点：</w:t>
      </w:r>
      <w:bookmarkStart w:id="205" w:name="OLE_LINK16"/>
      <w:r>
        <w:rPr>
          <w:rFonts w:hint="eastAsia" w:ascii="宋体" w:hAnsi="宋体" w:cs="宋体"/>
          <w:bCs/>
          <w:color w:val="000000"/>
          <w:szCs w:val="21"/>
          <w:highlight w:val="none"/>
          <w:lang w:eastAsia="zh-CN"/>
        </w:rPr>
        <w:t>中南民族大学</w:t>
      </w:r>
      <w:r>
        <w:rPr>
          <w:rFonts w:hint="eastAsia" w:ascii="宋体" w:hAnsi="宋体" w:cs="宋体"/>
          <w:bCs/>
          <w:color w:val="000000"/>
          <w:szCs w:val="21"/>
          <w:highlight w:val="none"/>
          <w:lang w:val="en-US" w:eastAsia="zh-CN"/>
        </w:rPr>
        <w:t>校内</w:t>
      </w:r>
      <w:bookmarkEnd w:id="205"/>
      <w:r>
        <w:rPr>
          <w:rFonts w:hint="eastAsia" w:ascii="宋体" w:hAnsi="宋体" w:eastAsia="宋体" w:cs="宋体"/>
          <w:bCs/>
          <w:color w:val="000000"/>
          <w:szCs w:val="21"/>
          <w:highlight w:val="none"/>
        </w:rPr>
        <w:t>；</w:t>
      </w:r>
    </w:p>
    <w:p>
      <w:pPr>
        <w:spacing w:line="360" w:lineRule="auto"/>
        <w:ind w:firstLine="420" w:firstLineChars="200"/>
        <w:rPr>
          <w:rFonts w:ascii="宋体" w:hAnsi="宋体" w:eastAsia="宋体" w:cs="宋体"/>
          <w:b/>
          <w:bCs/>
          <w:color w:val="000000"/>
          <w:szCs w:val="21"/>
          <w:highlight w:val="none"/>
        </w:rPr>
      </w:pPr>
      <w:r>
        <w:rPr>
          <w:rFonts w:hint="eastAsia" w:ascii="华文仿宋" w:hAnsi="华文仿宋" w:eastAsia="华文仿宋" w:cs="华文仿宋"/>
          <w:b/>
          <w:bCs/>
          <w:kern w:val="0"/>
          <w:szCs w:val="21"/>
          <w:highlight w:val="none"/>
          <w:lang w:val="en-US" w:eastAsia="zh-CN"/>
        </w:rPr>
        <w:t>★</w:t>
      </w:r>
      <w:r>
        <w:rPr>
          <w:rFonts w:hint="eastAsia" w:ascii="宋体" w:hAnsi="宋体" w:eastAsia="宋体" w:cs="宋体"/>
          <w:b/>
          <w:bCs/>
          <w:color w:val="000000"/>
          <w:szCs w:val="21"/>
          <w:highlight w:val="none"/>
        </w:rPr>
        <w:t>3.工期：</w:t>
      </w:r>
      <w:r>
        <w:rPr>
          <w:rFonts w:hint="eastAsia" w:ascii="宋体" w:hAnsi="宋体" w:cs="宋体"/>
          <w:b/>
          <w:bCs/>
          <w:color w:val="000000"/>
          <w:szCs w:val="21"/>
          <w:highlight w:val="none"/>
          <w:lang w:eastAsia="zh-CN"/>
        </w:rPr>
        <w:t>合同签订后</w:t>
      </w:r>
      <w:r>
        <w:rPr>
          <w:rFonts w:hint="eastAsia" w:ascii="宋体" w:hAnsi="宋体" w:cs="宋体"/>
          <w:b/>
          <w:bCs/>
          <w:color w:val="000000"/>
          <w:szCs w:val="21"/>
          <w:highlight w:val="none"/>
          <w:lang w:val="en-US" w:eastAsia="zh-CN"/>
        </w:rPr>
        <w:t>90</w:t>
      </w:r>
      <w:r>
        <w:rPr>
          <w:rFonts w:hint="eastAsia" w:ascii="宋体" w:hAnsi="宋体" w:cs="宋体"/>
          <w:b/>
          <w:bCs/>
          <w:color w:val="000000"/>
          <w:szCs w:val="21"/>
          <w:highlight w:val="none"/>
          <w:lang w:eastAsia="zh-CN"/>
        </w:rPr>
        <w:t>个日历天（计划开工日期：以采购人书面通知为准）；（</w:t>
      </w:r>
      <w:r>
        <w:rPr>
          <w:rFonts w:hint="eastAsia" w:ascii="宋体" w:hAnsi="宋体" w:cs="宋体"/>
          <w:b/>
          <w:bCs/>
          <w:color w:val="000000"/>
          <w:szCs w:val="21"/>
          <w:highlight w:val="none"/>
          <w:lang w:val="en-US" w:eastAsia="zh-CN"/>
        </w:rPr>
        <w:t>提供承诺函，未提供视为无效响应</w:t>
      </w:r>
      <w:r>
        <w:rPr>
          <w:rFonts w:hint="eastAsia" w:ascii="宋体" w:hAnsi="宋体" w:cs="宋体"/>
          <w:b/>
          <w:bCs/>
          <w:color w:val="000000"/>
          <w:szCs w:val="21"/>
          <w:highlight w:val="none"/>
          <w:lang w:eastAsia="zh-CN"/>
        </w:rPr>
        <w:t>）。</w:t>
      </w:r>
    </w:p>
    <w:p>
      <w:pPr>
        <w:spacing w:line="360" w:lineRule="auto"/>
        <w:ind w:firstLine="420" w:firstLineChars="200"/>
        <w:rPr>
          <w:rFonts w:ascii="宋体" w:hAnsi="宋体" w:eastAsia="宋体" w:cs="宋体"/>
          <w:b/>
          <w:bCs/>
          <w:color w:val="000000"/>
          <w:szCs w:val="21"/>
          <w:highlight w:val="none"/>
        </w:rPr>
      </w:pPr>
      <w:r>
        <w:rPr>
          <w:rFonts w:hint="eastAsia" w:ascii="华文仿宋" w:hAnsi="华文仿宋" w:eastAsia="华文仿宋" w:cs="华文仿宋"/>
          <w:b/>
          <w:bCs/>
          <w:kern w:val="0"/>
          <w:szCs w:val="21"/>
          <w:highlight w:val="none"/>
          <w:lang w:val="en-US" w:eastAsia="zh-CN"/>
        </w:rPr>
        <w:t>★</w:t>
      </w:r>
      <w:r>
        <w:rPr>
          <w:rFonts w:hint="eastAsia" w:ascii="宋体" w:hAnsi="宋体" w:eastAsia="宋体" w:cs="宋体"/>
          <w:b/>
          <w:bCs/>
          <w:color w:val="000000"/>
          <w:szCs w:val="21"/>
          <w:highlight w:val="none"/>
        </w:rPr>
        <w:t>4.质保期：质量保修期从项目经甲方验收合格时间起算，保修期2年。保修期满后乙方仍须对项目故障承担维修义务，维修仅收取必要材料成本费用，双方对于保修期后维修服务另有约定的，按约定处理。</w:t>
      </w:r>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lang w:val="en-US" w:eastAsia="zh-CN"/>
        </w:rPr>
        <w:t>提供承诺函，未提供视为无效响应</w:t>
      </w:r>
      <w:r>
        <w:rPr>
          <w:rFonts w:hint="eastAsia" w:ascii="宋体" w:hAnsi="宋体" w:cs="宋体"/>
          <w:b/>
          <w:bCs/>
          <w:color w:val="000000"/>
          <w:szCs w:val="21"/>
          <w:highlight w:val="none"/>
          <w:lang w:eastAsia="zh-CN"/>
        </w:rPr>
        <w:t>）。</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5.工程质量管理目标：合格；</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6.安全生产管理目标：合格；</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7.文明施工管理目标：合格；</w:t>
      </w:r>
    </w:p>
    <w:p>
      <w:pPr>
        <w:spacing w:line="360" w:lineRule="auto"/>
        <w:ind w:firstLine="420" w:firstLineChars="200"/>
        <w:rPr>
          <w:rFonts w:ascii="宋体" w:hAnsi="宋体" w:eastAsia="宋体" w:cs="宋体"/>
          <w:b/>
          <w:bCs/>
          <w:color w:val="000000"/>
          <w:szCs w:val="21"/>
          <w:highlight w:val="none"/>
        </w:rPr>
      </w:pPr>
      <w:bookmarkStart w:id="206" w:name="OLE_LINK5"/>
      <w:r>
        <w:rPr>
          <w:rFonts w:hint="eastAsia" w:ascii="华文仿宋" w:hAnsi="华文仿宋" w:eastAsia="华文仿宋" w:cs="华文仿宋"/>
          <w:b/>
          <w:bCs/>
          <w:kern w:val="0"/>
          <w:szCs w:val="21"/>
          <w:highlight w:val="none"/>
          <w:lang w:val="en-US" w:eastAsia="zh-CN"/>
        </w:rPr>
        <w:t>★</w:t>
      </w:r>
      <w:bookmarkEnd w:id="206"/>
      <w:r>
        <w:rPr>
          <w:rFonts w:hint="eastAsia" w:ascii="宋体" w:hAnsi="宋体" w:eastAsia="宋体" w:cs="宋体"/>
          <w:b/>
          <w:bCs/>
          <w:color w:val="000000"/>
          <w:szCs w:val="21"/>
          <w:highlight w:val="none"/>
        </w:rPr>
        <w:t>8.付款方式：</w:t>
      </w:r>
      <w:bookmarkStart w:id="207" w:name="OLE_LINK25"/>
      <w:r>
        <w:rPr>
          <w:rFonts w:hint="eastAsia" w:ascii="宋体" w:hAnsi="宋体" w:eastAsia="宋体" w:cs="宋体"/>
          <w:b/>
          <w:bCs/>
          <w:color w:val="000000"/>
          <w:szCs w:val="21"/>
          <w:highlight w:val="none"/>
        </w:rPr>
        <w:t>合同签订后，支付</w:t>
      </w:r>
      <w:r>
        <w:rPr>
          <w:rFonts w:hint="eastAsia" w:ascii="宋体" w:hAnsi="宋体" w:cs="宋体"/>
          <w:b/>
          <w:bCs/>
          <w:color w:val="000000"/>
          <w:szCs w:val="21"/>
          <w:highlight w:val="none"/>
          <w:lang w:val="en-US" w:eastAsia="zh-CN"/>
        </w:rPr>
        <w:t>3</w:t>
      </w:r>
      <w:r>
        <w:rPr>
          <w:rFonts w:hint="eastAsia" w:ascii="宋体" w:hAnsi="宋体" w:eastAsia="宋体" w:cs="宋体"/>
          <w:b/>
          <w:bCs/>
          <w:color w:val="000000"/>
          <w:szCs w:val="21"/>
          <w:highlight w:val="none"/>
        </w:rPr>
        <w:t>0%首付款；材料进场支付至75%工程款；工程完工验收合格后，乙方向甲方提供结算书及审计等资料，经学校审计部门结算审计完毕后，乙方支付审定金额的1.5%作为质保金，甲方支付至审定金额的100%，质量保修期满2年且无任何质量问题一次性无息返还质保金。结算时审减率超10%。审计费用全部由施工单位承担。</w:t>
      </w:r>
      <w:bookmarkEnd w:id="207"/>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lang w:val="en-US" w:eastAsia="zh-CN"/>
        </w:rPr>
        <w:t>提供承诺函，未提供视为无效响应</w:t>
      </w:r>
      <w:r>
        <w:rPr>
          <w:rFonts w:hint="eastAsia" w:ascii="宋体" w:hAnsi="宋体" w:cs="宋体"/>
          <w:b/>
          <w:bCs/>
          <w:color w:val="000000"/>
          <w:szCs w:val="21"/>
          <w:highlight w:val="none"/>
          <w:lang w:eastAsia="zh-CN"/>
        </w:rPr>
        <w:t>）。</w:t>
      </w:r>
    </w:p>
    <w:p>
      <w:pPr>
        <w:spacing w:line="360" w:lineRule="auto"/>
        <w:ind w:firstLine="420" w:firstLineChars="200"/>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9.工程内容概述：我校部分学生宿舍消防防火门破损严重，一旦发生火灾，容易引起火灾面积扩散，存在较大安全隐患，地方消防公安等部门要求进行整改维修。宿舍楼是高校重点部位，人流量大、可燃物多、结构复杂、救援困难，一旦发生事故容易引起较大人员伤亡财产损失。</w:t>
      </w:r>
    </w:p>
    <w:p>
      <w:pPr>
        <w:spacing w:line="360" w:lineRule="auto"/>
        <w:ind w:firstLine="420" w:firstLineChars="200"/>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宿舍楼等重点部位消防门维修更换势在必行，是近年来公安部及国家应急管理部提出消防建设目标，从根本上解决消防安全突出问题和重大风险</w:t>
      </w:r>
    </w:p>
    <w:p>
      <w:pPr>
        <w:spacing w:line="360" w:lineRule="auto"/>
        <w:ind w:firstLine="420" w:firstLineChars="200"/>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10.包装和运输：成交供应商全权负责且包含在报价中。 </w:t>
      </w:r>
    </w:p>
    <w:p>
      <w:pPr>
        <w:spacing w:line="360" w:lineRule="auto"/>
        <w:ind w:firstLine="420" w:firstLineChars="200"/>
        <w:rPr>
          <w:rFonts w:hint="eastAsia" w:ascii="宋体" w:hAnsi="宋体" w:eastAsia="宋体" w:cs="宋体"/>
          <w:b/>
          <w:bCs/>
          <w:color w:val="000000"/>
          <w:szCs w:val="21"/>
          <w:highlight w:val="none"/>
          <w:lang w:val="en-US" w:eastAsia="zh-CN"/>
        </w:rPr>
      </w:pPr>
      <w:r>
        <w:rPr>
          <w:rFonts w:hint="eastAsia" w:ascii="华文仿宋" w:hAnsi="华文仿宋" w:eastAsia="华文仿宋" w:cs="华文仿宋"/>
          <w:b/>
          <w:bCs/>
          <w:kern w:val="0"/>
          <w:szCs w:val="21"/>
          <w:highlight w:val="none"/>
          <w:lang w:val="en-US" w:eastAsia="zh-CN"/>
        </w:rPr>
        <w:t>★</w:t>
      </w:r>
      <w:r>
        <w:rPr>
          <w:rFonts w:hint="eastAsia" w:ascii="宋体" w:hAnsi="宋体" w:cs="宋体"/>
          <w:b/>
          <w:bCs/>
          <w:color w:val="000000"/>
          <w:szCs w:val="21"/>
          <w:highlight w:val="none"/>
          <w:lang w:val="en-US" w:eastAsia="zh-CN"/>
        </w:rPr>
        <w:t>11.</w:t>
      </w:r>
      <w:r>
        <w:rPr>
          <w:rFonts w:hint="eastAsia" w:ascii="宋体" w:hAnsi="宋体" w:eastAsia="宋体" w:cs="宋体"/>
          <w:b/>
          <w:bCs/>
          <w:color w:val="000000"/>
          <w:szCs w:val="21"/>
          <w:highlight w:val="none"/>
          <w:lang w:val="en-US" w:eastAsia="zh-CN"/>
        </w:rPr>
        <w:t>售后服务要求：</w:t>
      </w:r>
      <w:bookmarkStart w:id="208" w:name="OLE_LINK24"/>
      <w:bookmarkStart w:id="209" w:name="OLE_LINK12"/>
      <w:r>
        <w:rPr>
          <w:rFonts w:hint="eastAsia" w:ascii="宋体" w:hAnsi="宋体" w:eastAsia="宋体" w:cs="宋体"/>
          <w:b/>
          <w:bCs/>
          <w:color w:val="000000"/>
          <w:szCs w:val="21"/>
          <w:highlight w:val="none"/>
          <w:lang w:val="en-US" w:eastAsia="zh-CN"/>
        </w:rPr>
        <w:t>电话报修后2小时上门服务、5小时内排除故障</w:t>
      </w:r>
      <w:bookmarkEnd w:id="208"/>
      <w:r>
        <w:rPr>
          <w:rFonts w:hint="eastAsia" w:ascii="宋体" w:hAnsi="宋体" w:eastAsia="宋体" w:cs="宋体"/>
          <w:b/>
          <w:bCs/>
          <w:color w:val="000000"/>
          <w:szCs w:val="21"/>
          <w:highlight w:val="none"/>
          <w:lang w:val="en-US" w:eastAsia="zh-CN"/>
        </w:rPr>
        <w:t>。</w:t>
      </w:r>
      <w:bookmarkEnd w:id="209"/>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lang w:val="en-US" w:eastAsia="zh-CN"/>
        </w:rPr>
        <w:t>提供承诺函，未提供视为无效响应</w:t>
      </w:r>
      <w:r>
        <w:rPr>
          <w:rFonts w:hint="eastAsia" w:ascii="宋体" w:hAnsi="宋体" w:cs="宋体"/>
          <w:b/>
          <w:bCs/>
          <w:color w:val="000000"/>
          <w:szCs w:val="21"/>
          <w:highlight w:val="none"/>
          <w:lang w:eastAsia="zh-CN"/>
        </w:rPr>
        <w:t>）。</w:t>
      </w:r>
    </w:p>
    <w:p>
      <w:pPr>
        <w:spacing w:line="360" w:lineRule="auto"/>
        <w:ind w:firstLine="420" w:firstLineChars="200"/>
        <w:rPr>
          <w:rFonts w:hint="default" w:ascii="宋体" w:hAnsi="宋体" w:eastAsia="宋体" w:cs="宋体"/>
          <w:b/>
          <w:bCs/>
          <w:color w:val="000000"/>
          <w:szCs w:val="21"/>
          <w:highlight w:val="none"/>
          <w:lang w:val="en-US" w:eastAsia="zh-CN"/>
        </w:rPr>
      </w:pPr>
      <w:r>
        <w:rPr>
          <w:rFonts w:hint="eastAsia" w:ascii="华文仿宋" w:hAnsi="华文仿宋" w:eastAsia="华文仿宋" w:cs="华文仿宋"/>
          <w:b/>
          <w:bCs/>
          <w:kern w:val="0"/>
          <w:szCs w:val="21"/>
          <w:highlight w:val="none"/>
          <w:lang w:val="en-US" w:eastAsia="zh-CN"/>
        </w:rPr>
        <w:t>★</w:t>
      </w:r>
      <w:r>
        <w:rPr>
          <w:rFonts w:hint="eastAsia" w:ascii="宋体" w:hAnsi="宋体" w:cs="宋体"/>
          <w:b/>
          <w:bCs/>
          <w:color w:val="000000"/>
          <w:szCs w:val="21"/>
          <w:highlight w:val="none"/>
          <w:lang w:val="en-US" w:eastAsia="zh-CN"/>
        </w:rPr>
        <w:t>12.</w:t>
      </w:r>
      <w:r>
        <w:rPr>
          <w:rFonts w:hint="eastAsia" w:ascii="宋体" w:hAnsi="宋体" w:eastAsia="宋体" w:cs="宋体"/>
          <w:b/>
          <w:bCs/>
          <w:color w:val="000000"/>
          <w:szCs w:val="21"/>
          <w:highlight w:val="none"/>
          <w:lang w:val="en-US" w:eastAsia="zh-CN"/>
        </w:rPr>
        <w:t>其他</w:t>
      </w:r>
      <w:r>
        <w:rPr>
          <w:rFonts w:hint="eastAsia" w:ascii="宋体" w:hAnsi="宋体" w:cs="宋体"/>
          <w:b/>
          <w:bCs/>
          <w:color w:val="000000"/>
          <w:szCs w:val="21"/>
          <w:highlight w:val="none"/>
          <w:lang w:val="en-US" w:eastAsia="zh-CN"/>
        </w:rPr>
        <w:t>要求：</w:t>
      </w:r>
      <w:r>
        <w:rPr>
          <w:rFonts w:hint="eastAsia" w:ascii="宋体" w:hAnsi="宋体" w:eastAsia="宋体" w:cs="宋体"/>
          <w:b/>
          <w:bCs/>
          <w:color w:val="000000"/>
          <w:szCs w:val="21"/>
          <w:highlight w:val="none"/>
          <w:lang w:val="en-US" w:eastAsia="zh-CN"/>
        </w:rPr>
        <w:t>根据学校现场情况，供应商需拆除学校现有防火门并搬运至宿舍一楼，再进行新防火门安装。</w:t>
      </w:r>
      <w:r>
        <w:rPr>
          <w:rFonts w:hint="eastAsia" w:ascii="宋体" w:hAnsi="宋体" w:cs="宋体"/>
          <w:b/>
          <w:bCs/>
          <w:color w:val="000000"/>
          <w:szCs w:val="21"/>
          <w:highlight w:val="none"/>
          <w:lang w:val="en-US" w:eastAsia="zh-CN"/>
        </w:rPr>
        <w:t>此项服务包含在供应商的报价中，采购人不另行支付。</w:t>
      </w:r>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lang w:val="en-US" w:eastAsia="zh-CN"/>
        </w:rPr>
        <w:t>提供承诺函，未提供视为无效响应</w:t>
      </w:r>
      <w:r>
        <w:rPr>
          <w:rFonts w:hint="eastAsia" w:ascii="宋体" w:hAnsi="宋体" w:cs="宋体"/>
          <w:b/>
          <w:bCs/>
          <w:color w:val="000000"/>
          <w:szCs w:val="21"/>
          <w:highlight w:val="none"/>
          <w:lang w:eastAsia="zh-CN"/>
        </w:rPr>
        <w:t>）。</w:t>
      </w:r>
    </w:p>
    <w:p>
      <w:pPr>
        <w:spacing w:line="360" w:lineRule="auto"/>
        <w:ind w:firstLine="422" w:firstLineChars="200"/>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★13.供应商需承诺后期供货的“钢质防火门”的品牌、型号（如有）与响应文件一致。</w:t>
      </w:r>
      <w:r>
        <w:rPr>
          <w:rFonts w:hint="eastAsia" w:ascii="宋体" w:hAnsi="宋体" w:cs="宋体"/>
          <w:b/>
          <w:bCs/>
          <w:color w:val="000000"/>
          <w:szCs w:val="21"/>
          <w:highlight w:val="none"/>
          <w:lang w:eastAsia="zh-CN"/>
        </w:rPr>
        <w:t>（</w:t>
      </w:r>
      <w:r>
        <w:rPr>
          <w:rFonts w:hint="eastAsia" w:ascii="宋体" w:hAnsi="宋体" w:cs="宋体"/>
          <w:b/>
          <w:bCs/>
          <w:color w:val="000000"/>
          <w:szCs w:val="21"/>
          <w:highlight w:val="none"/>
          <w:lang w:val="en-US" w:eastAsia="zh-CN"/>
        </w:rPr>
        <w:t>提供承诺函，未提供视为无效响应</w:t>
      </w:r>
      <w:r>
        <w:rPr>
          <w:rFonts w:hint="eastAsia" w:ascii="宋体" w:hAnsi="宋体" w:cs="宋体"/>
          <w:b/>
          <w:bCs/>
          <w:color w:val="000000"/>
          <w:szCs w:val="21"/>
          <w:highlight w:val="none"/>
          <w:lang w:eastAsia="zh-CN"/>
        </w:rPr>
        <w:t>）。</w:t>
      </w:r>
    </w:p>
    <w:p>
      <w:pPr>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二、项目要求</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（一）施工范围及其它说明：</w:t>
      </w:r>
    </w:p>
    <w:p>
      <w:pPr>
        <w:spacing w:line="360" w:lineRule="auto"/>
        <w:ind w:firstLine="420" w:firstLineChars="200"/>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本项目位于中南民族大学，因我校部分学生宿舍消防防火门破损严重，一旦发生事故容易引起较大人员伤亡财产损失。宿舍楼等重点部位消防门维修更换势在必行，项目内容主要包括</w:t>
      </w:r>
      <w:r>
        <w:rPr>
          <w:rFonts w:hint="eastAsia" w:ascii="宋体" w:hAnsi="宋体" w:cs="宋体"/>
          <w:bCs/>
          <w:color w:val="000000"/>
          <w:szCs w:val="21"/>
          <w:highlight w:val="none"/>
          <w:lang w:val="en-US" w:eastAsia="zh-CN"/>
        </w:rPr>
        <w:t>原有门拆除</w:t>
      </w:r>
      <w:r>
        <w:rPr>
          <w:rFonts w:hint="eastAsia" w:ascii="宋体" w:hAnsi="宋体" w:eastAsia="宋体" w:cs="宋体"/>
          <w:bCs/>
          <w:color w:val="000000"/>
          <w:szCs w:val="21"/>
          <w:highlight w:val="none"/>
          <w:lang w:val="en-US" w:eastAsia="zh-CN"/>
        </w:rPr>
        <w:t>、</w:t>
      </w:r>
      <w:r>
        <w:rPr>
          <w:rFonts w:hint="eastAsia" w:ascii="宋体" w:hAnsi="宋体" w:cs="宋体"/>
          <w:bCs/>
          <w:color w:val="000000"/>
          <w:szCs w:val="21"/>
          <w:highlight w:val="none"/>
          <w:lang w:val="en-US" w:eastAsia="zh-CN"/>
        </w:rPr>
        <w:t>防火门更换，线路连接</w:t>
      </w:r>
      <w:r>
        <w:rPr>
          <w:rFonts w:hint="eastAsia" w:ascii="宋体" w:hAnsi="宋体" w:eastAsia="宋体" w:cs="宋体"/>
          <w:bCs/>
          <w:color w:val="000000"/>
          <w:szCs w:val="21"/>
          <w:highlight w:val="none"/>
          <w:lang w:val="en-US" w:eastAsia="zh-CN"/>
        </w:rPr>
        <w:t>等相关内容。施工范围：北区学生公寓3/5栋，南区学生宿舍20/21/22/23/25/26/27栋。</w:t>
      </w:r>
    </w:p>
    <w:p>
      <w:pPr>
        <w:spacing w:line="360" w:lineRule="auto"/>
        <w:ind w:firstLine="420" w:firstLineChars="200"/>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供应商以清单为准进行响应报价。</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（二）响应文件编制依据：</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1.磋商文件等；</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2.工程现场实际情况。</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（三）施工工艺要求：严格按照技术要求施工工艺要求施工。</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（四）报价说明</w:t>
      </w:r>
    </w:p>
    <w:p>
      <w:pPr>
        <w:spacing w:line="360" w:lineRule="auto"/>
        <w:ind w:firstLine="422" w:firstLineChars="200"/>
        <w:rPr>
          <w:rFonts w:ascii="宋体" w:hAnsi="宋体" w:eastAsia="宋体" w:cs="宋体"/>
          <w:b/>
          <w:color w:val="000000"/>
          <w:szCs w:val="21"/>
          <w:highlight w:val="none"/>
        </w:rPr>
      </w:pPr>
      <w:r>
        <w:rPr>
          <w:rFonts w:hint="eastAsia" w:ascii="宋体" w:hAnsi="宋体" w:eastAsia="宋体" w:cs="宋体"/>
          <w:b/>
          <w:color w:val="000000"/>
          <w:szCs w:val="21"/>
          <w:highlight w:val="none"/>
        </w:rPr>
        <w:t>响应报价须按照采购文件中的技术要求以及本项目所提供工程量清单填写</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1.响应报价应包括磋商文件所确定的施工范围内的全部内容，以及为完成上述内容的所有工程施工（含临时工程、施工技术组织措施等）、检验检测（含工程材料、工程设备等有检验、检测要求的工程系统和部分特殊工程项目）与工程验收、移交前的维护和修补缺陷等合同所规定的一切费用，其中也包括供应商的利润和应承担的风险费用。国家法律、法规、条例和地方政府规定向承包人征收的各种税款和费用及施工外部协调费用，也应包括在供应商要递交的校内磋商响应文件中的总报价中。</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2.按采购人提供的技术资料等，计算单价、合价及各种费用。</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3.各供应商编制响应文件时应对施工期间可能出现的政策、施工环境和市场变化等可能影响工程的   因素做出正确的评估，并体现到响应报价中，风险自担。</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4.成交后严格按照供应商所报工程量清单实施，施工过程中未经采购人许可（以书面形式为准），出现的任何形式的增项、漏项、变更由成交供应商自行承担责任</w:t>
      </w:r>
    </w:p>
    <w:p>
      <w:pPr>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三、其他要求</w:t>
      </w:r>
    </w:p>
    <w:p>
      <w:pPr>
        <w:wordWrap w:val="0"/>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1.</w:t>
      </w:r>
      <w:r>
        <w:rPr>
          <w:rFonts w:hint="eastAsia" w:ascii="Calibri" w:hAnsi="Calibri" w:eastAsia="宋体" w:cs="Times New Roman"/>
          <w:szCs w:val="21"/>
          <w:highlight w:val="none"/>
        </w:rPr>
        <w:t>材料要求</w:t>
      </w:r>
      <w:r>
        <w:rPr>
          <w:rFonts w:hint="eastAsia" w:ascii="Calibri" w:hAnsi="Calibri" w:cs="Times New Roman"/>
          <w:szCs w:val="21"/>
          <w:highlight w:val="none"/>
          <w:lang w:val="en-US" w:eastAsia="zh-CN"/>
        </w:rPr>
        <w:t>详见工程量清单编制说明</w:t>
      </w:r>
      <w:r>
        <w:rPr>
          <w:rFonts w:hint="eastAsia" w:ascii="宋体" w:hAnsi="宋体" w:eastAsia="宋体" w:cs="宋体"/>
          <w:bCs/>
          <w:color w:val="000000"/>
          <w:szCs w:val="21"/>
          <w:highlight w:val="none"/>
        </w:rPr>
        <w:t>。</w:t>
      </w:r>
    </w:p>
    <w:p>
      <w:pPr>
        <w:wordWrap w:val="0"/>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2.响应报价应包含附件工程量清单报价中所确定的招标范围内的全部内容，并包括完成上述内容所必需的人工、材料、机械、安全生产及文明施工措施工费、材料检测费、附属工程临时设施费、管理费、合理利润、税金、城管垃圾处理费、施工水电费、室内环境检测费竣工验收手续等全部费用。</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3.质量等级目标：合格。各响应供应商须在响应文件中对质量等级目标进行承诺。</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4.各供应商须在响应文件中提供拟投入本项目的现场技术人员小组的结构及名单。</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5.成交供应商必须在项目实施过程中做好现场的成品保护工作。各响应供应商须在响应文件中提供详细有效的相关保护措施及承诺。</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6.成交供应商必须在项目完成后做好本项目的竣工验收资料的交接工作。</w:t>
      </w:r>
    </w:p>
    <w:p>
      <w:pPr>
        <w:spacing w:line="360" w:lineRule="auto"/>
        <w:ind w:firstLine="420" w:firstLineChars="200"/>
        <w:rPr>
          <w:rFonts w:ascii="宋体" w:hAnsi="宋体" w:eastAsia="宋体" w:cs="宋体"/>
          <w:b/>
          <w:color w:val="000000"/>
          <w:szCs w:val="21"/>
          <w:highlight w:val="none"/>
        </w:rPr>
      </w:pPr>
      <w:r>
        <w:rPr>
          <w:rFonts w:hint="eastAsia" w:ascii="宋体" w:hAnsi="宋体" w:eastAsia="宋体" w:cs="宋体"/>
          <w:bCs/>
          <w:color w:val="000000"/>
          <w:szCs w:val="21"/>
          <w:highlight w:val="none"/>
        </w:rPr>
        <w:t>7.安全与文明施工现场临时用电按照采购人要求执行。采取积极措施做好施工现场的建筑物、构筑物和设备的保护工作，施工时现场未装修部分要遮盖保护，如有损坏和污染，由此所造成的经济损失，由施工方负责赔偿。</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8.成交供应商必须指定专职安全员（持证上岗）。成交供应商进场施工前，必须与采购人签订《施工安全责任书》，并完全响应《施工安全责任书》的全部要求。</w:t>
      </w:r>
    </w:p>
    <w:p>
      <w:pPr>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四、安全文明施工要求</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1.安全文明施工应符合《建筑工程安全防护、文明施工措施费用及使用管理规定》（建办【2005】89 号）的规定，并符合地方政府对安全文明施工合格（或标准化实施）的要求及本磋商文件的要求。</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2.成交供应商现场应配置安全管理机构，建立安全管理制度，设置专职安全管理人员，专职安全管理人员应具有相应的资格。特殊工种人员应持证上岗，具备相应的特种作业资格证。</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3.成交供应商在《施工组织设计》中应设置安全管理及措施专篇，详细描述针对本项目采用的安全管理措施。</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4.本项目的危险性较大的分部分项工程（以下简称“危大工程”）应按《危险性较大的分部分项工程管理规定》（建设部37号令）编制专项施工方案、超过一定规模的应组织专家论证，按要求加强管理，需要进行监测的应委托有资质的单位进行监测，按规定需要验收的应组织验收。</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5.危险性较大的分部分项工程清单、专项安全方案的内容要求、超过一定规模的危大工程范围按照《住房和城乡建设部关于实施&lt;危险性较大的分部分项工程安全管理规定&gt;有关问题的通知》（建办质&lt;2018&gt;31号文）执行，本处不再重复。供应商在响应时时应补充完善危大工程清单并明确相应的安全管理措施。</w:t>
      </w:r>
    </w:p>
    <w:p>
      <w:pPr>
        <w:spacing w:line="360" w:lineRule="auto"/>
        <w:rPr>
          <w:rFonts w:hint="default" w:ascii="宋体" w:hAnsi="宋体" w:eastAsia="宋体" w:cs="宋体"/>
          <w:b/>
          <w:color w:val="000000"/>
          <w:szCs w:val="21"/>
          <w:highlight w:val="none"/>
          <w:lang w:val="en-US" w:eastAsia="zh-CN"/>
        </w:rPr>
      </w:pPr>
      <w:r>
        <w:rPr>
          <w:rFonts w:hint="eastAsia" w:ascii="宋体" w:hAnsi="宋体" w:cs="宋体"/>
          <w:b/>
          <w:color w:val="000000"/>
          <w:szCs w:val="21"/>
          <w:highlight w:val="none"/>
          <w:lang w:val="en-US" w:eastAsia="zh-CN"/>
        </w:rPr>
        <w:t>五、技术参数要求</w:t>
      </w:r>
    </w:p>
    <w:p>
      <w:pPr>
        <w:spacing w:line="360" w:lineRule="auto"/>
        <w:ind w:firstLine="422" w:firstLineChars="200"/>
        <w:rPr>
          <w:rFonts w:hint="default" w:ascii="宋体" w:hAnsi="宋体" w:cs="宋体"/>
          <w:b/>
          <w:bCs w:val="0"/>
          <w:color w:val="000000"/>
          <w:szCs w:val="21"/>
          <w:highlight w:val="none"/>
          <w:lang w:val="en-US" w:eastAsia="zh-CN"/>
        </w:rPr>
      </w:pPr>
      <w:bookmarkStart w:id="210" w:name="OLE_LINK2"/>
      <w:r>
        <w:rPr>
          <w:rFonts w:hint="eastAsia" w:ascii="宋体" w:hAnsi="宋体" w:eastAsia="宋体" w:cs="宋体"/>
          <w:b/>
          <w:bCs w:val="0"/>
          <w:color w:val="000000"/>
          <w:szCs w:val="21"/>
          <w:highlight w:val="none"/>
          <w:lang w:val="en-US" w:eastAsia="zh-CN"/>
        </w:rPr>
        <w:t>（一）</w:t>
      </w:r>
      <w:r>
        <w:rPr>
          <w:rFonts w:hint="eastAsia" w:ascii="宋体" w:hAnsi="宋体" w:cs="宋体"/>
          <w:b/>
          <w:bCs w:val="0"/>
          <w:color w:val="000000"/>
          <w:szCs w:val="21"/>
          <w:highlight w:val="none"/>
          <w:lang w:val="en-US" w:eastAsia="zh-CN"/>
        </w:rPr>
        <w:t>主要标的</w:t>
      </w:r>
    </w:p>
    <w:bookmarkEnd w:id="210"/>
    <w:tbl>
      <w:tblPr>
        <w:tblStyle w:val="42"/>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13"/>
        <w:gridCol w:w="1212"/>
        <w:gridCol w:w="5121"/>
        <w:gridCol w:w="728"/>
        <w:gridCol w:w="8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13" w:type="dxa"/>
            <w:vMerge w:val="restart"/>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12"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5121"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规格</w:t>
            </w:r>
          </w:p>
        </w:tc>
        <w:tc>
          <w:tcPr>
            <w:tcW w:w="728"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816" w:type="dxa"/>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713"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1212"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5121"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728"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8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13" w:type="dxa"/>
            <w:vMerge w:val="continue"/>
            <w:tcBorders>
              <w:top w:val="single" w:color="000000" w:sz="8" w:space="0"/>
              <w:left w:val="single" w:color="000000" w:sz="8"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1212"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5121"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728"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c>
          <w:tcPr>
            <w:tcW w:w="816" w:type="dxa"/>
            <w:vMerge w:val="continue"/>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pPr>
              <w:jc w:val="center"/>
              <w:rPr>
                <w:rFonts w:hint="eastAsia" w:ascii="宋体" w:hAnsi="宋体" w:eastAsia="宋体" w:cs="宋体"/>
                <w:i w:val="0"/>
                <w:iCs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木门拆除</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1.原整樘木门拆除并归堆</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2.部位：公共区域</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3.面积：S≤2.5m2</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4.其他：投标单位根据现场踏勘，自主报价</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樘</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木门拆除</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1.原整樘木门拆除并归堆</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2.部位：公共区域</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3.面积：2.5m2＜S≤4.0m2</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4.其他：投标单位根据现场踏勘，自主报价</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樘</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立面抹灰层拆除</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1.门洞损坏的抹灰层铲除</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2.其他:投标单位根据现场踏勘，自主报价</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平面块料拆除</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1.门洞损坏的地面砖及砂浆结合层铲除</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2.其他:投标单位根据现场踏勘，自主报价</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1.建筑垃圾上下楼，场内外运输（含消纳费）</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2.运距：投标单位自行考虑并报价</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零星抹灰</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1.门侧零星抹灰修复</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2.满刮腻子二遍，乳胶漆二遍</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块料零星项目</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1.零星块料地砖修复</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2.洞口尺寸：1800*2100mm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8"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2.洞口尺寸：1500*2100mm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2.洞口尺寸：1500*2300mm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2.洞口尺寸：1500*2400mm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3"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2.洞口尺寸：1000*2100mm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3.闭门器、顺位器安装，安装方式：明装（每樘门1个闭门器，1个顺位器）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7"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2.洞口尺寸：2100*2200mm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2.洞口尺寸：2100*2300mm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6"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2.洞口尺寸：2100*2400mm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3.闭门器、顺位器安装，安装方式：明装（每樘门2个闭门器，1个顺位器）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241.92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2.洞口尺寸：1000*2600mm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4"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2.洞口尺寸：1500*2100mm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2.洞口尺寸：1000*2100mm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钢质防火门</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1.甲级钢质防火门</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2.洞口尺寸：600*2100mm</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3.含铰链、合页配套五金配件，包含塞缝、打耐候胶等一系列配套工作</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门锁安装</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1.304不锈钢执手锁</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门框灌浆</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1.门框灌浆</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樘</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垂直运输</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1.垂直运输费</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2.材料场内外运输</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3.以自定的施工方案为准，由施工单位自行考虑并报价</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成品保护</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1.成品保护</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2.包含但不限于墙、地面的保护</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1.名称:电气配管</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2.材质:JDG</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3.规格:φ20</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4.配置形式:明敷</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1.名称:信号线</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2.型号:NH-RVS-2*1.5MM2</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3.配线部位:穿管敷设</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1.名称:电源</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2.型号:NH-BV-2.5MM2</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3.配线部位:穿管敷设</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1.名称:接线盒</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2.材质:钢制</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3.规格:86*86</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jc w:val="center"/>
        </w:trPr>
        <w:tc>
          <w:tcPr>
            <w:tcW w:w="713" w:type="dxa"/>
            <w:tcBorders>
              <w:top w:val="single" w:color="000000" w:sz="4" w:space="0"/>
              <w:left w:val="single" w:color="000000" w:sz="8"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212"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脚手架搭拆</w:t>
            </w:r>
          </w:p>
        </w:tc>
        <w:tc>
          <w:tcPr>
            <w:tcW w:w="5121"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1.名称:移动脚手架</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2.所有工作均需满足规范及甲方要求等</w:t>
            </w:r>
          </w:p>
        </w:tc>
        <w:tc>
          <w:tcPr>
            <w:tcW w:w="728"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816" w:type="dxa"/>
            <w:tcBorders>
              <w:top w:val="single" w:color="000000" w:sz="4" w:space="0"/>
              <w:left w:val="single" w:color="000000" w:sz="4" w:space="0"/>
              <w:bottom w:val="single" w:color="000000" w:sz="4" w:space="0"/>
              <w:right w:val="single" w:color="000000" w:sz="4" w:space="0"/>
            </w:tcBorders>
            <w:shd w:val="clear" w:color="FFFFFF" w:fill="FFFFFF"/>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bl>
    <w:p>
      <w:pPr>
        <w:spacing w:line="360" w:lineRule="auto"/>
        <w:ind w:firstLine="422" w:firstLineChars="200"/>
        <w:rPr>
          <w:rFonts w:hint="default" w:ascii="宋体" w:hAnsi="宋体" w:eastAsia="宋体" w:cs="宋体"/>
          <w:b/>
          <w:bCs w:val="0"/>
          <w:color w:val="000000"/>
          <w:szCs w:val="21"/>
          <w:highlight w:val="none"/>
          <w:lang w:val="en-US" w:eastAsia="zh-CN"/>
        </w:rPr>
      </w:pPr>
      <w:bookmarkStart w:id="211" w:name="OLE_LINK9"/>
      <w:r>
        <w:rPr>
          <w:rFonts w:hint="eastAsia" w:ascii="宋体" w:hAnsi="宋体" w:eastAsia="宋体" w:cs="宋体"/>
          <w:b/>
          <w:bCs w:val="0"/>
          <w:color w:val="000000"/>
          <w:szCs w:val="21"/>
          <w:highlight w:val="none"/>
          <w:lang w:val="en-US" w:eastAsia="zh-CN"/>
        </w:rPr>
        <w:t>（二）</w:t>
      </w:r>
      <w:bookmarkStart w:id="212" w:name="OLE_LINK8"/>
      <w:r>
        <w:rPr>
          <w:rFonts w:hint="eastAsia" w:ascii="宋体" w:hAnsi="宋体" w:eastAsia="宋体" w:cs="宋体"/>
          <w:b/>
          <w:bCs w:val="0"/>
          <w:color w:val="000000"/>
          <w:szCs w:val="21"/>
          <w:highlight w:val="none"/>
          <w:lang w:val="en-US" w:eastAsia="zh-CN"/>
        </w:rPr>
        <w:t>供应商使用主材“</w:t>
      </w:r>
      <w:r>
        <w:rPr>
          <w:rFonts w:ascii="宋体" w:hAnsi="宋体" w:eastAsia="宋体" w:cs="宋体"/>
          <w:b/>
          <w:bCs w:val="0"/>
          <w:sz w:val="21"/>
          <w:szCs w:val="21"/>
          <w:lang w:val="zh-CN" w:eastAsia="zh-CN" w:bidi="zh-CN"/>
        </w:rPr>
        <w:t>钢质防火门</w:t>
      </w:r>
      <w:r>
        <w:rPr>
          <w:rFonts w:hint="eastAsia" w:ascii="宋体" w:hAnsi="宋体" w:eastAsia="宋体" w:cs="宋体"/>
          <w:b/>
          <w:bCs w:val="0"/>
          <w:color w:val="000000"/>
          <w:szCs w:val="21"/>
          <w:highlight w:val="none"/>
          <w:lang w:val="en-US" w:eastAsia="zh-CN"/>
        </w:rPr>
        <w:t>”</w:t>
      </w:r>
      <w:bookmarkEnd w:id="212"/>
      <w:r>
        <w:rPr>
          <w:rFonts w:hint="eastAsia" w:ascii="宋体" w:hAnsi="宋体" w:eastAsia="宋体" w:cs="宋体"/>
          <w:b/>
          <w:bCs w:val="0"/>
          <w:color w:val="000000"/>
          <w:szCs w:val="21"/>
          <w:highlight w:val="none"/>
          <w:lang w:val="en-US" w:eastAsia="zh-CN"/>
        </w:rPr>
        <w:t>技术参数要求</w:t>
      </w:r>
    </w:p>
    <w:bookmarkEnd w:id="211"/>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①耐火隔热性：A1.50(甲级）≥1.50h,试件背火表面平均温升≤140℃。</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②耐火隔热性：试件背火表面（除门框外）最高温升≤180℃，门框背火表面最高温升≤360℃。</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pacing w:val="-10"/>
          <w:sz w:val="21"/>
          <w:szCs w:val="21"/>
          <w:highlight w:val="none"/>
          <w:lang w:val="zh-CN" w:eastAsia="zh-CN" w:bidi="zh-CN"/>
        </w:rPr>
      </w:pPr>
      <w:r>
        <w:rPr>
          <w:rFonts w:ascii="宋体" w:hAnsi="宋体" w:eastAsia="宋体" w:cs="宋体"/>
          <w:sz w:val="21"/>
          <w:szCs w:val="21"/>
          <w:highlight w:val="none"/>
          <w:lang w:val="zh-CN" w:eastAsia="zh-CN" w:bidi="zh-CN"/>
        </w:rPr>
        <w:t>③耐火完整性：A1.50(甲级）≥1.50h，</w:t>
      </w:r>
      <w:r>
        <w:rPr>
          <w:rFonts w:ascii="宋体" w:hAnsi="宋体" w:eastAsia="宋体" w:cs="宋体"/>
          <w:spacing w:val="-6"/>
          <w:sz w:val="21"/>
          <w:szCs w:val="21"/>
          <w:highlight w:val="none"/>
          <w:lang w:val="zh-CN" w:eastAsia="zh-CN" w:bidi="zh-CN"/>
        </w:rPr>
        <w:t xml:space="preserve">试件背火面未出现持续 </w:t>
      </w:r>
      <w:r>
        <w:rPr>
          <w:rFonts w:ascii="宋体" w:hAnsi="宋体" w:eastAsia="宋体" w:cs="宋体"/>
          <w:sz w:val="21"/>
          <w:szCs w:val="21"/>
          <w:highlight w:val="none"/>
          <w:lang w:val="zh-CN" w:eastAsia="zh-CN" w:bidi="zh-CN"/>
        </w:rPr>
        <w:t>10s</w:t>
      </w:r>
      <w:r>
        <w:rPr>
          <w:rFonts w:ascii="宋体" w:hAnsi="宋体" w:eastAsia="宋体" w:cs="宋体"/>
          <w:spacing w:val="-10"/>
          <w:sz w:val="21"/>
          <w:szCs w:val="21"/>
          <w:highlight w:val="none"/>
          <w:lang w:val="zh-CN" w:eastAsia="zh-CN" w:bidi="zh-CN"/>
        </w:rPr>
        <w:t xml:space="preserve"> 以上火焰。</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364"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pacing w:val="-14"/>
          <w:sz w:val="21"/>
          <w:szCs w:val="21"/>
          <w:highlight w:val="none"/>
          <w:lang w:val="zh-CN" w:eastAsia="zh-CN" w:bidi="zh-CN"/>
        </w:rPr>
        <w:t xml:space="preserve">④可靠性：在进行不低于 </w:t>
      </w:r>
      <w:r>
        <w:rPr>
          <w:rFonts w:ascii="宋体" w:hAnsi="宋体" w:eastAsia="宋体" w:cs="宋体"/>
          <w:sz w:val="21"/>
          <w:szCs w:val="21"/>
          <w:highlight w:val="none"/>
          <w:lang w:val="zh-CN" w:eastAsia="zh-CN" w:bidi="zh-CN"/>
        </w:rPr>
        <w:t>500</w:t>
      </w:r>
      <w:r>
        <w:rPr>
          <w:rFonts w:ascii="宋体" w:hAnsi="宋体" w:eastAsia="宋体" w:cs="宋体"/>
          <w:spacing w:val="-9"/>
          <w:sz w:val="21"/>
          <w:szCs w:val="21"/>
          <w:highlight w:val="none"/>
          <w:lang w:val="zh-CN" w:eastAsia="zh-CN" w:bidi="zh-CN"/>
        </w:rPr>
        <w:t xml:space="preserve"> 次启闭试验后，防火门不应有松动，脱落，严重变</w:t>
      </w:r>
      <w:r>
        <w:rPr>
          <w:rFonts w:ascii="宋体" w:hAnsi="宋体" w:eastAsia="宋体" w:cs="宋体"/>
          <w:sz w:val="21"/>
          <w:szCs w:val="21"/>
          <w:highlight w:val="none"/>
          <w:lang w:val="zh-CN" w:eastAsia="zh-CN" w:bidi="zh-CN"/>
        </w:rPr>
        <w:t>形和启闭卡阻现象。</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⑤门扇开启力≤80N。</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⑥材料厚度：门扇面板≥0.8</w:t>
      </w:r>
      <w:r>
        <w:rPr>
          <w:rFonts w:hint="eastAsia" w:ascii="宋体" w:hAnsi="宋体" w:cs="宋体"/>
          <w:sz w:val="21"/>
          <w:szCs w:val="21"/>
          <w:highlight w:val="none"/>
          <w:lang w:val="en-US" w:eastAsia="zh-CN" w:bidi="zh-CN"/>
        </w:rPr>
        <w:t>mm</w:t>
      </w:r>
      <w:r>
        <w:rPr>
          <w:rFonts w:ascii="宋体" w:hAnsi="宋体" w:eastAsia="宋体" w:cs="宋体"/>
          <w:sz w:val="21"/>
          <w:szCs w:val="21"/>
          <w:highlight w:val="none"/>
          <w:lang w:val="zh-CN" w:eastAsia="zh-CN" w:bidi="zh-CN"/>
        </w:rPr>
        <w:t>。</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⑦材料厚度：门框板≥1.2</w:t>
      </w:r>
      <w:r>
        <w:rPr>
          <w:rFonts w:hint="eastAsia" w:ascii="宋体" w:hAnsi="宋体" w:cs="宋体"/>
          <w:sz w:val="21"/>
          <w:szCs w:val="21"/>
          <w:highlight w:val="none"/>
          <w:lang w:val="en-US" w:eastAsia="zh-CN" w:bidi="zh-CN"/>
        </w:rPr>
        <w:t>mm</w:t>
      </w:r>
      <w:r>
        <w:rPr>
          <w:rFonts w:ascii="宋体" w:hAnsi="宋体" w:eastAsia="宋体" w:cs="宋体"/>
          <w:sz w:val="21"/>
          <w:szCs w:val="21"/>
          <w:highlight w:val="none"/>
          <w:lang w:val="zh-CN" w:eastAsia="zh-CN" w:bidi="zh-CN"/>
        </w:rPr>
        <w:t>。</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sz w:val="21"/>
          <w:szCs w:val="21"/>
          <w:highlight w:val="none"/>
          <w:lang w:val="zh-CN" w:eastAsia="zh-CN" w:bidi="zh-CN"/>
        </w:rPr>
      </w:pPr>
      <w:r>
        <w:rPr>
          <w:rFonts w:ascii="宋体" w:hAnsi="宋体" w:eastAsia="宋体" w:cs="宋体"/>
          <w:sz w:val="21"/>
          <w:szCs w:val="21"/>
          <w:highlight w:val="none"/>
          <w:lang w:val="zh-CN" w:eastAsia="zh-CN" w:bidi="zh-CN"/>
        </w:rPr>
        <w:t>⑧材料厚度：铰链板≥3.0</w:t>
      </w:r>
      <w:r>
        <w:rPr>
          <w:rFonts w:hint="eastAsia" w:ascii="宋体" w:hAnsi="宋体" w:cs="宋体"/>
          <w:sz w:val="21"/>
          <w:szCs w:val="21"/>
          <w:highlight w:val="none"/>
          <w:lang w:val="en-US" w:eastAsia="zh-CN" w:bidi="zh-CN"/>
        </w:rPr>
        <w:t>mm</w:t>
      </w:r>
      <w:r>
        <w:rPr>
          <w:rFonts w:ascii="宋体" w:hAnsi="宋体" w:eastAsia="宋体" w:cs="宋体"/>
          <w:sz w:val="21"/>
          <w:szCs w:val="21"/>
          <w:highlight w:val="none"/>
          <w:lang w:val="zh-CN" w:eastAsia="zh-CN" w:bidi="zh-CN"/>
        </w:rPr>
        <w:t>。</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0" w:firstLineChars="200"/>
        <w:jc w:val="left"/>
        <w:textAlignment w:val="auto"/>
        <w:rPr>
          <w:rFonts w:ascii="宋体" w:hAnsi="宋体" w:eastAsia="宋体" w:cs="宋体"/>
          <w:b/>
          <w:bCs/>
          <w:spacing w:val="-8"/>
          <w:sz w:val="21"/>
          <w:szCs w:val="21"/>
          <w:highlight w:val="none"/>
          <w:lang w:val="zh-CN" w:eastAsia="zh-CN" w:bidi="zh-CN"/>
        </w:rPr>
      </w:pPr>
      <w:r>
        <w:rPr>
          <w:rFonts w:hint="eastAsia" w:ascii="华文仿宋" w:hAnsi="华文仿宋" w:eastAsia="华文仿宋" w:cs="华文仿宋"/>
          <w:b/>
          <w:bCs/>
          <w:kern w:val="0"/>
          <w:szCs w:val="21"/>
          <w:highlight w:val="none"/>
          <w:lang w:val="en-US" w:eastAsia="zh-CN"/>
        </w:rPr>
        <w:t>★</w:t>
      </w:r>
      <w:r>
        <w:rPr>
          <w:rFonts w:ascii="宋体" w:hAnsi="宋体" w:eastAsia="宋体" w:cs="宋体"/>
          <w:b/>
          <w:bCs/>
          <w:spacing w:val="-8"/>
          <w:sz w:val="21"/>
          <w:szCs w:val="21"/>
          <w:highlight w:val="none"/>
          <w:lang w:val="zh-CN" w:eastAsia="zh-CN" w:bidi="zh-CN"/>
        </w:rPr>
        <w:t>⑨</w:t>
      </w:r>
      <w:r>
        <w:rPr>
          <w:rFonts w:hint="eastAsia" w:ascii="宋体" w:hAnsi="宋体" w:cs="宋体"/>
          <w:b/>
          <w:bCs/>
          <w:spacing w:val="-8"/>
          <w:sz w:val="21"/>
          <w:szCs w:val="21"/>
          <w:highlight w:val="none"/>
          <w:lang w:val="en-US" w:eastAsia="zh-CN" w:bidi="zh-CN"/>
        </w:rPr>
        <w:t>所使用</w:t>
      </w:r>
      <w:r>
        <w:rPr>
          <w:rFonts w:ascii="宋体" w:hAnsi="宋体" w:eastAsia="宋体" w:cs="宋体"/>
          <w:b/>
          <w:bCs/>
          <w:spacing w:val="-8"/>
          <w:sz w:val="21"/>
          <w:szCs w:val="21"/>
          <w:highlight w:val="none"/>
          <w:lang w:val="zh-CN" w:eastAsia="zh-CN" w:bidi="zh-CN"/>
        </w:rPr>
        <w:t>产品需符合</w:t>
      </w:r>
      <w:bookmarkStart w:id="213" w:name="OLE_LINK3"/>
      <w:r>
        <w:rPr>
          <w:rFonts w:ascii="宋体" w:hAnsi="宋体" w:eastAsia="宋体" w:cs="宋体"/>
          <w:b/>
          <w:bCs/>
          <w:spacing w:val="-8"/>
          <w:sz w:val="21"/>
          <w:szCs w:val="21"/>
          <w:highlight w:val="none"/>
          <w:lang w:val="zh-CN" w:eastAsia="zh-CN" w:bidi="zh-CN"/>
        </w:rPr>
        <w:t xml:space="preserve"> </w:t>
      </w:r>
      <w:r>
        <w:rPr>
          <w:rFonts w:ascii="宋体" w:hAnsi="宋体" w:eastAsia="宋体" w:cs="宋体"/>
          <w:b/>
          <w:bCs/>
          <w:sz w:val="21"/>
          <w:szCs w:val="21"/>
          <w:highlight w:val="none"/>
          <w:lang w:val="zh-CN" w:eastAsia="zh-CN" w:bidi="zh-CN"/>
        </w:rPr>
        <w:t>GB 12955-2008</w:t>
      </w:r>
      <w:r>
        <w:rPr>
          <w:rFonts w:ascii="宋体" w:hAnsi="宋体" w:eastAsia="宋体" w:cs="宋体"/>
          <w:b/>
          <w:bCs/>
          <w:spacing w:val="-8"/>
          <w:sz w:val="21"/>
          <w:szCs w:val="21"/>
          <w:highlight w:val="none"/>
          <w:lang w:val="zh-CN" w:eastAsia="zh-CN" w:bidi="zh-CN"/>
        </w:rPr>
        <w:t>《防火门》</w:t>
      </w:r>
      <w:bookmarkEnd w:id="213"/>
      <w:r>
        <w:rPr>
          <w:rFonts w:hint="eastAsia" w:ascii="宋体" w:hAnsi="宋体" w:eastAsia="宋体" w:cs="宋体"/>
          <w:b/>
          <w:bCs/>
          <w:spacing w:val="-8"/>
          <w:sz w:val="21"/>
          <w:szCs w:val="21"/>
          <w:highlight w:val="none"/>
          <w:lang w:val="en-US" w:eastAsia="zh-CN" w:bidi="zh-CN"/>
        </w:rPr>
        <w:t>的要求</w:t>
      </w:r>
      <w:r>
        <w:rPr>
          <w:rFonts w:hint="eastAsia" w:ascii="宋体" w:hAnsi="宋体" w:cs="宋体"/>
          <w:b/>
          <w:bCs/>
          <w:spacing w:val="-8"/>
          <w:sz w:val="21"/>
          <w:szCs w:val="21"/>
          <w:highlight w:val="none"/>
          <w:lang w:val="en-US" w:eastAsia="zh-CN" w:bidi="zh-CN"/>
        </w:rPr>
        <w:t>，如有最新标准，以最新标准为准。</w:t>
      </w:r>
      <w:r>
        <w:rPr>
          <w:rFonts w:hint="eastAsia" w:ascii="宋体" w:hAnsi="宋体" w:eastAsia="宋体" w:cs="宋体"/>
          <w:b/>
          <w:bCs/>
          <w:spacing w:val="-8"/>
          <w:sz w:val="21"/>
          <w:szCs w:val="21"/>
          <w:highlight w:val="none"/>
          <w:lang w:val="zh-CN" w:eastAsia="zh-CN" w:bidi="zh-CN"/>
        </w:rPr>
        <w:t>（</w:t>
      </w:r>
      <w:r>
        <w:rPr>
          <w:rFonts w:hint="eastAsia" w:ascii="宋体" w:hAnsi="宋体" w:eastAsia="宋体" w:cs="宋体"/>
          <w:b/>
          <w:bCs/>
          <w:spacing w:val="-8"/>
          <w:sz w:val="21"/>
          <w:szCs w:val="21"/>
          <w:highlight w:val="none"/>
          <w:lang w:val="en-US" w:eastAsia="zh-CN" w:bidi="zh-CN"/>
        </w:rPr>
        <w:t>提供国家认证认可的第三方出具的检测检验报告，未提供视为无效响应</w:t>
      </w:r>
      <w:r>
        <w:rPr>
          <w:rFonts w:hint="eastAsia" w:ascii="宋体" w:hAnsi="宋体" w:eastAsia="宋体" w:cs="宋体"/>
          <w:b/>
          <w:bCs/>
          <w:spacing w:val="-8"/>
          <w:sz w:val="21"/>
          <w:szCs w:val="21"/>
          <w:highlight w:val="none"/>
          <w:lang w:val="zh-CN" w:eastAsia="zh-CN" w:bidi="zh-CN"/>
        </w:rPr>
        <w:t>）</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22" w:firstLineChars="200"/>
        <w:jc w:val="left"/>
        <w:textAlignment w:val="auto"/>
        <w:rPr>
          <w:rFonts w:ascii="宋体" w:hAnsi="宋体" w:eastAsia="宋体" w:cs="宋体"/>
          <w:sz w:val="21"/>
          <w:szCs w:val="21"/>
          <w:highlight w:val="none"/>
          <w:lang w:val="zh-CN" w:eastAsia="zh-CN" w:bidi="zh-CN"/>
        </w:rPr>
      </w:pPr>
      <w:r>
        <w:rPr>
          <w:rFonts w:hint="eastAsia" w:ascii="宋体" w:hAnsi="宋体" w:eastAsia="宋体" w:cs="宋体"/>
          <w:b/>
          <w:kern w:val="0"/>
          <w:sz w:val="21"/>
          <w:szCs w:val="21"/>
          <w:highlight w:val="none"/>
          <w:lang w:val="en-US" w:bidi="zh-CN"/>
        </w:rPr>
        <w:t>⑩</w:t>
      </w:r>
      <w:r>
        <w:rPr>
          <w:rFonts w:ascii="宋体" w:hAnsi="宋体" w:eastAsia="宋体" w:cs="宋体"/>
          <w:spacing w:val="-8"/>
          <w:sz w:val="21"/>
          <w:szCs w:val="21"/>
          <w:highlight w:val="none"/>
          <w:lang w:val="zh-CN" w:eastAsia="zh-CN" w:bidi="zh-CN"/>
        </w:rPr>
        <w:t xml:space="preserve">产品需符合 </w:t>
      </w:r>
      <w:bookmarkStart w:id="214" w:name="OLE_LINK4"/>
      <w:r>
        <w:rPr>
          <w:rFonts w:ascii="宋体" w:hAnsi="宋体" w:eastAsia="宋体" w:cs="宋体"/>
          <w:sz w:val="21"/>
          <w:szCs w:val="21"/>
          <w:highlight w:val="none"/>
          <w:lang w:val="zh-CN" w:eastAsia="zh-CN" w:bidi="zh-CN"/>
        </w:rPr>
        <w:t>CCCF-CPRZ-18:2019</w:t>
      </w:r>
      <w:r>
        <w:rPr>
          <w:rFonts w:ascii="宋体" w:hAnsi="宋体" w:eastAsia="宋体" w:cs="宋体"/>
          <w:spacing w:val="-3"/>
          <w:sz w:val="21"/>
          <w:szCs w:val="21"/>
          <w:highlight w:val="none"/>
          <w:lang w:val="zh-CN" w:eastAsia="zh-CN" w:bidi="zh-CN"/>
        </w:rPr>
        <w:t>《消防类产品认</w:t>
      </w:r>
      <w:r>
        <w:rPr>
          <w:rFonts w:ascii="宋体" w:hAnsi="宋体" w:eastAsia="宋体" w:cs="宋体"/>
          <w:sz w:val="21"/>
          <w:szCs w:val="21"/>
          <w:highlight w:val="none"/>
          <w:lang w:val="zh-CN" w:eastAsia="zh-CN" w:bidi="zh-CN"/>
        </w:rPr>
        <w:t>证实施规则火灾防护产品建筑耐火构建产品》</w:t>
      </w:r>
      <w:bookmarkEnd w:id="214"/>
      <w:r>
        <w:rPr>
          <w:rFonts w:ascii="宋体" w:hAnsi="宋体" w:eastAsia="宋体" w:cs="宋体"/>
          <w:sz w:val="21"/>
          <w:szCs w:val="21"/>
          <w:highlight w:val="none"/>
          <w:lang w:val="zh-CN" w:eastAsia="zh-CN" w:bidi="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default"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★备注：供应商应当根据采购需求的要求，填写“钢质防火门”的品牌、型号信息，填写不全者作无效响应处理。</w:t>
      </w:r>
    </w:p>
    <w:p>
      <w:pPr>
        <w:spacing w:line="360" w:lineRule="auto"/>
        <w:rPr>
          <w:rFonts w:ascii="宋体" w:hAnsi="宋体" w:eastAsia="宋体" w:cs="宋体"/>
          <w:b/>
          <w:color w:val="000000"/>
          <w:szCs w:val="21"/>
          <w:highlight w:val="none"/>
        </w:rPr>
      </w:pPr>
      <w:r>
        <w:rPr>
          <w:rFonts w:hint="eastAsia" w:ascii="宋体" w:hAnsi="宋体" w:cs="宋体"/>
          <w:b/>
          <w:color w:val="000000"/>
          <w:szCs w:val="21"/>
          <w:highlight w:val="none"/>
          <w:lang w:val="en-US" w:eastAsia="zh-CN"/>
        </w:rPr>
        <w:t>六</w:t>
      </w:r>
      <w:r>
        <w:rPr>
          <w:rFonts w:hint="eastAsia" w:ascii="宋体" w:hAnsi="宋体" w:eastAsia="宋体" w:cs="宋体"/>
          <w:b/>
          <w:color w:val="000000"/>
          <w:szCs w:val="21"/>
          <w:highlight w:val="none"/>
        </w:rPr>
        <w:t>、售后服务要求</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1.质量保修期从项目经甲方验收合格时间起算，保修期2年。保修期满后乙方仍须对项目故障承担维修义务，维修仅收取必要材料成本费用，双方对于保修期后维修服务另有约定的，按约定处理。</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2.在质保期内发生质量问题，成交供应商</w:t>
      </w:r>
      <w:r>
        <w:rPr>
          <w:rFonts w:hint="eastAsia" w:ascii="宋体" w:hAnsi="宋体" w:eastAsia="宋体" w:cs="宋体"/>
          <w:bCs/>
          <w:color w:val="000000"/>
          <w:szCs w:val="21"/>
          <w:highlight w:val="none"/>
          <w:lang w:val="en-US" w:eastAsia="zh-CN"/>
        </w:rPr>
        <w:t>应在承诺时限内</w:t>
      </w:r>
      <w:r>
        <w:rPr>
          <w:rFonts w:hint="eastAsia" w:ascii="宋体" w:hAnsi="宋体" w:eastAsia="宋体" w:cs="宋体"/>
          <w:bCs/>
          <w:color w:val="000000"/>
          <w:szCs w:val="21"/>
          <w:highlight w:val="none"/>
        </w:rPr>
        <w:t>进行维修。若成交供应商在接到通知后未按规定时间进行维修或因成交供应商原因无法联系上成交供应商，采购人可自行安排维修队伍进行维修，采购人为此支付的维修费用均由成交供应商承担。由此给采购人造成损失的，成交供应商还应赔偿采购人所遭受的损失，该损失包括采购人所受的直接损失及间接损失。</w:t>
      </w:r>
    </w:p>
    <w:p>
      <w:pPr>
        <w:spacing w:line="360" w:lineRule="auto"/>
        <w:ind w:firstLine="420" w:firstLineChars="20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3.各供应商须在响应文件中对拟投入本项目的项目经理、技术负责人等人员进行如下承诺：如成交后，项目经理、技术负责人、安全员等人员未经采购人允许，不得进行更换，施工期间的工作日若存在人员不到场的情形，采购人有权对其处以不少于1000元/人/天的罚款。</w:t>
      </w:r>
    </w:p>
    <w:p>
      <w:pPr>
        <w:spacing w:line="360" w:lineRule="auto"/>
        <w:rPr>
          <w:rFonts w:ascii="宋体" w:hAnsi="宋体" w:eastAsia="宋体" w:cs="宋体"/>
          <w:b/>
          <w:color w:val="000000"/>
          <w:szCs w:val="21"/>
          <w:highlight w:val="none"/>
        </w:rPr>
      </w:pPr>
      <w:r>
        <w:rPr>
          <w:rFonts w:hint="eastAsia" w:ascii="宋体" w:hAnsi="宋体" w:cs="宋体"/>
          <w:b/>
          <w:color w:val="000000"/>
          <w:szCs w:val="21"/>
          <w:highlight w:val="none"/>
          <w:lang w:val="en-US" w:eastAsia="zh-CN"/>
        </w:rPr>
        <w:t>七</w:t>
      </w:r>
      <w:r>
        <w:rPr>
          <w:rFonts w:hint="eastAsia" w:ascii="宋体" w:hAnsi="宋体" w:eastAsia="宋体" w:cs="宋体"/>
          <w:b/>
          <w:color w:val="000000"/>
          <w:szCs w:val="21"/>
          <w:highlight w:val="none"/>
        </w:rPr>
        <w:t>、验收要求</w:t>
      </w:r>
    </w:p>
    <w:p>
      <w:pPr>
        <w:spacing w:line="360" w:lineRule="auto"/>
        <w:ind w:firstLine="420" w:firstLineChars="200"/>
        <w:rPr>
          <w:rFonts w:ascii="宋体" w:hAnsi="宋体" w:eastAsia="宋体" w:cs="宋体"/>
          <w:bCs/>
          <w:color w:val="000000"/>
          <w:szCs w:val="21"/>
          <w:highlight w:val="none"/>
        </w:rPr>
      </w:pPr>
      <w:r>
        <w:rPr>
          <w:rFonts w:hint="eastAsia" w:ascii="宋体" w:hAnsi="宋体" w:eastAsia="宋体" w:cs="宋体"/>
          <w:bCs/>
          <w:color w:val="000000"/>
          <w:szCs w:val="21"/>
          <w:highlight w:val="none"/>
        </w:rPr>
        <w:t>验收依据为合同书、磋商文件、磋商响应文件、澄清函（如有）中规定的技术要求。</w:t>
      </w:r>
    </w:p>
    <w:p>
      <w:pPr>
        <w:widowControl w:val="0"/>
        <w:spacing w:line="360" w:lineRule="auto"/>
        <w:jc w:val="both"/>
        <w:rPr>
          <w:rFonts w:ascii="宋体" w:hAnsi="宋体" w:eastAsia="宋体" w:cs="宋体"/>
          <w:b/>
          <w:color w:val="000000"/>
          <w:kern w:val="2"/>
          <w:sz w:val="21"/>
          <w:szCs w:val="21"/>
          <w:highlight w:val="none"/>
          <w:lang w:val="en-US" w:eastAsia="zh-CN" w:bidi="ar-SA"/>
        </w:rPr>
      </w:pPr>
      <w:r>
        <w:rPr>
          <w:rFonts w:hint="eastAsia" w:ascii="宋体" w:hAnsi="宋体" w:cs="宋体"/>
          <w:b/>
          <w:color w:val="000000"/>
          <w:kern w:val="2"/>
          <w:sz w:val="21"/>
          <w:szCs w:val="21"/>
          <w:highlight w:val="none"/>
          <w:lang w:val="en-US" w:eastAsia="zh-CN" w:bidi="ar-SA"/>
        </w:rPr>
        <w:t>八</w:t>
      </w:r>
      <w:r>
        <w:rPr>
          <w:rFonts w:hint="eastAsia" w:ascii="宋体" w:hAnsi="宋体" w:eastAsia="宋体" w:cs="宋体"/>
          <w:b/>
          <w:color w:val="000000"/>
          <w:kern w:val="2"/>
          <w:sz w:val="21"/>
          <w:szCs w:val="21"/>
          <w:highlight w:val="none"/>
          <w:lang w:val="en-US" w:eastAsia="zh-CN" w:bidi="ar-SA"/>
        </w:rPr>
        <w:t>、违约责任</w:t>
      </w:r>
    </w:p>
    <w:p>
      <w:pPr>
        <w:widowControl w:val="0"/>
        <w:spacing w:line="360" w:lineRule="auto"/>
        <w:ind w:firstLine="420" w:firstLineChars="200"/>
        <w:jc w:val="both"/>
        <w:rPr>
          <w:rFonts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1.成交供应商必须遵守合同并执行合同中的各项规定，保证合同的正常履行。成交供应商不履行合同义务或履行义务不符合约定的，采购人有权扣除质保金并要求供应商承担继续履行、赔偿损失或支付违约金等违约责任。</w:t>
      </w:r>
    </w:p>
    <w:p>
      <w:pPr>
        <w:widowControl w:val="0"/>
        <w:spacing w:line="360" w:lineRule="auto"/>
        <w:ind w:firstLine="420" w:firstLineChars="200"/>
        <w:jc w:val="both"/>
        <w:rPr>
          <w:rFonts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2.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w:t>
      </w:r>
    </w:p>
    <w:p>
      <w:pPr>
        <w:widowControl w:val="0"/>
        <w:spacing w:line="360" w:lineRule="auto"/>
        <w:ind w:firstLine="420" w:firstLineChars="200"/>
        <w:jc w:val="both"/>
        <w:rPr>
          <w:rFonts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3.成交供应商提供的服务不符合本合同约定的验收标准，未通过采购人验收的，采购人有权延迟支付合同价款直至验收合格，若成交供应商不整改或整改后仍未通过采购人验收的，采购人有权拒绝支付合同价款，同时成交供应商应向采购人支付合同总价款5%金额的违约金。合同因成交供应商原因解除的，采购人有权停止支付合同款项，且成交供应商应向采购人支付合同总价款5%金额的违约金。</w:t>
      </w:r>
    </w:p>
    <w:p>
      <w:pPr>
        <w:widowControl w:val="0"/>
        <w:spacing w:line="360" w:lineRule="auto"/>
        <w:ind w:firstLine="420" w:firstLineChars="200"/>
        <w:jc w:val="both"/>
        <w:rPr>
          <w:rFonts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4.成交供应商应当遵守采购人的相关项目需求及相关技术要求及实质性条款，实施完成合同应当完全满足相关项目需求及相关技术要求及实质性条款，若成交供应商瑕疵履行合同，采购人有权向成交供应商要求赔偿，若造成相关损失的，采购人有权要求成交供应商承担所有赔偿责任。</w:t>
      </w:r>
    </w:p>
    <w:p>
      <w:pPr>
        <w:widowControl w:val="0"/>
        <w:wordWrap w:val="0"/>
        <w:spacing w:line="360" w:lineRule="auto"/>
        <w:ind w:firstLine="420" w:firstLineChars="200"/>
        <w:jc w:val="both"/>
        <w:rPr>
          <w:rFonts w:ascii="宋体" w:hAnsi="宋体" w:eastAsia="宋体" w:cs="宋体"/>
          <w:bCs/>
          <w:color w:val="000000"/>
          <w:kern w:val="2"/>
          <w:sz w:val="21"/>
          <w:szCs w:val="21"/>
          <w:highlight w:val="none"/>
          <w:lang w:val="en-US" w:eastAsia="zh-CN" w:bidi="ar-SA"/>
        </w:rPr>
      </w:pPr>
      <w:r>
        <w:rPr>
          <w:rFonts w:hint="eastAsia" w:ascii="宋体" w:hAnsi="宋体" w:eastAsia="宋体" w:cs="宋体"/>
          <w:bCs/>
          <w:color w:val="000000"/>
          <w:kern w:val="2"/>
          <w:sz w:val="21"/>
          <w:szCs w:val="21"/>
          <w:highlight w:val="none"/>
          <w:lang w:val="en-US" w:eastAsia="zh-CN" w:bidi="ar-SA"/>
        </w:rPr>
        <w:t>5.有下列情形之一的，当事人可以解除合同：</w:t>
      </w:r>
    </w:p>
    <w:p>
      <w:pPr>
        <w:wordWrap w:val="0"/>
        <w:spacing w:line="360" w:lineRule="auto"/>
        <w:ind w:firstLine="420" w:firstLineChars="200"/>
        <w:rPr>
          <w:rFonts w:ascii="Calibri" w:hAnsi="Calibri" w:eastAsia="宋体" w:cs="Times New Roman"/>
          <w:szCs w:val="22"/>
          <w:highlight w:val="none"/>
        </w:rPr>
      </w:pPr>
      <w:r>
        <w:rPr>
          <w:rFonts w:hint="eastAsia" w:ascii="Calibri" w:hAnsi="Calibri" w:eastAsia="宋体" w:cs="Times New Roman"/>
          <w:szCs w:val="22"/>
          <w:highlight w:val="none"/>
        </w:rPr>
        <w:t>1）因不可抗力致使不能实现合同目的(由于非成交供应商或采购人原因，致使合同实质性条款无法实现的)；</w:t>
      </w:r>
    </w:p>
    <w:p>
      <w:pPr>
        <w:wordWrap w:val="0"/>
        <w:spacing w:line="360" w:lineRule="auto"/>
        <w:ind w:firstLine="420" w:firstLineChars="200"/>
        <w:rPr>
          <w:rFonts w:ascii="Calibri" w:hAnsi="Calibri" w:eastAsia="宋体" w:cs="Times New Roman"/>
          <w:szCs w:val="22"/>
          <w:highlight w:val="none"/>
        </w:rPr>
      </w:pPr>
      <w:r>
        <w:rPr>
          <w:rFonts w:hint="eastAsia" w:ascii="Calibri" w:hAnsi="Calibri" w:eastAsia="宋体" w:cs="Times New Roman"/>
          <w:szCs w:val="22"/>
          <w:highlight w:val="none"/>
        </w:rPr>
        <w:t>2）当事人一方迟延履行主要债务，经催告后在合理期限内仍未履行；</w:t>
      </w:r>
    </w:p>
    <w:p>
      <w:pPr>
        <w:wordWrap w:val="0"/>
        <w:spacing w:line="360" w:lineRule="auto"/>
        <w:ind w:firstLine="420" w:firstLineChars="200"/>
        <w:rPr>
          <w:rFonts w:ascii="Calibri" w:hAnsi="Calibri" w:eastAsia="宋体" w:cs="Times New Roman"/>
          <w:szCs w:val="22"/>
          <w:highlight w:val="none"/>
        </w:rPr>
      </w:pPr>
      <w:r>
        <w:rPr>
          <w:rFonts w:hint="eastAsia" w:ascii="Calibri" w:hAnsi="Calibri" w:eastAsia="宋体" w:cs="Times New Roman"/>
          <w:szCs w:val="22"/>
          <w:highlight w:val="none"/>
        </w:rPr>
        <w:t>3）当事人一方迟延履行债务或者有其他违约行为致使不能实现合同目的；</w:t>
      </w:r>
    </w:p>
    <w:p>
      <w:pPr>
        <w:wordWrap w:val="0"/>
        <w:spacing w:line="360" w:lineRule="auto"/>
        <w:ind w:firstLine="420" w:firstLineChars="200"/>
        <w:rPr>
          <w:rFonts w:ascii="Calibri" w:hAnsi="Calibri" w:eastAsia="宋体" w:cs="Times New Roman"/>
          <w:szCs w:val="22"/>
          <w:highlight w:val="none"/>
        </w:rPr>
      </w:pPr>
      <w:r>
        <w:rPr>
          <w:rFonts w:hint="eastAsia" w:ascii="Calibri" w:hAnsi="Calibri" w:eastAsia="宋体" w:cs="Times New Roman"/>
          <w:szCs w:val="22"/>
          <w:highlight w:val="none"/>
        </w:rPr>
        <w:t>4）法律规定的其他情形。</w:t>
      </w:r>
    </w:p>
    <w:p>
      <w:pPr>
        <w:wordWrap w:val="0"/>
        <w:spacing w:line="360" w:lineRule="auto"/>
        <w:ind w:firstLine="420" w:firstLineChars="200"/>
        <w:rPr>
          <w:rFonts w:ascii="Calibri" w:hAnsi="Calibri" w:eastAsia="宋体" w:cs="Times New Roman"/>
          <w:szCs w:val="22"/>
          <w:highlight w:val="none"/>
        </w:rPr>
      </w:pPr>
      <w:r>
        <w:rPr>
          <w:rFonts w:hint="eastAsia" w:ascii="Calibri" w:hAnsi="Calibri" w:eastAsia="宋体" w:cs="Times New Roman"/>
          <w:szCs w:val="22"/>
          <w:highlight w:val="none"/>
        </w:rPr>
        <w:t>6.解决争议的方法</w:t>
      </w:r>
    </w:p>
    <w:p>
      <w:pPr>
        <w:wordWrap w:val="0"/>
        <w:spacing w:line="360" w:lineRule="auto"/>
        <w:ind w:firstLine="420" w:firstLineChars="200"/>
        <w:rPr>
          <w:rFonts w:ascii="Calibri" w:hAnsi="Calibri" w:eastAsia="宋体" w:cs="Times New Roman"/>
          <w:szCs w:val="22"/>
          <w:highlight w:val="none"/>
        </w:rPr>
      </w:pPr>
      <w:r>
        <w:rPr>
          <w:rFonts w:hint="eastAsia" w:ascii="Calibri" w:hAnsi="Calibri" w:eastAsia="宋体" w:cs="Times New Roman"/>
          <w:szCs w:val="22"/>
          <w:highlight w:val="none"/>
        </w:rPr>
        <w:t>1）因质量问题</w:t>
      </w:r>
      <w:r>
        <w:rPr>
          <w:rFonts w:hint="eastAsia" w:ascii="Calibri" w:hAnsi="Calibri" w:cs="Times New Roman"/>
          <w:b w:val="0"/>
          <w:bCs w:val="0"/>
          <w:szCs w:val="22"/>
          <w:highlight w:val="none"/>
          <w:lang w:eastAsia="zh-CN"/>
        </w:rPr>
        <w:t>（</w:t>
      </w:r>
      <w:r>
        <w:rPr>
          <w:rFonts w:hint="eastAsia" w:ascii="Calibri" w:hAnsi="Calibri" w:cs="Times New Roman"/>
          <w:b w:val="0"/>
          <w:bCs w:val="0"/>
          <w:szCs w:val="22"/>
          <w:highlight w:val="none"/>
          <w:lang w:val="en-US" w:eastAsia="zh-CN"/>
        </w:rPr>
        <w:t>含竣工后的空气质量问题</w:t>
      </w:r>
      <w:r>
        <w:rPr>
          <w:rFonts w:hint="eastAsia" w:ascii="Calibri" w:hAnsi="Calibri" w:cs="Times New Roman"/>
          <w:b w:val="0"/>
          <w:bCs w:val="0"/>
          <w:szCs w:val="22"/>
          <w:highlight w:val="none"/>
          <w:lang w:eastAsia="zh-CN"/>
        </w:rPr>
        <w:t>）</w:t>
      </w:r>
      <w:r>
        <w:rPr>
          <w:rFonts w:hint="eastAsia" w:ascii="Calibri" w:hAnsi="Calibri" w:eastAsia="宋体" w:cs="Times New Roman"/>
          <w:szCs w:val="22"/>
          <w:highlight w:val="none"/>
        </w:rPr>
        <w:t>发生争议，由采购人或其指定的第三方机构进行质量鉴定。质量符合标准的，鉴定费由采购人承担；不符合质量标准的，鉴定费由成交供应商承担。</w:t>
      </w:r>
    </w:p>
    <w:p>
      <w:pPr>
        <w:snapToGrid w:val="0"/>
        <w:spacing w:line="360" w:lineRule="auto"/>
        <w:ind w:firstLine="420" w:firstLineChars="200"/>
        <w:rPr>
          <w:highlight w:val="none"/>
        </w:rPr>
      </w:pPr>
      <w:r>
        <w:rPr>
          <w:rFonts w:hint="eastAsia" w:ascii="Calibri" w:hAnsi="Calibri" w:eastAsia="宋体" w:cs="Times New Roman"/>
          <w:szCs w:val="22"/>
          <w:highlight w:val="none"/>
        </w:rPr>
        <w:t>2）合同履行期间，若双方发生争议，可协商或由有关部门调解解决，协商或调解不成的，向采购人所在地人民法院起诉</w:t>
      </w:r>
      <w:r>
        <w:rPr>
          <w:highlight w:val="none"/>
        </w:rPr>
        <w:t>。</w:t>
      </w:r>
    </w:p>
    <w:p>
      <w:pPr>
        <w:snapToGrid w:val="0"/>
        <w:spacing w:line="360" w:lineRule="auto"/>
        <w:rPr>
          <w:highlight w:val="none"/>
        </w:rPr>
      </w:pPr>
    </w:p>
    <w:bookmarkEnd w:id="203"/>
    <w:p>
      <w:pPr>
        <w:widowControl/>
        <w:jc w:val="left"/>
        <w:rPr>
          <w:highlight w:val="none"/>
        </w:rPr>
      </w:pPr>
      <w:r>
        <w:rPr>
          <w:highlight w:val="none"/>
        </w:rPr>
        <w:br w:type="page"/>
      </w:r>
    </w:p>
    <w:p>
      <w:pPr>
        <w:pStyle w:val="3"/>
        <w:spacing w:before="120" w:after="120"/>
        <w:jc w:val="left"/>
        <w:rPr>
          <w:rFonts w:ascii="宋体" w:hAnsi="宋体"/>
          <w:highlight w:val="none"/>
        </w:rPr>
      </w:pPr>
      <w:bookmarkStart w:id="215" w:name="_Toc16"/>
      <w:r>
        <w:rPr>
          <w:rFonts w:hint="eastAsia" w:ascii="宋体" w:hAnsi="宋体"/>
          <w:color w:val="000000" w:themeColor="text1"/>
          <w:highlight w:val="none"/>
          <w14:textFill>
            <w14:solidFill>
              <w14:schemeClr w14:val="tx1"/>
            </w14:solidFill>
          </w14:textFill>
        </w:rPr>
        <w:t>附件：</w:t>
      </w:r>
      <w:r>
        <w:rPr>
          <w:rFonts w:cs="Arial"/>
          <w:b w:val="0"/>
          <w:highlight w:val="none"/>
        </w:rPr>
        <w:t>关于印发中小企业划型标准规定的通知</w:t>
      </w:r>
      <w:bookmarkEnd w:id="215"/>
    </w:p>
    <w:p>
      <w:pPr>
        <w:snapToGrid w:val="0"/>
        <w:spacing w:line="360" w:lineRule="auto"/>
        <w:ind w:firstLine="420" w:firstLineChars="200"/>
        <w:rPr>
          <w:highlight w:val="none"/>
        </w:rPr>
      </w:pPr>
    </w:p>
    <w:p>
      <w:pPr>
        <w:jc w:val="center"/>
        <w:rPr>
          <w:rStyle w:val="45"/>
          <w:rFonts w:hint="eastAsia" w:eastAsia="宋体"/>
          <w:szCs w:val="21"/>
          <w:highlight w:val="none"/>
          <w:lang w:eastAsia="zh-CN"/>
        </w:rPr>
      </w:pPr>
      <w:r>
        <w:rPr>
          <w:rStyle w:val="45"/>
          <w:szCs w:val="21"/>
          <w:highlight w:val="none"/>
        </w:rPr>
        <w:t>关于印发中小企业划型标准规定的通知</w:t>
      </w:r>
    </w:p>
    <w:p>
      <w:pPr>
        <w:jc w:val="center"/>
        <w:rPr>
          <w:szCs w:val="21"/>
          <w:highlight w:val="none"/>
        </w:rPr>
      </w:pPr>
      <w:r>
        <w:rPr>
          <w:szCs w:val="21"/>
          <w:highlight w:val="none"/>
        </w:rPr>
        <w:t>　　</w:t>
      </w:r>
    </w:p>
    <w:p>
      <w:pPr>
        <w:ind w:firstLine="2940" w:firstLineChars="1400"/>
        <w:jc w:val="left"/>
        <w:rPr>
          <w:rFonts w:hint="eastAsia" w:eastAsia="宋体"/>
          <w:szCs w:val="21"/>
          <w:highlight w:val="none"/>
          <w:lang w:eastAsia="zh-CN"/>
        </w:rPr>
      </w:pPr>
      <w:r>
        <w:rPr>
          <w:szCs w:val="21"/>
          <w:highlight w:val="none"/>
        </w:rPr>
        <w:t>工信部联企业[2011]300号</w:t>
      </w:r>
    </w:p>
    <w:p>
      <w:pPr>
        <w:ind w:firstLine="2940" w:firstLineChars="1400"/>
        <w:jc w:val="left"/>
        <w:rPr>
          <w:rFonts w:hint="eastAsia" w:eastAsia="宋体"/>
          <w:szCs w:val="21"/>
          <w:highlight w:val="none"/>
          <w:lang w:eastAsia="zh-CN"/>
        </w:rPr>
      </w:pPr>
      <w:r>
        <w:rPr>
          <w:szCs w:val="21"/>
          <w:highlight w:val="none"/>
        </w:rPr>
        <w:t>　　</w:t>
      </w:r>
    </w:p>
    <w:p>
      <w:pPr>
        <w:ind w:firstLine="2940" w:firstLineChars="1400"/>
        <w:jc w:val="left"/>
        <w:rPr>
          <w:rFonts w:hint="eastAsia" w:eastAsia="宋体"/>
          <w:szCs w:val="21"/>
          <w:highlight w:val="none"/>
          <w:lang w:eastAsia="zh-CN"/>
        </w:rPr>
      </w:pPr>
      <w:r>
        <w:rPr>
          <w:szCs w:val="21"/>
          <w:highlight w:val="none"/>
        </w:rPr>
        <w:t>　　各省、自治区、直辖市人民政府，国务院各部委、各直属机构及有关单位：</w:t>
      </w:r>
    </w:p>
    <w:p>
      <w:pPr>
        <w:ind w:firstLine="2940" w:firstLineChars="1400"/>
        <w:jc w:val="left"/>
        <w:rPr>
          <w:rFonts w:hint="eastAsia" w:eastAsia="宋体"/>
          <w:szCs w:val="21"/>
          <w:highlight w:val="none"/>
          <w:lang w:eastAsia="zh-CN"/>
        </w:rPr>
      </w:pPr>
      <w:r>
        <w:rPr>
          <w:szCs w:val="21"/>
          <w:highlight w:val="none"/>
        </w:rPr>
        <w:t>　　</w:t>
      </w:r>
    </w:p>
    <w:p>
      <w:pPr>
        <w:ind w:firstLine="2940" w:firstLineChars="1400"/>
        <w:jc w:val="left"/>
        <w:rPr>
          <w:rFonts w:hint="eastAsia" w:eastAsia="宋体"/>
          <w:szCs w:val="21"/>
          <w:highlight w:val="none"/>
          <w:lang w:eastAsia="zh-CN"/>
        </w:rPr>
      </w:pPr>
      <w:r>
        <w:rPr>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ind w:firstLine="2940" w:firstLineChars="1400"/>
        <w:jc w:val="left"/>
        <w:rPr>
          <w:rFonts w:hint="eastAsia" w:eastAsia="宋体"/>
          <w:szCs w:val="21"/>
          <w:highlight w:val="none"/>
          <w:lang w:eastAsia="zh-CN"/>
        </w:rPr>
      </w:pPr>
      <w:r>
        <w:rPr>
          <w:szCs w:val="21"/>
          <w:highlight w:val="none"/>
        </w:rPr>
        <w:t>　　</w:t>
      </w:r>
    </w:p>
    <w:p>
      <w:pPr>
        <w:ind w:firstLine="2940" w:firstLineChars="1400"/>
        <w:jc w:val="left"/>
        <w:rPr>
          <w:rFonts w:hint="eastAsia" w:eastAsia="宋体"/>
          <w:szCs w:val="21"/>
          <w:highlight w:val="none"/>
          <w:lang w:eastAsia="zh-CN"/>
        </w:rPr>
      </w:pPr>
      <w:r>
        <w:rPr>
          <w:szCs w:val="21"/>
          <w:highlight w:val="none"/>
        </w:rPr>
        <w:t>　　</w:t>
      </w:r>
    </w:p>
    <w:p>
      <w:pPr>
        <w:ind w:firstLine="2940" w:firstLineChars="1400"/>
        <w:jc w:val="left"/>
        <w:rPr>
          <w:rFonts w:hint="eastAsia" w:eastAsia="宋体"/>
          <w:szCs w:val="21"/>
          <w:highlight w:val="none"/>
          <w:lang w:eastAsia="zh-CN"/>
        </w:rPr>
      </w:pPr>
      <w:r>
        <w:rPr>
          <w:szCs w:val="21"/>
          <w:highlight w:val="none"/>
        </w:rPr>
        <w:t>　　                                                                                           工业和信息化部          国家统计局</w:t>
      </w:r>
    </w:p>
    <w:p>
      <w:pPr>
        <w:ind w:firstLine="2940" w:firstLineChars="1400"/>
        <w:jc w:val="left"/>
        <w:rPr>
          <w:rFonts w:hint="eastAsia" w:eastAsia="宋体"/>
          <w:szCs w:val="21"/>
          <w:highlight w:val="none"/>
          <w:lang w:eastAsia="zh-CN"/>
        </w:rPr>
      </w:pPr>
      <w:r>
        <w:rPr>
          <w:szCs w:val="21"/>
          <w:highlight w:val="none"/>
        </w:rPr>
        <w:t>　　                                                                                       国家发展和改革委员会       财政部</w:t>
      </w:r>
    </w:p>
    <w:p>
      <w:pPr>
        <w:ind w:firstLine="2940" w:firstLineChars="1400"/>
        <w:jc w:val="left"/>
        <w:rPr>
          <w:rFonts w:hint="eastAsia" w:eastAsia="宋体"/>
          <w:szCs w:val="21"/>
          <w:highlight w:val="none"/>
          <w:lang w:eastAsia="zh-CN"/>
        </w:rPr>
      </w:pPr>
      <w:r>
        <w:rPr>
          <w:szCs w:val="21"/>
          <w:highlight w:val="none"/>
        </w:rPr>
        <w:t>　　                                                                                                  二○一一年六月十八日</w:t>
      </w:r>
    </w:p>
    <w:p>
      <w:pPr>
        <w:ind w:firstLine="2940" w:firstLineChars="1400"/>
        <w:jc w:val="left"/>
        <w:rPr>
          <w:rFonts w:hint="eastAsia" w:eastAsia="宋体"/>
          <w:szCs w:val="21"/>
          <w:highlight w:val="none"/>
          <w:lang w:eastAsia="zh-CN"/>
        </w:rPr>
      </w:pPr>
      <w:r>
        <w:rPr>
          <w:szCs w:val="21"/>
          <w:highlight w:val="none"/>
        </w:rPr>
        <w:t>　　</w:t>
      </w:r>
    </w:p>
    <w:p>
      <w:pPr>
        <w:ind w:firstLine="2940" w:firstLineChars="1400"/>
        <w:jc w:val="left"/>
        <w:rPr>
          <w:rFonts w:hint="eastAsia" w:eastAsia="宋体"/>
          <w:szCs w:val="21"/>
          <w:highlight w:val="none"/>
          <w:lang w:eastAsia="zh-CN"/>
        </w:rPr>
      </w:pPr>
      <w:r>
        <w:rPr>
          <w:szCs w:val="21"/>
          <w:highlight w:val="none"/>
        </w:rPr>
        <w:t>　　</w:t>
      </w:r>
    </w:p>
    <w:p>
      <w:pPr>
        <w:ind w:firstLine="2940" w:firstLineChars="1400"/>
        <w:jc w:val="left"/>
        <w:rPr>
          <w:rStyle w:val="45"/>
          <w:rFonts w:hint="eastAsia" w:eastAsia="宋体"/>
          <w:szCs w:val="21"/>
          <w:highlight w:val="none"/>
          <w:lang w:eastAsia="zh-CN"/>
        </w:rPr>
      </w:pPr>
      <w:r>
        <w:rPr>
          <w:szCs w:val="21"/>
          <w:highlight w:val="none"/>
        </w:rPr>
        <w:t xml:space="preserve">　　                                                            </w:t>
      </w:r>
      <w:r>
        <w:rPr>
          <w:rStyle w:val="45"/>
          <w:szCs w:val="21"/>
          <w:highlight w:val="none"/>
        </w:rPr>
        <w:t>中小企业划型标准规定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一、根据《中华人民共和国中小企业促进法》和《国务院关于进一步促进中小企业发展的若干意见》(国发[2009]36号)，制定本规定。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二、中小企业划分为中型、小型、微型三种类型，具体标准根据企业从业人员、营业收入、资产总额等指标，结合行业特点制定。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四、各行业划型标准为：</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（一）农、林、牧、渔业。营业收入20000万元以下的为中小微型企业。其中，营业收入500万元及以上的为中型企业，营业收入50万元及以上的为小型企业，营业收入50万元以下的为微型企业。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（十六）其他未列明行业。从业人员300人以下的为中小微型企业。其中，从业人员100人及以上的为中型企业；从业人员10人及以上的为小型企业；从业人员10人以下的为微型企业。</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五、企业类型的划分以统计部门的统计数据为依据。</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六、本规定适用于在中华人民共和国境内依法设立的各类所有制和各种组织形式的企业。个体工商户和本规定以外的行业，参照本规定进行划型。</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八、本规定由工业和信息化部、国家统计局会同有关部门根据《国民经济行业分类》修订情况和企业发展变化情况适时修订。</w:t>
      </w:r>
    </w:p>
    <w:p>
      <w:pPr>
        <w:pStyle w:val="2"/>
        <w:rPr>
          <w:rFonts w:hint="eastAsia"/>
          <w:lang w:eastAsia="zh-CN"/>
        </w:rPr>
      </w:pPr>
    </w:p>
    <w:p>
      <w:pPr>
        <w:ind w:firstLine="2940" w:firstLineChars="1400"/>
        <w:jc w:val="left"/>
        <w:rPr>
          <w:rFonts w:hint="eastAsia" w:eastAsia="宋体"/>
          <w:szCs w:val="21"/>
          <w:highlight w:val="none"/>
          <w:lang w:eastAsia="zh-CN"/>
        </w:rPr>
      </w:pPr>
      <w:r>
        <w:rPr>
          <w:szCs w:val="21"/>
          <w:highlight w:val="none"/>
        </w:rPr>
        <w:t>　　九、本规定由工业和信息化部、国家统计局会同有关部门负责解释。</w:t>
      </w:r>
    </w:p>
    <w:p>
      <w:pPr>
        <w:pStyle w:val="2"/>
        <w:rPr>
          <w:rFonts w:hint="eastAsia"/>
          <w:lang w:eastAsia="zh-CN"/>
        </w:rPr>
      </w:pPr>
    </w:p>
    <w:p>
      <w:pPr>
        <w:ind w:firstLine="2940" w:firstLineChars="1400"/>
        <w:jc w:val="left"/>
        <w:rPr>
          <w:highlight w:val="none"/>
        </w:rPr>
      </w:pPr>
      <w:r>
        <w:rPr>
          <w:szCs w:val="21"/>
          <w:highlight w:val="none"/>
        </w:rPr>
        <w:t>　　十、本规定自发布之日起执行，原国家经贸委、原国家计委、财政部和国家统计局2003年颁布的《中小企业标准暂行规定》同时废止。</w:t>
      </w:r>
    </w:p>
    <w:sectPr>
      <w:pgSz w:w="11906" w:h="16838"/>
      <w:pgMar w:top="1247" w:right="1531" w:bottom="1134" w:left="153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B1"/>
    <w:family w:val="swiss"/>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Wingdings 2">
    <w:panose1 w:val="05020102010507070707"/>
    <w:charset w:val="00"/>
    <w:family w:val="auto"/>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adjustRightInd w:val="0"/>
      <w:snapToGrid w:val="0"/>
    </w:pPr>
    <w:r>
      <w:rPr>
        <w:rFonts w:hint="eastAsia" w:ascii="宋体" w:hAnsi="宋体"/>
        <w:sz w:val="18"/>
        <w:szCs w:val="18"/>
      </w:rPr>
      <w:t xml:space="preserve">中南民族大学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rPr>
      <w:t>18</w:t>
    </w:r>
    <w:r>
      <w:rPr>
        <w:rFonts w:ascii="宋体" w:hAnsi="宋体"/>
        <w:sz w:val="18"/>
        <w:szCs w:val="18"/>
      </w:rPr>
      <w:fldChar w:fldCharType="end"/>
    </w:r>
    <w:r>
      <w:rPr>
        <w:rFonts w:hint="eastAsia" w:ascii="宋体" w:hAnsi="宋体"/>
        <w:sz w:val="18"/>
        <w:szCs w:val="18"/>
      </w:rPr>
      <w:t xml:space="preserve">                            湖北省招标股份有限公司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6"/>
      </w:rPr>
    </w:pPr>
    <w:r>
      <w:fldChar w:fldCharType="begin"/>
    </w:r>
    <w:r>
      <w:rPr>
        <w:rStyle w:val="46"/>
      </w:rPr>
      <w:instrText xml:space="preserve">PAGE  </w:instrText>
    </w:r>
    <w:r>
      <w:fldChar w:fldCharType="end"/>
    </w:r>
  </w:p>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adjustRightInd w:val="0"/>
      <w:snapToGrid w:val="0"/>
    </w:pPr>
    <w:r>
      <w:rPr>
        <w:rFonts w:hint="eastAsia" w:ascii="宋体" w:hAnsi="宋体"/>
        <w:sz w:val="18"/>
        <w:szCs w:val="18"/>
      </w:rPr>
      <w:t xml:space="preserve">采购人名称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rPr>
      <w:t>51</w:t>
    </w:r>
    <w:r>
      <w:rPr>
        <w:rFonts w:ascii="宋体" w:hAnsi="宋体"/>
        <w:sz w:val="18"/>
        <w:szCs w:val="18"/>
      </w:rPr>
      <w:fldChar w:fldCharType="end"/>
    </w:r>
    <w:r>
      <w:rPr>
        <w:rFonts w:hint="eastAsia" w:ascii="宋体" w:hAnsi="宋体"/>
        <w:sz w:val="18"/>
        <w:szCs w:val="18"/>
      </w:rPr>
      <w:t xml:space="preserve">                            湖北省招标股份有限公司</w:t>
    </w:r>
  </w:p>
  <w:p>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left"/>
      <w:rPr>
        <w:rFonts w:ascii="宋体" w:hAnsi="宋体"/>
        <w:u w:val="single"/>
      </w:rPr>
    </w:pPr>
    <w:r>
      <w:rPr>
        <w:rFonts w:hint="eastAsia" w:ascii="宋体" w:hAnsi="宋体"/>
        <w:u w:val="single"/>
      </w:rPr>
      <w:t xml:space="preserve">中南民族大学采购项目                                                            </w:t>
    </w:r>
    <w:r>
      <w:rPr>
        <w:rFonts w:ascii="宋体" w:hAnsi="宋体"/>
        <w:u w:val="single"/>
      </w:rPr>
      <w:t xml:space="preserve"> </w:t>
    </w:r>
    <w:r>
      <w:rPr>
        <w:rFonts w:hint="eastAsia" w:ascii="宋体" w:hAnsi="宋体"/>
        <w:u w:val="single"/>
      </w:rPr>
      <w:t xml:space="preserve">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both"/>
    </w:pPr>
    <w:r>
      <w:rPr>
        <w:rFonts w:hint="eastAsia"/>
        <w:iCs/>
      </w:rPr>
      <w:t>2017年天兴洲大桥透水沥青铺装层维修工程项目                                          竞争性磋商采购文件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0"/>
      </w:pBdr>
      <w:jc w:val="left"/>
    </w:pPr>
    <w:r>
      <w:rPr>
        <w:rFonts w:hint="eastAsia" w:ascii="宋体" w:hAnsi="宋体"/>
        <w:u w:val="single"/>
      </w:rPr>
      <w:t>武汉市政府采购项目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multilevel"/>
    <w:tmpl w:val="00000007"/>
    <w:lvl w:ilvl="0" w:tentative="0">
      <w:start w:val="1"/>
      <w:numFmt w:val="decimal"/>
      <w:lvlText w:val="%1."/>
      <w:lvlJc w:val="left"/>
      <w:pPr>
        <w:tabs>
          <w:tab w:val="left" w:pos="943"/>
        </w:tabs>
        <w:ind w:left="943" w:hanging="420"/>
      </w:pPr>
    </w:lvl>
    <w:lvl w:ilvl="1" w:tentative="0">
      <w:start w:val="1"/>
      <w:numFmt w:val="lowerLetter"/>
      <w:lvlText w:val="%2)"/>
      <w:lvlJc w:val="left"/>
      <w:pPr>
        <w:tabs>
          <w:tab w:val="left" w:pos="1363"/>
        </w:tabs>
        <w:ind w:left="1363" w:hanging="420"/>
      </w:pPr>
    </w:lvl>
    <w:lvl w:ilvl="2" w:tentative="0">
      <w:start w:val="1"/>
      <w:numFmt w:val="lowerRoman"/>
      <w:lvlText w:val="%3."/>
      <w:lvlJc w:val="right"/>
      <w:pPr>
        <w:tabs>
          <w:tab w:val="left" w:pos="1783"/>
        </w:tabs>
        <w:ind w:left="1783" w:hanging="420"/>
      </w:pPr>
    </w:lvl>
    <w:lvl w:ilvl="3" w:tentative="0">
      <w:start w:val="1"/>
      <w:numFmt w:val="decimal"/>
      <w:lvlText w:val="%4."/>
      <w:lvlJc w:val="left"/>
      <w:pPr>
        <w:tabs>
          <w:tab w:val="left" w:pos="2203"/>
        </w:tabs>
        <w:ind w:left="2203" w:hanging="420"/>
      </w:pPr>
    </w:lvl>
    <w:lvl w:ilvl="4" w:tentative="0">
      <w:start w:val="1"/>
      <w:numFmt w:val="lowerLetter"/>
      <w:lvlText w:val="%5)"/>
      <w:lvlJc w:val="left"/>
      <w:pPr>
        <w:tabs>
          <w:tab w:val="left" w:pos="2623"/>
        </w:tabs>
        <w:ind w:left="2623" w:hanging="420"/>
      </w:pPr>
    </w:lvl>
    <w:lvl w:ilvl="5" w:tentative="0">
      <w:start w:val="1"/>
      <w:numFmt w:val="lowerRoman"/>
      <w:lvlText w:val="%6."/>
      <w:lvlJc w:val="right"/>
      <w:pPr>
        <w:tabs>
          <w:tab w:val="left" w:pos="3043"/>
        </w:tabs>
        <w:ind w:left="3043" w:hanging="420"/>
      </w:pPr>
    </w:lvl>
    <w:lvl w:ilvl="6" w:tentative="0">
      <w:start w:val="1"/>
      <w:numFmt w:val="decimal"/>
      <w:lvlText w:val="%7."/>
      <w:lvlJc w:val="left"/>
      <w:pPr>
        <w:tabs>
          <w:tab w:val="left" w:pos="3463"/>
        </w:tabs>
        <w:ind w:left="3463" w:hanging="420"/>
      </w:pPr>
    </w:lvl>
    <w:lvl w:ilvl="7" w:tentative="0">
      <w:start w:val="1"/>
      <w:numFmt w:val="lowerLetter"/>
      <w:lvlText w:val="%8)"/>
      <w:lvlJc w:val="left"/>
      <w:pPr>
        <w:tabs>
          <w:tab w:val="left" w:pos="3883"/>
        </w:tabs>
        <w:ind w:left="3883" w:hanging="420"/>
      </w:pPr>
    </w:lvl>
    <w:lvl w:ilvl="8" w:tentative="0">
      <w:start w:val="1"/>
      <w:numFmt w:val="lowerRoman"/>
      <w:lvlText w:val="%9."/>
      <w:lvlJc w:val="right"/>
      <w:pPr>
        <w:tabs>
          <w:tab w:val="left" w:pos="4303"/>
        </w:tabs>
        <w:ind w:left="4303" w:hanging="420"/>
      </w:pPr>
    </w:lvl>
  </w:abstractNum>
  <w:abstractNum w:abstractNumId="1">
    <w:nsid w:val="00000011"/>
    <w:multiLevelType w:val="multilevel"/>
    <w:tmpl w:val="00000011"/>
    <w:lvl w:ilvl="0" w:tentative="0">
      <w:start w:val="1"/>
      <w:numFmt w:val="decimal"/>
      <w:lvlText w:val="%1、"/>
      <w:lvlJc w:val="left"/>
      <w:pPr>
        <w:tabs>
          <w:tab w:val="left" w:pos="780"/>
        </w:tabs>
        <w:ind w:left="78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230126AC"/>
    <w:multiLevelType w:val="multilevel"/>
    <w:tmpl w:val="230126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BC70834"/>
    <w:multiLevelType w:val="multilevel"/>
    <w:tmpl w:val="3BC7083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FE36F1A"/>
    <w:multiLevelType w:val="multilevel"/>
    <w:tmpl w:val="4FE36F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5"/>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JhZDNiNDVlNzcxZWZhODYyNGVjZjE1YTNhYjI1MjUifQ=="/>
  </w:docVars>
  <w:rsids>
    <w:rsidRoot w:val="00172A27"/>
    <w:rsid w:val="00000278"/>
    <w:rsid w:val="000004C2"/>
    <w:rsid w:val="000006A6"/>
    <w:rsid w:val="00000FF4"/>
    <w:rsid w:val="00001C99"/>
    <w:rsid w:val="00005A40"/>
    <w:rsid w:val="00007A5C"/>
    <w:rsid w:val="0001051E"/>
    <w:rsid w:val="00010818"/>
    <w:rsid w:val="00010A96"/>
    <w:rsid w:val="00010BED"/>
    <w:rsid w:val="00010DF7"/>
    <w:rsid w:val="000137E0"/>
    <w:rsid w:val="000143DD"/>
    <w:rsid w:val="000143FE"/>
    <w:rsid w:val="000167C1"/>
    <w:rsid w:val="0002174A"/>
    <w:rsid w:val="0002176F"/>
    <w:rsid w:val="00022AF3"/>
    <w:rsid w:val="000240C7"/>
    <w:rsid w:val="00024676"/>
    <w:rsid w:val="000257C2"/>
    <w:rsid w:val="00026A2C"/>
    <w:rsid w:val="000303A1"/>
    <w:rsid w:val="00030DF5"/>
    <w:rsid w:val="00031770"/>
    <w:rsid w:val="000324DD"/>
    <w:rsid w:val="000334AE"/>
    <w:rsid w:val="000346FA"/>
    <w:rsid w:val="0004206B"/>
    <w:rsid w:val="0004268D"/>
    <w:rsid w:val="00042D3F"/>
    <w:rsid w:val="0004732B"/>
    <w:rsid w:val="000506D9"/>
    <w:rsid w:val="000542BB"/>
    <w:rsid w:val="00055798"/>
    <w:rsid w:val="00056261"/>
    <w:rsid w:val="00057B63"/>
    <w:rsid w:val="000602FD"/>
    <w:rsid w:val="000671F0"/>
    <w:rsid w:val="000679EB"/>
    <w:rsid w:val="00067B36"/>
    <w:rsid w:val="00073516"/>
    <w:rsid w:val="00076151"/>
    <w:rsid w:val="00076F67"/>
    <w:rsid w:val="00077C8A"/>
    <w:rsid w:val="00080702"/>
    <w:rsid w:val="00080776"/>
    <w:rsid w:val="00081EF1"/>
    <w:rsid w:val="000820D2"/>
    <w:rsid w:val="00084441"/>
    <w:rsid w:val="00085168"/>
    <w:rsid w:val="00086411"/>
    <w:rsid w:val="00086A25"/>
    <w:rsid w:val="00091268"/>
    <w:rsid w:val="00091FF2"/>
    <w:rsid w:val="00093CE4"/>
    <w:rsid w:val="0009442E"/>
    <w:rsid w:val="0009542D"/>
    <w:rsid w:val="000972FD"/>
    <w:rsid w:val="00097944"/>
    <w:rsid w:val="000A13E5"/>
    <w:rsid w:val="000A27C8"/>
    <w:rsid w:val="000A3D1C"/>
    <w:rsid w:val="000A4984"/>
    <w:rsid w:val="000A733B"/>
    <w:rsid w:val="000A7425"/>
    <w:rsid w:val="000A76FC"/>
    <w:rsid w:val="000A79E3"/>
    <w:rsid w:val="000B06BE"/>
    <w:rsid w:val="000B0E87"/>
    <w:rsid w:val="000B1A88"/>
    <w:rsid w:val="000B2A53"/>
    <w:rsid w:val="000B31CF"/>
    <w:rsid w:val="000B3F6E"/>
    <w:rsid w:val="000B44FE"/>
    <w:rsid w:val="000B54A9"/>
    <w:rsid w:val="000C1282"/>
    <w:rsid w:val="000C2C31"/>
    <w:rsid w:val="000C2D79"/>
    <w:rsid w:val="000D0B12"/>
    <w:rsid w:val="000D1135"/>
    <w:rsid w:val="000D3A1F"/>
    <w:rsid w:val="000D3DB6"/>
    <w:rsid w:val="000D480A"/>
    <w:rsid w:val="000D63B2"/>
    <w:rsid w:val="000E15CF"/>
    <w:rsid w:val="000E1BCF"/>
    <w:rsid w:val="000E3F7A"/>
    <w:rsid w:val="000E4497"/>
    <w:rsid w:val="000E4DDF"/>
    <w:rsid w:val="000E692D"/>
    <w:rsid w:val="000F0051"/>
    <w:rsid w:val="000F143C"/>
    <w:rsid w:val="000F21AE"/>
    <w:rsid w:val="000F221A"/>
    <w:rsid w:val="000F5CFF"/>
    <w:rsid w:val="000F6EF6"/>
    <w:rsid w:val="000F74E6"/>
    <w:rsid w:val="000F7BAB"/>
    <w:rsid w:val="00101332"/>
    <w:rsid w:val="0010177F"/>
    <w:rsid w:val="00101DD9"/>
    <w:rsid w:val="00102BA5"/>
    <w:rsid w:val="00102E1B"/>
    <w:rsid w:val="0010461A"/>
    <w:rsid w:val="0010596C"/>
    <w:rsid w:val="00106311"/>
    <w:rsid w:val="00110821"/>
    <w:rsid w:val="00113DE9"/>
    <w:rsid w:val="00114B16"/>
    <w:rsid w:val="00115C65"/>
    <w:rsid w:val="00115D18"/>
    <w:rsid w:val="0012080F"/>
    <w:rsid w:val="00120880"/>
    <w:rsid w:val="001257E3"/>
    <w:rsid w:val="00125B4B"/>
    <w:rsid w:val="00130824"/>
    <w:rsid w:val="00131A57"/>
    <w:rsid w:val="00132ABE"/>
    <w:rsid w:val="001347B2"/>
    <w:rsid w:val="00135836"/>
    <w:rsid w:val="0013644D"/>
    <w:rsid w:val="00136537"/>
    <w:rsid w:val="00141ECA"/>
    <w:rsid w:val="00142820"/>
    <w:rsid w:val="0014342F"/>
    <w:rsid w:val="0014362A"/>
    <w:rsid w:val="00143BA1"/>
    <w:rsid w:val="00143F35"/>
    <w:rsid w:val="00146A8E"/>
    <w:rsid w:val="00147175"/>
    <w:rsid w:val="00147E38"/>
    <w:rsid w:val="00152D2C"/>
    <w:rsid w:val="001538CA"/>
    <w:rsid w:val="00156737"/>
    <w:rsid w:val="00156C74"/>
    <w:rsid w:val="00156D4E"/>
    <w:rsid w:val="001602D4"/>
    <w:rsid w:val="00160F09"/>
    <w:rsid w:val="00163C8C"/>
    <w:rsid w:val="00165232"/>
    <w:rsid w:val="0016595D"/>
    <w:rsid w:val="00165D7C"/>
    <w:rsid w:val="00166D41"/>
    <w:rsid w:val="00166D4E"/>
    <w:rsid w:val="00167378"/>
    <w:rsid w:val="00172A27"/>
    <w:rsid w:val="00174553"/>
    <w:rsid w:val="0017501B"/>
    <w:rsid w:val="001804ED"/>
    <w:rsid w:val="00180760"/>
    <w:rsid w:val="00180955"/>
    <w:rsid w:val="00181C10"/>
    <w:rsid w:val="001823BE"/>
    <w:rsid w:val="001825C3"/>
    <w:rsid w:val="00182776"/>
    <w:rsid w:val="00182ABC"/>
    <w:rsid w:val="00182ABD"/>
    <w:rsid w:val="001837C3"/>
    <w:rsid w:val="00186D0F"/>
    <w:rsid w:val="00187B9E"/>
    <w:rsid w:val="00192BB2"/>
    <w:rsid w:val="00193DCC"/>
    <w:rsid w:val="001954C4"/>
    <w:rsid w:val="001A281E"/>
    <w:rsid w:val="001A3E03"/>
    <w:rsid w:val="001A4267"/>
    <w:rsid w:val="001A6667"/>
    <w:rsid w:val="001A79C6"/>
    <w:rsid w:val="001B251B"/>
    <w:rsid w:val="001B2994"/>
    <w:rsid w:val="001B2A06"/>
    <w:rsid w:val="001B3466"/>
    <w:rsid w:val="001B3C51"/>
    <w:rsid w:val="001B3E81"/>
    <w:rsid w:val="001B5150"/>
    <w:rsid w:val="001B52C6"/>
    <w:rsid w:val="001B6A68"/>
    <w:rsid w:val="001B6BB1"/>
    <w:rsid w:val="001B6CD1"/>
    <w:rsid w:val="001B6E3D"/>
    <w:rsid w:val="001B7229"/>
    <w:rsid w:val="001C2071"/>
    <w:rsid w:val="001C2DCE"/>
    <w:rsid w:val="001C3049"/>
    <w:rsid w:val="001C3A43"/>
    <w:rsid w:val="001C3ED7"/>
    <w:rsid w:val="001C4FDB"/>
    <w:rsid w:val="001C5B16"/>
    <w:rsid w:val="001C7B43"/>
    <w:rsid w:val="001D0581"/>
    <w:rsid w:val="001D16DD"/>
    <w:rsid w:val="001D2002"/>
    <w:rsid w:val="001D24AB"/>
    <w:rsid w:val="001D29AC"/>
    <w:rsid w:val="001D3951"/>
    <w:rsid w:val="001E0CD2"/>
    <w:rsid w:val="001E3EEE"/>
    <w:rsid w:val="001E40CA"/>
    <w:rsid w:val="001E4994"/>
    <w:rsid w:val="001E50E7"/>
    <w:rsid w:val="001E52BC"/>
    <w:rsid w:val="001E533D"/>
    <w:rsid w:val="001E5B09"/>
    <w:rsid w:val="001E6519"/>
    <w:rsid w:val="001E724A"/>
    <w:rsid w:val="001F0ADE"/>
    <w:rsid w:val="001F460B"/>
    <w:rsid w:val="001F4870"/>
    <w:rsid w:val="001F4A13"/>
    <w:rsid w:val="001F4B18"/>
    <w:rsid w:val="001F6895"/>
    <w:rsid w:val="001F77E7"/>
    <w:rsid w:val="001F7C17"/>
    <w:rsid w:val="001F7D62"/>
    <w:rsid w:val="002031D3"/>
    <w:rsid w:val="002059C1"/>
    <w:rsid w:val="002121FC"/>
    <w:rsid w:val="00213200"/>
    <w:rsid w:val="00217D80"/>
    <w:rsid w:val="0022192A"/>
    <w:rsid w:val="00223677"/>
    <w:rsid w:val="002238B1"/>
    <w:rsid w:val="00223FEB"/>
    <w:rsid w:val="00224558"/>
    <w:rsid w:val="00225F58"/>
    <w:rsid w:val="0022640A"/>
    <w:rsid w:val="002266CF"/>
    <w:rsid w:val="00226C2C"/>
    <w:rsid w:val="002307B4"/>
    <w:rsid w:val="00230EF6"/>
    <w:rsid w:val="002347C9"/>
    <w:rsid w:val="00237EB7"/>
    <w:rsid w:val="00240FCF"/>
    <w:rsid w:val="00241C22"/>
    <w:rsid w:val="0024230E"/>
    <w:rsid w:val="00242C6D"/>
    <w:rsid w:val="00244BFD"/>
    <w:rsid w:val="00251174"/>
    <w:rsid w:val="00251E1D"/>
    <w:rsid w:val="0025238D"/>
    <w:rsid w:val="00252B6E"/>
    <w:rsid w:val="002537B6"/>
    <w:rsid w:val="002539A4"/>
    <w:rsid w:val="002552FA"/>
    <w:rsid w:val="00256462"/>
    <w:rsid w:val="00257CEC"/>
    <w:rsid w:val="00257EF4"/>
    <w:rsid w:val="00260FFF"/>
    <w:rsid w:val="00261013"/>
    <w:rsid w:val="0026222B"/>
    <w:rsid w:val="00262A59"/>
    <w:rsid w:val="00262BAF"/>
    <w:rsid w:val="00264651"/>
    <w:rsid w:val="002655B0"/>
    <w:rsid w:val="00266045"/>
    <w:rsid w:val="00270191"/>
    <w:rsid w:val="00271B69"/>
    <w:rsid w:val="00271E97"/>
    <w:rsid w:val="0027295D"/>
    <w:rsid w:val="002729CB"/>
    <w:rsid w:val="00275A0C"/>
    <w:rsid w:val="00280595"/>
    <w:rsid w:val="0028329A"/>
    <w:rsid w:val="002834FD"/>
    <w:rsid w:val="00283C7D"/>
    <w:rsid w:val="002847F4"/>
    <w:rsid w:val="002852A5"/>
    <w:rsid w:val="00285846"/>
    <w:rsid w:val="00286231"/>
    <w:rsid w:val="0028663B"/>
    <w:rsid w:val="00287FC2"/>
    <w:rsid w:val="00291839"/>
    <w:rsid w:val="00292622"/>
    <w:rsid w:val="002940FA"/>
    <w:rsid w:val="0029599D"/>
    <w:rsid w:val="00295BC7"/>
    <w:rsid w:val="00295E18"/>
    <w:rsid w:val="0029752E"/>
    <w:rsid w:val="002A0282"/>
    <w:rsid w:val="002A0502"/>
    <w:rsid w:val="002A68AA"/>
    <w:rsid w:val="002A7F51"/>
    <w:rsid w:val="002B0B0A"/>
    <w:rsid w:val="002B1B0B"/>
    <w:rsid w:val="002B280A"/>
    <w:rsid w:val="002B3F50"/>
    <w:rsid w:val="002B53DD"/>
    <w:rsid w:val="002C64DC"/>
    <w:rsid w:val="002D05B0"/>
    <w:rsid w:val="002D2843"/>
    <w:rsid w:val="002D471F"/>
    <w:rsid w:val="002D6218"/>
    <w:rsid w:val="002D70E7"/>
    <w:rsid w:val="002D73A1"/>
    <w:rsid w:val="002D7BBB"/>
    <w:rsid w:val="002E01D4"/>
    <w:rsid w:val="002E47C7"/>
    <w:rsid w:val="002E7623"/>
    <w:rsid w:val="002F0540"/>
    <w:rsid w:val="002F0A4B"/>
    <w:rsid w:val="002F14D2"/>
    <w:rsid w:val="002F4152"/>
    <w:rsid w:val="003032D9"/>
    <w:rsid w:val="00303A66"/>
    <w:rsid w:val="00303A9B"/>
    <w:rsid w:val="0030509A"/>
    <w:rsid w:val="00307A95"/>
    <w:rsid w:val="00312654"/>
    <w:rsid w:val="00314052"/>
    <w:rsid w:val="00316296"/>
    <w:rsid w:val="00317504"/>
    <w:rsid w:val="0032060F"/>
    <w:rsid w:val="00321569"/>
    <w:rsid w:val="00321FE9"/>
    <w:rsid w:val="00322738"/>
    <w:rsid w:val="00324044"/>
    <w:rsid w:val="00324203"/>
    <w:rsid w:val="0032777F"/>
    <w:rsid w:val="00330892"/>
    <w:rsid w:val="00331054"/>
    <w:rsid w:val="003313B4"/>
    <w:rsid w:val="00333011"/>
    <w:rsid w:val="0033530A"/>
    <w:rsid w:val="0034030A"/>
    <w:rsid w:val="003420D5"/>
    <w:rsid w:val="00343164"/>
    <w:rsid w:val="003432D3"/>
    <w:rsid w:val="00343B5B"/>
    <w:rsid w:val="0034411B"/>
    <w:rsid w:val="00345F50"/>
    <w:rsid w:val="003464AC"/>
    <w:rsid w:val="0034703B"/>
    <w:rsid w:val="003472FD"/>
    <w:rsid w:val="00347E92"/>
    <w:rsid w:val="00352310"/>
    <w:rsid w:val="003524EF"/>
    <w:rsid w:val="00352A67"/>
    <w:rsid w:val="00352EA5"/>
    <w:rsid w:val="00353B93"/>
    <w:rsid w:val="003603AB"/>
    <w:rsid w:val="00360933"/>
    <w:rsid w:val="00360AF1"/>
    <w:rsid w:val="003612FD"/>
    <w:rsid w:val="00363263"/>
    <w:rsid w:val="00364429"/>
    <w:rsid w:val="003657A4"/>
    <w:rsid w:val="00367103"/>
    <w:rsid w:val="00367CBF"/>
    <w:rsid w:val="00367D78"/>
    <w:rsid w:val="00370A44"/>
    <w:rsid w:val="003751E1"/>
    <w:rsid w:val="0037550B"/>
    <w:rsid w:val="00376523"/>
    <w:rsid w:val="00377088"/>
    <w:rsid w:val="00377A7D"/>
    <w:rsid w:val="003811B3"/>
    <w:rsid w:val="003821BF"/>
    <w:rsid w:val="003821F2"/>
    <w:rsid w:val="0038462E"/>
    <w:rsid w:val="00384CB6"/>
    <w:rsid w:val="003860CD"/>
    <w:rsid w:val="0038614F"/>
    <w:rsid w:val="00390712"/>
    <w:rsid w:val="00391180"/>
    <w:rsid w:val="00391B59"/>
    <w:rsid w:val="00392A9A"/>
    <w:rsid w:val="00393DC6"/>
    <w:rsid w:val="00397894"/>
    <w:rsid w:val="003A1160"/>
    <w:rsid w:val="003A253D"/>
    <w:rsid w:val="003A3841"/>
    <w:rsid w:val="003A4240"/>
    <w:rsid w:val="003A7A2F"/>
    <w:rsid w:val="003B0637"/>
    <w:rsid w:val="003B10AB"/>
    <w:rsid w:val="003B10F4"/>
    <w:rsid w:val="003B3F07"/>
    <w:rsid w:val="003B7EE9"/>
    <w:rsid w:val="003C11E4"/>
    <w:rsid w:val="003C1226"/>
    <w:rsid w:val="003C2530"/>
    <w:rsid w:val="003C2FEB"/>
    <w:rsid w:val="003C3F93"/>
    <w:rsid w:val="003C4950"/>
    <w:rsid w:val="003C50E7"/>
    <w:rsid w:val="003C5279"/>
    <w:rsid w:val="003C68BE"/>
    <w:rsid w:val="003C7322"/>
    <w:rsid w:val="003D05F3"/>
    <w:rsid w:val="003D1AE9"/>
    <w:rsid w:val="003D20F8"/>
    <w:rsid w:val="003D3675"/>
    <w:rsid w:val="003D3A9B"/>
    <w:rsid w:val="003D45BB"/>
    <w:rsid w:val="003D5F20"/>
    <w:rsid w:val="003D7401"/>
    <w:rsid w:val="003E02B5"/>
    <w:rsid w:val="003E06B4"/>
    <w:rsid w:val="003E0AE1"/>
    <w:rsid w:val="003E163A"/>
    <w:rsid w:val="003E19E1"/>
    <w:rsid w:val="003E24F1"/>
    <w:rsid w:val="003E296D"/>
    <w:rsid w:val="003E3CA4"/>
    <w:rsid w:val="003F1053"/>
    <w:rsid w:val="003F25FE"/>
    <w:rsid w:val="003F331A"/>
    <w:rsid w:val="003F37D0"/>
    <w:rsid w:val="003F43F6"/>
    <w:rsid w:val="003F5297"/>
    <w:rsid w:val="003F583E"/>
    <w:rsid w:val="003F7B9D"/>
    <w:rsid w:val="003F7E21"/>
    <w:rsid w:val="003F7F55"/>
    <w:rsid w:val="004000EF"/>
    <w:rsid w:val="00402054"/>
    <w:rsid w:val="00403125"/>
    <w:rsid w:val="00403A50"/>
    <w:rsid w:val="00404A11"/>
    <w:rsid w:val="00404D08"/>
    <w:rsid w:val="0040704A"/>
    <w:rsid w:val="004105AD"/>
    <w:rsid w:val="00411B62"/>
    <w:rsid w:val="004121BB"/>
    <w:rsid w:val="004163DD"/>
    <w:rsid w:val="00416492"/>
    <w:rsid w:val="00420C85"/>
    <w:rsid w:val="00420D2E"/>
    <w:rsid w:val="00423B42"/>
    <w:rsid w:val="00423FBA"/>
    <w:rsid w:val="00424166"/>
    <w:rsid w:val="0042445D"/>
    <w:rsid w:val="00425567"/>
    <w:rsid w:val="00426C6D"/>
    <w:rsid w:val="004316FA"/>
    <w:rsid w:val="00432072"/>
    <w:rsid w:val="00432749"/>
    <w:rsid w:val="00434391"/>
    <w:rsid w:val="00434F86"/>
    <w:rsid w:val="0043661D"/>
    <w:rsid w:val="004407FA"/>
    <w:rsid w:val="00440E24"/>
    <w:rsid w:val="0044113D"/>
    <w:rsid w:val="00443422"/>
    <w:rsid w:val="0044356A"/>
    <w:rsid w:val="0044410D"/>
    <w:rsid w:val="00446080"/>
    <w:rsid w:val="00450B4E"/>
    <w:rsid w:val="004520F3"/>
    <w:rsid w:val="00452803"/>
    <w:rsid w:val="00454CD4"/>
    <w:rsid w:val="00456922"/>
    <w:rsid w:val="00460A09"/>
    <w:rsid w:val="004653A4"/>
    <w:rsid w:val="00467FF9"/>
    <w:rsid w:val="00471871"/>
    <w:rsid w:val="0047252A"/>
    <w:rsid w:val="0047260C"/>
    <w:rsid w:val="0047297B"/>
    <w:rsid w:val="00472F83"/>
    <w:rsid w:val="00474A7A"/>
    <w:rsid w:val="00480CDF"/>
    <w:rsid w:val="00481425"/>
    <w:rsid w:val="00483176"/>
    <w:rsid w:val="00484C63"/>
    <w:rsid w:val="00484FFC"/>
    <w:rsid w:val="00487723"/>
    <w:rsid w:val="004909C8"/>
    <w:rsid w:val="0049441F"/>
    <w:rsid w:val="00495855"/>
    <w:rsid w:val="004961FA"/>
    <w:rsid w:val="004A0003"/>
    <w:rsid w:val="004A1343"/>
    <w:rsid w:val="004A256B"/>
    <w:rsid w:val="004A2949"/>
    <w:rsid w:val="004A5189"/>
    <w:rsid w:val="004B1F8A"/>
    <w:rsid w:val="004B23AE"/>
    <w:rsid w:val="004B5B13"/>
    <w:rsid w:val="004B7075"/>
    <w:rsid w:val="004C1E13"/>
    <w:rsid w:val="004C286F"/>
    <w:rsid w:val="004C449F"/>
    <w:rsid w:val="004C5367"/>
    <w:rsid w:val="004C54D9"/>
    <w:rsid w:val="004C6B96"/>
    <w:rsid w:val="004C6F76"/>
    <w:rsid w:val="004D00B1"/>
    <w:rsid w:val="004D08E0"/>
    <w:rsid w:val="004D1300"/>
    <w:rsid w:val="004D17D2"/>
    <w:rsid w:val="004D1B34"/>
    <w:rsid w:val="004D2279"/>
    <w:rsid w:val="004D2480"/>
    <w:rsid w:val="004D3EBE"/>
    <w:rsid w:val="004D50A1"/>
    <w:rsid w:val="004D6364"/>
    <w:rsid w:val="004D6B01"/>
    <w:rsid w:val="004D7753"/>
    <w:rsid w:val="004E2AD2"/>
    <w:rsid w:val="004E2C55"/>
    <w:rsid w:val="004E505E"/>
    <w:rsid w:val="004E68F4"/>
    <w:rsid w:val="004F1CD5"/>
    <w:rsid w:val="004F6B24"/>
    <w:rsid w:val="004F6BE1"/>
    <w:rsid w:val="005015EC"/>
    <w:rsid w:val="00501C7D"/>
    <w:rsid w:val="00501F78"/>
    <w:rsid w:val="00502194"/>
    <w:rsid w:val="00503135"/>
    <w:rsid w:val="00503C0E"/>
    <w:rsid w:val="00505139"/>
    <w:rsid w:val="00506C69"/>
    <w:rsid w:val="00510783"/>
    <w:rsid w:val="00511586"/>
    <w:rsid w:val="005123B6"/>
    <w:rsid w:val="00513D67"/>
    <w:rsid w:val="00514B23"/>
    <w:rsid w:val="00515D9A"/>
    <w:rsid w:val="00516CB7"/>
    <w:rsid w:val="00516CF6"/>
    <w:rsid w:val="00517A5F"/>
    <w:rsid w:val="0052037E"/>
    <w:rsid w:val="00523B95"/>
    <w:rsid w:val="005243DC"/>
    <w:rsid w:val="00525509"/>
    <w:rsid w:val="005255C9"/>
    <w:rsid w:val="00530902"/>
    <w:rsid w:val="00530ECB"/>
    <w:rsid w:val="005314B6"/>
    <w:rsid w:val="00532C83"/>
    <w:rsid w:val="00533C05"/>
    <w:rsid w:val="00535A71"/>
    <w:rsid w:val="00536795"/>
    <w:rsid w:val="00537FA3"/>
    <w:rsid w:val="00540491"/>
    <w:rsid w:val="00543D7D"/>
    <w:rsid w:val="00543FDB"/>
    <w:rsid w:val="0054470F"/>
    <w:rsid w:val="00544D82"/>
    <w:rsid w:val="00546509"/>
    <w:rsid w:val="005474F4"/>
    <w:rsid w:val="00547F7C"/>
    <w:rsid w:val="0055323E"/>
    <w:rsid w:val="005548A0"/>
    <w:rsid w:val="0055588D"/>
    <w:rsid w:val="00557B85"/>
    <w:rsid w:val="0056012D"/>
    <w:rsid w:val="005625EF"/>
    <w:rsid w:val="0056404C"/>
    <w:rsid w:val="005644A0"/>
    <w:rsid w:val="005644E4"/>
    <w:rsid w:val="00567256"/>
    <w:rsid w:val="005675F5"/>
    <w:rsid w:val="00567A45"/>
    <w:rsid w:val="00567C90"/>
    <w:rsid w:val="00570FBC"/>
    <w:rsid w:val="00571C17"/>
    <w:rsid w:val="005731C1"/>
    <w:rsid w:val="00573AC7"/>
    <w:rsid w:val="0057737D"/>
    <w:rsid w:val="005779F5"/>
    <w:rsid w:val="00580460"/>
    <w:rsid w:val="00580E76"/>
    <w:rsid w:val="005818B6"/>
    <w:rsid w:val="00582EDB"/>
    <w:rsid w:val="0058349F"/>
    <w:rsid w:val="00585BD0"/>
    <w:rsid w:val="00585C08"/>
    <w:rsid w:val="0058783A"/>
    <w:rsid w:val="005902D8"/>
    <w:rsid w:val="00594A96"/>
    <w:rsid w:val="005956DD"/>
    <w:rsid w:val="00596948"/>
    <w:rsid w:val="005A2D7A"/>
    <w:rsid w:val="005A4016"/>
    <w:rsid w:val="005A6797"/>
    <w:rsid w:val="005A78C1"/>
    <w:rsid w:val="005B0791"/>
    <w:rsid w:val="005B0C42"/>
    <w:rsid w:val="005B25C5"/>
    <w:rsid w:val="005B374C"/>
    <w:rsid w:val="005B502D"/>
    <w:rsid w:val="005B7F2E"/>
    <w:rsid w:val="005C00D0"/>
    <w:rsid w:val="005C12E4"/>
    <w:rsid w:val="005C1BB4"/>
    <w:rsid w:val="005C3C3D"/>
    <w:rsid w:val="005C6E1A"/>
    <w:rsid w:val="005D018A"/>
    <w:rsid w:val="005D0994"/>
    <w:rsid w:val="005D10A3"/>
    <w:rsid w:val="005D1E6A"/>
    <w:rsid w:val="005D291B"/>
    <w:rsid w:val="005D46A2"/>
    <w:rsid w:val="005D48D0"/>
    <w:rsid w:val="005D58D5"/>
    <w:rsid w:val="005D669E"/>
    <w:rsid w:val="005D6CBD"/>
    <w:rsid w:val="005E014B"/>
    <w:rsid w:val="005E117B"/>
    <w:rsid w:val="005E124B"/>
    <w:rsid w:val="005E2C79"/>
    <w:rsid w:val="005E3787"/>
    <w:rsid w:val="005E5889"/>
    <w:rsid w:val="005E6A61"/>
    <w:rsid w:val="005F55F4"/>
    <w:rsid w:val="006004CD"/>
    <w:rsid w:val="00600923"/>
    <w:rsid w:val="00602B72"/>
    <w:rsid w:val="00603585"/>
    <w:rsid w:val="00603BBA"/>
    <w:rsid w:val="00604E58"/>
    <w:rsid w:val="0061237A"/>
    <w:rsid w:val="006132AB"/>
    <w:rsid w:val="00613E22"/>
    <w:rsid w:val="00614F37"/>
    <w:rsid w:val="0061773B"/>
    <w:rsid w:val="006178BC"/>
    <w:rsid w:val="00617A31"/>
    <w:rsid w:val="00617EB2"/>
    <w:rsid w:val="00621055"/>
    <w:rsid w:val="006221C3"/>
    <w:rsid w:val="00622B57"/>
    <w:rsid w:val="00623AAE"/>
    <w:rsid w:val="00624338"/>
    <w:rsid w:val="00624385"/>
    <w:rsid w:val="0062723D"/>
    <w:rsid w:val="006312E9"/>
    <w:rsid w:val="006324B2"/>
    <w:rsid w:val="00633DE3"/>
    <w:rsid w:val="006340BB"/>
    <w:rsid w:val="00634521"/>
    <w:rsid w:val="00634D6A"/>
    <w:rsid w:val="00635A9B"/>
    <w:rsid w:val="00635B11"/>
    <w:rsid w:val="00641FF4"/>
    <w:rsid w:val="006427A0"/>
    <w:rsid w:val="006429FE"/>
    <w:rsid w:val="00644139"/>
    <w:rsid w:val="006451DF"/>
    <w:rsid w:val="006457C4"/>
    <w:rsid w:val="006475F2"/>
    <w:rsid w:val="006528F6"/>
    <w:rsid w:val="00652E80"/>
    <w:rsid w:val="00654F44"/>
    <w:rsid w:val="0065598E"/>
    <w:rsid w:val="00655F4E"/>
    <w:rsid w:val="00657BE1"/>
    <w:rsid w:val="00660BE2"/>
    <w:rsid w:val="006736AA"/>
    <w:rsid w:val="00676641"/>
    <w:rsid w:val="00677D8E"/>
    <w:rsid w:val="00680EE0"/>
    <w:rsid w:val="0068167A"/>
    <w:rsid w:val="00682978"/>
    <w:rsid w:val="006837C4"/>
    <w:rsid w:val="00684407"/>
    <w:rsid w:val="00684A82"/>
    <w:rsid w:val="006855DE"/>
    <w:rsid w:val="0069065A"/>
    <w:rsid w:val="00692C8A"/>
    <w:rsid w:val="006943DE"/>
    <w:rsid w:val="006944D8"/>
    <w:rsid w:val="00697775"/>
    <w:rsid w:val="00697877"/>
    <w:rsid w:val="006A1693"/>
    <w:rsid w:val="006A45CF"/>
    <w:rsid w:val="006A4C01"/>
    <w:rsid w:val="006A5596"/>
    <w:rsid w:val="006A5DC5"/>
    <w:rsid w:val="006A5FFF"/>
    <w:rsid w:val="006A7439"/>
    <w:rsid w:val="006B2A61"/>
    <w:rsid w:val="006B2A64"/>
    <w:rsid w:val="006B3AC4"/>
    <w:rsid w:val="006B4A5A"/>
    <w:rsid w:val="006B5955"/>
    <w:rsid w:val="006B65C5"/>
    <w:rsid w:val="006B6F3B"/>
    <w:rsid w:val="006B7EF8"/>
    <w:rsid w:val="006C052F"/>
    <w:rsid w:val="006C14B0"/>
    <w:rsid w:val="006C1576"/>
    <w:rsid w:val="006C2981"/>
    <w:rsid w:val="006C4341"/>
    <w:rsid w:val="006C4D84"/>
    <w:rsid w:val="006C6A42"/>
    <w:rsid w:val="006C715A"/>
    <w:rsid w:val="006C7262"/>
    <w:rsid w:val="006D1048"/>
    <w:rsid w:val="006D2B73"/>
    <w:rsid w:val="006D4CAA"/>
    <w:rsid w:val="006D5150"/>
    <w:rsid w:val="006D606F"/>
    <w:rsid w:val="006D691C"/>
    <w:rsid w:val="006D692D"/>
    <w:rsid w:val="006D7AA7"/>
    <w:rsid w:val="006E2C1A"/>
    <w:rsid w:val="006E2E8B"/>
    <w:rsid w:val="006E2E8F"/>
    <w:rsid w:val="006E5D78"/>
    <w:rsid w:val="006E660C"/>
    <w:rsid w:val="006E696D"/>
    <w:rsid w:val="006E741D"/>
    <w:rsid w:val="006F0CB4"/>
    <w:rsid w:val="006F1DC6"/>
    <w:rsid w:val="006F23C2"/>
    <w:rsid w:val="006F2C17"/>
    <w:rsid w:val="006F2E46"/>
    <w:rsid w:val="006F3662"/>
    <w:rsid w:val="006F41D9"/>
    <w:rsid w:val="006F49AD"/>
    <w:rsid w:val="006F4BF2"/>
    <w:rsid w:val="006F7F77"/>
    <w:rsid w:val="007004BE"/>
    <w:rsid w:val="00700CA0"/>
    <w:rsid w:val="00700D17"/>
    <w:rsid w:val="007038C1"/>
    <w:rsid w:val="007050AC"/>
    <w:rsid w:val="00705261"/>
    <w:rsid w:val="00710682"/>
    <w:rsid w:val="00710B6F"/>
    <w:rsid w:val="00711263"/>
    <w:rsid w:val="00712714"/>
    <w:rsid w:val="00716BF1"/>
    <w:rsid w:val="00717F3B"/>
    <w:rsid w:val="0072119C"/>
    <w:rsid w:val="00721B3F"/>
    <w:rsid w:val="0073671B"/>
    <w:rsid w:val="00736994"/>
    <w:rsid w:val="0073791B"/>
    <w:rsid w:val="00740669"/>
    <w:rsid w:val="00740D1F"/>
    <w:rsid w:val="00741E5A"/>
    <w:rsid w:val="00742BAD"/>
    <w:rsid w:val="00742DB9"/>
    <w:rsid w:val="0074436D"/>
    <w:rsid w:val="00744FE2"/>
    <w:rsid w:val="00745594"/>
    <w:rsid w:val="007457DA"/>
    <w:rsid w:val="007501FC"/>
    <w:rsid w:val="007509E0"/>
    <w:rsid w:val="0075138E"/>
    <w:rsid w:val="007522E1"/>
    <w:rsid w:val="007525D6"/>
    <w:rsid w:val="00755887"/>
    <w:rsid w:val="00757910"/>
    <w:rsid w:val="00762E01"/>
    <w:rsid w:val="00764197"/>
    <w:rsid w:val="007665C5"/>
    <w:rsid w:val="00767E07"/>
    <w:rsid w:val="00772C3E"/>
    <w:rsid w:val="007730DD"/>
    <w:rsid w:val="0077597E"/>
    <w:rsid w:val="00776DD5"/>
    <w:rsid w:val="00776F4C"/>
    <w:rsid w:val="00777B5C"/>
    <w:rsid w:val="00780DBD"/>
    <w:rsid w:val="007823D0"/>
    <w:rsid w:val="007837A1"/>
    <w:rsid w:val="00783E3E"/>
    <w:rsid w:val="007902D0"/>
    <w:rsid w:val="00791753"/>
    <w:rsid w:val="00792FA0"/>
    <w:rsid w:val="00795A6F"/>
    <w:rsid w:val="00795C10"/>
    <w:rsid w:val="00796E39"/>
    <w:rsid w:val="00797D92"/>
    <w:rsid w:val="007A05A9"/>
    <w:rsid w:val="007A20A7"/>
    <w:rsid w:val="007A25FD"/>
    <w:rsid w:val="007A349A"/>
    <w:rsid w:val="007A38CC"/>
    <w:rsid w:val="007A470B"/>
    <w:rsid w:val="007A4BB9"/>
    <w:rsid w:val="007A4F95"/>
    <w:rsid w:val="007A736B"/>
    <w:rsid w:val="007A7DF0"/>
    <w:rsid w:val="007B1918"/>
    <w:rsid w:val="007B1AEA"/>
    <w:rsid w:val="007B205F"/>
    <w:rsid w:val="007B3919"/>
    <w:rsid w:val="007B40AA"/>
    <w:rsid w:val="007B436D"/>
    <w:rsid w:val="007B5EF4"/>
    <w:rsid w:val="007B705E"/>
    <w:rsid w:val="007B706E"/>
    <w:rsid w:val="007B75D3"/>
    <w:rsid w:val="007C0378"/>
    <w:rsid w:val="007C10B9"/>
    <w:rsid w:val="007C4231"/>
    <w:rsid w:val="007C5641"/>
    <w:rsid w:val="007C650F"/>
    <w:rsid w:val="007C7BF1"/>
    <w:rsid w:val="007D017F"/>
    <w:rsid w:val="007D1024"/>
    <w:rsid w:val="007D2957"/>
    <w:rsid w:val="007D2A81"/>
    <w:rsid w:val="007D4CEE"/>
    <w:rsid w:val="007D6F5F"/>
    <w:rsid w:val="007D7231"/>
    <w:rsid w:val="007D7DFB"/>
    <w:rsid w:val="007E07DE"/>
    <w:rsid w:val="007E1087"/>
    <w:rsid w:val="007E2654"/>
    <w:rsid w:val="007E32EB"/>
    <w:rsid w:val="007E38C1"/>
    <w:rsid w:val="007E4315"/>
    <w:rsid w:val="007E55E7"/>
    <w:rsid w:val="007E63D5"/>
    <w:rsid w:val="007E785D"/>
    <w:rsid w:val="007F1E60"/>
    <w:rsid w:val="007F1FDA"/>
    <w:rsid w:val="007F23E0"/>
    <w:rsid w:val="007F4E61"/>
    <w:rsid w:val="007F52D5"/>
    <w:rsid w:val="007F53E0"/>
    <w:rsid w:val="007F55F2"/>
    <w:rsid w:val="007F562F"/>
    <w:rsid w:val="007F591F"/>
    <w:rsid w:val="007F68E0"/>
    <w:rsid w:val="007F6ABF"/>
    <w:rsid w:val="007F6CDA"/>
    <w:rsid w:val="007F6DC1"/>
    <w:rsid w:val="007F7860"/>
    <w:rsid w:val="00800FE8"/>
    <w:rsid w:val="00806FED"/>
    <w:rsid w:val="008073B9"/>
    <w:rsid w:val="008103ED"/>
    <w:rsid w:val="00811F13"/>
    <w:rsid w:val="008142B0"/>
    <w:rsid w:val="008145DD"/>
    <w:rsid w:val="00815FE3"/>
    <w:rsid w:val="00816685"/>
    <w:rsid w:val="008174DA"/>
    <w:rsid w:val="0082098B"/>
    <w:rsid w:val="008265DE"/>
    <w:rsid w:val="008269FE"/>
    <w:rsid w:val="00827E87"/>
    <w:rsid w:val="008325F8"/>
    <w:rsid w:val="00832735"/>
    <w:rsid w:val="00834BCA"/>
    <w:rsid w:val="00834D76"/>
    <w:rsid w:val="00835405"/>
    <w:rsid w:val="008368FE"/>
    <w:rsid w:val="008376E1"/>
    <w:rsid w:val="00840986"/>
    <w:rsid w:val="008427F2"/>
    <w:rsid w:val="00843791"/>
    <w:rsid w:val="00845233"/>
    <w:rsid w:val="00845468"/>
    <w:rsid w:val="008454F5"/>
    <w:rsid w:val="008458E8"/>
    <w:rsid w:val="00845CBC"/>
    <w:rsid w:val="0084796B"/>
    <w:rsid w:val="008504AD"/>
    <w:rsid w:val="00850F64"/>
    <w:rsid w:val="008520E3"/>
    <w:rsid w:val="00852C50"/>
    <w:rsid w:val="008547E9"/>
    <w:rsid w:val="008557C6"/>
    <w:rsid w:val="00855E3A"/>
    <w:rsid w:val="008574B0"/>
    <w:rsid w:val="00860B9D"/>
    <w:rsid w:val="00862E75"/>
    <w:rsid w:val="0086320E"/>
    <w:rsid w:val="0086363C"/>
    <w:rsid w:val="00864B5A"/>
    <w:rsid w:val="00866130"/>
    <w:rsid w:val="008706F6"/>
    <w:rsid w:val="008712FD"/>
    <w:rsid w:val="00871CB1"/>
    <w:rsid w:val="00872634"/>
    <w:rsid w:val="00876885"/>
    <w:rsid w:val="008770DE"/>
    <w:rsid w:val="0087731A"/>
    <w:rsid w:val="0087747F"/>
    <w:rsid w:val="00880B29"/>
    <w:rsid w:val="00880C0E"/>
    <w:rsid w:val="0088150E"/>
    <w:rsid w:val="00881EEC"/>
    <w:rsid w:val="008824F7"/>
    <w:rsid w:val="00884D81"/>
    <w:rsid w:val="00885F88"/>
    <w:rsid w:val="008864EA"/>
    <w:rsid w:val="008871D6"/>
    <w:rsid w:val="00890014"/>
    <w:rsid w:val="008913F0"/>
    <w:rsid w:val="00892B51"/>
    <w:rsid w:val="00893523"/>
    <w:rsid w:val="00893AED"/>
    <w:rsid w:val="00893CE3"/>
    <w:rsid w:val="008967C9"/>
    <w:rsid w:val="00896D11"/>
    <w:rsid w:val="00897AD4"/>
    <w:rsid w:val="008A148A"/>
    <w:rsid w:val="008A1F5A"/>
    <w:rsid w:val="008A372F"/>
    <w:rsid w:val="008A5D64"/>
    <w:rsid w:val="008A7410"/>
    <w:rsid w:val="008A7A40"/>
    <w:rsid w:val="008A7F97"/>
    <w:rsid w:val="008B2AB3"/>
    <w:rsid w:val="008B3DC5"/>
    <w:rsid w:val="008B4DD2"/>
    <w:rsid w:val="008B7AC6"/>
    <w:rsid w:val="008B7D66"/>
    <w:rsid w:val="008B7E70"/>
    <w:rsid w:val="008C2C35"/>
    <w:rsid w:val="008C30EE"/>
    <w:rsid w:val="008C3580"/>
    <w:rsid w:val="008C4380"/>
    <w:rsid w:val="008C528E"/>
    <w:rsid w:val="008C627D"/>
    <w:rsid w:val="008D1781"/>
    <w:rsid w:val="008D1C2F"/>
    <w:rsid w:val="008D2208"/>
    <w:rsid w:val="008D4217"/>
    <w:rsid w:val="008D4363"/>
    <w:rsid w:val="008D7C9A"/>
    <w:rsid w:val="008E10FA"/>
    <w:rsid w:val="008E2ECA"/>
    <w:rsid w:val="008E3B64"/>
    <w:rsid w:val="008E566B"/>
    <w:rsid w:val="008E6EC0"/>
    <w:rsid w:val="008F1149"/>
    <w:rsid w:val="008F360A"/>
    <w:rsid w:val="008F405F"/>
    <w:rsid w:val="008F5958"/>
    <w:rsid w:val="008F7CBE"/>
    <w:rsid w:val="00900AF3"/>
    <w:rsid w:val="00900EDD"/>
    <w:rsid w:val="00904545"/>
    <w:rsid w:val="009046F4"/>
    <w:rsid w:val="0091158B"/>
    <w:rsid w:val="00911B1B"/>
    <w:rsid w:val="009134C1"/>
    <w:rsid w:val="00913C3B"/>
    <w:rsid w:val="00913DAE"/>
    <w:rsid w:val="009149AE"/>
    <w:rsid w:val="00917C6B"/>
    <w:rsid w:val="00917F48"/>
    <w:rsid w:val="00920CF6"/>
    <w:rsid w:val="00921FFD"/>
    <w:rsid w:val="0092227A"/>
    <w:rsid w:val="00922D5F"/>
    <w:rsid w:val="00923744"/>
    <w:rsid w:val="009242CB"/>
    <w:rsid w:val="009248AD"/>
    <w:rsid w:val="0092717C"/>
    <w:rsid w:val="009310AC"/>
    <w:rsid w:val="00931814"/>
    <w:rsid w:val="0093185A"/>
    <w:rsid w:val="00932B42"/>
    <w:rsid w:val="0093405C"/>
    <w:rsid w:val="00935663"/>
    <w:rsid w:val="009362AC"/>
    <w:rsid w:val="009364AE"/>
    <w:rsid w:val="009368BB"/>
    <w:rsid w:val="00937800"/>
    <w:rsid w:val="009409C5"/>
    <w:rsid w:val="009419F5"/>
    <w:rsid w:val="00942399"/>
    <w:rsid w:val="00942648"/>
    <w:rsid w:val="0094313D"/>
    <w:rsid w:val="00944E22"/>
    <w:rsid w:val="00946B66"/>
    <w:rsid w:val="0094729F"/>
    <w:rsid w:val="009515AF"/>
    <w:rsid w:val="00954DEB"/>
    <w:rsid w:val="0095504B"/>
    <w:rsid w:val="00955BC7"/>
    <w:rsid w:val="00955C2C"/>
    <w:rsid w:val="00957293"/>
    <w:rsid w:val="00957BF6"/>
    <w:rsid w:val="00964261"/>
    <w:rsid w:val="0096438B"/>
    <w:rsid w:val="009650E2"/>
    <w:rsid w:val="0096515F"/>
    <w:rsid w:val="009675ED"/>
    <w:rsid w:val="00973C6C"/>
    <w:rsid w:val="00974416"/>
    <w:rsid w:val="00976657"/>
    <w:rsid w:val="009768B8"/>
    <w:rsid w:val="00976CB3"/>
    <w:rsid w:val="009774DA"/>
    <w:rsid w:val="0098290A"/>
    <w:rsid w:val="0098551D"/>
    <w:rsid w:val="00985669"/>
    <w:rsid w:val="009907CF"/>
    <w:rsid w:val="00990AD4"/>
    <w:rsid w:val="00990B2D"/>
    <w:rsid w:val="00991C85"/>
    <w:rsid w:val="00994186"/>
    <w:rsid w:val="009A1461"/>
    <w:rsid w:val="009A1FA9"/>
    <w:rsid w:val="009A5131"/>
    <w:rsid w:val="009A693A"/>
    <w:rsid w:val="009A6FD8"/>
    <w:rsid w:val="009A75BD"/>
    <w:rsid w:val="009A7881"/>
    <w:rsid w:val="009A7C48"/>
    <w:rsid w:val="009B2271"/>
    <w:rsid w:val="009B27CC"/>
    <w:rsid w:val="009B35B2"/>
    <w:rsid w:val="009B6E96"/>
    <w:rsid w:val="009B7CC9"/>
    <w:rsid w:val="009B7E9A"/>
    <w:rsid w:val="009C02A4"/>
    <w:rsid w:val="009C0715"/>
    <w:rsid w:val="009C245D"/>
    <w:rsid w:val="009C3091"/>
    <w:rsid w:val="009C54BF"/>
    <w:rsid w:val="009C5664"/>
    <w:rsid w:val="009C7430"/>
    <w:rsid w:val="009D0E1B"/>
    <w:rsid w:val="009D165C"/>
    <w:rsid w:val="009D2E9B"/>
    <w:rsid w:val="009D4623"/>
    <w:rsid w:val="009D769A"/>
    <w:rsid w:val="009D771B"/>
    <w:rsid w:val="009D784B"/>
    <w:rsid w:val="009E0D25"/>
    <w:rsid w:val="009E7B62"/>
    <w:rsid w:val="009F1F8F"/>
    <w:rsid w:val="009F22C3"/>
    <w:rsid w:val="00A00E34"/>
    <w:rsid w:val="00A04509"/>
    <w:rsid w:val="00A04B98"/>
    <w:rsid w:val="00A05140"/>
    <w:rsid w:val="00A05AC8"/>
    <w:rsid w:val="00A0646B"/>
    <w:rsid w:val="00A1051F"/>
    <w:rsid w:val="00A10DC3"/>
    <w:rsid w:val="00A11355"/>
    <w:rsid w:val="00A1158E"/>
    <w:rsid w:val="00A11C05"/>
    <w:rsid w:val="00A123D9"/>
    <w:rsid w:val="00A15271"/>
    <w:rsid w:val="00A15B80"/>
    <w:rsid w:val="00A15D97"/>
    <w:rsid w:val="00A15FE9"/>
    <w:rsid w:val="00A20723"/>
    <w:rsid w:val="00A20F17"/>
    <w:rsid w:val="00A248DF"/>
    <w:rsid w:val="00A261A8"/>
    <w:rsid w:val="00A27F0F"/>
    <w:rsid w:val="00A30572"/>
    <w:rsid w:val="00A3183C"/>
    <w:rsid w:val="00A33512"/>
    <w:rsid w:val="00A35E77"/>
    <w:rsid w:val="00A36888"/>
    <w:rsid w:val="00A3721D"/>
    <w:rsid w:val="00A3786E"/>
    <w:rsid w:val="00A37DE6"/>
    <w:rsid w:val="00A403A8"/>
    <w:rsid w:val="00A469BB"/>
    <w:rsid w:val="00A46AE1"/>
    <w:rsid w:val="00A47893"/>
    <w:rsid w:val="00A479C7"/>
    <w:rsid w:val="00A51D59"/>
    <w:rsid w:val="00A5336C"/>
    <w:rsid w:val="00A53A0C"/>
    <w:rsid w:val="00A5517E"/>
    <w:rsid w:val="00A572A5"/>
    <w:rsid w:val="00A60948"/>
    <w:rsid w:val="00A61C6B"/>
    <w:rsid w:val="00A6244D"/>
    <w:rsid w:val="00A6268E"/>
    <w:rsid w:val="00A63012"/>
    <w:rsid w:val="00A644A7"/>
    <w:rsid w:val="00A66E05"/>
    <w:rsid w:val="00A675A2"/>
    <w:rsid w:val="00A70767"/>
    <w:rsid w:val="00A73086"/>
    <w:rsid w:val="00A738E0"/>
    <w:rsid w:val="00A77493"/>
    <w:rsid w:val="00A80325"/>
    <w:rsid w:val="00A8055C"/>
    <w:rsid w:val="00A80B62"/>
    <w:rsid w:val="00A85BD1"/>
    <w:rsid w:val="00A86282"/>
    <w:rsid w:val="00A86452"/>
    <w:rsid w:val="00A87977"/>
    <w:rsid w:val="00A92A9D"/>
    <w:rsid w:val="00A93885"/>
    <w:rsid w:val="00A951A0"/>
    <w:rsid w:val="00A965A5"/>
    <w:rsid w:val="00A96F5D"/>
    <w:rsid w:val="00A97B08"/>
    <w:rsid w:val="00A97E79"/>
    <w:rsid w:val="00AA0214"/>
    <w:rsid w:val="00AA0AFE"/>
    <w:rsid w:val="00AA3E19"/>
    <w:rsid w:val="00AA5B55"/>
    <w:rsid w:val="00AA7653"/>
    <w:rsid w:val="00AA7ADE"/>
    <w:rsid w:val="00AB0744"/>
    <w:rsid w:val="00AB3ADF"/>
    <w:rsid w:val="00AB417B"/>
    <w:rsid w:val="00AB57F7"/>
    <w:rsid w:val="00AC12A2"/>
    <w:rsid w:val="00AC3CCF"/>
    <w:rsid w:val="00AC3F8F"/>
    <w:rsid w:val="00AC43B4"/>
    <w:rsid w:val="00AC5A1C"/>
    <w:rsid w:val="00AC6244"/>
    <w:rsid w:val="00AD054B"/>
    <w:rsid w:val="00AD09FD"/>
    <w:rsid w:val="00AD246F"/>
    <w:rsid w:val="00AD515F"/>
    <w:rsid w:val="00AD5D6C"/>
    <w:rsid w:val="00AD7511"/>
    <w:rsid w:val="00AD7C3E"/>
    <w:rsid w:val="00AD7F89"/>
    <w:rsid w:val="00AE01D4"/>
    <w:rsid w:val="00AE1F17"/>
    <w:rsid w:val="00AE21DF"/>
    <w:rsid w:val="00AE3556"/>
    <w:rsid w:val="00AE38EE"/>
    <w:rsid w:val="00AE643A"/>
    <w:rsid w:val="00AE72DE"/>
    <w:rsid w:val="00AE7492"/>
    <w:rsid w:val="00AE7FEB"/>
    <w:rsid w:val="00AF284D"/>
    <w:rsid w:val="00AF43A0"/>
    <w:rsid w:val="00AF6944"/>
    <w:rsid w:val="00AF7733"/>
    <w:rsid w:val="00B0135B"/>
    <w:rsid w:val="00B02CD1"/>
    <w:rsid w:val="00B04863"/>
    <w:rsid w:val="00B079A1"/>
    <w:rsid w:val="00B10013"/>
    <w:rsid w:val="00B109F1"/>
    <w:rsid w:val="00B10A27"/>
    <w:rsid w:val="00B1231C"/>
    <w:rsid w:val="00B13A8F"/>
    <w:rsid w:val="00B13BA8"/>
    <w:rsid w:val="00B150A2"/>
    <w:rsid w:val="00B15117"/>
    <w:rsid w:val="00B164B6"/>
    <w:rsid w:val="00B17646"/>
    <w:rsid w:val="00B2170B"/>
    <w:rsid w:val="00B237EF"/>
    <w:rsid w:val="00B2423B"/>
    <w:rsid w:val="00B26154"/>
    <w:rsid w:val="00B27536"/>
    <w:rsid w:val="00B27649"/>
    <w:rsid w:val="00B276F5"/>
    <w:rsid w:val="00B27740"/>
    <w:rsid w:val="00B27CA5"/>
    <w:rsid w:val="00B32931"/>
    <w:rsid w:val="00B33D1C"/>
    <w:rsid w:val="00B34267"/>
    <w:rsid w:val="00B34292"/>
    <w:rsid w:val="00B347FF"/>
    <w:rsid w:val="00B3626E"/>
    <w:rsid w:val="00B370E3"/>
    <w:rsid w:val="00B37976"/>
    <w:rsid w:val="00B40350"/>
    <w:rsid w:val="00B4094D"/>
    <w:rsid w:val="00B40ADD"/>
    <w:rsid w:val="00B42AD6"/>
    <w:rsid w:val="00B47EF3"/>
    <w:rsid w:val="00B500A6"/>
    <w:rsid w:val="00B501E1"/>
    <w:rsid w:val="00B50395"/>
    <w:rsid w:val="00B518B2"/>
    <w:rsid w:val="00B520D7"/>
    <w:rsid w:val="00B52D33"/>
    <w:rsid w:val="00B542CB"/>
    <w:rsid w:val="00B548CA"/>
    <w:rsid w:val="00B57D45"/>
    <w:rsid w:val="00B60A95"/>
    <w:rsid w:val="00B61427"/>
    <w:rsid w:val="00B62FAA"/>
    <w:rsid w:val="00B64F0C"/>
    <w:rsid w:val="00B70C85"/>
    <w:rsid w:val="00B71E37"/>
    <w:rsid w:val="00B728E2"/>
    <w:rsid w:val="00B73803"/>
    <w:rsid w:val="00B75093"/>
    <w:rsid w:val="00B75AF9"/>
    <w:rsid w:val="00B75BF1"/>
    <w:rsid w:val="00B76AFC"/>
    <w:rsid w:val="00B803FC"/>
    <w:rsid w:val="00B830CE"/>
    <w:rsid w:val="00B83174"/>
    <w:rsid w:val="00B83462"/>
    <w:rsid w:val="00B83FE7"/>
    <w:rsid w:val="00B84198"/>
    <w:rsid w:val="00B860F7"/>
    <w:rsid w:val="00B8626F"/>
    <w:rsid w:val="00B86D13"/>
    <w:rsid w:val="00B8722A"/>
    <w:rsid w:val="00B910EB"/>
    <w:rsid w:val="00B923BC"/>
    <w:rsid w:val="00B92764"/>
    <w:rsid w:val="00B94BD8"/>
    <w:rsid w:val="00B94EAE"/>
    <w:rsid w:val="00BA031F"/>
    <w:rsid w:val="00BA0798"/>
    <w:rsid w:val="00BA0DD4"/>
    <w:rsid w:val="00BA154F"/>
    <w:rsid w:val="00BA1A9D"/>
    <w:rsid w:val="00BA224F"/>
    <w:rsid w:val="00BA2E79"/>
    <w:rsid w:val="00BA31F0"/>
    <w:rsid w:val="00BA3AB9"/>
    <w:rsid w:val="00BA4040"/>
    <w:rsid w:val="00BA4FB1"/>
    <w:rsid w:val="00BA5729"/>
    <w:rsid w:val="00BA64CB"/>
    <w:rsid w:val="00BB0A68"/>
    <w:rsid w:val="00BB22C2"/>
    <w:rsid w:val="00BB335F"/>
    <w:rsid w:val="00BB5C18"/>
    <w:rsid w:val="00BB5E23"/>
    <w:rsid w:val="00BB5F06"/>
    <w:rsid w:val="00BC0F1D"/>
    <w:rsid w:val="00BC130B"/>
    <w:rsid w:val="00BC40D3"/>
    <w:rsid w:val="00BC6965"/>
    <w:rsid w:val="00BC6E0D"/>
    <w:rsid w:val="00BC769C"/>
    <w:rsid w:val="00BC7893"/>
    <w:rsid w:val="00BD2EB4"/>
    <w:rsid w:val="00BD33A4"/>
    <w:rsid w:val="00BD4BB7"/>
    <w:rsid w:val="00BD5721"/>
    <w:rsid w:val="00BD6C48"/>
    <w:rsid w:val="00BE46E9"/>
    <w:rsid w:val="00BE48D0"/>
    <w:rsid w:val="00BF34BC"/>
    <w:rsid w:val="00BF432A"/>
    <w:rsid w:val="00C01C9B"/>
    <w:rsid w:val="00C02E89"/>
    <w:rsid w:val="00C05023"/>
    <w:rsid w:val="00C052D6"/>
    <w:rsid w:val="00C06B2D"/>
    <w:rsid w:val="00C071B2"/>
    <w:rsid w:val="00C075F2"/>
    <w:rsid w:val="00C0765F"/>
    <w:rsid w:val="00C10FE7"/>
    <w:rsid w:val="00C12153"/>
    <w:rsid w:val="00C12475"/>
    <w:rsid w:val="00C13181"/>
    <w:rsid w:val="00C131A2"/>
    <w:rsid w:val="00C140D5"/>
    <w:rsid w:val="00C16DE3"/>
    <w:rsid w:val="00C17365"/>
    <w:rsid w:val="00C21B9D"/>
    <w:rsid w:val="00C228EA"/>
    <w:rsid w:val="00C23349"/>
    <w:rsid w:val="00C24013"/>
    <w:rsid w:val="00C25C0C"/>
    <w:rsid w:val="00C265E6"/>
    <w:rsid w:val="00C27495"/>
    <w:rsid w:val="00C27AB6"/>
    <w:rsid w:val="00C33F66"/>
    <w:rsid w:val="00C35CC1"/>
    <w:rsid w:val="00C35DF4"/>
    <w:rsid w:val="00C366F6"/>
    <w:rsid w:val="00C3680F"/>
    <w:rsid w:val="00C37F51"/>
    <w:rsid w:val="00C401A0"/>
    <w:rsid w:val="00C4021F"/>
    <w:rsid w:val="00C47AE1"/>
    <w:rsid w:val="00C5409C"/>
    <w:rsid w:val="00C548AC"/>
    <w:rsid w:val="00C554D6"/>
    <w:rsid w:val="00C55C5E"/>
    <w:rsid w:val="00C56081"/>
    <w:rsid w:val="00C60C40"/>
    <w:rsid w:val="00C62A67"/>
    <w:rsid w:val="00C658FF"/>
    <w:rsid w:val="00C672BA"/>
    <w:rsid w:val="00C67453"/>
    <w:rsid w:val="00C71D47"/>
    <w:rsid w:val="00C71DDF"/>
    <w:rsid w:val="00C7611F"/>
    <w:rsid w:val="00C81E3E"/>
    <w:rsid w:val="00C85EE4"/>
    <w:rsid w:val="00C875F5"/>
    <w:rsid w:val="00C902F1"/>
    <w:rsid w:val="00C964E0"/>
    <w:rsid w:val="00C97481"/>
    <w:rsid w:val="00CA08C6"/>
    <w:rsid w:val="00CA193A"/>
    <w:rsid w:val="00CA46FC"/>
    <w:rsid w:val="00CA5A99"/>
    <w:rsid w:val="00CA6FA1"/>
    <w:rsid w:val="00CA71F7"/>
    <w:rsid w:val="00CB20C4"/>
    <w:rsid w:val="00CB252D"/>
    <w:rsid w:val="00CB5375"/>
    <w:rsid w:val="00CB5580"/>
    <w:rsid w:val="00CB7A27"/>
    <w:rsid w:val="00CC0E6C"/>
    <w:rsid w:val="00CC3F90"/>
    <w:rsid w:val="00CC4682"/>
    <w:rsid w:val="00CC6337"/>
    <w:rsid w:val="00CC7336"/>
    <w:rsid w:val="00CD0361"/>
    <w:rsid w:val="00CD1456"/>
    <w:rsid w:val="00CD2E68"/>
    <w:rsid w:val="00CD39F0"/>
    <w:rsid w:val="00CD44D6"/>
    <w:rsid w:val="00CD600E"/>
    <w:rsid w:val="00CE2C7E"/>
    <w:rsid w:val="00CE45F4"/>
    <w:rsid w:val="00CE7047"/>
    <w:rsid w:val="00CE723C"/>
    <w:rsid w:val="00CE7795"/>
    <w:rsid w:val="00CE7D68"/>
    <w:rsid w:val="00CF0823"/>
    <w:rsid w:val="00CF13A9"/>
    <w:rsid w:val="00CF1BED"/>
    <w:rsid w:val="00CF2DDE"/>
    <w:rsid w:val="00CF6A75"/>
    <w:rsid w:val="00CF751A"/>
    <w:rsid w:val="00D01AEA"/>
    <w:rsid w:val="00D021FF"/>
    <w:rsid w:val="00D02F5D"/>
    <w:rsid w:val="00D0640B"/>
    <w:rsid w:val="00D1126B"/>
    <w:rsid w:val="00D119E0"/>
    <w:rsid w:val="00D124F2"/>
    <w:rsid w:val="00D125FC"/>
    <w:rsid w:val="00D1302E"/>
    <w:rsid w:val="00D17A62"/>
    <w:rsid w:val="00D23F9A"/>
    <w:rsid w:val="00D24D6C"/>
    <w:rsid w:val="00D25B13"/>
    <w:rsid w:val="00D26D9F"/>
    <w:rsid w:val="00D344A1"/>
    <w:rsid w:val="00D34655"/>
    <w:rsid w:val="00D3503F"/>
    <w:rsid w:val="00D3507A"/>
    <w:rsid w:val="00D37012"/>
    <w:rsid w:val="00D413EB"/>
    <w:rsid w:val="00D41A6E"/>
    <w:rsid w:val="00D422D6"/>
    <w:rsid w:val="00D44168"/>
    <w:rsid w:val="00D44764"/>
    <w:rsid w:val="00D44C67"/>
    <w:rsid w:val="00D45F6C"/>
    <w:rsid w:val="00D47EAE"/>
    <w:rsid w:val="00D50A77"/>
    <w:rsid w:val="00D5264E"/>
    <w:rsid w:val="00D52ACF"/>
    <w:rsid w:val="00D53CFA"/>
    <w:rsid w:val="00D5458C"/>
    <w:rsid w:val="00D5579E"/>
    <w:rsid w:val="00D60B6F"/>
    <w:rsid w:val="00D646DA"/>
    <w:rsid w:val="00D65E47"/>
    <w:rsid w:val="00D67E6F"/>
    <w:rsid w:val="00D705C8"/>
    <w:rsid w:val="00D72FDC"/>
    <w:rsid w:val="00D756C2"/>
    <w:rsid w:val="00D75C2F"/>
    <w:rsid w:val="00D76C90"/>
    <w:rsid w:val="00D777EB"/>
    <w:rsid w:val="00D8073B"/>
    <w:rsid w:val="00D8173A"/>
    <w:rsid w:val="00D819AD"/>
    <w:rsid w:val="00D81F37"/>
    <w:rsid w:val="00D85C51"/>
    <w:rsid w:val="00D90F74"/>
    <w:rsid w:val="00D92A6C"/>
    <w:rsid w:val="00D94F2E"/>
    <w:rsid w:val="00D9562A"/>
    <w:rsid w:val="00DA05DE"/>
    <w:rsid w:val="00DA0A8C"/>
    <w:rsid w:val="00DA37BD"/>
    <w:rsid w:val="00DA38D6"/>
    <w:rsid w:val="00DA5702"/>
    <w:rsid w:val="00DA5C53"/>
    <w:rsid w:val="00DA6D33"/>
    <w:rsid w:val="00DB26C4"/>
    <w:rsid w:val="00DB3FE0"/>
    <w:rsid w:val="00DB4CF8"/>
    <w:rsid w:val="00DB5673"/>
    <w:rsid w:val="00DB70C8"/>
    <w:rsid w:val="00DC06D9"/>
    <w:rsid w:val="00DC0E89"/>
    <w:rsid w:val="00DC1455"/>
    <w:rsid w:val="00DC1CAA"/>
    <w:rsid w:val="00DC3320"/>
    <w:rsid w:val="00DC3A79"/>
    <w:rsid w:val="00DC3AEE"/>
    <w:rsid w:val="00DC5D44"/>
    <w:rsid w:val="00DC68D9"/>
    <w:rsid w:val="00DC7202"/>
    <w:rsid w:val="00DC765B"/>
    <w:rsid w:val="00DD0E6E"/>
    <w:rsid w:val="00DD22F7"/>
    <w:rsid w:val="00DD2463"/>
    <w:rsid w:val="00DD65A6"/>
    <w:rsid w:val="00DD6A17"/>
    <w:rsid w:val="00DD6FB3"/>
    <w:rsid w:val="00DD7AE9"/>
    <w:rsid w:val="00DE05CC"/>
    <w:rsid w:val="00DE378E"/>
    <w:rsid w:val="00DE40D2"/>
    <w:rsid w:val="00DE4CEB"/>
    <w:rsid w:val="00DE4D23"/>
    <w:rsid w:val="00DE6D2B"/>
    <w:rsid w:val="00DF0F20"/>
    <w:rsid w:val="00DF121D"/>
    <w:rsid w:val="00DF755A"/>
    <w:rsid w:val="00E011BF"/>
    <w:rsid w:val="00E01BC7"/>
    <w:rsid w:val="00E03CFF"/>
    <w:rsid w:val="00E03EC8"/>
    <w:rsid w:val="00E04586"/>
    <w:rsid w:val="00E0477D"/>
    <w:rsid w:val="00E10979"/>
    <w:rsid w:val="00E14BE9"/>
    <w:rsid w:val="00E152D6"/>
    <w:rsid w:val="00E172DB"/>
    <w:rsid w:val="00E17502"/>
    <w:rsid w:val="00E20FE4"/>
    <w:rsid w:val="00E21EBF"/>
    <w:rsid w:val="00E23B75"/>
    <w:rsid w:val="00E23BDE"/>
    <w:rsid w:val="00E2456F"/>
    <w:rsid w:val="00E27AE2"/>
    <w:rsid w:val="00E27CE0"/>
    <w:rsid w:val="00E3100F"/>
    <w:rsid w:val="00E310B3"/>
    <w:rsid w:val="00E315FC"/>
    <w:rsid w:val="00E319B6"/>
    <w:rsid w:val="00E326AB"/>
    <w:rsid w:val="00E34282"/>
    <w:rsid w:val="00E3463E"/>
    <w:rsid w:val="00E35A18"/>
    <w:rsid w:val="00E367AF"/>
    <w:rsid w:val="00E372BB"/>
    <w:rsid w:val="00E40A36"/>
    <w:rsid w:val="00E41029"/>
    <w:rsid w:val="00E42104"/>
    <w:rsid w:val="00E424DA"/>
    <w:rsid w:val="00E42531"/>
    <w:rsid w:val="00E42804"/>
    <w:rsid w:val="00E42E75"/>
    <w:rsid w:val="00E4606C"/>
    <w:rsid w:val="00E472E3"/>
    <w:rsid w:val="00E47A2B"/>
    <w:rsid w:val="00E506F5"/>
    <w:rsid w:val="00E5094A"/>
    <w:rsid w:val="00E514A6"/>
    <w:rsid w:val="00E52578"/>
    <w:rsid w:val="00E5402F"/>
    <w:rsid w:val="00E555E6"/>
    <w:rsid w:val="00E5618C"/>
    <w:rsid w:val="00E56691"/>
    <w:rsid w:val="00E5732B"/>
    <w:rsid w:val="00E62C13"/>
    <w:rsid w:val="00E65F0F"/>
    <w:rsid w:val="00E67828"/>
    <w:rsid w:val="00E701A2"/>
    <w:rsid w:val="00E77B15"/>
    <w:rsid w:val="00E82D82"/>
    <w:rsid w:val="00E82E89"/>
    <w:rsid w:val="00E84342"/>
    <w:rsid w:val="00E85154"/>
    <w:rsid w:val="00E853EB"/>
    <w:rsid w:val="00E9268E"/>
    <w:rsid w:val="00E93230"/>
    <w:rsid w:val="00E934B0"/>
    <w:rsid w:val="00E94135"/>
    <w:rsid w:val="00E943BB"/>
    <w:rsid w:val="00E96B83"/>
    <w:rsid w:val="00E976BF"/>
    <w:rsid w:val="00EA02EA"/>
    <w:rsid w:val="00EA356D"/>
    <w:rsid w:val="00EA3AD8"/>
    <w:rsid w:val="00EB0413"/>
    <w:rsid w:val="00EB353A"/>
    <w:rsid w:val="00EB4045"/>
    <w:rsid w:val="00EB43D2"/>
    <w:rsid w:val="00EC4043"/>
    <w:rsid w:val="00EC4241"/>
    <w:rsid w:val="00EC4BF7"/>
    <w:rsid w:val="00EC7D8C"/>
    <w:rsid w:val="00ED1B94"/>
    <w:rsid w:val="00ED3C0F"/>
    <w:rsid w:val="00ED59FA"/>
    <w:rsid w:val="00ED7017"/>
    <w:rsid w:val="00ED7CEE"/>
    <w:rsid w:val="00EE4E6E"/>
    <w:rsid w:val="00EE7821"/>
    <w:rsid w:val="00EE7E96"/>
    <w:rsid w:val="00EF038E"/>
    <w:rsid w:val="00EF1551"/>
    <w:rsid w:val="00EF1CEC"/>
    <w:rsid w:val="00EF34E8"/>
    <w:rsid w:val="00EF3E87"/>
    <w:rsid w:val="00EF409C"/>
    <w:rsid w:val="00EF4C14"/>
    <w:rsid w:val="00EF4FE2"/>
    <w:rsid w:val="00EF51FB"/>
    <w:rsid w:val="00EF5669"/>
    <w:rsid w:val="00EF7F19"/>
    <w:rsid w:val="00F013E9"/>
    <w:rsid w:val="00F0216D"/>
    <w:rsid w:val="00F0292A"/>
    <w:rsid w:val="00F04B7B"/>
    <w:rsid w:val="00F05448"/>
    <w:rsid w:val="00F071A9"/>
    <w:rsid w:val="00F0733D"/>
    <w:rsid w:val="00F10D3A"/>
    <w:rsid w:val="00F10DAB"/>
    <w:rsid w:val="00F10EB4"/>
    <w:rsid w:val="00F1191B"/>
    <w:rsid w:val="00F124DD"/>
    <w:rsid w:val="00F15710"/>
    <w:rsid w:val="00F20CEA"/>
    <w:rsid w:val="00F216FD"/>
    <w:rsid w:val="00F218A8"/>
    <w:rsid w:val="00F24ECB"/>
    <w:rsid w:val="00F26761"/>
    <w:rsid w:val="00F26C3D"/>
    <w:rsid w:val="00F26D54"/>
    <w:rsid w:val="00F312F0"/>
    <w:rsid w:val="00F319E1"/>
    <w:rsid w:val="00F35710"/>
    <w:rsid w:val="00F36283"/>
    <w:rsid w:val="00F365CA"/>
    <w:rsid w:val="00F371A1"/>
    <w:rsid w:val="00F419EB"/>
    <w:rsid w:val="00F444FC"/>
    <w:rsid w:val="00F468C2"/>
    <w:rsid w:val="00F4729E"/>
    <w:rsid w:val="00F47B27"/>
    <w:rsid w:val="00F47BF7"/>
    <w:rsid w:val="00F52890"/>
    <w:rsid w:val="00F52B01"/>
    <w:rsid w:val="00F52CDC"/>
    <w:rsid w:val="00F620C1"/>
    <w:rsid w:val="00F626BE"/>
    <w:rsid w:val="00F63311"/>
    <w:rsid w:val="00F65517"/>
    <w:rsid w:val="00F6671F"/>
    <w:rsid w:val="00F7052E"/>
    <w:rsid w:val="00F7187F"/>
    <w:rsid w:val="00F734DE"/>
    <w:rsid w:val="00F73740"/>
    <w:rsid w:val="00F73AB0"/>
    <w:rsid w:val="00F73D36"/>
    <w:rsid w:val="00F73E16"/>
    <w:rsid w:val="00F74135"/>
    <w:rsid w:val="00F74247"/>
    <w:rsid w:val="00F74F45"/>
    <w:rsid w:val="00F761A4"/>
    <w:rsid w:val="00F77B83"/>
    <w:rsid w:val="00F82AC3"/>
    <w:rsid w:val="00F830CF"/>
    <w:rsid w:val="00F86498"/>
    <w:rsid w:val="00F86B77"/>
    <w:rsid w:val="00F900D1"/>
    <w:rsid w:val="00F90B09"/>
    <w:rsid w:val="00F91EF6"/>
    <w:rsid w:val="00F9213F"/>
    <w:rsid w:val="00F93491"/>
    <w:rsid w:val="00F95352"/>
    <w:rsid w:val="00F95794"/>
    <w:rsid w:val="00F958A0"/>
    <w:rsid w:val="00F9774A"/>
    <w:rsid w:val="00FA1C02"/>
    <w:rsid w:val="00FA2E5B"/>
    <w:rsid w:val="00FA360E"/>
    <w:rsid w:val="00FA4DEF"/>
    <w:rsid w:val="00FA50DA"/>
    <w:rsid w:val="00FA553D"/>
    <w:rsid w:val="00FA6250"/>
    <w:rsid w:val="00FA6C25"/>
    <w:rsid w:val="00FA6EFF"/>
    <w:rsid w:val="00FA7A45"/>
    <w:rsid w:val="00FB099F"/>
    <w:rsid w:val="00FB18AC"/>
    <w:rsid w:val="00FB4C49"/>
    <w:rsid w:val="00FB50A8"/>
    <w:rsid w:val="00FB5694"/>
    <w:rsid w:val="00FB56D3"/>
    <w:rsid w:val="00FB5D2A"/>
    <w:rsid w:val="00FC0AA9"/>
    <w:rsid w:val="00FC1F31"/>
    <w:rsid w:val="00FC4BBF"/>
    <w:rsid w:val="00FC537F"/>
    <w:rsid w:val="00FC6001"/>
    <w:rsid w:val="00FC6AE9"/>
    <w:rsid w:val="00FC6D3A"/>
    <w:rsid w:val="00FD07CA"/>
    <w:rsid w:val="00FD0AC2"/>
    <w:rsid w:val="00FD5A11"/>
    <w:rsid w:val="00FD680F"/>
    <w:rsid w:val="00FD6E08"/>
    <w:rsid w:val="00FE1722"/>
    <w:rsid w:val="00FE5C91"/>
    <w:rsid w:val="00FE77CF"/>
    <w:rsid w:val="00FF0BE5"/>
    <w:rsid w:val="00FF1C22"/>
    <w:rsid w:val="00FF2CD1"/>
    <w:rsid w:val="00FF4686"/>
    <w:rsid w:val="00FF5E9C"/>
    <w:rsid w:val="00FF6D86"/>
    <w:rsid w:val="010351AA"/>
    <w:rsid w:val="01527EDF"/>
    <w:rsid w:val="01695955"/>
    <w:rsid w:val="016B44FB"/>
    <w:rsid w:val="019B53E2"/>
    <w:rsid w:val="01B21950"/>
    <w:rsid w:val="01C87B19"/>
    <w:rsid w:val="020B07BA"/>
    <w:rsid w:val="0224362A"/>
    <w:rsid w:val="02380E83"/>
    <w:rsid w:val="024A11B4"/>
    <w:rsid w:val="024B291E"/>
    <w:rsid w:val="028E3199"/>
    <w:rsid w:val="02B02BC3"/>
    <w:rsid w:val="02C96284"/>
    <w:rsid w:val="02CE07BB"/>
    <w:rsid w:val="02F54FC6"/>
    <w:rsid w:val="030F42DA"/>
    <w:rsid w:val="03661A20"/>
    <w:rsid w:val="037C7496"/>
    <w:rsid w:val="03870314"/>
    <w:rsid w:val="03A90354"/>
    <w:rsid w:val="03BA2A90"/>
    <w:rsid w:val="03BA2D0A"/>
    <w:rsid w:val="03C868DE"/>
    <w:rsid w:val="04133956"/>
    <w:rsid w:val="04223B99"/>
    <w:rsid w:val="042913CB"/>
    <w:rsid w:val="04754611"/>
    <w:rsid w:val="048B5BE2"/>
    <w:rsid w:val="049C492A"/>
    <w:rsid w:val="04A647CA"/>
    <w:rsid w:val="04AE18D1"/>
    <w:rsid w:val="04BC5D9C"/>
    <w:rsid w:val="04CD21CE"/>
    <w:rsid w:val="04E13A54"/>
    <w:rsid w:val="04E23328"/>
    <w:rsid w:val="04EB3A05"/>
    <w:rsid w:val="04EE7F1F"/>
    <w:rsid w:val="050B7F95"/>
    <w:rsid w:val="05123C0E"/>
    <w:rsid w:val="051E0804"/>
    <w:rsid w:val="053B7608"/>
    <w:rsid w:val="053E5AFA"/>
    <w:rsid w:val="055F2BCB"/>
    <w:rsid w:val="05915ED2"/>
    <w:rsid w:val="05930833"/>
    <w:rsid w:val="059E7B97"/>
    <w:rsid w:val="05DB4947"/>
    <w:rsid w:val="05E03D0C"/>
    <w:rsid w:val="05E828F6"/>
    <w:rsid w:val="05EA06E6"/>
    <w:rsid w:val="05F6352F"/>
    <w:rsid w:val="060A3C5B"/>
    <w:rsid w:val="067032E2"/>
    <w:rsid w:val="06712BB6"/>
    <w:rsid w:val="06846D8D"/>
    <w:rsid w:val="06941652"/>
    <w:rsid w:val="069C2463"/>
    <w:rsid w:val="06A87133"/>
    <w:rsid w:val="06E25862"/>
    <w:rsid w:val="06E5639B"/>
    <w:rsid w:val="06E6181A"/>
    <w:rsid w:val="0708176C"/>
    <w:rsid w:val="07091040"/>
    <w:rsid w:val="07922589"/>
    <w:rsid w:val="07A10C99"/>
    <w:rsid w:val="07AD5E6F"/>
    <w:rsid w:val="07C17B6D"/>
    <w:rsid w:val="08142E70"/>
    <w:rsid w:val="083245C7"/>
    <w:rsid w:val="08334270"/>
    <w:rsid w:val="0858402D"/>
    <w:rsid w:val="086230FE"/>
    <w:rsid w:val="086724C2"/>
    <w:rsid w:val="087B39E3"/>
    <w:rsid w:val="087E1D41"/>
    <w:rsid w:val="088764C6"/>
    <w:rsid w:val="08966904"/>
    <w:rsid w:val="089E2CF6"/>
    <w:rsid w:val="08B224D5"/>
    <w:rsid w:val="08C35398"/>
    <w:rsid w:val="08EC6A72"/>
    <w:rsid w:val="09216B15"/>
    <w:rsid w:val="09615163"/>
    <w:rsid w:val="097053A7"/>
    <w:rsid w:val="09920119"/>
    <w:rsid w:val="09CF6571"/>
    <w:rsid w:val="09D973F0"/>
    <w:rsid w:val="09E162A4"/>
    <w:rsid w:val="0A0B50CF"/>
    <w:rsid w:val="0A362524"/>
    <w:rsid w:val="0A3E54A5"/>
    <w:rsid w:val="0A54630D"/>
    <w:rsid w:val="0A5F5B47"/>
    <w:rsid w:val="0A724B46"/>
    <w:rsid w:val="0A7315F2"/>
    <w:rsid w:val="0A7E1D45"/>
    <w:rsid w:val="0A805ABD"/>
    <w:rsid w:val="0A9D041D"/>
    <w:rsid w:val="0AE00324"/>
    <w:rsid w:val="0B0A6AEB"/>
    <w:rsid w:val="0B112BB9"/>
    <w:rsid w:val="0B114967"/>
    <w:rsid w:val="0B1E6DC8"/>
    <w:rsid w:val="0B521208"/>
    <w:rsid w:val="0B5C7480"/>
    <w:rsid w:val="0B674587"/>
    <w:rsid w:val="0B865355"/>
    <w:rsid w:val="0BA358F8"/>
    <w:rsid w:val="0BE36304"/>
    <w:rsid w:val="0BE5207C"/>
    <w:rsid w:val="0BE61950"/>
    <w:rsid w:val="0C050216"/>
    <w:rsid w:val="0C5C523A"/>
    <w:rsid w:val="0CB437FC"/>
    <w:rsid w:val="0CB97065"/>
    <w:rsid w:val="0D116EA1"/>
    <w:rsid w:val="0D15073F"/>
    <w:rsid w:val="0D1F18E8"/>
    <w:rsid w:val="0D3112F1"/>
    <w:rsid w:val="0D7353DE"/>
    <w:rsid w:val="0DA44D17"/>
    <w:rsid w:val="0DB25F8E"/>
    <w:rsid w:val="0DC65EDD"/>
    <w:rsid w:val="0DD06175"/>
    <w:rsid w:val="0DDE4FD5"/>
    <w:rsid w:val="0E010CC3"/>
    <w:rsid w:val="0E213113"/>
    <w:rsid w:val="0E2F5E72"/>
    <w:rsid w:val="0E6F0323"/>
    <w:rsid w:val="0E941B37"/>
    <w:rsid w:val="0E9953A0"/>
    <w:rsid w:val="0EB13A35"/>
    <w:rsid w:val="0ECD6DF7"/>
    <w:rsid w:val="0EDE67FA"/>
    <w:rsid w:val="0EEA3CB7"/>
    <w:rsid w:val="0EFD5788"/>
    <w:rsid w:val="0F5F2145"/>
    <w:rsid w:val="0F76748F"/>
    <w:rsid w:val="0F7860E0"/>
    <w:rsid w:val="0F7C2CF7"/>
    <w:rsid w:val="0F834110"/>
    <w:rsid w:val="0F8760E9"/>
    <w:rsid w:val="0F9067A2"/>
    <w:rsid w:val="0F932A0F"/>
    <w:rsid w:val="0F9D2C6D"/>
    <w:rsid w:val="0FA1203E"/>
    <w:rsid w:val="0FBD0C1A"/>
    <w:rsid w:val="0FCA4656"/>
    <w:rsid w:val="0FCD00EA"/>
    <w:rsid w:val="10152804"/>
    <w:rsid w:val="10283C19"/>
    <w:rsid w:val="106D2640"/>
    <w:rsid w:val="10857989"/>
    <w:rsid w:val="10B244F7"/>
    <w:rsid w:val="10BB33AB"/>
    <w:rsid w:val="11020F53"/>
    <w:rsid w:val="11164A85"/>
    <w:rsid w:val="113413B0"/>
    <w:rsid w:val="118A0FD0"/>
    <w:rsid w:val="119C1C4F"/>
    <w:rsid w:val="119E6584"/>
    <w:rsid w:val="11B81FE1"/>
    <w:rsid w:val="11C92809"/>
    <w:rsid w:val="11CA0FA3"/>
    <w:rsid w:val="11EB4164"/>
    <w:rsid w:val="11F57AD8"/>
    <w:rsid w:val="12242110"/>
    <w:rsid w:val="123258EF"/>
    <w:rsid w:val="125A3098"/>
    <w:rsid w:val="12665599"/>
    <w:rsid w:val="129465AA"/>
    <w:rsid w:val="12B427A8"/>
    <w:rsid w:val="12C329EB"/>
    <w:rsid w:val="12C85F85"/>
    <w:rsid w:val="12CA1FCB"/>
    <w:rsid w:val="130C5FE0"/>
    <w:rsid w:val="131A642D"/>
    <w:rsid w:val="131B45D5"/>
    <w:rsid w:val="13280AA0"/>
    <w:rsid w:val="13367661"/>
    <w:rsid w:val="13392CAD"/>
    <w:rsid w:val="134401BC"/>
    <w:rsid w:val="1369346E"/>
    <w:rsid w:val="13702B73"/>
    <w:rsid w:val="13767A5D"/>
    <w:rsid w:val="139530F9"/>
    <w:rsid w:val="139E0D62"/>
    <w:rsid w:val="13AE5449"/>
    <w:rsid w:val="13CB7DA9"/>
    <w:rsid w:val="13E7095B"/>
    <w:rsid w:val="13F310AE"/>
    <w:rsid w:val="14237BE5"/>
    <w:rsid w:val="14353475"/>
    <w:rsid w:val="144731A8"/>
    <w:rsid w:val="1457788F"/>
    <w:rsid w:val="14CB202B"/>
    <w:rsid w:val="14FB46BE"/>
    <w:rsid w:val="15010371"/>
    <w:rsid w:val="15396F94"/>
    <w:rsid w:val="154047C7"/>
    <w:rsid w:val="158F7F6D"/>
    <w:rsid w:val="159468C1"/>
    <w:rsid w:val="15B0123C"/>
    <w:rsid w:val="15D171CD"/>
    <w:rsid w:val="15D269BC"/>
    <w:rsid w:val="161C2B3E"/>
    <w:rsid w:val="162B2D81"/>
    <w:rsid w:val="16473933"/>
    <w:rsid w:val="16561F1F"/>
    <w:rsid w:val="166565F0"/>
    <w:rsid w:val="166B13D0"/>
    <w:rsid w:val="167202D8"/>
    <w:rsid w:val="16892377"/>
    <w:rsid w:val="16B86437"/>
    <w:rsid w:val="16BC1C2B"/>
    <w:rsid w:val="16CE195E"/>
    <w:rsid w:val="16D57191"/>
    <w:rsid w:val="16E64EFA"/>
    <w:rsid w:val="16F577B6"/>
    <w:rsid w:val="1752433D"/>
    <w:rsid w:val="1757493A"/>
    <w:rsid w:val="179E3A27"/>
    <w:rsid w:val="17D920F9"/>
    <w:rsid w:val="17DD62FD"/>
    <w:rsid w:val="17E94CA2"/>
    <w:rsid w:val="17F453F5"/>
    <w:rsid w:val="1807337A"/>
    <w:rsid w:val="185363CD"/>
    <w:rsid w:val="185F6D12"/>
    <w:rsid w:val="18644328"/>
    <w:rsid w:val="18786039"/>
    <w:rsid w:val="187E26D8"/>
    <w:rsid w:val="18A4506D"/>
    <w:rsid w:val="18AB01A9"/>
    <w:rsid w:val="18D61BF8"/>
    <w:rsid w:val="18D70F9E"/>
    <w:rsid w:val="19055F0E"/>
    <w:rsid w:val="190B50EC"/>
    <w:rsid w:val="191470FF"/>
    <w:rsid w:val="19436634"/>
    <w:rsid w:val="19464E8B"/>
    <w:rsid w:val="19630A84"/>
    <w:rsid w:val="19650358"/>
    <w:rsid w:val="19DE1BE9"/>
    <w:rsid w:val="19E742B7"/>
    <w:rsid w:val="19E94E65"/>
    <w:rsid w:val="19F53DD2"/>
    <w:rsid w:val="1A23310B"/>
    <w:rsid w:val="1A2E4BEE"/>
    <w:rsid w:val="1A3D6E03"/>
    <w:rsid w:val="1A3E1890"/>
    <w:rsid w:val="1A4563DB"/>
    <w:rsid w:val="1AC33331"/>
    <w:rsid w:val="1AC92B69"/>
    <w:rsid w:val="1AD72F6D"/>
    <w:rsid w:val="1AE41750"/>
    <w:rsid w:val="1B09547E"/>
    <w:rsid w:val="1B26620D"/>
    <w:rsid w:val="1B3426D8"/>
    <w:rsid w:val="1B453C11"/>
    <w:rsid w:val="1B5566F5"/>
    <w:rsid w:val="1B697EA8"/>
    <w:rsid w:val="1B70572B"/>
    <w:rsid w:val="1B827E50"/>
    <w:rsid w:val="1BA07D6D"/>
    <w:rsid w:val="1BA535D6"/>
    <w:rsid w:val="1BBC0DCD"/>
    <w:rsid w:val="1BC4018F"/>
    <w:rsid w:val="1BCA303C"/>
    <w:rsid w:val="1C14567B"/>
    <w:rsid w:val="1C23668B"/>
    <w:rsid w:val="1C33298F"/>
    <w:rsid w:val="1C4E5A1B"/>
    <w:rsid w:val="1C7E7CD3"/>
    <w:rsid w:val="1CA70C88"/>
    <w:rsid w:val="1CB15B83"/>
    <w:rsid w:val="1CBA6C0D"/>
    <w:rsid w:val="1CD81789"/>
    <w:rsid w:val="1D104A7F"/>
    <w:rsid w:val="1D1327C1"/>
    <w:rsid w:val="1D195B8B"/>
    <w:rsid w:val="1D1F2F14"/>
    <w:rsid w:val="1D4D182F"/>
    <w:rsid w:val="1D6853D0"/>
    <w:rsid w:val="1D6E5879"/>
    <w:rsid w:val="1D733B41"/>
    <w:rsid w:val="1D84721B"/>
    <w:rsid w:val="1D984637"/>
    <w:rsid w:val="1D9B0490"/>
    <w:rsid w:val="1DAD6772"/>
    <w:rsid w:val="1DD67A76"/>
    <w:rsid w:val="1DE33F41"/>
    <w:rsid w:val="1E2975E4"/>
    <w:rsid w:val="1E426EBA"/>
    <w:rsid w:val="1E5B61CE"/>
    <w:rsid w:val="1E8223CA"/>
    <w:rsid w:val="1EAB5D97"/>
    <w:rsid w:val="1EAE09F3"/>
    <w:rsid w:val="1EBD0C36"/>
    <w:rsid w:val="1EC6252F"/>
    <w:rsid w:val="1EE94AC1"/>
    <w:rsid w:val="1EF15D50"/>
    <w:rsid w:val="1F023833"/>
    <w:rsid w:val="1F323598"/>
    <w:rsid w:val="1F453CBA"/>
    <w:rsid w:val="1F501AAA"/>
    <w:rsid w:val="1F780DC2"/>
    <w:rsid w:val="1F824487"/>
    <w:rsid w:val="1F8359DC"/>
    <w:rsid w:val="1F89650C"/>
    <w:rsid w:val="1FDA1374"/>
    <w:rsid w:val="201900EE"/>
    <w:rsid w:val="205D01F3"/>
    <w:rsid w:val="20A76F0C"/>
    <w:rsid w:val="20AF1DF1"/>
    <w:rsid w:val="20F3093F"/>
    <w:rsid w:val="20FA3A7C"/>
    <w:rsid w:val="20FD356C"/>
    <w:rsid w:val="21050673"/>
    <w:rsid w:val="213D605E"/>
    <w:rsid w:val="215F4227"/>
    <w:rsid w:val="21645399"/>
    <w:rsid w:val="21676C37"/>
    <w:rsid w:val="21703D3E"/>
    <w:rsid w:val="21787096"/>
    <w:rsid w:val="21985D45"/>
    <w:rsid w:val="219914E7"/>
    <w:rsid w:val="21B0620B"/>
    <w:rsid w:val="21C13819"/>
    <w:rsid w:val="21EC34A5"/>
    <w:rsid w:val="2205092A"/>
    <w:rsid w:val="220F17A9"/>
    <w:rsid w:val="22102660"/>
    <w:rsid w:val="221748DA"/>
    <w:rsid w:val="22372AAE"/>
    <w:rsid w:val="227F1403"/>
    <w:rsid w:val="22821F7B"/>
    <w:rsid w:val="228850B7"/>
    <w:rsid w:val="22934188"/>
    <w:rsid w:val="22B365D8"/>
    <w:rsid w:val="22C95347"/>
    <w:rsid w:val="22CC769A"/>
    <w:rsid w:val="22E06CA1"/>
    <w:rsid w:val="234B6811"/>
    <w:rsid w:val="23607D95"/>
    <w:rsid w:val="237F295E"/>
    <w:rsid w:val="23810EA8"/>
    <w:rsid w:val="239A7798"/>
    <w:rsid w:val="23BF71FF"/>
    <w:rsid w:val="23C40371"/>
    <w:rsid w:val="23CD5478"/>
    <w:rsid w:val="23DA0CBC"/>
    <w:rsid w:val="23DF164F"/>
    <w:rsid w:val="23FF13A9"/>
    <w:rsid w:val="24084702"/>
    <w:rsid w:val="240A185D"/>
    <w:rsid w:val="240D7F6A"/>
    <w:rsid w:val="245142FB"/>
    <w:rsid w:val="248A06DA"/>
    <w:rsid w:val="24BE6B00"/>
    <w:rsid w:val="24ED38F7"/>
    <w:rsid w:val="24F829C8"/>
    <w:rsid w:val="250741AF"/>
    <w:rsid w:val="25076767"/>
    <w:rsid w:val="250C53F4"/>
    <w:rsid w:val="255120D8"/>
    <w:rsid w:val="256C6F12"/>
    <w:rsid w:val="257330FE"/>
    <w:rsid w:val="25891872"/>
    <w:rsid w:val="25A71CF8"/>
    <w:rsid w:val="25B56462"/>
    <w:rsid w:val="25C24D84"/>
    <w:rsid w:val="25C64627"/>
    <w:rsid w:val="25CB3C39"/>
    <w:rsid w:val="25E96E54"/>
    <w:rsid w:val="26235823"/>
    <w:rsid w:val="264C005A"/>
    <w:rsid w:val="264D28A0"/>
    <w:rsid w:val="26544750"/>
    <w:rsid w:val="26906C30"/>
    <w:rsid w:val="26944000"/>
    <w:rsid w:val="26994F76"/>
    <w:rsid w:val="26AD1590"/>
    <w:rsid w:val="26C659AE"/>
    <w:rsid w:val="270E0279"/>
    <w:rsid w:val="271675DA"/>
    <w:rsid w:val="27201056"/>
    <w:rsid w:val="276E6F72"/>
    <w:rsid w:val="27716A62"/>
    <w:rsid w:val="27787DF0"/>
    <w:rsid w:val="27C95FEB"/>
    <w:rsid w:val="27DE6B50"/>
    <w:rsid w:val="27F03E2A"/>
    <w:rsid w:val="28463A4A"/>
    <w:rsid w:val="284B1061"/>
    <w:rsid w:val="28520641"/>
    <w:rsid w:val="286E49C5"/>
    <w:rsid w:val="288A399E"/>
    <w:rsid w:val="289F1401"/>
    <w:rsid w:val="28A95D87"/>
    <w:rsid w:val="28B27332"/>
    <w:rsid w:val="28B46C06"/>
    <w:rsid w:val="28B87C55"/>
    <w:rsid w:val="28DB1EAB"/>
    <w:rsid w:val="28E83003"/>
    <w:rsid w:val="28FB4835"/>
    <w:rsid w:val="28FC05AD"/>
    <w:rsid w:val="28FE2577"/>
    <w:rsid w:val="294066EC"/>
    <w:rsid w:val="29536330"/>
    <w:rsid w:val="297D349C"/>
    <w:rsid w:val="29F23F07"/>
    <w:rsid w:val="2A0239A1"/>
    <w:rsid w:val="2A0F1CF1"/>
    <w:rsid w:val="2A3A6E3A"/>
    <w:rsid w:val="2A3D0E7D"/>
    <w:rsid w:val="2A473AAA"/>
    <w:rsid w:val="2A4D2476"/>
    <w:rsid w:val="2A6F4DCF"/>
    <w:rsid w:val="2A773C44"/>
    <w:rsid w:val="2A9C3DF6"/>
    <w:rsid w:val="2AA50EFC"/>
    <w:rsid w:val="2AB7478C"/>
    <w:rsid w:val="2AFE3CBA"/>
    <w:rsid w:val="2B0C0F7B"/>
    <w:rsid w:val="2B1E2A5D"/>
    <w:rsid w:val="2B255B99"/>
    <w:rsid w:val="2B342280"/>
    <w:rsid w:val="2B5E1DE1"/>
    <w:rsid w:val="2B6D42A0"/>
    <w:rsid w:val="2BC43604"/>
    <w:rsid w:val="2BEC2B5B"/>
    <w:rsid w:val="2C123D8E"/>
    <w:rsid w:val="2C1A1476"/>
    <w:rsid w:val="2C454E7B"/>
    <w:rsid w:val="2C840FE5"/>
    <w:rsid w:val="2CB35427"/>
    <w:rsid w:val="2CDD4252"/>
    <w:rsid w:val="2CDF621C"/>
    <w:rsid w:val="2D102102"/>
    <w:rsid w:val="2D12039F"/>
    <w:rsid w:val="2D2325AC"/>
    <w:rsid w:val="2D3C17DE"/>
    <w:rsid w:val="2D595FCE"/>
    <w:rsid w:val="2D7E5A35"/>
    <w:rsid w:val="2E0713B5"/>
    <w:rsid w:val="2E3D144C"/>
    <w:rsid w:val="2E585A06"/>
    <w:rsid w:val="2E9A064C"/>
    <w:rsid w:val="2EA63495"/>
    <w:rsid w:val="2EBA0591"/>
    <w:rsid w:val="2EBA46F1"/>
    <w:rsid w:val="2F1A0783"/>
    <w:rsid w:val="2F2C3520"/>
    <w:rsid w:val="2F3758F6"/>
    <w:rsid w:val="2F3A3BDD"/>
    <w:rsid w:val="2F40249E"/>
    <w:rsid w:val="2F884949"/>
    <w:rsid w:val="2F8F5CD7"/>
    <w:rsid w:val="2FC54BD5"/>
    <w:rsid w:val="2FF63FA8"/>
    <w:rsid w:val="30074904"/>
    <w:rsid w:val="30124AE0"/>
    <w:rsid w:val="302C79CA"/>
    <w:rsid w:val="30323FD5"/>
    <w:rsid w:val="307373A7"/>
    <w:rsid w:val="30854254"/>
    <w:rsid w:val="308570DA"/>
    <w:rsid w:val="308C4388"/>
    <w:rsid w:val="30C95219"/>
    <w:rsid w:val="30DC319E"/>
    <w:rsid w:val="30ED3E8E"/>
    <w:rsid w:val="312406A1"/>
    <w:rsid w:val="315216B2"/>
    <w:rsid w:val="316136A3"/>
    <w:rsid w:val="31692558"/>
    <w:rsid w:val="316D7326"/>
    <w:rsid w:val="319E711A"/>
    <w:rsid w:val="31A517E2"/>
    <w:rsid w:val="31CC4FC0"/>
    <w:rsid w:val="31CD265E"/>
    <w:rsid w:val="31EC5663"/>
    <w:rsid w:val="320D7387"/>
    <w:rsid w:val="321B5F48"/>
    <w:rsid w:val="32235F97"/>
    <w:rsid w:val="32250B75"/>
    <w:rsid w:val="32313075"/>
    <w:rsid w:val="323668DE"/>
    <w:rsid w:val="32452FC5"/>
    <w:rsid w:val="325F52C1"/>
    <w:rsid w:val="327315FF"/>
    <w:rsid w:val="327A2C6E"/>
    <w:rsid w:val="329D4BAF"/>
    <w:rsid w:val="32B85545"/>
    <w:rsid w:val="32BF44F7"/>
    <w:rsid w:val="32D57EA5"/>
    <w:rsid w:val="32FA3DAF"/>
    <w:rsid w:val="334943EF"/>
    <w:rsid w:val="334F1E73"/>
    <w:rsid w:val="336851F8"/>
    <w:rsid w:val="33694A91"/>
    <w:rsid w:val="336C5DAC"/>
    <w:rsid w:val="33727DEA"/>
    <w:rsid w:val="337C6572"/>
    <w:rsid w:val="338813BB"/>
    <w:rsid w:val="339E298D"/>
    <w:rsid w:val="33DF202C"/>
    <w:rsid w:val="340D366E"/>
    <w:rsid w:val="341F19ED"/>
    <w:rsid w:val="342866FA"/>
    <w:rsid w:val="34303DD0"/>
    <w:rsid w:val="34767465"/>
    <w:rsid w:val="34B47F8E"/>
    <w:rsid w:val="34E40A0B"/>
    <w:rsid w:val="350D601C"/>
    <w:rsid w:val="351D3D85"/>
    <w:rsid w:val="35446FA7"/>
    <w:rsid w:val="35542952"/>
    <w:rsid w:val="35586E5F"/>
    <w:rsid w:val="356D0868"/>
    <w:rsid w:val="35920361"/>
    <w:rsid w:val="35AD5109"/>
    <w:rsid w:val="35CB37E1"/>
    <w:rsid w:val="35CD7559"/>
    <w:rsid w:val="35CE6E2D"/>
    <w:rsid w:val="35DC154A"/>
    <w:rsid w:val="36064819"/>
    <w:rsid w:val="36745C27"/>
    <w:rsid w:val="368F75DA"/>
    <w:rsid w:val="36AA4D7E"/>
    <w:rsid w:val="36AA5AEC"/>
    <w:rsid w:val="36AF6C5F"/>
    <w:rsid w:val="36B17579"/>
    <w:rsid w:val="36D93CDC"/>
    <w:rsid w:val="372F1B4E"/>
    <w:rsid w:val="37491422"/>
    <w:rsid w:val="379C71E3"/>
    <w:rsid w:val="37C14E9C"/>
    <w:rsid w:val="37C624B2"/>
    <w:rsid w:val="37C73706"/>
    <w:rsid w:val="37D921E5"/>
    <w:rsid w:val="37E21907"/>
    <w:rsid w:val="37E36149"/>
    <w:rsid w:val="38172D0E"/>
    <w:rsid w:val="382D0783"/>
    <w:rsid w:val="38651CCB"/>
    <w:rsid w:val="38BD1B07"/>
    <w:rsid w:val="38E075A3"/>
    <w:rsid w:val="39105966"/>
    <w:rsid w:val="392D7D49"/>
    <w:rsid w:val="3930052B"/>
    <w:rsid w:val="39385E4D"/>
    <w:rsid w:val="395A1104"/>
    <w:rsid w:val="39761CB6"/>
    <w:rsid w:val="39B12CEE"/>
    <w:rsid w:val="39BE5B37"/>
    <w:rsid w:val="39D92970"/>
    <w:rsid w:val="3A00587C"/>
    <w:rsid w:val="3A285377"/>
    <w:rsid w:val="3A325BDD"/>
    <w:rsid w:val="3A625EC0"/>
    <w:rsid w:val="3A6D130B"/>
    <w:rsid w:val="3A756424"/>
    <w:rsid w:val="3A8351B9"/>
    <w:rsid w:val="3A8853BF"/>
    <w:rsid w:val="3A8C79E3"/>
    <w:rsid w:val="3A960861"/>
    <w:rsid w:val="3AA43493"/>
    <w:rsid w:val="3AAA1C17"/>
    <w:rsid w:val="3AB962FE"/>
    <w:rsid w:val="3AC76C6D"/>
    <w:rsid w:val="3ACC6031"/>
    <w:rsid w:val="3AD153F6"/>
    <w:rsid w:val="3AF86E26"/>
    <w:rsid w:val="3B0A6B5A"/>
    <w:rsid w:val="3B81653C"/>
    <w:rsid w:val="3B850284"/>
    <w:rsid w:val="3BA66882"/>
    <w:rsid w:val="3BAB20EB"/>
    <w:rsid w:val="3BAF74BA"/>
    <w:rsid w:val="3BE64ED1"/>
    <w:rsid w:val="3BEB24E7"/>
    <w:rsid w:val="3BED44B1"/>
    <w:rsid w:val="3BFA6BCE"/>
    <w:rsid w:val="3C011D0B"/>
    <w:rsid w:val="3C1852A6"/>
    <w:rsid w:val="3C256A70"/>
    <w:rsid w:val="3C4E0FD9"/>
    <w:rsid w:val="3CAB7EC8"/>
    <w:rsid w:val="3CB52AF5"/>
    <w:rsid w:val="3CB77232"/>
    <w:rsid w:val="3CCD6091"/>
    <w:rsid w:val="3CEE31DD"/>
    <w:rsid w:val="3D0F66A9"/>
    <w:rsid w:val="3D1B4137"/>
    <w:rsid w:val="3D2574EF"/>
    <w:rsid w:val="3D313C19"/>
    <w:rsid w:val="3D332398"/>
    <w:rsid w:val="3D345AD6"/>
    <w:rsid w:val="3D3C6932"/>
    <w:rsid w:val="3D915310"/>
    <w:rsid w:val="3DBD7EB3"/>
    <w:rsid w:val="3E111FAD"/>
    <w:rsid w:val="3E173A67"/>
    <w:rsid w:val="3E1A3557"/>
    <w:rsid w:val="3E3471F5"/>
    <w:rsid w:val="3E35213F"/>
    <w:rsid w:val="3E524A9F"/>
    <w:rsid w:val="3E815385"/>
    <w:rsid w:val="3E823B0A"/>
    <w:rsid w:val="3E846C23"/>
    <w:rsid w:val="3EA177D5"/>
    <w:rsid w:val="3EF47905"/>
    <w:rsid w:val="3F0A35CC"/>
    <w:rsid w:val="3F367F1D"/>
    <w:rsid w:val="3FCE45FA"/>
    <w:rsid w:val="3FF553C9"/>
    <w:rsid w:val="404E1296"/>
    <w:rsid w:val="40714F85"/>
    <w:rsid w:val="40C15F0C"/>
    <w:rsid w:val="40ED4F53"/>
    <w:rsid w:val="417B430D"/>
    <w:rsid w:val="41AE46E3"/>
    <w:rsid w:val="422E3EAC"/>
    <w:rsid w:val="423078CD"/>
    <w:rsid w:val="426D634C"/>
    <w:rsid w:val="427C658F"/>
    <w:rsid w:val="427E7B03"/>
    <w:rsid w:val="42D00689"/>
    <w:rsid w:val="42DF267A"/>
    <w:rsid w:val="42EF6D61"/>
    <w:rsid w:val="42F97410"/>
    <w:rsid w:val="42FF4ACA"/>
    <w:rsid w:val="43095949"/>
    <w:rsid w:val="430F11B1"/>
    <w:rsid w:val="430F2F5F"/>
    <w:rsid w:val="43560B8E"/>
    <w:rsid w:val="43707776"/>
    <w:rsid w:val="43876185"/>
    <w:rsid w:val="43B423E7"/>
    <w:rsid w:val="43DC03D3"/>
    <w:rsid w:val="440D59F3"/>
    <w:rsid w:val="44337121"/>
    <w:rsid w:val="44735770"/>
    <w:rsid w:val="44953E46"/>
    <w:rsid w:val="449C38A8"/>
    <w:rsid w:val="44C36F40"/>
    <w:rsid w:val="44E35217"/>
    <w:rsid w:val="44EC142D"/>
    <w:rsid w:val="45102FBE"/>
    <w:rsid w:val="451C5E07"/>
    <w:rsid w:val="452D591E"/>
    <w:rsid w:val="45336CAD"/>
    <w:rsid w:val="4539123A"/>
    <w:rsid w:val="457C20B2"/>
    <w:rsid w:val="457C4AF8"/>
    <w:rsid w:val="45921D06"/>
    <w:rsid w:val="45B00407"/>
    <w:rsid w:val="45C049E4"/>
    <w:rsid w:val="45D43CA6"/>
    <w:rsid w:val="45D65FB6"/>
    <w:rsid w:val="45E21865"/>
    <w:rsid w:val="45E701C3"/>
    <w:rsid w:val="45FB3C6E"/>
    <w:rsid w:val="461404E6"/>
    <w:rsid w:val="46535859"/>
    <w:rsid w:val="467852BF"/>
    <w:rsid w:val="46A772B4"/>
    <w:rsid w:val="4703775B"/>
    <w:rsid w:val="471530CB"/>
    <w:rsid w:val="47181BB0"/>
    <w:rsid w:val="475E44B5"/>
    <w:rsid w:val="475F7580"/>
    <w:rsid w:val="477E6905"/>
    <w:rsid w:val="479A3013"/>
    <w:rsid w:val="47ED75E7"/>
    <w:rsid w:val="48217291"/>
    <w:rsid w:val="48262716"/>
    <w:rsid w:val="48822425"/>
    <w:rsid w:val="488830F7"/>
    <w:rsid w:val="48967C7F"/>
    <w:rsid w:val="48B01AFF"/>
    <w:rsid w:val="48C742DC"/>
    <w:rsid w:val="48DD1ABA"/>
    <w:rsid w:val="48E57478"/>
    <w:rsid w:val="48F84495"/>
    <w:rsid w:val="4901159C"/>
    <w:rsid w:val="491A4E19"/>
    <w:rsid w:val="492E7EB7"/>
    <w:rsid w:val="494E1C27"/>
    <w:rsid w:val="4950607F"/>
    <w:rsid w:val="495A0CAC"/>
    <w:rsid w:val="49997A26"/>
    <w:rsid w:val="49BE748D"/>
    <w:rsid w:val="49C01457"/>
    <w:rsid w:val="49D62E7D"/>
    <w:rsid w:val="49DC7913"/>
    <w:rsid w:val="49F11610"/>
    <w:rsid w:val="49FA03D3"/>
    <w:rsid w:val="4A001853"/>
    <w:rsid w:val="4A11580F"/>
    <w:rsid w:val="4A1344B5"/>
    <w:rsid w:val="4A1F7EB0"/>
    <w:rsid w:val="4A3B0ADD"/>
    <w:rsid w:val="4A4972A6"/>
    <w:rsid w:val="4A545A27"/>
    <w:rsid w:val="4A547DF1"/>
    <w:rsid w:val="4A5751EC"/>
    <w:rsid w:val="4A58343D"/>
    <w:rsid w:val="4A62606A"/>
    <w:rsid w:val="4A965D14"/>
    <w:rsid w:val="4AAF6DD6"/>
    <w:rsid w:val="4AC75EBD"/>
    <w:rsid w:val="4AE431C4"/>
    <w:rsid w:val="4AEB6216"/>
    <w:rsid w:val="4B1A4B97"/>
    <w:rsid w:val="4B2E0642"/>
    <w:rsid w:val="4B4B4D50"/>
    <w:rsid w:val="4B5300A9"/>
    <w:rsid w:val="4B7666AB"/>
    <w:rsid w:val="4B9304A5"/>
    <w:rsid w:val="4B9B55B2"/>
    <w:rsid w:val="4B9D6727"/>
    <w:rsid w:val="4BA91A77"/>
    <w:rsid w:val="4BAF19E2"/>
    <w:rsid w:val="4BC61156"/>
    <w:rsid w:val="4C196BFC"/>
    <w:rsid w:val="4C207F8B"/>
    <w:rsid w:val="4C553B04"/>
    <w:rsid w:val="4C8D1398"/>
    <w:rsid w:val="4C940979"/>
    <w:rsid w:val="4C9B1D07"/>
    <w:rsid w:val="4CA85E4F"/>
    <w:rsid w:val="4CBD7ED0"/>
    <w:rsid w:val="4CD34FFD"/>
    <w:rsid w:val="4CD82614"/>
    <w:rsid w:val="4CE765C9"/>
    <w:rsid w:val="4CFE3907"/>
    <w:rsid w:val="4D070CE7"/>
    <w:rsid w:val="4D2E66D8"/>
    <w:rsid w:val="4D5F0F87"/>
    <w:rsid w:val="4D791DE9"/>
    <w:rsid w:val="4D7D140D"/>
    <w:rsid w:val="4D92750F"/>
    <w:rsid w:val="4D996FB7"/>
    <w:rsid w:val="4DA150FB"/>
    <w:rsid w:val="4DA44BEC"/>
    <w:rsid w:val="4DBB3390"/>
    <w:rsid w:val="4DCB3F26"/>
    <w:rsid w:val="4DE26CF1"/>
    <w:rsid w:val="4E0062C6"/>
    <w:rsid w:val="4E051311"/>
    <w:rsid w:val="4E0538DC"/>
    <w:rsid w:val="4E1B3100"/>
    <w:rsid w:val="4E3D41BC"/>
    <w:rsid w:val="4E566C7B"/>
    <w:rsid w:val="4E755A1A"/>
    <w:rsid w:val="4E8C7B5A"/>
    <w:rsid w:val="4E952950"/>
    <w:rsid w:val="4E990E49"/>
    <w:rsid w:val="4E9E5ADF"/>
    <w:rsid w:val="4EA36C51"/>
    <w:rsid w:val="4EAC666F"/>
    <w:rsid w:val="4EB40E5E"/>
    <w:rsid w:val="4EB86BA1"/>
    <w:rsid w:val="4EC56BC8"/>
    <w:rsid w:val="4EC76DE4"/>
    <w:rsid w:val="4EDB4BC8"/>
    <w:rsid w:val="4F6446C5"/>
    <w:rsid w:val="4F754A92"/>
    <w:rsid w:val="4F7725B8"/>
    <w:rsid w:val="4FB37368"/>
    <w:rsid w:val="4FBE4344"/>
    <w:rsid w:val="4FCE48A3"/>
    <w:rsid w:val="4FD95020"/>
    <w:rsid w:val="4FE2132C"/>
    <w:rsid w:val="50371D47"/>
    <w:rsid w:val="50595DB0"/>
    <w:rsid w:val="505F13B7"/>
    <w:rsid w:val="506348EA"/>
    <w:rsid w:val="507765E7"/>
    <w:rsid w:val="50947199"/>
    <w:rsid w:val="50992D34"/>
    <w:rsid w:val="509E5922"/>
    <w:rsid w:val="50A82C45"/>
    <w:rsid w:val="50D21A70"/>
    <w:rsid w:val="50D94568"/>
    <w:rsid w:val="50E61077"/>
    <w:rsid w:val="514A38EC"/>
    <w:rsid w:val="51501312"/>
    <w:rsid w:val="5153670D"/>
    <w:rsid w:val="51A65308"/>
    <w:rsid w:val="51ED6B61"/>
    <w:rsid w:val="5209700C"/>
    <w:rsid w:val="520E4D2A"/>
    <w:rsid w:val="52701540"/>
    <w:rsid w:val="52770B21"/>
    <w:rsid w:val="530A54F1"/>
    <w:rsid w:val="53C45059"/>
    <w:rsid w:val="53CE4770"/>
    <w:rsid w:val="53DA3115"/>
    <w:rsid w:val="53FF3469"/>
    <w:rsid w:val="54414F42"/>
    <w:rsid w:val="544607AB"/>
    <w:rsid w:val="54521BD0"/>
    <w:rsid w:val="546D3F89"/>
    <w:rsid w:val="548117E3"/>
    <w:rsid w:val="54907C78"/>
    <w:rsid w:val="54971006"/>
    <w:rsid w:val="54D74941"/>
    <w:rsid w:val="54D9161F"/>
    <w:rsid w:val="550C37A2"/>
    <w:rsid w:val="55195D00"/>
    <w:rsid w:val="553059F3"/>
    <w:rsid w:val="5536081F"/>
    <w:rsid w:val="55393E6B"/>
    <w:rsid w:val="553E7F68"/>
    <w:rsid w:val="555C0DC3"/>
    <w:rsid w:val="556C5FEF"/>
    <w:rsid w:val="5596306C"/>
    <w:rsid w:val="55983288"/>
    <w:rsid w:val="55CA76F9"/>
    <w:rsid w:val="55F14746"/>
    <w:rsid w:val="5603295E"/>
    <w:rsid w:val="560E0DD6"/>
    <w:rsid w:val="56757125"/>
    <w:rsid w:val="56821D54"/>
    <w:rsid w:val="56A96DCF"/>
    <w:rsid w:val="56CB4F97"/>
    <w:rsid w:val="56EA18C1"/>
    <w:rsid w:val="56EB5639"/>
    <w:rsid w:val="56F926A9"/>
    <w:rsid w:val="56FC2F65"/>
    <w:rsid w:val="57095837"/>
    <w:rsid w:val="571A1A7B"/>
    <w:rsid w:val="5740094B"/>
    <w:rsid w:val="575D6537"/>
    <w:rsid w:val="5782786B"/>
    <w:rsid w:val="57835872"/>
    <w:rsid w:val="58046AD3"/>
    <w:rsid w:val="5815073E"/>
    <w:rsid w:val="581F559B"/>
    <w:rsid w:val="58247055"/>
    <w:rsid w:val="584274DB"/>
    <w:rsid w:val="58454BCE"/>
    <w:rsid w:val="5847689F"/>
    <w:rsid w:val="584C2108"/>
    <w:rsid w:val="58BD088A"/>
    <w:rsid w:val="58D930FB"/>
    <w:rsid w:val="58DD729F"/>
    <w:rsid w:val="58E6255C"/>
    <w:rsid w:val="590F3861"/>
    <w:rsid w:val="591A3FB4"/>
    <w:rsid w:val="593B5070"/>
    <w:rsid w:val="594A4899"/>
    <w:rsid w:val="596516D3"/>
    <w:rsid w:val="59897866"/>
    <w:rsid w:val="59967ADE"/>
    <w:rsid w:val="59B47F65"/>
    <w:rsid w:val="59D4243C"/>
    <w:rsid w:val="59DB1995"/>
    <w:rsid w:val="5A040EEC"/>
    <w:rsid w:val="5A105AE3"/>
    <w:rsid w:val="5A201A9E"/>
    <w:rsid w:val="5A225816"/>
    <w:rsid w:val="5A82790B"/>
    <w:rsid w:val="5A867B53"/>
    <w:rsid w:val="5ACD3BC0"/>
    <w:rsid w:val="5ADC3C17"/>
    <w:rsid w:val="5AF01A2E"/>
    <w:rsid w:val="5AF727FF"/>
    <w:rsid w:val="5B022F52"/>
    <w:rsid w:val="5B0373F5"/>
    <w:rsid w:val="5B24111A"/>
    <w:rsid w:val="5B392E17"/>
    <w:rsid w:val="5B7C71A8"/>
    <w:rsid w:val="5B926D8C"/>
    <w:rsid w:val="5BC56459"/>
    <w:rsid w:val="5BC754AC"/>
    <w:rsid w:val="5BD4728A"/>
    <w:rsid w:val="5BD76A09"/>
    <w:rsid w:val="5BF079BD"/>
    <w:rsid w:val="5BFB00CD"/>
    <w:rsid w:val="5C1473E0"/>
    <w:rsid w:val="5C3B671B"/>
    <w:rsid w:val="5C42478C"/>
    <w:rsid w:val="5C62014C"/>
    <w:rsid w:val="5C63488F"/>
    <w:rsid w:val="5C657C3C"/>
    <w:rsid w:val="5CAB38A1"/>
    <w:rsid w:val="5CDE5504"/>
    <w:rsid w:val="5CE172C2"/>
    <w:rsid w:val="5CEE5E83"/>
    <w:rsid w:val="5D063A9E"/>
    <w:rsid w:val="5D177188"/>
    <w:rsid w:val="5D1A4582"/>
    <w:rsid w:val="5D4E35D6"/>
    <w:rsid w:val="5D655216"/>
    <w:rsid w:val="5D700646"/>
    <w:rsid w:val="5D7719D5"/>
    <w:rsid w:val="5DA30A1C"/>
    <w:rsid w:val="5DD40BD5"/>
    <w:rsid w:val="5DF10C4F"/>
    <w:rsid w:val="5DFF3A39"/>
    <w:rsid w:val="5E06073F"/>
    <w:rsid w:val="5E100D72"/>
    <w:rsid w:val="5E224037"/>
    <w:rsid w:val="5E7246A8"/>
    <w:rsid w:val="5E873E9A"/>
    <w:rsid w:val="5E91796B"/>
    <w:rsid w:val="5EA02006"/>
    <w:rsid w:val="5EBA07B7"/>
    <w:rsid w:val="5EC24ED2"/>
    <w:rsid w:val="5EE72B8A"/>
    <w:rsid w:val="5EE74938"/>
    <w:rsid w:val="5F105C3D"/>
    <w:rsid w:val="5F3B39A9"/>
    <w:rsid w:val="5F5875E4"/>
    <w:rsid w:val="5F5A1E7D"/>
    <w:rsid w:val="5F5A335C"/>
    <w:rsid w:val="5F5A7800"/>
    <w:rsid w:val="5F904FD0"/>
    <w:rsid w:val="5F982465"/>
    <w:rsid w:val="5FAF18FA"/>
    <w:rsid w:val="5FCF7F47"/>
    <w:rsid w:val="60116111"/>
    <w:rsid w:val="6024194B"/>
    <w:rsid w:val="60251BBC"/>
    <w:rsid w:val="60335545"/>
    <w:rsid w:val="607B672C"/>
    <w:rsid w:val="60883EF9"/>
    <w:rsid w:val="60A90F2F"/>
    <w:rsid w:val="60B371C8"/>
    <w:rsid w:val="60F24B83"/>
    <w:rsid w:val="60F4448F"/>
    <w:rsid w:val="61025A59"/>
    <w:rsid w:val="611B23DC"/>
    <w:rsid w:val="61333E65"/>
    <w:rsid w:val="613C71BD"/>
    <w:rsid w:val="61477910"/>
    <w:rsid w:val="61573FF7"/>
    <w:rsid w:val="615F10FE"/>
    <w:rsid w:val="617821BF"/>
    <w:rsid w:val="617F70AA"/>
    <w:rsid w:val="61AD3C17"/>
    <w:rsid w:val="61B42017"/>
    <w:rsid w:val="61B84E22"/>
    <w:rsid w:val="61DF3FED"/>
    <w:rsid w:val="61E810F3"/>
    <w:rsid w:val="61F5736C"/>
    <w:rsid w:val="62195750"/>
    <w:rsid w:val="621C1292"/>
    <w:rsid w:val="62440D4D"/>
    <w:rsid w:val="625247BE"/>
    <w:rsid w:val="62717C46"/>
    <w:rsid w:val="62816E52"/>
    <w:rsid w:val="62B66AFB"/>
    <w:rsid w:val="62BC5FD6"/>
    <w:rsid w:val="631D4DCC"/>
    <w:rsid w:val="63595381"/>
    <w:rsid w:val="63770981"/>
    <w:rsid w:val="639A5965"/>
    <w:rsid w:val="63AF198D"/>
    <w:rsid w:val="63CD4983"/>
    <w:rsid w:val="63D6234D"/>
    <w:rsid w:val="644A6558"/>
    <w:rsid w:val="645667E8"/>
    <w:rsid w:val="64572551"/>
    <w:rsid w:val="6497295D"/>
    <w:rsid w:val="64C134B8"/>
    <w:rsid w:val="650C22A7"/>
    <w:rsid w:val="65240694"/>
    <w:rsid w:val="652C12F7"/>
    <w:rsid w:val="65486764"/>
    <w:rsid w:val="65510637"/>
    <w:rsid w:val="65644F35"/>
    <w:rsid w:val="65732FA9"/>
    <w:rsid w:val="65870C23"/>
    <w:rsid w:val="658B0713"/>
    <w:rsid w:val="659770B8"/>
    <w:rsid w:val="659D3FA3"/>
    <w:rsid w:val="65AB4911"/>
    <w:rsid w:val="660202AA"/>
    <w:rsid w:val="665A1E94"/>
    <w:rsid w:val="667606E1"/>
    <w:rsid w:val="668F1B3D"/>
    <w:rsid w:val="66D17986"/>
    <w:rsid w:val="66D954AE"/>
    <w:rsid w:val="66E16111"/>
    <w:rsid w:val="670342D9"/>
    <w:rsid w:val="67053CB2"/>
    <w:rsid w:val="6759214B"/>
    <w:rsid w:val="6761476F"/>
    <w:rsid w:val="67766FB7"/>
    <w:rsid w:val="67896ED4"/>
    <w:rsid w:val="679643EF"/>
    <w:rsid w:val="67B51B63"/>
    <w:rsid w:val="67D839B8"/>
    <w:rsid w:val="67E73BFB"/>
    <w:rsid w:val="68294213"/>
    <w:rsid w:val="683B27F5"/>
    <w:rsid w:val="684828EC"/>
    <w:rsid w:val="68573433"/>
    <w:rsid w:val="68684148"/>
    <w:rsid w:val="68945B31"/>
    <w:rsid w:val="68A51AEC"/>
    <w:rsid w:val="68B327D3"/>
    <w:rsid w:val="68DE0B5A"/>
    <w:rsid w:val="68E02B24"/>
    <w:rsid w:val="691D1B71"/>
    <w:rsid w:val="69323137"/>
    <w:rsid w:val="693410C2"/>
    <w:rsid w:val="693836E7"/>
    <w:rsid w:val="695E7EED"/>
    <w:rsid w:val="696C085C"/>
    <w:rsid w:val="697047DF"/>
    <w:rsid w:val="698536CB"/>
    <w:rsid w:val="698D0D71"/>
    <w:rsid w:val="69C72B58"/>
    <w:rsid w:val="69D35328"/>
    <w:rsid w:val="6A050213"/>
    <w:rsid w:val="6A537326"/>
    <w:rsid w:val="6AD761A9"/>
    <w:rsid w:val="6AD77F57"/>
    <w:rsid w:val="6AD85207"/>
    <w:rsid w:val="6ADB19C6"/>
    <w:rsid w:val="6AE10DD5"/>
    <w:rsid w:val="6AEF34F2"/>
    <w:rsid w:val="6B2F5571"/>
    <w:rsid w:val="6B3850F1"/>
    <w:rsid w:val="6B413622"/>
    <w:rsid w:val="6B451364"/>
    <w:rsid w:val="6B4C17C5"/>
    <w:rsid w:val="6B5C1A3C"/>
    <w:rsid w:val="6B8249E8"/>
    <w:rsid w:val="6BBB33D4"/>
    <w:rsid w:val="6BCF6E80"/>
    <w:rsid w:val="6BD90F62"/>
    <w:rsid w:val="6BE648F5"/>
    <w:rsid w:val="6BEA3158"/>
    <w:rsid w:val="6BFB1A23"/>
    <w:rsid w:val="6C4D60B4"/>
    <w:rsid w:val="6C5C6966"/>
    <w:rsid w:val="6C657F61"/>
    <w:rsid w:val="6C6C6647"/>
    <w:rsid w:val="6CCD1611"/>
    <w:rsid w:val="6D08089B"/>
    <w:rsid w:val="6D1D63BB"/>
    <w:rsid w:val="6D2154B9"/>
    <w:rsid w:val="6D804D38"/>
    <w:rsid w:val="6DA13F1D"/>
    <w:rsid w:val="6DA32372"/>
    <w:rsid w:val="6DBD5004"/>
    <w:rsid w:val="6E06271B"/>
    <w:rsid w:val="6E1868BC"/>
    <w:rsid w:val="6E190801"/>
    <w:rsid w:val="6E34045F"/>
    <w:rsid w:val="6EC52DE9"/>
    <w:rsid w:val="6EC95E08"/>
    <w:rsid w:val="6EEB5D7F"/>
    <w:rsid w:val="6EFD67C6"/>
    <w:rsid w:val="6F525DFE"/>
    <w:rsid w:val="6F60676D"/>
    <w:rsid w:val="6F9924A7"/>
    <w:rsid w:val="6FDB4045"/>
    <w:rsid w:val="703B0F88"/>
    <w:rsid w:val="708C533F"/>
    <w:rsid w:val="70913532"/>
    <w:rsid w:val="70962D96"/>
    <w:rsid w:val="70A02B99"/>
    <w:rsid w:val="70DC0075"/>
    <w:rsid w:val="70E138DD"/>
    <w:rsid w:val="70ED2282"/>
    <w:rsid w:val="713752AB"/>
    <w:rsid w:val="71470D84"/>
    <w:rsid w:val="715D3BC9"/>
    <w:rsid w:val="715E0D9E"/>
    <w:rsid w:val="71776302"/>
    <w:rsid w:val="719A1ED8"/>
    <w:rsid w:val="719E66CD"/>
    <w:rsid w:val="71D074AE"/>
    <w:rsid w:val="721C6818"/>
    <w:rsid w:val="722027ED"/>
    <w:rsid w:val="72351AF2"/>
    <w:rsid w:val="723D2D95"/>
    <w:rsid w:val="72474B68"/>
    <w:rsid w:val="728178DF"/>
    <w:rsid w:val="72A03324"/>
    <w:rsid w:val="72D1339C"/>
    <w:rsid w:val="72F1592E"/>
    <w:rsid w:val="72FF004B"/>
    <w:rsid w:val="7327134F"/>
    <w:rsid w:val="73331EF0"/>
    <w:rsid w:val="73522870"/>
    <w:rsid w:val="736305DA"/>
    <w:rsid w:val="73724CC1"/>
    <w:rsid w:val="73A527A7"/>
    <w:rsid w:val="73AC484D"/>
    <w:rsid w:val="73C80D84"/>
    <w:rsid w:val="73CE5D74"/>
    <w:rsid w:val="73ED4347"/>
    <w:rsid w:val="73F41B79"/>
    <w:rsid w:val="749B3DA3"/>
    <w:rsid w:val="74B73E8C"/>
    <w:rsid w:val="74C01A5C"/>
    <w:rsid w:val="74D53759"/>
    <w:rsid w:val="74D86DA5"/>
    <w:rsid w:val="75091655"/>
    <w:rsid w:val="75287D2D"/>
    <w:rsid w:val="756845CD"/>
    <w:rsid w:val="75706FDE"/>
    <w:rsid w:val="75720710"/>
    <w:rsid w:val="75783172"/>
    <w:rsid w:val="758E56B6"/>
    <w:rsid w:val="75994786"/>
    <w:rsid w:val="75A255CF"/>
    <w:rsid w:val="75D752AF"/>
    <w:rsid w:val="75DB67A1"/>
    <w:rsid w:val="75E9450D"/>
    <w:rsid w:val="76146FDB"/>
    <w:rsid w:val="763B6288"/>
    <w:rsid w:val="763E70DC"/>
    <w:rsid w:val="76855F13"/>
    <w:rsid w:val="76A9652A"/>
    <w:rsid w:val="76D76E9F"/>
    <w:rsid w:val="770976EA"/>
    <w:rsid w:val="772E7150"/>
    <w:rsid w:val="77403EE7"/>
    <w:rsid w:val="774921DC"/>
    <w:rsid w:val="776418CE"/>
    <w:rsid w:val="77822FF8"/>
    <w:rsid w:val="77876861"/>
    <w:rsid w:val="779416A9"/>
    <w:rsid w:val="77996CC0"/>
    <w:rsid w:val="779D3ACF"/>
    <w:rsid w:val="77BF424C"/>
    <w:rsid w:val="77C16217"/>
    <w:rsid w:val="77D8632B"/>
    <w:rsid w:val="780305C3"/>
    <w:rsid w:val="78175E36"/>
    <w:rsid w:val="782D2D83"/>
    <w:rsid w:val="78A44ED0"/>
    <w:rsid w:val="78C771E3"/>
    <w:rsid w:val="78FF5974"/>
    <w:rsid w:val="79006A68"/>
    <w:rsid w:val="79147F27"/>
    <w:rsid w:val="79226ACA"/>
    <w:rsid w:val="792702FB"/>
    <w:rsid w:val="792A0F2D"/>
    <w:rsid w:val="792B7DEB"/>
    <w:rsid w:val="79696D39"/>
    <w:rsid w:val="7976529F"/>
    <w:rsid w:val="798C63B0"/>
    <w:rsid w:val="798D5A6E"/>
    <w:rsid w:val="798E3ED6"/>
    <w:rsid w:val="79AC1FDF"/>
    <w:rsid w:val="79B55907"/>
    <w:rsid w:val="79C8563A"/>
    <w:rsid w:val="79D0629D"/>
    <w:rsid w:val="79D319C8"/>
    <w:rsid w:val="79EA2922"/>
    <w:rsid w:val="79F006ED"/>
    <w:rsid w:val="7A1D7AE2"/>
    <w:rsid w:val="7A224B2F"/>
    <w:rsid w:val="7A236D15"/>
    <w:rsid w:val="7A3567A4"/>
    <w:rsid w:val="7A4B29B6"/>
    <w:rsid w:val="7A4D4548"/>
    <w:rsid w:val="7A5C2D9E"/>
    <w:rsid w:val="7A637111"/>
    <w:rsid w:val="7A6C04E0"/>
    <w:rsid w:val="7A8C48BA"/>
    <w:rsid w:val="7A904DD0"/>
    <w:rsid w:val="7ACE7933"/>
    <w:rsid w:val="7AD63D87"/>
    <w:rsid w:val="7AF406B1"/>
    <w:rsid w:val="7B1138F9"/>
    <w:rsid w:val="7B532874"/>
    <w:rsid w:val="7B5A6766"/>
    <w:rsid w:val="7B611E07"/>
    <w:rsid w:val="7B683586"/>
    <w:rsid w:val="7B711D02"/>
    <w:rsid w:val="7B71305D"/>
    <w:rsid w:val="7B735A7A"/>
    <w:rsid w:val="7B7535A0"/>
    <w:rsid w:val="7BB977DA"/>
    <w:rsid w:val="7BD76009"/>
    <w:rsid w:val="7C47253E"/>
    <w:rsid w:val="7C556F2D"/>
    <w:rsid w:val="7C7E46D6"/>
    <w:rsid w:val="7C9932BE"/>
    <w:rsid w:val="7CA12173"/>
    <w:rsid w:val="7CB41EA6"/>
    <w:rsid w:val="7CC876FF"/>
    <w:rsid w:val="7CE025A5"/>
    <w:rsid w:val="7D022883"/>
    <w:rsid w:val="7D342FE7"/>
    <w:rsid w:val="7D39684F"/>
    <w:rsid w:val="7D4C20DE"/>
    <w:rsid w:val="7D937D0D"/>
    <w:rsid w:val="7D983576"/>
    <w:rsid w:val="7DB639FC"/>
    <w:rsid w:val="7DBF54E1"/>
    <w:rsid w:val="7DD02D0F"/>
    <w:rsid w:val="7DE642E1"/>
    <w:rsid w:val="7DE75CFC"/>
    <w:rsid w:val="7DF6105B"/>
    <w:rsid w:val="7DFD6EF3"/>
    <w:rsid w:val="7E317E5C"/>
    <w:rsid w:val="7E3762BF"/>
    <w:rsid w:val="7E837D82"/>
    <w:rsid w:val="7EA016D8"/>
    <w:rsid w:val="7EC36CA3"/>
    <w:rsid w:val="7ECD26C3"/>
    <w:rsid w:val="7EEE0C91"/>
    <w:rsid w:val="7F0A5930"/>
    <w:rsid w:val="7F2A28F3"/>
    <w:rsid w:val="7F440FF9"/>
    <w:rsid w:val="7F4734A5"/>
    <w:rsid w:val="7F533BF8"/>
    <w:rsid w:val="7F8B5EDF"/>
    <w:rsid w:val="7F8E2E82"/>
    <w:rsid w:val="7FAF2DF8"/>
    <w:rsid w:val="7FCC4CBB"/>
    <w:rsid w:val="7FD150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4"/>
    <w:qFormat/>
    <w:uiPriority w:val="0"/>
    <w:pPr>
      <w:keepNext/>
      <w:keepLines/>
      <w:spacing w:before="340" w:after="330" w:line="300" w:lineRule="auto"/>
      <w:jc w:val="center"/>
      <w:outlineLvl w:val="0"/>
    </w:pPr>
    <w:rPr>
      <w:b/>
      <w:bCs/>
      <w:kern w:val="44"/>
      <w:sz w:val="32"/>
      <w:szCs w:val="44"/>
    </w:rPr>
  </w:style>
  <w:style w:type="paragraph" w:styleId="4">
    <w:name w:val="heading 2"/>
    <w:basedOn w:val="1"/>
    <w:next w:val="1"/>
    <w:link w:val="94"/>
    <w:qFormat/>
    <w:uiPriority w:val="0"/>
    <w:pPr>
      <w:keepNext/>
      <w:keepLines/>
      <w:spacing w:before="260" w:after="260" w:line="415" w:lineRule="auto"/>
      <w:outlineLvl w:val="1"/>
    </w:pPr>
    <w:rPr>
      <w:rFonts w:ascii="Arial" w:hAnsi="Arial" w:eastAsia="黑体"/>
      <w:bCs/>
      <w:sz w:val="32"/>
      <w:szCs w:val="32"/>
    </w:rPr>
  </w:style>
  <w:style w:type="paragraph" w:styleId="5">
    <w:name w:val="heading 3"/>
    <w:basedOn w:val="1"/>
    <w:next w:val="1"/>
    <w:link w:val="93"/>
    <w:qFormat/>
    <w:uiPriority w:val="0"/>
    <w:pPr>
      <w:keepNext/>
      <w:keepLines/>
      <w:spacing w:before="120" w:after="120" w:line="300" w:lineRule="auto"/>
      <w:outlineLvl w:val="2"/>
    </w:pPr>
    <w:rPr>
      <w:rFonts w:ascii="宋体"/>
      <w:b/>
      <w:bCs/>
      <w:sz w:val="24"/>
      <w:szCs w:val="32"/>
    </w:rPr>
  </w:style>
  <w:style w:type="paragraph" w:styleId="6">
    <w:name w:val="heading 4"/>
    <w:basedOn w:val="1"/>
    <w:next w:val="1"/>
    <w:link w:val="107"/>
    <w:qFormat/>
    <w:uiPriority w:val="0"/>
    <w:pPr>
      <w:keepNext/>
      <w:keepLines/>
      <w:spacing w:line="300" w:lineRule="auto"/>
      <w:outlineLvl w:val="3"/>
    </w:pPr>
    <w:rPr>
      <w:rFonts w:ascii="Arial" w:hAnsi="Arial"/>
      <w:bCs/>
      <w:sz w:val="24"/>
      <w:szCs w:val="28"/>
    </w:rPr>
  </w:style>
  <w:style w:type="paragraph" w:styleId="7">
    <w:name w:val="heading 5"/>
    <w:basedOn w:val="1"/>
    <w:next w:val="1"/>
    <w:qFormat/>
    <w:uiPriority w:val="0"/>
    <w:pPr>
      <w:keepNext/>
      <w:keepLines/>
      <w:spacing w:before="280" w:after="290" w:line="374" w:lineRule="auto"/>
      <w:outlineLvl w:val="4"/>
    </w:pPr>
    <w:rPr>
      <w:b/>
      <w:bCs/>
      <w:sz w:val="28"/>
      <w:szCs w:val="28"/>
    </w:rPr>
  </w:style>
  <w:style w:type="paragraph" w:styleId="8">
    <w:name w:val="heading 6"/>
    <w:basedOn w:val="1"/>
    <w:next w:val="1"/>
    <w:qFormat/>
    <w:uiPriority w:val="0"/>
    <w:pPr>
      <w:keepNext/>
      <w:keepLines/>
      <w:spacing w:before="240" w:after="64" w:line="319" w:lineRule="auto"/>
      <w:outlineLvl w:val="5"/>
    </w:pPr>
    <w:rPr>
      <w:rFonts w:ascii="Arial" w:hAnsi="Arial" w:eastAsia="黑体"/>
      <w:b/>
      <w:bCs/>
      <w:sz w:val="24"/>
    </w:rPr>
  </w:style>
  <w:style w:type="paragraph" w:styleId="9">
    <w:name w:val="heading 7"/>
    <w:basedOn w:val="1"/>
    <w:next w:val="1"/>
    <w:link w:val="80"/>
    <w:qFormat/>
    <w:uiPriority w:val="9"/>
    <w:pPr>
      <w:keepNext/>
      <w:keepLines/>
      <w:spacing w:before="240" w:after="64" w:line="320" w:lineRule="auto"/>
      <w:outlineLvl w:val="6"/>
    </w:pPr>
    <w:rPr>
      <w:b/>
      <w:bCs/>
      <w:sz w:val="24"/>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rPr>
      <w:color w:val="FF0000"/>
      <w:sz w:val="24"/>
    </w:rPr>
  </w:style>
  <w:style w:type="paragraph" w:styleId="10">
    <w:name w:val="toc 7"/>
    <w:basedOn w:val="1"/>
    <w:next w:val="1"/>
    <w:qFormat/>
    <w:uiPriority w:val="39"/>
    <w:pPr>
      <w:ind w:left="1260"/>
      <w:jc w:val="left"/>
    </w:pPr>
    <w:rPr>
      <w:szCs w:val="21"/>
    </w:rPr>
  </w:style>
  <w:style w:type="paragraph" w:styleId="11">
    <w:name w:val="Normal Indent"/>
    <w:basedOn w:val="1"/>
    <w:link w:val="84"/>
    <w:qFormat/>
    <w:uiPriority w:val="0"/>
    <w:pPr>
      <w:adjustRightInd w:val="0"/>
      <w:spacing w:line="312" w:lineRule="atLeast"/>
      <w:ind w:firstLine="420"/>
      <w:textAlignment w:val="baseline"/>
    </w:pPr>
    <w:rPr>
      <w:kern w:val="0"/>
      <w:szCs w:val="20"/>
    </w:rPr>
  </w:style>
  <w:style w:type="paragraph" w:styleId="12">
    <w:name w:val="caption"/>
    <w:basedOn w:val="1"/>
    <w:next w:val="1"/>
    <w:link w:val="83"/>
    <w:qFormat/>
    <w:uiPriority w:val="0"/>
    <w:rPr>
      <w:rFonts w:ascii="Arial" w:hAnsi="Arial" w:eastAsia="黑体"/>
      <w:sz w:val="20"/>
      <w:szCs w:val="20"/>
    </w:rPr>
  </w:style>
  <w:style w:type="paragraph" w:styleId="13">
    <w:name w:val="Document Map"/>
    <w:basedOn w:val="1"/>
    <w:link w:val="88"/>
    <w:qFormat/>
    <w:uiPriority w:val="0"/>
    <w:pPr>
      <w:shd w:val="clear" w:color="auto" w:fill="000080"/>
    </w:pPr>
  </w:style>
  <w:style w:type="paragraph" w:styleId="14">
    <w:name w:val="annotation text"/>
    <w:basedOn w:val="1"/>
    <w:link w:val="126"/>
    <w:qFormat/>
    <w:uiPriority w:val="99"/>
    <w:pPr>
      <w:jc w:val="left"/>
    </w:pPr>
  </w:style>
  <w:style w:type="paragraph" w:styleId="15">
    <w:name w:val="Body Text 3"/>
    <w:basedOn w:val="1"/>
    <w:link w:val="158"/>
    <w:qFormat/>
    <w:uiPriority w:val="0"/>
    <w:rPr>
      <w:color w:val="FF00FF"/>
    </w:rPr>
  </w:style>
  <w:style w:type="paragraph" w:styleId="16">
    <w:name w:val="Body Text"/>
    <w:basedOn w:val="1"/>
    <w:next w:val="1"/>
    <w:link w:val="57"/>
    <w:qFormat/>
    <w:uiPriority w:val="99"/>
    <w:rPr>
      <w:sz w:val="24"/>
    </w:rPr>
  </w:style>
  <w:style w:type="paragraph" w:styleId="17">
    <w:name w:val="Body Text Indent"/>
    <w:basedOn w:val="1"/>
    <w:link w:val="108"/>
    <w:qFormat/>
    <w:uiPriority w:val="0"/>
    <w:pPr>
      <w:ind w:left="853" w:leftChars="406" w:firstLine="490" w:firstLineChars="204"/>
    </w:pPr>
    <w:rPr>
      <w:rFonts w:ascii="宋体" w:hAnsi="宋体"/>
      <w:sz w:val="24"/>
    </w:rPr>
  </w:style>
  <w:style w:type="paragraph" w:styleId="18">
    <w:name w:val="toc 5"/>
    <w:basedOn w:val="1"/>
    <w:next w:val="1"/>
    <w:qFormat/>
    <w:uiPriority w:val="39"/>
    <w:pPr>
      <w:ind w:left="840"/>
      <w:jc w:val="left"/>
    </w:pPr>
    <w:rPr>
      <w:szCs w:val="21"/>
    </w:rPr>
  </w:style>
  <w:style w:type="paragraph" w:styleId="19">
    <w:name w:val="toc 3"/>
    <w:basedOn w:val="1"/>
    <w:next w:val="1"/>
    <w:qFormat/>
    <w:uiPriority w:val="39"/>
    <w:pPr>
      <w:ind w:left="420"/>
      <w:jc w:val="left"/>
    </w:pPr>
    <w:rPr>
      <w:i/>
      <w:iCs/>
    </w:rPr>
  </w:style>
  <w:style w:type="paragraph" w:styleId="20">
    <w:name w:val="Plain Text"/>
    <w:basedOn w:val="1"/>
    <w:link w:val="55"/>
    <w:qFormat/>
    <w:uiPriority w:val="0"/>
    <w:rPr>
      <w:rFonts w:ascii="宋体" w:hAnsi="Courier New"/>
      <w:kern w:val="10"/>
      <w:szCs w:val="21"/>
    </w:rPr>
  </w:style>
  <w:style w:type="paragraph" w:styleId="21">
    <w:name w:val="toc 8"/>
    <w:basedOn w:val="1"/>
    <w:next w:val="1"/>
    <w:qFormat/>
    <w:uiPriority w:val="39"/>
    <w:pPr>
      <w:ind w:left="1470"/>
      <w:jc w:val="left"/>
    </w:pPr>
    <w:rPr>
      <w:szCs w:val="21"/>
    </w:rPr>
  </w:style>
  <w:style w:type="paragraph" w:styleId="22">
    <w:name w:val="Date"/>
    <w:basedOn w:val="1"/>
    <w:next w:val="1"/>
    <w:qFormat/>
    <w:uiPriority w:val="0"/>
    <w:pPr>
      <w:ind w:left="100" w:leftChars="2500"/>
    </w:pPr>
    <w:rPr>
      <w:color w:val="0000FF"/>
      <w:sz w:val="24"/>
    </w:rPr>
  </w:style>
  <w:style w:type="paragraph" w:styleId="23">
    <w:name w:val="Body Text Indent 2"/>
    <w:basedOn w:val="1"/>
    <w:link w:val="110"/>
    <w:qFormat/>
    <w:uiPriority w:val="0"/>
    <w:pPr>
      <w:ind w:left="899" w:leftChars="428" w:firstLine="456" w:firstLineChars="217"/>
    </w:pPr>
  </w:style>
  <w:style w:type="paragraph" w:styleId="24">
    <w:name w:val="Balloon Text"/>
    <w:basedOn w:val="1"/>
    <w:link w:val="125"/>
    <w:qFormat/>
    <w:uiPriority w:val="0"/>
    <w:rPr>
      <w:sz w:val="18"/>
      <w:szCs w:val="18"/>
    </w:rPr>
  </w:style>
  <w:style w:type="paragraph" w:styleId="25">
    <w:name w:val="footer"/>
    <w:basedOn w:val="1"/>
    <w:link w:val="97"/>
    <w:qFormat/>
    <w:uiPriority w:val="0"/>
    <w:pPr>
      <w:tabs>
        <w:tab w:val="center" w:pos="4153"/>
        <w:tab w:val="right" w:pos="8306"/>
      </w:tabs>
      <w:snapToGrid w:val="0"/>
      <w:jc w:val="left"/>
    </w:pPr>
    <w:rPr>
      <w:sz w:val="18"/>
      <w:szCs w:val="18"/>
    </w:rPr>
  </w:style>
  <w:style w:type="paragraph" w:styleId="26">
    <w:name w:val="envelope return"/>
    <w:basedOn w:val="1"/>
    <w:unhideWhenUsed/>
    <w:qFormat/>
    <w:uiPriority w:val="0"/>
    <w:pPr>
      <w:snapToGrid w:val="0"/>
    </w:pPr>
    <w:rPr>
      <w:rFonts w:ascii="Arial" w:hAnsi="Arial" w:cs="Arial"/>
    </w:rPr>
  </w:style>
  <w:style w:type="paragraph" w:styleId="27">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b/>
      <w:bCs/>
      <w:caps/>
    </w:rPr>
  </w:style>
  <w:style w:type="paragraph" w:styleId="29">
    <w:name w:val="toc 4"/>
    <w:basedOn w:val="1"/>
    <w:next w:val="1"/>
    <w:qFormat/>
    <w:uiPriority w:val="39"/>
    <w:pPr>
      <w:ind w:left="630"/>
      <w:jc w:val="left"/>
    </w:pPr>
    <w:rPr>
      <w:szCs w:val="21"/>
    </w:rPr>
  </w:style>
  <w:style w:type="paragraph" w:styleId="30">
    <w:name w:val="Subtitle"/>
    <w:basedOn w:val="1"/>
    <w:next w:val="1"/>
    <w:link w:val="113"/>
    <w:qFormat/>
    <w:uiPriority w:val="0"/>
    <w:pPr>
      <w:spacing w:beforeLines="50" w:afterLines="50" w:line="360" w:lineRule="auto"/>
      <w:ind w:firstLine="200" w:firstLineChars="200"/>
      <w:jc w:val="left"/>
      <w:outlineLvl w:val="1"/>
    </w:pPr>
    <w:rPr>
      <w:rFonts w:ascii="Cambria" w:hAnsi="Cambria" w:eastAsia="黑体"/>
      <w:bCs/>
      <w:kern w:val="28"/>
      <w:sz w:val="28"/>
      <w:szCs w:val="32"/>
    </w:rPr>
  </w:style>
  <w:style w:type="paragraph" w:styleId="31">
    <w:name w:val="List"/>
    <w:basedOn w:val="1"/>
    <w:qFormat/>
    <w:uiPriority w:val="0"/>
    <w:pPr>
      <w:ind w:left="200" w:hanging="200" w:hangingChars="200"/>
    </w:pPr>
    <w:rPr>
      <w:sz w:val="28"/>
      <w:szCs w:val="28"/>
    </w:rPr>
  </w:style>
  <w:style w:type="paragraph" w:styleId="32">
    <w:name w:val="toc 6"/>
    <w:basedOn w:val="1"/>
    <w:next w:val="1"/>
    <w:qFormat/>
    <w:uiPriority w:val="39"/>
    <w:pPr>
      <w:ind w:left="1050"/>
      <w:jc w:val="left"/>
    </w:pPr>
    <w:rPr>
      <w:szCs w:val="21"/>
    </w:rPr>
  </w:style>
  <w:style w:type="paragraph" w:styleId="33">
    <w:name w:val="Body Text Indent 3"/>
    <w:basedOn w:val="1"/>
    <w:link w:val="111"/>
    <w:qFormat/>
    <w:uiPriority w:val="0"/>
    <w:pPr>
      <w:ind w:left="899" w:leftChars="428" w:firstLine="458" w:firstLineChars="218"/>
    </w:pPr>
  </w:style>
  <w:style w:type="paragraph" w:styleId="34">
    <w:name w:val="table of figures"/>
    <w:basedOn w:val="1"/>
    <w:next w:val="1"/>
    <w:qFormat/>
    <w:uiPriority w:val="0"/>
    <w:pPr>
      <w:ind w:left="840" w:leftChars="200" w:hanging="420" w:hangingChars="200"/>
    </w:pPr>
  </w:style>
  <w:style w:type="paragraph" w:styleId="35">
    <w:name w:val="toc 2"/>
    <w:basedOn w:val="1"/>
    <w:next w:val="1"/>
    <w:qFormat/>
    <w:uiPriority w:val="39"/>
    <w:pPr>
      <w:ind w:left="210"/>
      <w:jc w:val="left"/>
    </w:pPr>
    <w:rPr>
      <w:smallCaps/>
    </w:rPr>
  </w:style>
  <w:style w:type="paragraph" w:styleId="36">
    <w:name w:val="toc 9"/>
    <w:basedOn w:val="1"/>
    <w:next w:val="1"/>
    <w:qFormat/>
    <w:uiPriority w:val="39"/>
    <w:pPr>
      <w:ind w:left="1680"/>
      <w:jc w:val="left"/>
    </w:pPr>
    <w:rPr>
      <w:szCs w:val="21"/>
    </w:rPr>
  </w:style>
  <w:style w:type="paragraph" w:styleId="37">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9">
    <w:name w:val="Title"/>
    <w:basedOn w:val="1"/>
    <w:next w:val="1"/>
    <w:link w:val="98"/>
    <w:qFormat/>
    <w:uiPriority w:val="0"/>
    <w:pPr>
      <w:spacing w:before="240" w:after="60"/>
      <w:jc w:val="center"/>
      <w:outlineLvl w:val="0"/>
    </w:pPr>
    <w:rPr>
      <w:rFonts w:ascii="Cambria" w:hAnsi="Cambria"/>
      <w:b/>
      <w:sz w:val="44"/>
      <w:szCs w:val="20"/>
    </w:rPr>
  </w:style>
  <w:style w:type="paragraph" w:styleId="40">
    <w:name w:val="annotation subject"/>
    <w:basedOn w:val="14"/>
    <w:next w:val="14"/>
    <w:qFormat/>
    <w:uiPriority w:val="0"/>
    <w:rPr>
      <w:b/>
      <w:bCs/>
    </w:rPr>
  </w:style>
  <w:style w:type="paragraph" w:styleId="41">
    <w:name w:val="Body Text First Indent 2"/>
    <w:basedOn w:val="17"/>
    <w:qFormat/>
    <w:uiPriority w:val="0"/>
    <w:pPr>
      <w:spacing w:line="360" w:lineRule="auto"/>
    </w:pPr>
    <w:rPr>
      <w:snapToGrid w:val="0"/>
      <w:kern w:val="0"/>
      <w:sz w:val="24"/>
    </w:rPr>
  </w:style>
  <w:style w:type="table" w:styleId="43">
    <w:name w:val="Table Grid"/>
    <w:basedOn w:val="42"/>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99"/>
    <w:rPr>
      <w:color w:val="800080"/>
      <w:u w:val="single"/>
    </w:rPr>
  </w:style>
  <w:style w:type="character" w:styleId="48">
    <w:name w:val="Emphasis"/>
    <w:qFormat/>
    <w:uiPriority w:val="0"/>
    <w:rPr>
      <w:i/>
      <w:iCs/>
    </w:rPr>
  </w:style>
  <w:style w:type="character" w:styleId="49">
    <w:name w:val="Hyperlink"/>
    <w:qFormat/>
    <w:uiPriority w:val="99"/>
    <w:rPr>
      <w:color w:val="0000FF"/>
      <w:u w:val="single"/>
    </w:rPr>
  </w:style>
  <w:style w:type="character" w:styleId="50">
    <w:name w:val="annotation reference"/>
    <w:qFormat/>
    <w:uiPriority w:val="0"/>
    <w:rPr>
      <w:sz w:val="21"/>
      <w:szCs w:val="21"/>
    </w:rPr>
  </w:style>
  <w:style w:type="character" w:customStyle="1" w:styleId="51">
    <w:name w:val="style41"/>
    <w:qFormat/>
    <w:uiPriority w:val="0"/>
    <w:rPr>
      <w:color w:val="666666"/>
      <w:sz w:val="18"/>
      <w:szCs w:val="18"/>
    </w:rPr>
  </w:style>
  <w:style w:type="character" w:customStyle="1" w:styleId="52">
    <w:name w:val="141"/>
    <w:qFormat/>
    <w:uiPriority w:val="0"/>
    <w:rPr>
      <w:sz w:val="28"/>
      <w:szCs w:val="28"/>
    </w:rPr>
  </w:style>
  <w:style w:type="character" w:customStyle="1" w:styleId="53">
    <w:name w:val="style741"/>
    <w:qFormat/>
    <w:uiPriority w:val="0"/>
    <w:rPr>
      <w:rFonts w:cs="Times New Roman"/>
      <w:color w:val="666666"/>
    </w:rPr>
  </w:style>
  <w:style w:type="character" w:customStyle="1" w:styleId="54">
    <w:name w:val="d1"/>
    <w:qFormat/>
    <w:uiPriority w:val="0"/>
    <w:rPr>
      <w:color w:val="000000"/>
      <w:sz w:val="21"/>
      <w:szCs w:val="21"/>
      <w:u w:val="none"/>
    </w:rPr>
  </w:style>
  <w:style w:type="character" w:customStyle="1" w:styleId="55">
    <w:name w:val="纯文本 字符"/>
    <w:link w:val="20"/>
    <w:qFormat/>
    <w:locked/>
    <w:uiPriority w:val="0"/>
    <w:rPr>
      <w:rFonts w:ascii="宋体" w:hAnsi="Courier New" w:eastAsia="宋体"/>
      <w:kern w:val="10"/>
      <w:sz w:val="21"/>
      <w:szCs w:val="21"/>
      <w:lang w:val="en-US" w:eastAsia="zh-CN" w:bidi="ar-SA"/>
    </w:rPr>
  </w:style>
  <w:style w:type="character" w:customStyle="1" w:styleId="56">
    <w:name w:val="apple-converted-space"/>
    <w:basedOn w:val="44"/>
    <w:qFormat/>
    <w:uiPriority w:val="0"/>
  </w:style>
  <w:style w:type="character" w:customStyle="1" w:styleId="57">
    <w:name w:val="正文文本 字符"/>
    <w:link w:val="16"/>
    <w:qFormat/>
    <w:uiPriority w:val="99"/>
    <w:rPr>
      <w:rFonts w:eastAsia="宋体"/>
      <w:kern w:val="2"/>
      <w:sz w:val="24"/>
      <w:szCs w:val="24"/>
      <w:lang w:val="en-US" w:eastAsia="zh-CN" w:bidi="ar-SA"/>
    </w:rPr>
  </w:style>
  <w:style w:type="paragraph" w:customStyle="1" w:styleId="58">
    <w:name w:val="Char Char6"/>
    <w:basedOn w:val="1"/>
    <w:qFormat/>
    <w:uiPriority w:val="0"/>
    <w:pPr>
      <w:widowControl/>
      <w:spacing w:after="160" w:line="240" w:lineRule="exact"/>
      <w:jc w:val="left"/>
    </w:pPr>
  </w:style>
  <w:style w:type="paragraph" w:customStyle="1" w:styleId="59">
    <w:name w:val="Char Char Char Char Char Char Char Char Char Char Char Char Char Char Char Char"/>
    <w:basedOn w:val="1"/>
    <w:qFormat/>
    <w:uiPriority w:val="0"/>
    <w:rPr>
      <w:rFonts w:ascii="Tahoma" w:hAnsi="Tahoma"/>
      <w:sz w:val="24"/>
      <w:szCs w:val="20"/>
    </w:rPr>
  </w:style>
  <w:style w:type="paragraph" w:customStyle="1" w:styleId="60">
    <w:name w:val="indent_2em1"/>
    <w:basedOn w:val="1"/>
    <w:qFormat/>
    <w:uiPriority w:val="0"/>
    <w:pPr>
      <w:widowControl/>
      <w:spacing w:line="300" w:lineRule="atLeast"/>
      <w:ind w:firstLine="480"/>
      <w:jc w:val="left"/>
    </w:pPr>
    <w:rPr>
      <w:rFonts w:ascii="宋体" w:hAnsi="宋体" w:cs="宋体"/>
      <w:spacing w:val="15"/>
      <w:kern w:val="0"/>
      <w:sz w:val="24"/>
    </w:rPr>
  </w:style>
  <w:style w:type="paragraph" w:customStyle="1" w:styleId="61">
    <w:name w:val="Char Char Char Char Char Char Char Char Char"/>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62">
    <w:name w:val="p0"/>
    <w:basedOn w:val="1"/>
    <w:unhideWhenUsed/>
    <w:qFormat/>
    <w:uiPriority w:val="99"/>
    <w:pPr>
      <w:widowControl/>
    </w:pPr>
    <w:rPr>
      <w:rFonts w:hint="eastAsia"/>
    </w:rPr>
  </w:style>
  <w:style w:type="paragraph" w:customStyle="1" w:styleId="63">
    <w:name w:val="indent_2em"/>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Char Char Char Char Char Char Char Char Char Char Char Char Char Char Char Char Char Char Char"/>
    <w:basedOn w:val="1"/>
    <w:qFormat/>
    <w:uiPriority w:val="0"/>
    <w:pPr>
      <w:widowControl/>
      <w:spacing w:after="160" w:line="240" w:lineRule="exact"/>
      <w:jc w:val="left"/>
    </w:pPr>
  </w:style>
  <w:style w:type="paragraph" w:customStyle="1" w:styleId="6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6">
    <w:name w:val="xiao b"/>
    <w:basedOn w:val="1"/>
    <w:qFormat/>
    <w:uiPriority w:val="0"/>
    <w:pPr>
      <w:jc w:val="center"/>
    </w:pPr>
    <w:rPr>
      <w:rFonts w:eastAsia="黑体"/>
      <w:sz w:val="24"/>
      <w:szCs w:val="20"/>
    </w:rPr>
  </w:style>
  <w:style w:type="paragraph" w:customStyle="1" w:styleId="67">
    <w:name w:val="p16"/>
    <w:basedOn w:val="1"/>
    <w:qFormat/>
    <w:uiPriority w:val="0"/>
    <w:pPr>
      <w:widowControl/>
      <w:spacing w:before="100" w:beforeAutospacing="1" w:after="100" w:afterAutospacing="1"/>
      <w:jc w:val="left"/>
    </w:pPr>
    <w:rPr>
      <w:rFonts w:ascii="宋体" w:hAnsi="宋体" w:cs="宋体"/>
      <w:kern w:val="0"/>
      <w:sz w:val="24"/>
    </w:rPr>
  </w:style>
  <w:style w:type="paragraph" w:customStyle="1" w:styleId="68">
    <w:name w:val="Char"/>
    <w:basedOn w:val="1"/>
    <w:qFormat/>
    <w:uiPriority w:val="0"/>
    <w:pPr>
      <w:tabs>
        <w:tab w:val="left" w:pos="420"/>
      </w:tabs>
      <w:ind w:left="420" w:hanging="420"/>
    </w:pPr>
    <w:rPr>
      <w:szCs w:val="20"/>
    </w:rPr>
  </w:style>
  <w:style w:type="paragraph" w:customStyle="1" w:styleId="69">
    <w:name w:val="_Style 32"/>
    <w:basedOn w:val="1"/>
    <w:next w:val="2"/>
    <w:qFormat/>
    <w:uiPriority w:val="0"/>
    <w:pPr>
      <w:spacing w:after="120" w:line="480" w:lineRule="auto"/>
    </w:pPr>
    <w:rPr>
      <w:szCs w:val="20"/>
    </w:rPr>
  </w:style>
  <w:style w:type="paragraph" w:customStyle="1" w:styleId="70">
    <w:name w:val="表内文字"/>
    <w:basedOn w:val="1"/>
    <w:qFormat/>
    <w:uiPriority w:val="0"/>
    <w:pPr>
      <w:tabs>
        <w:tab w:val="left" w:pos="1418"/>
      </w:tabs>
      <w:spacing w:line="360" w:lineRule="auto"/>
      <w:jc w:val="center"/>
    </w:pPr>
    <w:rPr>
      <w:rFonts w:ascii="仿宋_GB2312" w:eastAsia="仿宋_GB2312" w:cs="仿宋_GB2312"/>
      <w:spacing w:val="-20"/>
      <w:kern w:val="0"/>
      <w:sz w:val="24"/>
    </w:rPr>
  </w:style>
  <w:style w:type="paragraph" w:customStyle="1" w:styleId="71">
    <w:name w:val="Char Char Char Char Char Char"/>
    <w:basedOn w:val="1"/>
    <w:qFormat/>
    <w:uiPriority w:val="0"/>
  </w:style>
  <w:style w:type="paragraph" w:customStyle="1" w:styleId="72">
    <w:name w:val="列出段落1"/>
    <w:basedOn w:val="1"/>
    <w:link w:val="81"/>
    <w:qFormat/>
    <w:uiPriority w:val="34"/>
    <w:pPr>
      <w:ind w:firstLine="420" w:firstLineChars="200"/>
    </w:pPr>
  </w:style>
  <w:style w:type="paragraph" w:customStyle="1" w:styleId="73">
    <w:name w:val="style75"/>
    <w:basedOn w:val="1"/>
    <w:qFormat/>
    <w:uiPriority w:val="0"/>
    <w:pPr>
      <w:widowControl/>
      <w:spacing w:before="100" w:beforeAutospacing="1" w:after="100" w:afterAutospacing="1"/>
      <w:jc w:val="left"/>
    </w:pPr>
    <w:rPr>
      <w:rFonts w:ascii="宋体" w:hAnsi="宋体" w:cs="宋体"/>
      <w:color w:val="666666"/>
      <w:kern w:val="0"/>
      <w:sz w:val="15"/>
      <w:szCs w:val="15"/>
    </w:rPr>
  </w:style>
  <w:style w:type="paragraph" w:customStyle="1" w:styleId="74">
    <w:name w:val="Char Char Char Char"/>
    <w:basedOn w:val="13"/>
    <w:qFormat/>
    <w:uiPriority w:val="0"/>
    <w:rPr>
      <w:rFonts w:ascii="Tahoma" w:hAnsi="Tahoma"/>
      <w:sz w:val="24"/>
    </w:rPr>
  </w:style>
  <w:style w:type="paragraph" w:customStyle="1" w:styleId="75">
    <w:name w:val="正文2"/>
    <w:basedOn w:val="16"/>
    <w:qFormat/>
    <w:uiPriority w:val="0"/>
    <w:pPr>
      <w:spacing w:line="360" w:lineRule="auto"/>
      <w:ind w:firstLine="480" w:firstLineChars="200"/>
    </w:pPr>
    <w:rPr>
      <w:rFonts w:ascii="宋体"/>
    </w:rPr>
  </w:style>
  <w:style w:type="paragraph" w:customStyle="1" w:styleId="76">
    <w:name w:val="编写建议 Char"/>
    <w:basedOn w:val="1"/>
    <w:link w:val="77"/>
    <w:qFormat/>
    <w:uiPriority w:val="0"/>
    <w:pPr>
      <w:autoSpaceDE w:val="0"/>
      <w:autoSpaceDN w:val="0"/>
      <w:adjustRightInd w:val="0"/>
      <w:spacing w:line="360" w:lineRule="auto"/>
      <w:ind w:firstLine="420" w:firstLineChars="200"/>
      <w:jc w:val="left"/>
    </w:pPr>
    <w:rPr>
      <w:rFonts w:ascii="Arial" w:hAnsi="Arial"/>
      <w:i/>
      <w:color w:val="0000FF"/>
      <w:kern w:val="0"/>
      <w:sz w:val="20"/>
      <w:szCs w:val="21"/>
    </w:rPr>
  </w:style>
  <w:style w:type="character" w:customStyle="1" w:styleId="77">
    <w:name w:val="编写建议 Char Char"/>
    <w:link w:val="76"/>
    <w:qFormat/>
    <w:uiPriority w:val="0"/>
    <w:rPr>
      <w:rFonts w:ascii="Arial" w:hAnsi="Arial"/>
      <w:i/>
      <w:color w:val="0000FF"/>
      <w:szCs w:val="21"/>
    </w:rPr>
  </w:style>
  <w:style w:type="paragraph" w:customStyle="1" w:styleId="78">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79">
    <w:name w:val="Char Char Char"/>
    <w:basedOn w:val="1"/>
    <w:qFormat/>
    <w:uiPriority w:val="0"/>
    <w:rPr>
      <w:rFonts w:ascii="Tahoma" w:hAnsi="Tahoma"/>
      <w:sz w:val="24"/>
      <w:szCs w:val="20"/>
    </w:rPr>
  </w:style>
  <w:style w:type="character" w:customStyle="1" w:styleId="80">
    <w:name w:val="标题 7 字符"/>
    <w:link w:val="9"/>
    <w:semiHidden/>
    <w:qFormat/>
    <w:uiPriority w:val="9"/>
    <w:rPr>
      <w:b/>
      <w:bCs/>
      <w:kern w:val="2"/>
      <w:sz w:val="24"/>
      <w:szCs w:val="24"/>
    </w:rPr>
  </w:style>
  <w:style w:type="character" w:customStyle="1" w:styleId="81">
    <w:name w:val="列出段落 Char"/>
    <w:link w:val="72"/>
    <w:qFormat/>
    <w:uiPriority w:val="34"/>
    <w:rPr>
      <w:kern w:val="2"/>
      <w:sz w:val="21"/>
      <w:szCs w:val="24"/>
    </w:rPr>
  </w:style>
  <w:style w:type="character" w:customStyle="1" w:styleId="82">
    <w:name w:val="small18"/>
    <w:qFormat/>
    <w:uiPriority w:val="0"/>
  </w:style>
  <w:style w:type="character" w:customStyle="1" w:styleId="83">
    <w:name w:val="题注 字符"/>
    <w:link w:val="12"/>
    <w:qFormat/>
    <w:locked/>
    <w:uiPriority w:val="0"/>
    <w:rPr>
      <w:rFonts w:ascii="Arial" w:hAnsi="Arial" w:eastAsia="黑体" w:cs="Arial"/>
      <w:kern w:val="2"/>
    </w:rPr>
  </w:style>
  <w:style w:type="character" w:customStyle="1" w:styleId="84">
    <w:name w:val="正文缩进 字符"/>
    <w:link w:val="11"/>
    <w:qFormat/>
    <w:uiPriority w:val="0"/>
    <w:rPr>
      <w:sz w:val="21"/>
    </w:rPr>
  </w:style>
  <w:style w:type="paragraph" w:customStyle="1" w:styleId="85">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6">
    <w:name w:val="列出段落11"/>
    <w:basedOn w:val="1"/>
    <w:qFormat/>
    <w:uiPriority w:val="0"/>
    <w:pPr>
      <w:ind w:firstLine="420" w:firstLineChars="200"/>
    </w:pPr>
    <w:rPr>
      <w:rFonts w:ascii="Calibri" w:hAnsi="Calibri" w:cs="黑体"/>
      <w:szCs w:val="22"/>
    </w:rPr>
  </w:style>
  <w:style w:type="character" w:customStyle="1" w:styleId="87">
    <w:name w:val="普通文字 Char Char1"/>
    <w:qFormat/>
    <w:locked/>
    <w:uiPriority w:val="0"/>
    <w:rPr>
      <w:rFonts w:ascii="宋体" w:hAnsi="Courier New" w:eastAsia="宋体"/>
      <w:kern w:val="10"/>
      <w:sz w:val="21"/>
      <w:szCs w:val="21"/>
      <w:lang w:val="en-US" w:eastAsia="zh-CN" w:bidi="ar-SA"/>
    </w:rPr>
  </w:style>
  <w:style w:type="character" w:customStyle="1" w:styleId="88">
    <w:name w:val="文档结构图 字符"/>
    <w:link w:val="13"/>
    <w:qFormat/>
    <w:uiPriority w:val="0"/>
    <w:rPr>
      <w:kern w:val="2"/>
      <w:sz w:val="21"/>
      <w:szCs w:val="24"/>
      <w:shd w:val="clear" w:color="auto" w:fill="000080"/>
    </w:rPr>
  </w:style>
  <w:style w:type="paragraph" w:customStyle="1" w:styleId="89">
    <w:name w:val="普通 (Web)"/>
    <w:basedOn w:val="1"/>
    <w:qFormat/>
    <w:uiPriority w:val="0"/>
    <w:pPr>
      <w:widowControl/>
      <w:spacing w:before="100" w:after="100"/>
      <w:jc w:val="left"/>
    </w:pPr>
    <w:rPr>
      <w:rFonts w:ascii="宋体" w:hAnsi="宋体"/>
      <w:kern w:val="0"/>
      <w:sz w:val="24"/>
      <w:szCs w:val="20"/>
    </w:rPr>
  </w:style>
  <w:style w:type="paragraph" w:customStyle="1" w:styleId="9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1">
    <w:name w:val="style4"/>
    <w:basedOn w:val="1"/>
    <w:qFormat/>
    <w:uiPriority w:val="0"/>
    <w:pPr>
      <w:widowControl/>
      <w:spacing w:before="100" w:beforeAutospacing="1" w:after="100" w:afterAutospacing="1"/>
      <w:jc w:val="left"/>
    </w:pPr>
    <w:rPr>
      <w:rFonts w:ascii="Arial" w:hAnsi="Arial" w:cs="Arial"/>
      <w:kern w:val="0"/>
      <w:sz w:val="18"/>
      <w:szCs w:val="18"/>
    </w:rPr>
  </w:style>
  <w:style w:type="character" w:customStyle="1" w:styleId="92">
    <w:name w:val="页眉 字符"/>
    <w:link w:val="27"/>
    <w:qFormat/>
    <w:uiPriority w:val="99"/>
    <w:rPr>
      <w:kern w:val="2"/>
      <w:sz w:val="18"/>
      <w:szCs w:val="18"/>
    </w:rPr>
  </w:style>
  <w:style w:type="character" w:customStyle="1" w:styleId="93">
    <w:name w:val="标题 3 字符"/>
    <w:link w:val="5"/>
    <w:qFormat/>
    <w:uiPriority w:val="9"/>
    <w:rPr>
      <w:rFonts w:ascii="宋体"/>
      <w:b/>
      <w:bCs/>
      <w:kern w:val="2"/>
      <w:sz w:val="24"/>
      <w:szCs w:val="32"/>
    </w:rPr>
  </w:style>
  <w:style w:type="character" w:customStyle="1" w:styleId="94">
    <w:name w:val="标题 2 字符"/>
    <w:link w:val="4"/>
    <w:qFormat/>
    <w:uiPriority w:val="0"/>
    <w:rPr>
      <w:rFonts w:ascii="Arial" w:hAnsi="Arial" w:eastAsia="黑体"/>
      <w:bCs/>
      <w:kern w:val="2"/>
      <w:sz w:val="32"/>
      <w:szCs w:val="32"/>
    </w:rPr>
  </w:style>
  <w:style w:type="paragraph" w:customStyle="1" w:styleId="95">
    <w:name w:val="style40"/>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96">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szCs w:val="20"/>
    </w:rPr>
  </w:style>
  <w:style w:type="character" w:customStyle="1" w:styleId="97">
    <w:name w:val="页脚 字符"/>
    <w:link w:val="25"/>
    <w:qFormat/>
    <w:uiPriority w:val="99"/>
    <w:rPr>
      <w:kern w:val="2"/>
      <w:sz w:val="18"/>
      <w:szCs w:val="18"/>
    </w:rPr>
  </w:style>
  <w:style w:type="character" w:customStyle="1" w:styleId="98">
    <w:name w:val="标题 字符"/>
    <w:link w:val="39"/>
    <w:qFormat/>
    <w:uiPriority w:val="0"/>
    <w:rPr>
      <w:rFonts w:ascii="Cambria" w:hAnsi="Cambria"/>
      <w:b/>
      <w:kern w:val="2"/>
      <w:sz w:val="44"/>
    </w:rPr>
  </w:style>
  <w:style w:type="character" w:customStyle="1" w:styleId="99">
    <w:name w:val="标题 Char1"/>
    <w:qFormat/>
    <w:uiPriority w:val="10"/>
    <w:rPr>
      <w:rFonts w:ascii="Cambria" w:hAnsi="Cambria" w:cs="Times New Roman"/>
      <w:b/>
      <w:bCs/>
      <w:kern w:val="2"/>
      <w:sz w:val="32"/>
      <w:szCs w:val="32"/>
    </w:rPr>
  </w:style>
  <w:style w:type="paragraph" w:customStyle="1" w:styleId="100">
    <w:name w:val="正文缩进1"/>
    <w:basedOn w:val="1"/>
    <w:qFormat/>
    <w:uiPriority w:val="0"/>
  </w:style>
  <w:style w:type="paragraph" w:customStyle="1" w:styleId="101">
    <w:name w:val="Pa6"/>
    <w:basedOn w:val="1"/>
    <w:next w:val="1"/>
    <w:qFormat/>
    <w:uiPriority w:val="99"/>
    <w:pPr>
      <w:autoSpaceDE w:val="0"/>
      <w:autoSpaceDN w:val="0"/>
      <w:adjustRightInd w:val="0"/>
      <w:spacing w:line="181" w:lineRule="atLeast"/>
      <w:jc w:val="left"/>
    </w:pPr>
    <w:rPr>
      <w:rFonts w:ascii="Futura Bk" w:hAnsi="Futura Bk"/>
      <w:kern w:val="0"/>
      <w:sz w:val="24"/>
    </w:rPr>
  </w:style>
  <w:style w:type="character" w:customStyle="1" w:styleId="102">
    <w:name w:val="title01"/>
    <w:basedOn w:val="44"/>
    <w:qFormat/>
    <w:uiPriority w:val="0"/>
  </w:style>
  <w:style w:type="paragraph" w:customStyle="1" w:styleId="103">
    <w:name w:val="Default"/>
    <w:link w:val="160"/>
    <w:qFormat/>
    <w:uiPriority w:val="0"/>
    <w:pPr>
      <w:widowControl w:val="0"/>
      <w:autoSpaceDE w:val="0"/>
      <w:autoSpaceDN w:val="0"/>
    </w:pPr>
    <w:rPr>
      <w:rFonts w:hint="eastAsia" w:ascii="微软雅黑" w:hAnsi="微软雅黑" w:eastAsia="微软雅黑" w:cs="Times New Roman"/>
      <w:color w:val="000000"/>
      <w:sz w:val="24"/>
      <w:lang w:val="en-US" w:eastAsia="zh-CN" w:bidi="ar-SA"/>
    </w:rPr>
  </w:style>
  <w:style w:type="character" w:customStyle="1" w:styleId="104">
    <w:name w:val="标题 1 字符"/>
    <w:link w:val="3"/>
    <w:qFormat/>
    <w:uiPriority w:val="0"/>
    <w:rPr>
      <w:b/>
      <w:bCs/>
      <w:kern w:val="44"/>
      <w:sz w:val="32"/>
      <w:szCs w:val="44"/>
    </w:rPr>
  </w:style>
  <w:style w:type="paragraph" w:customStyle="1" w:styleId="105">
    <w:name w:val="Char1"/>
    <w:basedOn w:val="1"/>
    <w:qFormat/>
    <w:uiPriority w:val="0"/>
    <w:pPr>
      <w:widowControl/>
      <w:spacing w:after="160" w:line="240" w:lineRule="exact"/>
      <w:jc w:val="left"/>
    </w:pPr>
    <w:rPr>
      <w:szCs w:val="20"/>
    </w:rPr>
  </w:style>
  <w:style w:type="paragraph" w:customStyle="1" w:styleId="106">
    <w:name w:val="CM30"/>
    <w:basedOn w:val="1"/>
    <w:next w:val="1"/>
    <w:qFormat/>
    <w:uiPriority w:val="0"/>
    <w:pPr>
      <w:autoSpaceDE w:val="0"/>
      <w:autoSpaceDN w:val="0"/>
      <w:adjustRightInd w:val="0"/>
      <w:spacing w:after="200"/>
      <w:jc w:val="left"/>
    </w:pPr>
    <w:rPr>
      <w:rFonts w:ascii="宋体"/>
      <w:kern w:val="0"/>
      <w:sz w:val="24"/>
    </w:rPr>
  </w:style>
  <w:style w:type="character" w:customStyle="1" w:styleId="107">
    <w:name w:val="标题 4 字符"/>
    <w:link w:val="6"/>
    <w:qFormat/>
    <w:uiPriority w:val="0"/>
    <w:rPr>
      <w:rFonts w:ascii="Arial" w:hAnsi="Arial"/>
      <w:bCs/>
      <w:kern w:val="2"/>
      <w:sz w:val="24"/>
      <w:szCs w:val="28"/>
    </w:rPr>
  </w:style>
  <w:style w:type="character" w:customStyle="1" w:styleId="108">
    <w:name w:val="正文文本缩进 字符"/>
    <w:link w:val="17"/>
    <w:qFormat/>
    <w:uiPriority w:val="0"/>
    <w:rPr>
      <w:rFonts w:ascii="宋体" w:hAnsi="宋体"/>
      <w:kern w:val="2"/>
      <w:sz w:val="24"/>
      <w:szCs w:val="24"/>
    </w:rPr>
  </w:style>
  <w:style w:type="paragraph" w:customStyle="1" w:styleId="109">
    <w:name w:val="xl33"/>
    <w:basedOn w:val="1"/>
    <w:qFormat/>
    <w:uiPriority w:val="0"/>
    <w:pPr>
      <w:widowControl/>
      <w:spacing w:before="100" w:beforeAutospacing="1" w:after="100" w:afterAutospacing="1"/>
      <w:jc w:val="center"/>
      <w:textAlignment w:val="center"/>
    </w:pPr>
    <w:rPr>
      <w:rFonts w:ascii="宋体" w:hAnsi="宋体"/>
      <w:b/>
      <w:bCs/>
      <w:kern w:val="0"/>
      <w:sz w:val="24"/>
    </w:rPr>
  </w:style>
  <w:style w:type="character" w:customStyle="1" w:styleId="110">
    <w:name w:val="正文文本缩进 2 字符"/>
    <w:link w:val="23"/>
    <w:qFormat/>
    <w:uiPriority w:val="0"/>
    <w:rPr>
      <w:kern w:val="2"/>
      <w:sz w:val="21"/>
      <w:szCs w:val="24"/>
    </w:rPr>
  </w:style>
  <w:style w:type="character" w:customStyle="1" w:styleId="111">
    <w:name w:val="正文文本缩进 3 字符"/>
    <w:link w:val="33"/>
    <w:qFormat/>
    <w:uiPriority w:val="0"/>
    <w:rPr>
      <w:kern w:val="2"/>
      <w:sz w:val="21"/>
      <w:szCs w:val="24"/>
    </w:rPr>
  </w:style>
  <w:style w:type="paragraph" w:customStyle="1" w:styleId="112">
    <w:name w:val="xl26"/>
    <w:basedOn w:val="1"/>
    <w:qFormat/>
    <w:uiPriority w:val="0"/>
    <w:pPr>
      <w:widowControl/>
      <w:spacing w:before="100" w:beforeAutospacing="1" w:after="100" w:afterAutospacing="1"/>
      <w:jc w:val="center"/>
      <w:textAlignment w:val="center"/>
    </w:pPr>
    <w:rPr>
      <w:rFonts w:ascii="宋体" w:hAnsi="宋体"/>
      <w:kern w:val="0"/>
      <w:sz w:val="24"/>
    </w:rPr>
  </w:style>
  <w:style w:type="character" w:customStyle="1" w:styleId="113">
    <w:name w:val="副标题 字符"/>
    <w:link w:val="30"/>
    <w:qFormat/>
    <w:uiPriority w:val="0"/>
    <w:rPr>
      <w:rFonts w:ascii="Cambria" w:hAnsi="Cambria" w:eastAsia="黑体"/>
      <w:bCs/>
      <w:kern w:val="28"/>
      <w:sz w:val="28"/>
      <w:szCs w:val="32"/>
    </w:rPr>
  </w:style>
  <w:style w:type="paragraph" w:customStyle="1" w:styleId="114">
    <w:name w:val="Char Char Char Char Char Char Char Char Char Char Char Char Char Char Char Char1"/>
    <w:basedOn w:val="1"/>
    <w:qFormat/>
    <w:uiPriority w:val="0"/>
    <w:pPr>
      <w:spacing w:line="500" w:lineRule="exact"/>
    </w:pPr>
    <w:rPr>
      <w:sz w:val="24"/>
    </w:rPr>
  </w:style>
  <w:style w:type="paragraph" w:customStyle="1" w:styleId="115">
    <w:name w:val="CM27"/>
    <w:basedOn w:val="103"/>
    <w:next w:val="103"/>
    <w:qFormat/>
    <w:uiPriority w:val="0"/>
    <w:pPr>
      <w:adjustRightInd w:val="0"/>
      <w:spacing w:after="513"/>
    </w:pPr>
    <w:rPr>
      <w:rFonts w:hint="default" w:ascii="宋体" w:hAnsi="Times New Roman" w:eastAsia="宋体"/>
      <w:color w:val="auto"/>
      <w:szCs w:val="24"/>
    </w:rPr>
  </w:style>
  <w:style w:type="paragraph" w:customStyle="1" w:styleId="116">
    <w:name w:val="CM5"/>
    <w:basedOn w:val="103"/>
    <w:next w:val="103"/>
    <w:qFormat/>
    <w:uiPriority w:val="0"/>
    <w:pPr>
      <w:adjustRightInd w:val="0"/>
      <w:spacing w:line="491" w:lineRule="atLeast"/>
    </w:pPr>
    <w:rPr>
      <w:rFonts w:hint="default" w:ascii="宋体" w:hAnsi="Times New Roman" w:eastAsia="宋体"/>
      <w:color w:val="auto"/>
      <w:szCs w:val="24"/>
    </w:rPr>
  </w:style>
  <w:style w:type="paragraph" w:customStyle="1" w:styleId="117">
    <w:name w:val="CM7"/>
    <w:basedOn w:val="103"/>
    <w:next w:val="103"/>
    <w:qFormat/>
    <w:uiPriority w:val="0"/>
    <w:pPr>
      <w:adjustRightInd w:val="0"/>
      <w:spacing w:line="491" w:lineRule="atLeast"/>
    </w:pPr>
    <w:rPr>
      <w:rFonts w:hint="default" w:ascii="宋体" w:hAnsi="Times New Roman" w:eastAsia="宋体"/>
      <w:color w:val="auto"/>
      <w:szCs w:val="24"/>
    </w:rPr>
  </w:style>
  <w:style w:type="paragraph" w:customStyle="1" w:styleId="118">
    <w:name w:val="CM4"/>
    <w:basedOn w:val="103"/>
    <w:next w:val="103"/>
    <w:qFormat/>
    <w:uiPriority w:val="0"/>
    <w:pPr>
      <w:adjustRightInd w:val="0"/>
      <w:spacing w:line="491" w:lineRule="atLeast"/>
    </w:pPr>
    <w:rPr>
      <w:rFonts w:hint="default" w:ascii="宋体" w:hAnsi="Times New Roman" w:eastAsia="宋体"/>
      <w:color w:val="auto"/>
      <w:szCs w:val="24"/>
    </w:rPr>
  </w:style>
  <w:style w:type="paragraph" w:customStyle="1" w:styleId="119">
    <w:name w:val="CM8"/>
    <w:basedOn w:val="103"/>
    <w:next w:val="103"/>
    <w:qFormat/>
    <w:uiPriority w:val="0"/>
    <w:pPr>
      <w:adjustRightInd w:val="0"/>
      <w:spacing w:line="491" w:lineRule="atLeast"/>
    </w:pPr>
    <w:rPr>
      <w:rFonts w:hint="default" w:ascii="宋体" w:hAnsi="Times New Roman" w:eastAsia="宋体"/>
      <w:color w:val="auto"/>
      <w:szCs w:val="24"/>
    </w:rPr>
  </w:style>
  <w:style w:type="paragraph" w:customStyle="1" w:styleId="120">
    <w:name w:val="CM6"/>
    <w:basedOn w:val="103"/>
    <w:next w:val="103"/>
    <w:qFormat/>
    <w:uiPriority w:val="0"/>
    <w:pPr>
      <w:adjustRightInd w:val="0"/>
      <w:spacing w:line="491" w:lineRule="atLeast"/>
    </w:pPr>
    <w:rPr>
      <w:rFonts w:hint="default" w:ascii="宋体" w:hAnsi="Times New Roman" w:eastAsia="宋体"/>
      <w:color w:val="auto"/>
      <w:szCs w:val="24"/>
    </w:rPr>
  </w:style>
  <w:style w:type="paragraph" w:customStyle="1" w:styleId="121">
    <w:name w:val="CM13"/>
    <w:basedOn w:val="103"/>
    <w:next w:val="103"/>
    <w:qFormat/>
    <w:uiPriority w:val="0"/>
    <w:pPr>
      <w:adjustRightInd w:val="0"/>
      <w:spacing w:line="491" w:lineRule="atLeast"/>
    </w:pPr>
    <w:rPr>
      <w:rFonts w:hint="default" w:ascii="宋体" w:hAnsi="Times New Roman" w:eastAsia="宋体"/>
      <w:color w:val="auto"/>
      <w:szCs w:val="24"/>
    </w:rPr>
  </w:style>
  <w:style w:type="paragraph" w:customStyle="1" w:styleId="122">
    <w:name w:val="样式 首行缩进:  2 字符 段前: 0.5 行 段后: 0.5 行"/>
    <w:basedOn w:val="1"/>
    <w:next w:val="1"/>
    <w:qFormat/>
    <w:uiPriority w:val="0"/>
    <w:pPr>
      <w:adjustRightInd w:val="0"/>
      <w:snapToGrid w:val="0"/>
      <w:spacing w:before="156" w:after="156" w:line="312" w:lineRule="auto"/>
      <w:ind w:firstLine="480" w:firstLineChars="200"/>
    </w:pPr>
    <w:rPr>
      <w:rFonts w:eastAsia="楷体_GB2312"/>
      <w:sz w:val="24"/>
      <w:szCs w:val="20"/>
    </w:rPr>
  </w:style>
  <w:style w:type="paragraph" w:customStyle="1" w:styleId="123">
    <w:name w:val="Char Char Char Char Char Char1 Char"/>
    <w:basedOn w:val="1"/>
    <w:qFormat/>
    <w:uiPriority w:val="0"/>
  </w:style>
  <w:style w:type="paragraph" w:customStyle="1" w:styleId="124">
    <w:name w:val="Char2"/>
    <w:basedOn w:val="1"/>
    <w:qFormat/>
    <w:uiPriority w:val="0"/>
  </w:style>
  <w:style w:type="character" w:customStyle="1" w:styleId="125">
    <w:name w:val="批注框文本 字符"/>
    <w:link w:val="24"/>
    <w:qFormat/>
    <w:uiPriority w:val="0"/>
    <w:rPr>
      <w:kern w:val="2"/>
      <w:sz w:val="18"/>
      <w:szCs w:val="18"/>
    </w:rPr>
  </w:style>
  <w:style w:type="character" w:customStyle="1" w:styleId="126">
    <w:name w:val="批注文字 字符"/>
    <w:link w:val="14"/>
    <w:qFormat/>
    <w:uiPriority w:val="99"/>
    <w:rPr>
      <w:kern w:val="2"/>
      <w:sz w:val="21"/>
      <w:szCs w:val="24"/>
    </w:rPr>
  </w:style>
  <w:style w:type="paragraph" w:customStyle="1" w:styleId="12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font6"/>
    <w:basedOn w:val="1"/>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rPr>
  </w:style>
  <w:style w:type="paragraph" w:customStyle="1" w:styleId="1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rPr>
  </w:style>
  <w:style w:type="paragraph" w:customStyle="1" w:styleId="1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70C0"/>
      <w:kern w:val="0"/>
      <w:sz w:val="24"/>
    </w:rPr>
  </w:style>
  <w:style w:type="paragraph" w:customStyle="1" w:styleId="1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FF0000"/>
      <w:kern w:val="0"/>
      <w:sz w:val="24"/>
    </w:rPr>
  </w:style>
  <w:style w:type="paragraph" w:customStyle="1" w:styleId="13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70C0"/>
      <w:kern w:val="0"/>
      <w:sz w:val="24"/>
    </w:rPr>
  </w:style>
  <w:style w:type="paragraph" w:customStyle="1" w:styleId="137">
    <w:name w:val="xl73"/>
    <w:basedOn w:val="1"/>
    <w:qFormat/>
    <w:uiPriority w:val="0"/>
    <w:pPr>
      <w:widowControl/>
      <w:spacing w:before="100" w:beforeAutospacing="1" w:after="100" w:afterAutospacing="1"/>
      <w:jc w:val="left"/>
    </w:pPr>
    <w:rPr>
      <w:rFonts w:ascii="宋体" w:hAnsi="宋体" w:cs="宋体"/>
      <w:kern w:val="0"/>
      <w:sz w:val="24"/>
    </w:rPr>
  </w:style>
  <w:style w:type="paragraph" w:customStyle="1" w:styleId="138">
    <w:name w:val="xl74"/>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7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4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41">
    <w:name w:val="xl77"/>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kern w:val="0"/>
      <w:sz w:val="24"/>
    </w:rPr>
  </w:style>
  <w:style w:type="paragraph" w:customStyle="1" w:styleId="142">
    <w:name w:val="TOC 标题1"/>
    <w:basedOn w:val="3"/>
    <w:next w:val="1"/>
    <w:qFormat/>
    <w:uiPriority w:val="39"/>
    <w:pPr>
      <w:widowControl/>
      <w:spacing w:before="240" w:after="0" w:line="259" w:lineRule="auto"/>
      <w:jc w:val="left"/>
      <w:outlineLvl w:val="9"/>
    </w:pPr>
    <w:rPr>
      <w:rFonts w:ascii="Cambria" w:hAnsi="Cambria"/>
      <w:b w:val="0"/>
      <w:bCs w:val="0"/>
      <w:color w:val="365F91"/>
      <w:kern w:val="0"/>
      <w:szCs w:val="32"/>
    </w:rPr>
  </w:style>
  <w:style w:type="paragraph" w:customStyle="1" w:styleId="143">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18"/>
      <w:szCs w:val="18"/>
    </w:rPr>
  </w:style>
  <w:style w:type="paragraph" w:customStyle="1" w:styleId="144">
    <w:name w:val="xl7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FF0000"/>
      <w:kern w:val="0"/>
      <w:sz w:val="18"/>
      <w:szCs w:val="18"/>
    </w:rPr>
  </w:style>
  <w:style w:type="paragraph" w:customStyle="1" w:styleId="145">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46">
    <w:name w:val="xl8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47">
    <w:name w:val="xl82"/>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color w:val="FF0000"/>
      <w:kern w:val="0"/>
      <w:sz w:val="18"/>
      <w:szCs w:val="18"/>
    </w:rPr>
  </w:style>
  <w:style w:type="paragraph" w:customStyle="1" w:styleId="148">
    <w:name w:val="xl8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149">
    <w:name w:val="_Style 28"/>
    <w:basedOn w:val="1"/>
    <w:qFormat/>
    <w:uiPriority w:val="0"/>
    <w:rPr>
      <w:rFonts w:ascii="Tahoma" w:hAnsi="Tahoma"/>
      <w:sz w:val="24"/>
    </w:rPr>
  </w:style>
  <w:style w:type="character" w:customStyle="1" w:styleId="150">
    <w:name w:val="标准文本 Char"/>
    <w:link w:val="151"/>
    <w:qFormat/>
    <w:locked/>
    <w:uiPriority w:val="99"/>
    <w:rPr>
      <w:kern w:val="2"/>
    </w:rPr>
  </w:style>
  <w:style w:type="paragraph" w:customStyle="1" w:styleId="151">
    <w:name w:val="标准文本"/>
    <w:basedOn w:val="1"/>
    <w:link w:val="150"/>
    <w:qFormat/>
    <w:uiPriority w:val="99"/>
    <w:pPr>
      <w:spacing w:line="360" w:lineRule="auto"/>
      <w:ind w:firstLine="480" w:firstLineChars="200"/>
    </w:pPr>
    <w:rPr>
      <w:sz w:val="20"/>
      <w:szCs w:val="20"/>
    </w:rPr>
  </w:style>
  <w:style w:type="paragraph" w:customStyle="1" w:styleId="152">
    <w:name w:val="[Normal]"/>
    <w:qFormat/>
    <w:uiPriority w:val="0"/>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宋体" w:hAnsi="宋体" w:eastAsia="宋体" w:cs="Times New Roman"/>
      <w:sz w:val="24"/>
      <w:szCs w:val="24"/>
      <w:lang w:val="en-US" w:eastAsia="zh-CN" w:bidi="ar-SA"/>
    </w:rPr>
  </w:style>
  <w:style w:type="character" w:customStyle="1" w:styleId="153">
    <w:name w:val="标题1"/>
    <w:basedOn w:val="44"/>
    <w:qFormat/>
    <w:uiPriority w:val="0"/>
  </w:style>
  <w:style w:type="paragraph" w:customStyle="1" w:styleId="154">
    <w:name w:val="报告正文"/>
    <w:basedOn w:val="1"/>
    <w:qFormat/>
    <w:uiPriority w:val="0"/>
    <w:pPr>
      <w:adjustRightInd w:val="0"/>
      <w:snapToGrid w:val="0"/>
      <w:spacing w:line="288" w:lineRule="auto"/>
      <w:ind w:left="3060" w:leftChars="1700"/>
    </w:pPr>
    <w:rPr>
      <w:rFonts w:ascii="华文细黑" w:hAnsi="华文细黑" w:eastAsia="华文细黑" w:cs="宋体"/>
      <w:szCs w:val="20"/>
    </w:rPr>
  </w:style>
  <w:style w:type="paragraph" w:customStyle="1" w:styleId="155">
    <w:name w:val="_Style 1"/>
    <w:basedOn w:val="1"/>
    <w:qFormat/>
    <w:uiPriority w:val="34"/>
    <w:pPr>
      <w:ind w:firstLine="420" w:firstLineChars="200"/>
    </w:pPr>
  </w:style>
  <w:style w:type="paragraph" w:styleId="156">
    <w:name w:val="List Paragraph"/>
    <w:basedOn w:val="1"/>
    <w:unhideWhenUsed/>
    <w:qFormat/>
    <w:uiPriority w:val="99"/>
    <w:pPr>
      <w:ind w:firstLine="420" w:firstLineChars="200"/>
    </w:pPr>
  </w:style>
  <w:style w:type="character" w:customStyle="1" w:styleId="157">
    <w:name w:val="c lh15"/>
    <w:basedOn w:val="44"/>
    <w:qFormat/>
    <w:uiPriority w:val="0"/>
  </w:style>
  <w:style w:type="character" w:customStyle="1" w:styleId="158">
    <w:name w:val="正文文本 3 字符"/>
    <w:basedOn w:val="44"/>
    <w:link w:val="15"/>
    <w:qFormat/>
    <w:uiPriority w:val="0"/>
    <w:rPr>
      <w:color w:val="FF00FF"/>
      <w:kern w:val="2"/>
      <w:sz w:val="21"/>
      <w:szCs w:val="24"/>
    </w:rPr>
  </w:style>
  <w:style w:type="paragraph" w:customStyle="1" w:styleId="159">
    <w:name w:val="正文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character" w:customStyle="1" w:styleId="160">
    <w:name w:val="Default Char Char"/>
    <w:link w:val="103"/>
    <w:qFormat/>
    <w:uiPriority w:val="0"/>
    <w:rPr>
      <w:rFonts w:ascii="微软雅黑" w:hAnsi="微软雅黑" w:eastAsia="微软雅黑"/>
      <w:color w:val="000000"/>
      <w:sz w:val="24"/>
    </w:rPr>
  </w:style>
  <w:style w:type="paragraph" w:customStyle="1" w:styleId="161">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162">
    <w:name w:val="批注文字 字符1"/>
    <w:semiHidden/>
    <w:qFormat/>
    <w:locked/>
    <w:uiPriority w:val="99"/>
    <w:rPr>
      <w:kern w:val="2"/>
      <w:sz w:val="21"/>
      <w:szCs w:val="24"/>
      <w:lang w:val="zh-CN" w:eastAsia="zh-CN"/>
    </w:rPr>
  </w:style>
  <w:style w:type="paragraph" w:customStyle="1" w:styleId="16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xl6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kern w:val="0"/>
      <w:sz w:val="20"/>
      <w:szCs w:val="20"/>
    </w:rPr>
  </w:style>
  <w:style w:type="character" w:customStyle="1" w:styleId="165">
    <w:name w:val="a91"/>
    <w:qFormat/>
    <w:uiPriority w:val="0"/>
    <w:rPr>
      <w:sz w:val="18"/>
      <w:szCs w:val="18"/>
    </w:rPr>
  </w:style>
  <w:style w:type="paragraph" w:customStyle="1" w:styleId="16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4FE4A-EBCD-4077-994E-6CA45906572E}">
  <ds:schemaRefs/>
</ds:datastoreItem>
</file>

<file path=docProps/app.xml><?xml version="1.0" encoding="utf-8"?>
<Properties xmlns="http://schemas.openxmlformats.org/officeDocument/2006/extended-properties" xmlns:vt="http://schemas.openxmlformats.org/officeDocument/2006/docPropsVTypes">
  <Template>Normal</Template>
  <Pages>71</Pages>
  <Words>39444</Words>
  <Characters>41714</Characters>
  <Lines>3249</Lines>
  <Paragraphs>2843</Paragraphs>
  <TotalTime>12</TotalTime>
  <ScaleCrop>false</ScaleCrop>
  <LinksUpToDate>false</LinksUpToDate>
  <CharactersWithSpaces>44548</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2022-03-08T14:39:00Z</dcterms:created>
  <cp:lastPrinted>2016-08-09T09:23:00Z</cp:lastPrinted>
  <dcterms:modified xsi:type="dcterms:W3CDTF">2026-03-16T05:59:43Z</dcterms:modified>
  <dc:title>_x0001_</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D16361DAE3954EE7864631E8D085A7E0_13</vt:lpwstr>
  </property>
</Properties>
</file>