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B25E7D">
      <w:pPr>
        <w:tabs>
          <w:tab w:val="left" w:pos="3360"/>
        </w:tabs>
        <w:spacing w:line="360" w:lineRule="auto"/>
        <w:rPr>
          <w:rFonts w:hint="eastAsia" w:ascii="宋体" w:hAnsi="宋体" w:eastAsia="宋体" w:cs="宋体"/>
          <w:sz w:val="21"/>
          <w:szCs w:val="21"/>
        </w:rPr>
      </w:pPr>
    </w:p>
    <w:tbl>
      <w:tblPr>
        <w:tblStyle w:val="88"/>
        <w:tblW w:w="8902" w:type="dxa"/>
        <w:tblInd w:w="108" w:type="dxa"/>
        <w:tblLayout w:type="fixed"/>
        <w:tblCellMar>
          <w:top w:w="0" w:type="dxa"/>
          <w:left w:w="108" w:type="dxa"/>
          <w:bottom w:w="0" w:type="dxa"/>
          <w:right w:w="108" w:type="dxa"/>
        </w:tblCellMar>
      </w:tblPr>
      <w:tblGrid>
        <w:gridCol w:w="8902"/>
      </w:tblGrid>
      <w:tr w14:paraId="0264868A">
        <w:trPr>
          <w:trHeight w:val="624" w:hRule="atLeast"/>
        </w:trPr>
        <w:tc>
          <w:tcPr>
            <w:tcW w:w="8902" w:type="dxa"/>
          </w:tcPr>
          <w:p w14:paraId="398E4876">
            <w:pPr>
              <w:wordWrap w:val="0"/>
              <w:topLinePunct/>
              <w:adjustRightInd w:val="0"/>
              <w:snapToGrid w:val="0"/>
              <w:spacing w:line="360" w:lineRule="auto"/>
              <w:jc w:val="center"/>
              <w:rPr>
                <w:rFonts w:hint="eastAsia" w:ascii="宋体" w:hAnsi="宋体" w:eastAsia="宋体" w:cs="宋体"/>
                <w:kern w:val="2"/>
                <w:sz w:val="32"/>
                <w:szCs w:val="32"/>
                <w:u w:val="single"/>
              </w:rPr>
            </w:pPr>
          </w:p>
          <w:p w14:paraId="243FBBB4">
            <w:pPr>
              <w:wordWrap w:val="0"/>
              <w:topLinePunct/>
              <w:adjustRightInd w:val="0"/>
              <w:snapToGrid w:val="0"/>
              <w:spacing w:line="360" w:lineRule="auto"/>
              <w:jc w:val="center"/>
              <w:rPr>
                <w:rFonts w:hint="eastAsia" w:ascii="宋体" w:hAnsi="宋体" w:eastAsia="宋体" w:cs="宋体"/>
                <w:kern w:val="2"/>
                <w:sz w:val="32"/>
                <w:szCs w:val="32"/>
                <w:u w:val="single"/>
              </w:rPr>
            </w:pPr>
          </w:p>
          <w:p w14:paraId="1FBE028D">
            <w:pPr>
              <w:wordWrap w:val="0"/>
              <w:topLinePunct/>
              <w:adjustRightInd w:val="0"/>
              <w:snapToGrid w:val="0"/>
              <w:spacing w:line="360" w:lineRule="auto"/>
              <w:jc w:val="center"/>
              <w:rPr>
                <w:rFonts w:hint="eastAsia" w:ascii="宋体" w:hAnsi="宋体" w:eastAsia="宋体" w:cs="宋体"/>
                <w:kern w:val="2"/>
                <w:sz w:val="32"/>
                <w:szCs w:val="32"/>
                <w:u w:val="single"/>
              </w:rPr>
            </w:pPr>
          </w:p>
          <w:p w14:paraId="711E1FA8">
            <w:pPr>
              <w:wordWrap w:val="0"/>
              <w:topLinePunct/>
              <w:adjustRightInd w:val="0"/>
              <w:snapToGrid w:val="0"/>
              <w:spacing w:line="360" w:lineRule="auto"/>
              <w:jc w:val="center"/>
              <w:rPr>
                <w:rFonts w:hint="eastAsia" w:ascii="宋体" w:hAnsi="宋体" w:eastAsia="宋体" w:cs="宋体"/>
                <w:kern w:val="2"/>
                <w:sz w:val="32"/>
                <w:szCs w:val="32"/>
                <w:u w:val="single"/>
              </w:rPr>
            </w:pPr>
            <w:r>
              <w:rPr>
                <w:rFonts w:hint="eastAsia" w:ascii="宋体" w:hAnsi="宋体" w:cs="宋体"/>
                <w:kern w:val="2"/>
                <w:sz w:val="44"/>
                <w:szCs w:val="44"/>
                <w:u w:val="single"/>
                <w:lang w:val="en-US" w:eastAsia="zh-CN"/>
              </w:rPr>
              <w:t>中南民族大学实验室安全综合管理平台建设（一期）</w:t>
            </w:r>
          </w:p>
        </w:tc>
      </w:tr>
      <w:tr w14:paraId="0551F672">
        <w:tblPrEx>
          <w:tblCellMar>
            <w:top w:w="0" w:type="dxa"/>
            <w:left w:w="108" w:type="dxa"/>
            <w:bottom w:w="0" w:type="dxa"/>
            <w:right w:w="108" w:type="dxa"/>
          </w:tblCellMar>
        </w:tblPrEx>
        <w:trPr>
          <w:trHeight w:val="624" w:hRule="atLeast"/>
        </w:trPr>
        <w:tc>
          <w:tcPr>
            <w:tcW w:w="8902" w:type="dxa"/>
            <w:vAlign w:val="center"/>
          </w:tcPr>
          <w:p w14:paraId="7B732F1A">
            <w:pPr>
              <w:wordWrap w:val="0"/>
              <w:topLinePunct/>
              <w:adjustRightInd w:val="0"/>
              <w:snapToGrid w:val="0"/>
              <w:spacing w:line="480" w:lineRule="auto"/>
              <w:jc w:val="center"/>
              <w:rPr>
                <w:rFonts w:hint="eastAsia" w:ascii="宋体" w:hAnsi="宋体" w:eastAsia="宋体" w:cs="宋体"/>
                <w:kern w:val="2"/>
                <w:sz w:val="72"/>
                <w:szCs w:val="72"/>
                <w:lang w:val="en-US" w:eastAsia="zh-CN"/>
              </w:rPr>
            </w:pPr>
            <w:r>
              <w:rPr>
                <w:rFonts w:hint="eastAsia" w:ascii="宋体" w:hAnsi="宋体" w:eastAsia="宋体" w:cs="宋体"/>
                <w:kern w:val="2"/>
                <w:sz w:val="72"/>
                <w:szCs w:val="72"/>
                <w:lang w:val="en-US" w:eastAsia="zh-CN"/>
              </w:rPr>
              <w:t xml:space="preserve"> </w:t>
            </w:r>
          </w:p>
          <w:p w14:paraId="2A571CF1">
            <w:pPr>
              <w:wordWrap w:val="0"/>
              <w:topLinePunct/>
              <w:adjustRightInd w:val="0"/>
              <w:snapToGrid w:val="0"/>
              <w:spacing w:line="480" w:lineRule="auto"/>
              <w:jc w:val="center"/>
              <w:rPr>
                <w:rFonts w:hint="eastAsia" w:ascii="宋体" w:hAnsi="宋体" w:eastAsia="宋体" w:cs="宋体"/>
                <w:kern w:val="2"/>
                <w:sz w:val="72"/>
                <w:szCs w:val="72"/>
              </w:rPr>
            </w:pPr>
            <w:r>
              <w:rPr>
                <w:rFonts w:hint="eastAsia" w:ascii="宋体" w:hAnsi="宋体" w:eastAsia="宋体" w:cs="宋体"/>
                <w:kern w:val="2"/>
                <w:sz w:val="72"/>
                <w:szCs w:val="72"/>
              </w:rPr>
              <w:t>竞争性磋商文件</w:t>
            </w:r>
          </w:p>
        </w:tc>
      </w:tr>
      <w:tr w14:paraId="179FAA4A">
        <w:tblPrEx>
          <w:tblCellMar>
            <w:top w:w="0" w:type="dxa"/>
            <w:left w:w="108" w:type="dxa"/>
            <w:bottom w:w="0" w:type="dxa"/>
            <w:right w:w="108" w:type="dxa"/>
          </w:tblCellMar>
        </w:tblPrEx>
        <w:trPr>
          <w:trHeight w:val="624" w:hRule="atLeast"/>
        </w:trPr>
        <w:tc>
          <w:tcPr>
            <w:tcW w:w="8902" w:type="dxa"/>
            <w:vAlign w:val="center"/>
          </w:tcPr>
          <w:p w14:paraId="6807C320">
            <w:pPr>
              <w:wordWrap w:val="0"/>
              <w:topLinePunct/>
              <w:adjustRightInd w:val="0"/>
              <w:snapToGrid w:val="0"/>
              <w:spacing w:line="360" w:lineRule="auto"/>
              <w:jc w:val="center"/>
              <w:rPr>
                <w:rFonts w:hint="eastAsia" w:ascii="宋体" w:hAnsi="宋体" w:eastAsia="宋体" w:cs="宋体"/>
                <w:sz w:val="32"/>
                <w:szCs w:val="32"/>
                <w:lang w:eastAsia="zh-CN"/>
              </w:rPr>
            </w:pPr>
            <w:r>
              <w:rPr>
                <w:rFonts w:hint="eastAsia" w:ascii="宋体" w:hAnsi="宋体" w:eastAsia="宋体" w:cs="宋体"/>
                <w:sz w:val="32"/>
                <w:szCs w:val="32"/>
              </w:rPr>
              <w:t>项目编号：</w:t>
            </w:r>
            <w:r>
              <w:rPr>
                <w:rFonts w:hint="eastAsia" w:ascii="宋体" w:hAnsi="宋体" w:cs="宋体"/>
                <w:sz w:val="32"/>
                <w:szCs w:val="32"/>
                <w:lang w:eastAsia="zh-CN"/>
              </w:rPr>
              <w:t>HBJX-ZB-2025-037</w:t>
            </w:r>
          </w:p>
        </w:tc>
      </w:tr>
    </w:tbl>
    <w:p w14:paraId="4046A8E1">
      <w:pPr>
        <w:wordWrap w:val="0"/>
        <w:topLinePunct/>
        <w:adjustRightInd w:val="0"/>
        <w:snapToGrid w:val="0"/>
        <w:spacing w:line="360" w:lineRule="auto"/>
        <w:ind w:firstLine="400"/>
        <w:rPr>
          <w:rFonts w:hint="eastAsia" w:ascii="宋体" w:hAnsi="宋体" w:eastAsia="宋体" w:cs="宋体"/>
          <w:sz w:val="32"/>
          <w:szCs w:val="32"/>
        </w:rPr>
      </w:pPr>
    </w:p>
    <w:p w14:paraId="69F29235">
      <w:pPr>
        <w:wordWrap w:val="0"/>
        <w:topLinePunct/>
        <w:adjustRightInd w:val="0"/>
        <w:snapToGrid w:val="0"/>
        <w:spacing w:line="360" w:lineRule="auto"/>
        <w:ind w:firstLine="400"/>
        <w:rPr>
          <w:rFonts w:hint="eastAsia" w:ascii="宋体" w:hAnsi="宋体" w:eastAsia="宋体" w:cs="宋体"/>
          <w:sz w:val="32"/>
          <w:szCs w:val="32"/>
        </w:rPr>
      </w:pPr>
    </w:p>
    <w:p w14:paraId="3306DF86">
      <w:pPr>
        <w:pStyle w:val="86"/>
        <w:wordWrap w:val="0"/>
        <w:topLinePunct/>
        <w:adjustRightInd w:val="0"/>
        <w:snapToGrid w:val="0"/>
        <w:spacing w:after="0" w:line="360" w:lineRule="auto"/>
        <w:ind w:firstLine="320"/>
        <w:rPr>
          <w:rFonts w:hint="eastAsia" w:ascii="宋体" w:hAnsi="宋体" w:eastAsia="宋体" w:cs="宋体"/>
          <w:sz w:val="32"/>
          <w:szCs w:val="32"/>
        </w:rPr>
      </w:pPr>
    </w:p>
    <w:p w14:paraId="545725BF">
      <w:pPr>
        <w:pStyle w:val="86"/>
        <w:wordWrap w:val="0"/>
        <w:topLinePunct/>
        <w:adjustRightInd w:val="0"/>
        <w:snapToGrid w:val="0"/>
        <w:spacing w:after="0" w:line="360" w:lineRule="auto"/>
        <w:ind w:firstLine="320"/>
        <w:rPr>
          <w:rFonts w:hint="eastAsia" w:ascii="宋体" w:hAnsi="宋体" w:eastAsia="宋体" w:cs="宋体"/>
          <w:sz w:val="32"/>
          <w:szCs w:val="32"/>
        </w:rPr>
      </w:pPr>
    </w:p>
    <w:p w14:paraId="56C9D63B">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sz w:val="32"/>
          <w:szCs w:val="32"/>
        </w:rPr>
      </w:pPr>
      <w:r>
        <w:rPr>
          <w:rFonts w:hint="eastAsia" w:ascii="宋体" w:hAnsi="宋体" w:eastAsia="宋体" w:cs="宋体"/>
          <w:sz w:val="32"/>
          <w:szCs w:val="32"/>
        </w:rPr>
        <w:t>采购人：</w:t>
      </w:r>
      <w:r>
        <w:rPr>
          <w:rFonts w:hint="eastAsia" w:ascii="宋体" w:hAnsi="宋体" w:eastAsia="宋体" w:cs="宋体"/>
          <w:sz w:val="32"/>
          <w:szCs w:val="32"/>
          <w:u w:val="single"/>
          <w:lang w:eastAsia="zh-CN"/>
        </w:rPr>
        <w:t>中南民族大学</w:t>
      </w:r>
    </w:p>
    <w:p w14:paraId="2682A270">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sz w:val="32"/>
          <w:szCs w:val="32"/>
        </w:rPr>
      </w:pPr>
      <w:r>
        <w:rPr>
          <w:rFonts w:hint="eastAsia" w:ascii="宋体" w:hAnsi="宋体" w:eastAsia="宋体" w:cs="宋体"/>
          <w:sz w:val="32"/>
          <w:szCs w:val="32"/>
        </w:rPr>
        <w:t>采购代理机构：</w:t>
      </w:r>
      <w:r>
        <w:rPr>
          <w:rFonts w:hint="eastAsia" w:ascii="宋体" w:hAnsi="宋体" w:eastAsia="宋体" w:cs="宋体"/>
          <w:sz w:val="32"/>
          <w:szCs w:val="32"/>
          <w:u w:val="single"/>
          <w:lang w:eastAsia="zh-CN"/>
        </w:rPr>
        <w:t>湖北建信建设工程咨询有限公司</w:t>
      </w:r>
    </w:p>
    <w:p w14:paraId="578FBACD">
      <w:pPr>
        <w:wordWrap w:val="0"/>
        <w:topLinePunct/>
        <w:adjustRightInd w:val="0"/>
        <w:snapToGrid w:val="0"/>
        <w:spacing w:line="360" w:lineRule="auto"/>
        <w:jc w:val="center"/>
        <w:rPr>
          <w:rFonts w:hint="eastAsia" w:ascii="宋体" w:hAnsi="宋体" w:eastAsia="宋体" w:cs="宋体"/>
          <w:sz w:val="32"/>
          <w:szCs w:val="32"/>
        </w:rPr>
      </w:pPr>
      <w:r>
        <w:rPr>
          <w:rFonts w:hint="eastAsia" w:ascii="宋体" w:hAnsi="宋体" w:eastAsia="宋体" w:cs="宋体"/>
          <w:color w:val="000000"/>
          <w:sz w:val="32"/>
          <w:szCs w:val="32"/>
          <w:u w:val="single"/>
          <w:lang w:val="en-US" w:eastAsia="zh-CN"/>
        </w:rPr>
        <w:t>2025</w:t>
      </w:r>
      <w:r>
        <w:rPr>
          <w:rFonts w:hint="eastAsia" w:ascii="宋体" w:hAnsi="宋体" w:eastAsia="宋体" w:cs="宋体"/>
          <w:sz w:val="32"/>
          <w:szCs w:val="32"/>
        </w:rPr>
        <w:t>年</w:t>
      </w:r>
      <w:r>
        <w:rPr>
          <w:rFonts w:hint="eastAsia" w:ascii="宋体" w:hAnsi="宋体" w:cs="宋体"/>
          <w:color w:val="000000"/>
          <w:sz w:val="32"/>
          <w:szCs w:val="32"/>
          <w:u w:val="single"/>
          <w:lang w:val="en-US" w:eastAsia="zh-CN"/>
        </w:rPr>
        <w:t>06</w:t>
      </w:r>
      <w:r>
        <w:rPr>
          <w:rFonts w:hint="eastAsia" w:ascii="宋体" w:hAnsi="宋体" w:eastAsia="宋体" w:cs="宋体"/>
          <w:sz w:val="32"/>
          <w:szCs w:val="32"/>
        </w:rPr>
        <w:t>月</w:t>
      </w:r>
    </w:p>
    <w:p w14:paraId="5E8EEC84">
      <w:pPr>
        <w:tabs>
          <w:tab w:val="left" w:pos="3360"/>
        </w:tabs>
        <w:spacing w:line="360" w:lineRule="auto"/>
        <w:rPr>
          <w:rFonts w:hint="eastAsia" w:ascii="宋体" w:hAnsi="宋体" w:eastAsia="宋体" w:cs="宋体"/>
        </w:rPr>
      </w:pPr>
    </w:p>
    <w:p w14:paraId="058AA152">
      <w:pPr>
        <w:pStyle w:val="86"/>
        <w:ind w:left="4410" w:firstLine="210"/>
        <w:rPr>
          <w:rFonts w:hint="eastAsia" w:ascii="宋体" w:hAnsi="宋体" w:eastAsia="宋体" w:cs="宋体"/>
        </w:rPr>
      </w:pPr>
    </w:p>
    <w:p w14:paraId="3C0AEC34">
      <w:pPr>
        <w:pStyle w:val="86"/>
        <w:ind w:left="4410" w:firstLine="210"/>
        <w:rPr>
          <w:rFonts w:hint="eastAsia" w:ascii="宋体" w:hAnsi="宋体" w:eastAsia="宋体" w:cs="宋体"/>
        </w:rPr>
        <w:sectPr>
          <w:headerReference r:id="rId3" w:type="default"/>
          <w:footerReference r:id="rId4" w:type="default"/>
          <w:pgSz w:w="11906" w:h="16838"/>
          <w:pgMar w:top="1587" w:right="1417" w:bottom="1417" w:left="1587" w:header="851" w:footer="992" w:gutter="0"/>
          <w:pgNumType w:start="1"/>
          <w:cols w:space="720" w:num="1"/>
        </w:sectPr>
      </w:pPr>
    </w:p>
    <w:p w14:paraId="59B4EE94">
      <w:pPr>
        <w:pStyle w:val="517"/>
        <w:snapToGrid/>
        <w:spacing w:before="480" w:beforeAutospacing="0" w:after="120" w:afterAutospacing="0" w:line="240" w:lineRule="auto"/>
        <w:ind w:left="0" w:leftChars="0" w:right="0" w:rightChars="0" w:firstLine="0" w:firstLineChars="0"/>
        <w:jc w:val="center"/>
        <w:rPr>
          <w:rFonts w:hint="eastAsia" w:ascii="宋体" w:hAnsi="宋体" w:eastAsia="宋体" w:cs="宋体"/>
          <w:b w:val="0"/>
          <w:bCs/>
          <w:sz w:val="32"/>
          <w:szCs w:val="32"/>
        </w:rPr>
      </w:pPr>
      <w:r>
        <w:rPr>
          <w:rFonts w:hint="eastAsia" w:ascii="宋体" w:hAnsi="宋体" w:eastAsia="宋体" w:cs="宋体"/>
          <w:b w:val="0"/>
          <w:bCs/>
          <w:sz w:val="32"/>
          <w:szCs w:val="32"/>
        </w:rPr>
        <w:t>目 录</w:t>
      </w:r>
    </w:p>
    <w:p w14:paraId="172F85B4">
      <w:pPr>
        <w:pStyle w:val="59"/>
        <w:tabs>
          <w:tab w:val="right" w:leader="dot" w:pos="8313"/>
        </w:tabs>
      </w:pPr>
      <w:bookmarkStart w:id="0" w:name="_Hlt755813"/>
      <w:bookmarkEnd w:id="0"/>
      <w:bookmarkStart w:id="1" w:name="_Hlt535832675"/>
      <w:bookmarkEnd w:id="1"/>
      <w:bookmarkStart w:id="2" w:name="_Hlt3694704"/>
      <w:bookmarkEnd w:id="2"/>
      <w:bookmarkStart w:id="3" w:name="_Hlt535815812"/>
      <w:bookmarkEnd w:id="3"/>
      <w:bookmarkStart w:id="4" w:name="_Hlt536244935"/>
      <w:bookmarkEnd w:id="4"/>
      <w:bookmarkStart w:id="5" w:name="_Hlt755819"/>
      <w:bookmarkEnd w:id="5"/>
      <w:bookmarkStart w:id="6" w:name="_Hlt9666464"/>
      <w:bookmarkEnd w:id="6"/>
      <w:bookmarkStart w:id="7" w:name="_Hlt9415189"/>
      <w:bookmarkEnd w:id="7"/>
      <w:bookmarkStart w:id="8" w:name="_Hlt536512956"/>
      <w:bookmarkEnd w:id="8"/>
      <w:bookmarkStart w:id="9" w:name="_Hlt536069701"/>
      <w:bookmarkEnd w:id="9"/>
      <w:bookmarkStart w:id="10" w:name="_Hlt535891864"/>
      <w:bookmarkEnd w:id="10"/>
      <w:bookmarkStart w:id="11" w:name="_Hlt536512952"/>
      <w:bookmarkEnd w:id="11"/>
      <w:bookmarkStart w:id="12" w:name="_Hlt758338"/>
      <w:bookmarkEnd w:id="12"/>
      <w:bookmarkStart w:id="13" w:name="_Hlt758332"/>
      <w:bookmarkEnd w:id="13"/>
      <w:bookmarkStart w:id="14" w:name="_Hlt755817"/>
      <w:bookmarkEnd w:id="14"/>
      <w:bookmarkStart w:id="15" w:name="_Hlt755815"/>
      <w:bookmarkEnd w:id="15"/>
      <w:bookmarkStart w:id="16" w:name="_Hlt535832662"/>
      <w:bookmarkEnd w:id="16"/>
      <w:bookmarkStart w:id="17" w:name="_Hlt3013568"/>
      <w:bookmarkEnd w:id="17"/>
      <w:bookmarkStart w:id="18" w:name="_Hlt536512945"/>
      <w:bookmarkEnd w:id="18"/>
      <w:bookmarkStart w:id="19" w:name="_Toc535814464"/>
      <w:bookmarkStart w:id="20" w:name="_Toc535815709"/>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TOC \o "1-3" \h \z \u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Cs w:val="0"/>
          <w:i w:val="0"/>
          <w:iCs w:val="0"/>
          <w:szCs w:val="24"/>
        </w:rPr>
        <w:fldChar w:fldCharType="begin"/>
      </w:r>
      <w:r>
        <w:rPr>
          <w:rFonts w:hint="eastAsia" w:ascii="宋体" w:hAnsi="宋体" w:eastAsia="宋体" w:cs="宋体"/>
          <w:bCs w:val="0"/>
          <w:i w:val="0"/>
          <w:iCs w:val="0"/>
          <w:szCs w:val="24"/>
        </w:rPr>
        <w:instrText xml:space="preserve"> HYPERLINK \l _Toc15721 </w:instrText>
      </w:r>
      <w:r>
        <w:rPr>
          <w:rFonts w:hint="eastAsia" w:ascii="宋体" w:hAnsi="宋体" w:eastAsia="宋体" w:cs="宋体"/>
          <w:bCs w:val="0"/>
          <w:i w:val="0"/>
          <w:iCs w:val="0"/>
          <w:szCs w:val="24"/>
        </w:rPr>
        <w:fldChar w:fldCharType="separate"/>
      </w:r>
      <w:r>
        <w:rPr>
          <w:rFonts w:hint="eastAsia" w:ascii="宋体" w:hAnsi="宋体" w:eastAsia="宋体" w:cs="宋体"/>
          <w:bCs/>
          <w:szCs w:val="28"/>
        </w:rPr>
        <w:t>第一章 磋商公告（代磋商邀请函）</w:t>
      </w:r>
      <w:r>
        <w:tab/>
      </w:r>
      <w:r>
        <w:fldChar w:fldCharType="begin"/>
      </w:r>
      <w:r>
        <w:instrText xml:space="preserve"> PAGEREF _Toc15721 \h </w:instrText>
      </w:r>
      <w:r>
        <w:fldChar w:fldCharType="separate"/>
      </w:r>
      <w:r>
        <w:t>3</w:t>
      </w:r>
      <w:r>
        <w:fldChar w:fldCharType="end"/>
      </w:r>
      <w:r>
        <w:rPr>
          <w:rFonts w:hint="eastAsia" w:ascii="宋体" w:hAnsi="宋体" w:eastAsia="宋体" w:cs="宋体"/>
          <w:bCs w:val="0"/>
          <w:i w:val="0"/>
          <w:iCs w:val="0"/>
          <w:szCs w:val="24"/>
        </w:rPr>
        <w:fldChar w:fldCharType="end"/>
      </w:r>
    </w:p>
    <w:p w14:paraId="0DD2981B">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_Toc22993 </w:instrText>
      </w:r>
      <w:r>
        <w:rPr>
          <w:rFonts w:hint="eastAsia" w:ascii="宋体" w:hAnsi="宋体" w:eastAsia="宋体" w:cs="宋体"/>
          <w:i w:val="0"/>
          <w:iCs w:val="0"/>
          <w:szCs w:val="24"/>
        </w:rPr>
        <w:fldChar w:fldCharType="separate"/>
      </w:r>
      <w:r>
        <w:rPr>
          <w:rFonts w:hint="eastAsia" w:ascii="宋体" w:hAnsi="宋体" w:eastAsia="宋体" w:cs="宋体"/>
          <w:szCs w:val="24"/>
        </w:rPr>
        <w:t>一、项目基本情况</w:t>
      </w:r>
      <w:r>
        <w:tab/>
      </w:r>
      <w:r>
        <w:fldChar w:fldCharType="begin"/>
      </w:r>
      <w:r>
        <w:instrText xml:space="preserve"> PAGEREF _Toc22993 \h </w:instrText>
      </w:r>
      <w:r>
        <w:fldChar w:fldCharType="separate"/>
      </w:r>
      <w:r>
        <w:t>3</w:t>
      </w:r>
      <w:r>
        <w:fldChar w:fldCharType="end"/>
      </w:r>
      <w:r>
        <w:rPr>
          <w:rFonts w:hint="eastAsia" w:ascii="宋体" w:hAnsi="宋体" w:eastAsia="宋体" w:cs="宋体"/>
          <w:i w:val="0"/>
          <w:iCs w:val="0"/>
          <w:szCs w:val="24"/>
        </w:rPr>
        <w:fldChar w:fldCharType="end"/>
      </w:r>
    </w:p>
    <w:p w14:paraId="45878B9D">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_Toc8204 </w:instrText>
      </w:r>
      <w:r>
        <w:rPr>
          <w:rFonts w:hint="eastAsia" w:ascii="宋体" w:hAnsi="宋体" w:eastAsia="宋体" w:cs="宋体"/>
          <w:i w:val="0"/>
          <w:iCs w:val="0"/>
          <w:szCs w:val="24"/>
        </w:rPr>
        <w:fldChar w:fldCharType="separate"/>
      </w:r>
      <w:r>
        <w:rPr>
          <w:rFonts w:hint="eastAsia" w:ascii="宋体" w:hAnsi="宋体" w:eastAsia="宋体" w:cs="宋体"/>
          <w:szCs w:val="24"/>
        </w:rPr>
        <w:t>二、申请人的资格要求</w:t>
      </w:r>
      <w:r>
        <w:tab/>
      </w:r>
      <w:r>
        <w:fldChar w:fldCharType="begin"/>
      </w:r>
      <w:r>
        <w:instrText xml:space="preserve"> PAGEREF _Toc8204 \h </w:instrText>
      </w:r>
      <w:r>
        <w:fldChar w:fldCharType="separate"/>
      </w:r>
      <w:r>
        <w:t>3</w:t>
      </w:r>
      <w:r>
        <w:fldChar w:fldCharType="end"/>
      </w:r>
      <w:r>
        <w:rPr>
          <w:rFonts w:hint="eastAsia" w:ascii="宋体" w:hAnsi="宋体" w:eastAsia="宋体" w:cs="宋体"/>
          <w:i w:val="0"/>
          <w:iCs w:val="0"/>
          <w:szCs w:val="24"/>
        </w:rPr>
        <w:fldChar w:fldCharType="end"/>
      </w:r>
    </w:p>
    <w:p w14:paraId="0B074E94">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_Toc21174 </w:instrText>
      </w:r>
      <w:r>
        <w:rPr>
          <w:rFonts w:hint="eastAsia" w:ascii="宋体" w:hAnsi="宋体" w:eastAsia="宋体" w:cs="宋体"/>
          <w:i w:val="0"/>
          <w:iCs w:val="0"/>
          <w:szCs w:val="24"/>
        </w:rPr>
        <w:fldChar w:fldCharType="separate"/>
      </w:r>
      <w:r>
        <w:rPr>
          <w:rFonts w:hint="eastAsia" w:ascii="宋体" w:hAnsi="宋体" w:eastAsia="宋体" w:cs="宋体"/>
          <w:szCs w:val="24"/>
        </w:rPr>
        <w:t>三、获取采购文件</w:t>
      </w:r>
      <w:r>
        <w:tab/>
      </w:r>
      <w:r>
        <w:fldChar w:fldCharType="begin"/>
      </w:r>
      <w:r>
        <w:instrText xml:space="preserve"> PAGEREF _Toc21174 \h </w:instrText>
      </w:r>
      <w:r>
        <w:fldChar w:fldCharType="separate"/>
      </w:r>
      <w:r>
        <w:t>4</w:t>
      </w:r>
      <w:r>
        <w:fldChar w:fldCharType="end"/>
      </w:r>
      <w:r>
        <w:rPr>
          <w:rFonts w:hint="eastAsia" w:ascii="宋体" w:hAnsi="宋体" w:eastAsia="宋体" w:cs="宋体"/>
          <w:i w:val="0"/>
          <w:iCs w:val="0"/>
          <w:szCs w:val="24"/>
        </w:rPr>
        <w:fldChar w:fldCharType="end"/>
      </w:r>
    </w:p>
    <w:p w14:paraId="3160DFAA">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_Toc25497 </w:instrText>
      </w:r>
      <w:r>
        <w:rPr>
          <w:rFonts w:hint="eastAsia" w:ascii="宋体" w:hAnsi="宋体" w:eastAsia="宋体" w:cs="宋体"/>
          <w:i w:val="0"/>
          <w:iCs w:val="0"/>
          <w:szCs w:val="24"/>
        </w:rPr>
        <w:fldChar w:fldCharType="separate"/>
      </w:r>
      <w:r>
        <w:rPr>
          <w:rFonts w:hint="eastAsia" w:ascii="宋体" w:hAnsi="宋体" w:eastAsia="宋体" w:cs="宋体"/>
          <w:kern w:val="2"/>
          <w:szCs w:val="24"/>
          <w:highlight w:val="none"/>
          <w:lang w:val="hr-HR"/>
        </w:rPr>
        <w:t>四、</w:t>
      </w:r>
      <w:r>
        <w:rPr>
          <w:rFonts w:hint="eastAsia" w:ascii="宋体" w:hAnsi="宋体" w:eastAsia="宋体" w:cs="宋体"/>
          <w:szCs w:val="24"/>
        </w:rPr>
        <w:t>响应文件提交</w:t>
      </w:r>
      <w:r>
        <w:tab/>
      </w:r>
      <w:r>
        <w:fldChar w:fldCharType="begin"/>
      </w:r>
      <w:r>
        <w:instrText xml:space="preserve"> PAGEREF _Toc25497 \h </w:instrText>
      </w:r>
      <w:r>
        <w:fldChar w:fldCharType="separate"/>
      </w:r>
      <w:r>
        <w:t>4</w:t>
      </w:r>
      <w:r>
        <w:fldChar w:fldCharType="end"/>
      </w:r>
      <w:r>
        <w:rPr>
          <w:rFonts w:hint="eastAsia" w:ascii="宋体" w:hAnsi="宋体" w:eastAsia="宋体" w:cs="宋体"/>
          <w:i w:val="0"/>
          <w:iCs w:val="0"/>
          <w:szCs w:val="24"/>
        </w:rPr>
        <w:fldChar w:fldCharType="end"/>
      </w:r>
    </w:p>
    <w:p w14:paraId="54ECC49E">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_Toc19318 </w:instrText>
      </w:r>
      <w:r>
        <w:rPr>
          <w:rFonts w:hint="eastAsia" w:ascii="宋体" w:hAnsi="宋体" w:eastAsia="宋体" w:cs="宋体"/>
          <w:i w:val="0"/>
          <w:iCs w:val="0"/>
          <w:szCs w:val="24"/>
        </w:rPr>
        <w:fldChar w:fldCharType="separate"/>
      </w:r>
      <w:r>
        <w:rPr>
          <w:rFonts w:hint="eastAsia" w:ascii="宋体" w:hAnsi="宋体" w:eastAsia="宋体" w:cs="宋体"/>
          <w:szCs w:val="24"/>
        </w:rPr>
        <w:t>五、开启</w:t>
      </w:r>
      <w:r>
        <w:tab/>
      </w:r>
      <w:r>
        <w:fldChar w:fldCharType="begin"/>
      </w:r>
      <w:r>
        <w:instrText xml:space="preserve"> PAGEREF _Toc19318 \h </w:instrText>
      </w:r>
      <w:r>
        <w:fldChar w:fldCharType="separate"/>
      </w:r>
      <w:r>
        <w:t>4</w:t>
      </w:r>
      <w:r>
        <w:fldChar w:fldCharType="end"/>
      </w:r>
      <w:r>
        <w:rPr>
          <w:rFonts w:hint="eastAsia" w:ascii="宋体" w:hAnsi="宋体" w:eastAsia="宋体" w:cs="宋体"/>
          <w:i w:val="0"/>
          <w:iCs w:val="0"/>
          <w:szCs w:val="24"/>
        </w:rPr>
        <w:fldChar w:fldCharType="end"/>
      </w:r>
    </w:p>
    <w:p w14:paraId="66386D5F">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_Toc17599 </w:instrText>
      </w:r>
      <w:r>
        <w:rPr>
          <w:rFonts w:hint="eastAsia" w:ascii="宋体" w:hAnsi="宋体" w:eastAsia="宋体" w:cs="宋体"/>
          <w:i w:val="0"/>
          <w:iCs w:val="0"/>
          <w:szCs w:val="24"/>
        </w:rPr>
        <w:fldChar w:fldCharType="separate"/>
      </w:r>
      <w:r>
        <w:rPr>
          <w:rFonts w:hint="eastAsia" w:ascii="宋体" w:hAnsi="宋体" w:eastAsia="宋体" w:cs="宋体"/>
          <w:szCs w:val="24"/>
          <w:lang w:val="en-US" w:eastAsia="zh-CN"/>
        </w:rPr>
        <w:t>六</w:t>
      </w:r>
      <w:r>
        <w:rPr>
          <w:rFonts w:hint="eastAsia" w:ascii="宋体" w:hAnsi="宋体" w:eastAsia="宋体" w:cs="宋体"/>
          <w:szCs w:val="24"/>
        </w:rPr>
        <w:t>、公告期限</w:t>
      </w:r>
      <w:r>
        <w:tab/>
      </w:r>
      <w:r>
        <w:fldChar w:fldCharType="begin"/>
      </w:r>
      <w:r>
        <w:instrText xml:space="preserve"> PAGEREF _Toc17599 \h </w:instrText>
      </w:r>
      <w:r>
        <w:fldChar w:fldCharType="separate"/>
      </w:r>
      <w:r>
        <w:t>4</w:t>
      </w:r>
      <w:r>
        <w:fldChar w:fldCharType="end"/>
      </w:r>
      <w:r>
        <w:rPr>
          <w:rFonts w:hint="eastAsia" w:ascii="宋体" w:hAnsi="宋体" w:eastAsia="宋体" w:cs="宋体"/>
          <w:i w:val="0"/>
          <w:iCs w:val="0"/>
          <w:szCs w:val="24"/>
        </w:rPr>
        <w:fldChar w:fldCharType="end"/>
      </w:r>
    </w:p>
    <w:p w14:paraId="601C5E3D">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_Toc1269 </w:instrText>
      </w:r>
      <w:r>
        <w:rPr>
          <w:rFonts w:hint="eastAsia" w:ascii="宋体" w:hAnsi="宋体" w:eastAsia="宋体" w:cs="宋体"/>
          <w:i w:val="0"/>
          <w:iCs w:val="0"/>
          <w:szCs w:val="24"/>
        </w:rPr>
        <w:fldChar w:fldCharType="separate"/>
      </w:r>
      <w:r>
        <w:rPr>
          <w:rFonts w:hint="eastAsia" w:ascii="宋体" w:hAnsi="宋体" w:eastAsia="宋体" w:cs="宋体"/>
          <w:szCs w:val="24"/>
          <w:lang w:val="en-US" w:eastAsia="zh-CN"/>
        </w:rPr>
        <w:t>七</w:t>
      </w:r>
      <w:r>
        <w:rPr>
          <w:rFonts w:hint="eastAsia" w:ascii="宋体" w:hAnsi="宋体" w:eastAsia="宋体" w:cs="宋体"/>
          <w:szCs w:val="24"/>
        </w:rPr>
        <w:t>、其他补充事宜</w:t>
      </w:r>
      <w:r>
        <w:tab/>
      </w:r>
      <w:r>
        <w:fldChar w:fldCharType="begin"/>
      </w:r>
      <w:r>
        <w:instrText xml:space="preserve"> PAGEREF _Toc1269 \h </w:instrText>
      </w:r>
      <w:r>
        <w:fldChar w:fldCharType="separate"/>
      </w:r>
      <w:r>
        <w:t>4</w:t>
      </w:r>
      <w:r>
        <w:fldChar w:fldCharType="end"/>
      </w:r>
      <w:r>
        <w:rPr>
          <w:rFonts w:hint="eastAsia" w:ascii="宋体" w:hAnsi="宋体" w:eastAsia="宋体" w:cs="宋体"/>
          <w:i w:val="0"/>
          <w:iCs w:val="0"/>
          <w:szCs w:val="24"/>
        </w:rPr>
        <w:fldChar w:fldCharType="end"/>
      </w:r>
    </w:p>
    <w:p w14:paraId="0FA77010">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_Toc17428 </w:instrText>
      </w:r>
      <w:r>
        <w:rPr>
          <w:rFonts w:hint="eastAsia" w:ascii="宋体" w:hAnsi="宋体" w:eastAsia="宋体" w:cs="宋体"/>
          <w:i w:val="0"/>
          <w:iCs w:val="0"/>
          <w:szCs w:val="24"/>
        </w:rPr>
        <w:fldChar w:fldCharType="separate"/>
      </w:r>
      <w:r>
        <w:rPr>
          <w:rFonts w:hint="eastAsia" w:ascii="宋体" w:hAnsi="宋体" w:eastAsia="宋体" w:cs="宋体"/>
          <w:szCs w:val="24"/>
          <w:lang w:val="en-US" w:eastAsia="zh-CN"/>
        </w:rPr>
        <w:t>八</w:t>
      </w:r>
      <w:r>
        <w:rPr>
          <w:rFonts w:hint="eastAsia" w:ascii="宋体" w:hAnsi="宋体" w:eastAsia="宋体" w:cs="宋体"/>
          <w:szCs w:val="24"/>
        </w:rPr>
        <w:t>、联系方式</w:t>
      </w:r>
      <w:r>
        <w:tab/>
      </w:r>
      <w:r>
        <w:fldChar w:fldCharType="begin"/>
      </w:r>
      <w:r>
        <w:instrText xml:space="preserve"> PAGEREF _Toc17428 \h </w:instrText>
      </w:r>
      <w:r>
        <w:fldChar w:fldCharType="separate"/>
      </w:r>
      <w:r>
        <w:t>5</w:t>
      </w:r>
      <w:r>
        <w:fldChar w:fldCharType="end"/>
      </w:r>
      <w:r>
        <w:rPr>
          <w:rFonts w:hint="eastAsia" w:ascii="宋体" w:hAnsi="宋体" w:eastAsia="宋体" w:cs="宋体"/>
          <w:i w:val="0"/>
          <w:iCs w:val="0"/>
          <w:szCs w:val="24"/>
        </w:rPr>
        <w:fldChar w:fldCharType="end"/>
      </w:r>
    </w:p>
    <w:p w14:paraId="7D78C961">
      <w:pPr>
        <w:pStyle w:val="59"/>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_Toc15273 </w:instrText>
      </w:r>
      <w:r>
        <w:rPr>
          <w:rFonts w:hint="eastAsia" w:ascii="宋体" w:hAnsi="宋体" w:eastAsia="宋体" w:cs="宋体"/>
          <w:i w:val="0"/>
          <w:iCs w:val="0"/>
          <w:szCs w:val="24"/>
        </w:rPr>
        <w:fldChar w:fldCharType="separate"/>
      </w:r>
      <w:r>
        <w:rPr>
          <w:rFonts w:hint="eastAsia" w:ascii="宋体" w:hAnsi="宋体" w:eastAsia="宋体" w:cs="宋体"/>
          <w:bCs/>
          <w:szCs w:val="28"/>
        </w:rPr>
        <w:t>第二章 供应商须知</w:t>
      </w:r>
      <w:r>
        <w:tab/>
      </w:r>
      <w:r>
        <w:fldChar w:fldCharType="begin"/>
      </w:r>
      <w:r>
        <w:instrText xml:space="preserve"> PAGEREF _Toc15273 \h </w:instrText>
      </w:r>
      <w:r>
        <w:fldChar w:fldCharType="separate"/>
      </w:r>
      <w:r>
        <w:t>7</w:t>
      </w:r>
      <w:r>
        <w:fldChar w:fldCharType="end"/>
      </w:r>
      <w:r>
        <w:rPr>
          <w:rFonts w:hint="eastAsia" w:ascii="宋体" w:hAnsi="宋体" w:eastAsia="宋体" w:cs="宋体"/>
          <w:i w:val="0"/>
          <w:iCs w:val="0"/>
          <w:szCs w:val="24"/>
        </w:rPr>
        <w:fldChar w:fldCharType="end"/>
      </w:r>
    </w:p>
    <w:p w14:paraId="479F61E2">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_Toc22915 </w:instrText>
      </w:r>
      <w:r>
        <w:rPr>
          <w:rFonts w:hint="eastAsia" w:ascii="宋体" w:hAnsi="宋体" w:eastAsia="宋体" w:cs="宋体"/>
          <w:i w:val="0"/>
          <w:iCs w:val="0"/>
          <w:szCs w:val="24"/>
        </w:rPr>
        <w:fldChar w:fldCharType="separate"/>
      </w:r>
      <w:r>
        <w:rPr>
          <w:rFonts w:hint="eastAsia" w:ascii="宋体" w:hAnsi="宋体" w:eastAsia="宋体" w:cs="宋体"/>
          <w:szCs w:val="24"/>
        </w:rPr>
        <w:t>一、供应商须知前附表</w:t>
      </w:r>
      <w:r>
        <w:tab/>
      </w:r>
      <w:r>
        <w:fldChar w:fldCharType="begin"/>
      </w:r>
      <w:r>
        <w:instrText xml:space="preserve"> PAGEREF _Toc22915 \h </w:instrText>
      </w:r>
      <w:r>
        <w:fldChar w:fldCharType="separate"/>
      </w:r>
      <w:r>
        <w:t>7</w:t>
      </w:r>
      <w:r>
        <w:fldChar w:fldCharType="end"/>
      </w:r>
      <w:r>
        <w:rPr>
          <w:rFonts w:hint="eastAsia" w:ascii="宋体" w:hAnsi="宋体" w:eastAsia="宋体" w:cs="宋体"/>
          <w:i w:val="0"/>
          <w:iCs w:val="0"/>
          <w:szCs w:val="24"/>
        </w:rPr>
        <w:fldChar w:fldCharType="end"/>
      </w:r>
    </w:p>
    <w:p w14:paraId="73D699D3">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_Toc18391 </w:instrText>
      </w:r>
      <w:r>
        <w:rPr>
          <w:rFonts w:hint="eastAsia" w:ascii="宋体" w:hAnsi="宋体" w:eastAsia="宋体" w:cs="宋体"/>
          <w:i w:val="0"/>
          <w:iCs w:val="0"/>
          <w:szCs w:val="24"/>
        </w:rPr>
        <w:fldChar w:fldCharType="separate"/>
      </w:r>
      <w:r>
        <w:rPr>
          <w:rFonts w:hint="eastAsia" w:ascii="宋体" w:hAnsi="宋体" w:eastAsia="宋体" w:cs="宋体"/>
          <w:szCs w:val="24"/>
        </w:rPr>
        <w:t>二、供应商须知</w:t>
      </w:r>
      <w:r>
        <w:tab/>
      </w:r>
      <w:r>
        <w:fldChar w:fldCharType="begin"/>
      </w:r>
      <w:r>
        <w:instrText xml:space="preserve"> PAGEREF _Toc18391 \h </w:instrText>
      </w:r>
      <w:r>
        <w:fldChar w:fldCharType="separate"/>
      </w:r>
      <w:r>
        <w:t>12</w:t>
      </w:r>
      <w:r>
        <w:fldChar w:fldCharType="end"/>
      </w:r>
      <w:r>
        <w:rPr>
          <w:rFonts w:hint="eastAsia" w:ascii="宋体" w:hAnsi="宋体" w:eastAsia="宋体" w:cs="宋体"/>
          <w:i w:val="0"/>
          <w:iCs w:val="0"/>
          <w:szCs w:val="24"/>
        </w:rPr>
        <w:fldChar w:fldCharType="end"/>
      </w:r>
    </w:p>
    <w:p w14:paraId="4AB5EC29">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_Toc25634 </w:instrText>
      </w:r>
      <w:r>
        <w:rPr>
          <w:rFonts w:hint="eastAsia" w:ascii="宋体" w:hAnsi="宋体" w:eastAsia="宋体" w:cs="宋体"/>
          <w:i w:val="0"/>
          <w:iCs w:val="0"/>
          <w:szCs w:val="24"/>
        </w:rPr>
        <w:fldChar w:fldCharType="separate"/>
      </w:r>
      <w:r>
        <w:rPr>
          <w:rFonts w:hint="eastAsia" w:ascii="宋体" w:hAnsi="宋体" w:eastAsia="宋体" w:cs="宋体"/>
          <w:szCs w:val="24"/>
        </w:rPr>
        <w:t>（一）总则</w:t>
      </w:r>
      <w:r>
        <w:tab/>
      </w:r>
      <w:r>
        <w:fldChar w:fldCharType="begin"/>
      </w:r>
      <w:r>
        <w:instrText xml:space="preserve"> PAGEREF _Toc25634 \h </w:instrText>
      </w:r>
      <w:r>
        <w:fldChar w:fldCharType="separate"/>
      </w:r>
      <w:r>
        <w:t>12</w:t>
      </w:r>
      <w:r>
        <w:fldChar w:fldCharType="end"/>
      </w:r>
      <w:r>
        <w:rPr>
          <w:rFonts w:hint="eastAsia" w:ascii="宋体" w:hAnsi="宋体" w:eastAsia="宋体" w:cs="宋体"/>
          <w:i w:val="0"/>
          <w:iCs w:val="0"/>
          <w:szCs w:val="24"/>
        </w:rPr>
        <w:fldChar w:fldCharType="end"/>
      </w:r>
    </w:p>
    <w:p w14:paraId="5B3A03A6">
      <w:pPr>
        <w:pStyle w:val="4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_Toc23709 </w:instrText>
      </w:r>
      <w:r>
        <w:rPr>
          <w:rFonts w:hint="eastAsia" w:ascii="宋体" w:hAnsi="宋体" w:eastAsia="宋体" w:cs="宋体"/>
          <w:i w:val="0"/>
          <w:iCs w:val="0"/>
          <w:szCs w:val="24"/>
        </w:rPr>
        <w:fldChar w:fldCharType="separate"/>
      </w:r>
      <w:r>
        <w:rPr>
          <w:rFonts w:hint="eastAsia" w:ascii="宋体" w:hAnsi="宋体" w:eastAsia="宋体" w:cs="宋体"/>
          <w:szCs w:val="24"/>
        </w:rPr>
        <w:t>1.适用范围</w:t>
      </w:r>
      <w:r>
        <w:tab/>
      </w:r>
      <w:r>
        <w:fldChar w:fldCharType="begin"/>
      </w:r>
      <w:r>
        <w:instrText xml:space="preserve"> PAGEREF _Toc23709 \h </w:instrText>
      </w:r>
      <w:r>
        <w:fldChar w:fldCharType="separate"/>
      </w:r>
      <w:r>
        <w:t>12</w:t>
      </w:r>
      <w:r>
        <w:fldChar w:fldCharType="end"/>
      </w:r>
      <w:r>
        <w:rPr>
          <w:rFonts w:hint="eastAsia" w:ascii="宋体" w:hAnsi="宋体" w:eastAsia="宋体" w:cs="宋体"/>
          <w:i w:val="0"/>
          <w:iCs w:val="0"/>
          <w:szCs w:val="24"/>
        </w:rPr>
        <w:fldChar w:fldCharType="end"/>
      </w:r>
    </w:p>
    <w:p w14:paraId="4DE2C9A5">
      <w:pPr>
        <w:pStyle w:val="4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_Toc16778 </w:instrText>
      </w:r>
      <w:r>
        <w:rPr>
          <w:rFonts w:hint="eastAsia" w:ascii="宋体" w:hAnsi="宋体" w:eastAsia="宋体" w:cs="宋体"/>
          <w:i w:val="0"/>
          <w:iCs w:val="0"/>
          <w:szCs w:val="24"/>
        </w:rPr>
        <w:fldChar w:fldCharType="separate"/>
      </w:r>
      <w:r>
        <w:rPr>
          <w:rFonts w:hint="eastAsia" w:ascii="宋体" w:hAnsi="宋体" w:eastAsia="宋体" w:cs="宋体"/>
          <w:szCs w:val="24"/>
        </w:rPr>
        <w:t>2.定义</w:t>
      </w:r>
      <w:r>
        <w:tab/>
      </w:r>
      <w:r>
        <w:fldChar w:fldCharType="begin"/>
      </w:r>
      <w:r>
        <w:instrText xml:space="preserve"> PAGEREF _Toc16778 \h </w:instrText>
      </w:r>
      <w:r>
        <w:fldChar w:fldCharType="separate"/>
      </w:r>
      <w:r>
        <w:t>12</w:t>
      </w:r>
      <w:r>
        <w:fldChar w:fldCharType="end"/>
      </w:r>
      <w:r>
        <w:rPr>
          <w:rFonts w:hint="eastAsia" w:ascii="宋体" w:hAnsi="宋体" w:eastAsia="宋体" w:cs="宋体"/>
          <w:i w:val="0"/>
          <w:iCs w:val="0"/>
          <w:szCs w:val="24"/>
        </w:rPr>
        <w:fldChar w:fldCharType="end"/>
      </w:r>
    </w:p>
    <w:p w14:paraId="6F2483FA">
      <w:pPr>
        <w:pStyle w:val="4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_Toc4402 </w:instrText>
      </w:r>
      <w:r>
        <w:rPr>
          <w:rFonts w:hint="eastAsia" w:ascii="宋体" w:hAnsi="宋体" w:eastAsia="宋体" w:cs="宋体"/>
          <w:i w:val="0"/>
          <w:iCs w:val="0"/>
          <w:szCs w:val="24"/>
        </w:rPr>
        <w:fldChar w:fldCharType="separate"/>
      </w:r>
      <w:r>
        <w:rPr>
          <w:rFonts w:hint="eastAsia" w:ascii="宋体" w:hAnsi="宋体" w:eastAsia="宋体" w:cs="宋体"/>
          <w:szCs w:val="24"/>
        </w:rPr>
        <w:t>3.工程、货物及服务</w:t>
      </w:r>
      <w:r>
        <w:tab/>
      </w:r>
      <w:r>
        <w:fldChar w:fldCharType="begin"/>
      </w:r>
      <w:r>
        <w:instrText xml:space="preserve"> PAGEREF _Toc4402 \h </w:instrText>
      </w:r>
      <w:r>
        <w:fldChar w:fldCharType="separate"/>
      </w:r>
      <w:r>
        <w:t>12</w:t>
      </w:r>
      <w:r>
        <w:fldChar w:fldCharType="end"/>
      </w:r>
      <w:r>
        <w:rPr>
          <w:rFonts w:hint="eastAsia" w:ascii="宋体" w:hAnsi="宋体" w:eastAsia="宋体" w:cs="宋体"/>
          <w:i w:val="0"/>
          <w:iCs w:val="0"/>
          <w:szCs w:val="24"/>
        </w:rPr>
        <w:fldChar w:fldCharType="end"/>
      </w:r>
    </w:p>
    <w:p w14:paraId="427ACB47">
      <w:pPr>
        <w:pStyle w:val="4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_Toc11544 </w:instrText>
      </w:r>
      <w:r>
        <w:rPr>
          <w:rFonts w:hint="eastAsia" w:ascii="宋体" w:hAnsi="宋体" w:eastAsia="宋体" w:cs="宋体"/>
          <w:i w:val="0"/>
          <w:iCs w:val="0"/>
          <w:szCs w:val="24"/>
        </w:rPr>
        <w:fldChar w:fldCharType="separate"/>
      </w:r>
      <w:r>
        <w:rPr>
          <w:rFonts w:hint="eastAsia" w:ascii="宋体" w:hAnsi="宋体" w:eastAsia="宋体" w:cs="宋体"/>
          <w:szCs w:val="24"/>
        </w:rPr>
        <w:t>4.费用</w:t>
      </w:r>
      <w:r>
        <w:tab/>
      </w:r>
      <w:r>
        <w:fldChar w:fldCharType="begin"/>
      </w:r>
      <w:r>
        <w:instrText xml:space="preserve"> PAGEREF _Toc11544 \h </w:instrText>
      </w:r>
      <w:r>
        <w:fldChar w:fldCharType="separate"/>
      </w:r>
      <w:r>
        <w:t>12</w:t>
      </w:r>
      <w:r>
        <w:fldChar w:fldCharType="end"/>
      </w:r>
      <w:r>
        <w:rPr>
          <w:rFonts w:hint="eastAsia" w:ascii="宋体" w:hAnsi="宋体" w:eastAsia="宋体" w:cs="宋体"/>
          <w:i w:val="0"/>
          <w:iCs w:val="0"/>
          <w:szCs w:val="24"/>
        </w:rPr>
        <w:fldChar w:fldCharType="end"/>
      </w:r>
    </w:p>
    <w:p w14:paraId="1B7E3830">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_Toc2904 </w:instrText>
      </w:r>
      <w:r>
        <w:rPr>
          <w:rFonts w:hint="eastAsia" w:ascii="宋体" w:hAnsi="宋体" w:eastAsia="宋体" w:cs="宋体"/>
          <w:i w:val="0"/>
          <w:iCs w:val="0"/>
          <w:szCs w:val="24"/>
        </w:rPr>
        <w:fldChar w:fldCharType="separate"/>
      </w:r>
      <w:r>
        <w:rPr>
          <w:rFonts w:hint="eastAsia" w:ascii="宋体" w:hAnsi="宋体" w:eastAsia="宋体" w:cs="宋体"/>
          <w:szCs w:val="24"/>
        </w:rPr>
        <w:t>（二）磋商文件</w:t>
      </w:r>
      <w:r>
        <w:tab/>
      </w:r>
      <w:r>
        <w:fldChar w:fldCharType="begin"/>
      </w:r>
      <w:r>
        <w:instrText xml:space="preserve"> PAGEREF _Toc2904 \h </w:instrText>
      </w:r>
      <w:r>
        <w:fldChar w:fldCharType="separate"/>
      </w:r>
      <w:r>
        <w:t>12</w:t>
      </w:r>
      <w:r>
        <w:fldChar w:fldCharType="end"/>
      </w:r>
      <w:r>
        <w:rPr>
          <w:rFonts w:hint="eastAsia" w:ascii="宋体" w:hAnsi="宋体" w:eastAsia="宋体" w:cs="宋体"/>
          <w:i w:val="0"/>
          <w:iCs w:val="0"/>
          <w:szCs w:val="24"/>
        </w:rPr>
        <w:fldChar w:fldCharType="end"/>
      </w:r>
    </w:p>
    <w:p w14:paraId="673C6480">
      <w:pPr>
        <w:pStyle w:val="4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_Toc28275 </w:instrText>
      </w:r>
      <w:r>
        <w:rPr>
          <w:rFonts w:hint="eastAsia" w:ascii="宋体" w:hAnsi="宋体" w:eastAsia="宋体" w:cs="宋体"/>
          <w:i w:val="0"/>
          <w:iCs w:val="0"/>
          <w:szCs w:val="24"/>
        </w:rPr>
        <w:fldChar w:fldCharType="separate"/>
      </w:r>
      <w:r>
        <w:rPr>
          <w:rFonts w:hint="eastAsia" w:ascii="宋体" w:hAnsi="宋体" w:eastAsia="宋体" w:cs="宋体"/>
          <w:szCs w:val="24"/>
        </w:rPr>
        <w:t>5.磋商文件的构成</w:t>
      </w:r>
      <w:r>
        <w:tab/>
      </w:r>
      <w:r>
        <w:fldChar w:fldCharType="begin"/>
      </w:r>
      <w:r>
        <w:instrText xml:space="preserve"> PAGEREF _Toc28275 \h </w:instrText>
      </w:r>
      <w:r>
        <w:fldChar w:fldCharType="separate"/>
      </w:r>
      <w:r>
        <w:t>12</w:t>
      </w:r>
      <w:r>
        <w:fldChar w:fldCharType="end"/>
      </w:r>
      <w:r>
        <w:rPr>
          <w:rFonts w:hint="eastAsia" w:ascii="宋体" w:hAnsi="宋体" w:eastAsia="宋体" w:cs="宋体"/>
          <w:i w:val="0"/>
          <w:iCs w:val="0"/>
          <w:szCs w:val="24"/>
        </w:rPr>
        <w:fldChar w:fldCharType="end"/>
      </w:r>
    </w:p>
    <w:p w14:paraId="0524F299">
      <w:pPr>
        <w:pStyle w:val="4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_Toc20604 </w:instrText>
      </w:r>
      <w:r>
        <w:rPr>
          <w:rFonts w:hint="eastAsia" w:ascii="宋体" w:hAnsi="宋体" w:eastAsia="宋体" w:cs="宋体"/>
          <w:i w:val="0"/>
          <w:iCs w:val="0"/>
          <w:szCs w:val="24"/>
        </w:rPr>
        <w:fldChar w:fldCharType="separate"/>
      </w:r>
      <w:r>
        <w:rPr>
          <w:rFonts w:hint="eastAsia" w:ascii="宋体" w:hAnsi="宋体" w:eastAsia="宋体" w:cs="宋体"/>
          <w:szCs w:val="24"/>
        </w:rPr>
        <w:t>6.磋商文件的澄清或修改</w:t>
      </w:r>
      <w:r>
        <w:tab/>
      </w:r>
      <w:r>
        <w:fldChar w:fldCharType="begin"/>
      </w:r>
      <w:r>
        <w:instrText xml:space="preserve"> PAGEREF _Toc20604 \h </w:instrText>
      </w:r>
      <w:r>
        <w:fldChar w:fldCharType="separate"/>
      </w:r>
      <w:r>
        <w:t>13</w:t>
      </w:r>
      <w:r>
        <w:fldChar w:fldCharType="end"/>
      </w:r>
      <w:r>
        <w:rPr>
          <w:rFonts w:hint="eastAsia" w:ascii="宋体" w:hAnsi="宋体" w:eastAsia="宋体" w:cs="宋体"/>
          <w:i w:val="0"/>
          <w:iCs w:val="0"/>
          <w:szCs w:val="24"/>
        </w:rPr>
        <w:fldChar w:fldCharType="end"/>
      </w:r>
    </w:p>
    <w:p w14:paraId="73AFCDE9">
      <w:pPr>
        <w:pStyle w:val="4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_Toc14721 </w:instrText>
      </w:r>
      <w:r>
        <w:rPr>
          <w:rFonts w:hint="eastAsia" w:ascii="宋体" w:hAnsi="宋体" w:eastAsia="宋体" w:cs="宋体"/>
          <w:i w:val="0"/>
          <w:iCs w:val="0"/>
          <w:szCs w:val="24"/>
        </w:rPr>
        <w:fldChar w:fldCharType="separate"/>
      </w:r>
      <w:r>
        <w:rPr>
          <w:rFonts w:hint="eastAsia" w:ascii="宋体" w:hAnsi="宋体" w:eastAsia="宋体" w:cs="宋体"/>
          <w:szCs w:val="24"/>
        </w:rPr>
        <w:t>7.现场踏勘</w:t>
      </w:r>
      <w:r>
        <w:tab/>
      </w:r>
      <w:r>
        <w:fldChar w:fldCharType="begin"/>
      </w:r>
      <w:r>
        <w:instrText xml:space="preserve"> PAGEREF _Toc14721 \h </w:instrText>
      </w:r>
      <w:r>
        <w:fldChar w:fldCharType="separate"/>
      </w:r>
      <w:r>
        <w:t>13</w:t>
      </w:r>
      <w:r>
        <w:fldChar w:fldCharType="end"/>
      </w:r>
      <w:r>
        <w:rPr>
          <w:rFonts w:hint="eastAsia" w:ascii="宋体" w:hAnsi="宋体" w:eastAsia="宋体" w:cs="宋体"/>
          <w:i w:val="0"/>
          <w:iCs w:val="0"/>
          <w:szCs w:val="24"/>
        </w:rPr>
        <w:fldChar w:fldCharType="end"/>
      </w:r>
    </w:p>
    <w:p w14:paraId="71BE6051">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_Toc32130 </w:instrText>
      </w:r>
      <w:r>
        <w:rPr>
          <w:rFonts w:hint="eastAsia" w:ascii="宋体" w:hAnsi="宋体" w:eastAsia="宋体" w:cs="宋体"/>
          <w:i w:val="0"/>
          <w:iCs w:val="0"/>
          <w:szCs w:val="24"/>
        </w:rPr>
        <w:fldChar w:fldCharType="separate"/>
      </w:r>
      <w:r>
        <w:rPr>
          <w:rFonts w:hint="eastAsia" w:ascii="宋体" w:hAnsi="宋体" w:eastAsia="宋体" w:cs="宋体"/>
          <w:szCs w:val="24"/>
        </w:rPr>
        <w:t>（三）竞争性磋商响应文件</w:t>
      </w:r>
      <w:r>
        <w:tab/>
      </w:r>
      <w:r>
        <w:fldChar w:fldCharType="begin"/>
      </w:r>
      <w:r>
        <w:instrText xml:space="preserve"> PAGEREF _Toc32130 \h </w:instrText>
      </w:r>
      <w:r>
        <w:fldChar w:fldCharType="separate"/>
      </w:r>
      <w:r>
        <w:t>13</w:t>
      </w:r>
      <w:r>
        <w:fldChar w:fldCharType="end"/>
      </w:r>
      <w:r>
        <w:rPr>
          <w:rFonts w:hint="eastAsia" w:ascii="宋体" w:hAnsi="宋体" w:eastAsia="宋体" w:cs="宋体"/>
          <w:i w:val="0"/>
          <w:iCs w:val="0"/>
          <w:szCs w:val="24"/>
        </w:rPr>
        <w:fldChar w:fldCharType="end"/>
      </w:r>
    </w:p>
    <w:p w14:paraId="406AFED5">
      <w:pPr>
        <w:pStyle w:val="4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_Toc28419 </w:instrText>
      </w:r>
      <w:r>
        <w:rPr>
          <w:rFonts w:hint="eastAsia" w:ascii="宋体" w:hAnsi="宋体" w:eastAsia="宋体" w:cs="宋体"/>
          <w:i w:val="0"/>
          <w:iCs w:val="0"/>
          <w:szCs w:val="24"/>
        </w:rPr>
        <w:fldChar w:fldCharType="separate"/>
      </w:r>
      <w:r>
        <w:rPr>
          <w:rFonts w:hint="eastAsia" w:ascii="宋体" w:hAnsi="宋体" w:eastAsia="宋体" w:cs="宋体"/>
          <w:szCs w:val="24"/>
        </w:rPr>
        <w:t>8.语言和计量单位</w:t>
      </w:r>
      <w:r>
        <w:tab/>
      </w:r>
      <w:r>
        <w:fldChar w:fldCharType="begin"/>
      </w:r>
      <w:r>
        <w:instrText xml:space="preserve"> PAGEREF _Toc28419 \h </w:instrText>
      </w:r>
      <w:r>
        <w:fldChar w:fldCharType="separate"/>
      </w:r>
      <w:r>
        <w:t>13</w:t>
      </w:r>
      <w:r>
        <w:fldChar w:fldCharType="end"/>
      </w:r>
      <w:r>
        <w:rPr>
          <w:rFonts w:hint="eastAsia" w:ascii="宋体" w:hAnsi="宋体" w:eastAsia="宋体" w:cs="宋体"/>
          <w:i w:val="0"/>
          <w:iCs w:val="0"/>
          <w:szCs w:val="24"/>
        </w:rPr>
        <w:fldChar w:fldCharType="end"/>
      </w:r>
    </w:p>
    <w:p w14:paraId="6B8AD0CA">
      <w:pPr>
        <w:pStyle w:val="4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_Toc29158 </w:instrText>
      </w:r>
      <w:r>
        <w:rPr>
          <w:rFonts w:hint="eastAsia" w:ascii="宋体" w:hAnsi="宋体" w:eastAsia="宋体" w:cs="宋体"/>
          <w:i w:val="0"/>
          <w:iCs w:val="0"/>
          <w:szCs w:val="24"/>
        </w:rPr>
        <w:fldChar w:fldCharType="separate"/>
      </w:r>
      <w:r>
        <w:rPr>
          <w:rFonts w:hint="eastAsia" w:ascii="宋体" w:hAnsi="宋体" w:eastAsia="宋体" w:cs="宋体"/>
          <w:szCs w:val="24"/>
        </w:rPr>
        <w:t>9.竞争性磋商响应文件的构成</w:t>
      </w:r>
      <w:r>
        <w:tab/>
      </w:r>
      <w:r>
        <w:fldChar w:fldCharType="begin"/>
      </w:r>
      <w:r>
        <w:instrText xml:space="preserve"> PAGEREF _Toc29158 \h </w:instrText>
      </w:r>
      <w:r>
        <w:fldChar w:fldCharType="separate"/>
      </w:r>
      <w:r>
        <w:t>14</w:t>
      </w:r>
      <w:r>
        <w:fldChar w:fldCharType="end"/>
      </w:r>
      <w:r>
        <w:rPr>
          <w:rFonts w:hint="eastAsia" w:ascii="宋体" w:hAnsi="宋体" w:eastAsia="宋体" w:cs="宋体"/>
          <w:i w:val="0"/>
          <w:iCs w:val="0"/>
          <w:szCs w:val="24"/>
        </w:rPr>
        <w:fldChar w:fldCharType="end"/>
      </w:r>
    </w:p>
    <w:p w14:paraId="63C979C6">
      <w:pPr>
        <w:pStyle w:val="4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_Toc29499 </w:instrText>
      </w:r>
      <w:r>
        <w:rPr>
          <w:rFonts w:hint="eastAsia" w:ascii="宋体" w:hAnsi="宋体" w:eastAsia="宋体" w:cs="宋体"/>
          <w:i w:val="0"/>
          <w:iCs w:val="0"/>
          <w:szCs w:val="24"/>
        </w:rPr>
        <w:fldChar w:fldCharType="separate"/>
      </w:r>
      <w:r>
        <w:rPr>
          <w:rFonts w:hint="eastAsia" w:ascii="宋体" w:hAnsi="宋体" w:eastAsia="宋体" w:cs="宋体"/>
          <w:szCs w:val="24"/>
        </w:rPr>
        <w:t>10.竞争性磋商响应文件的编制</w:t>
      </w:r>
      <w:r>
        <w:tab/>
      </w:r>
      <w:r>
        <w:fldChar w:fldCharType="begin"/>
      </w:r>
      <w:r>
        <w:instrText xml:space="preserve"> PAGEREF _Toc29499 \h </w:instrText>
      </w:r>
      <w:r>
        <w:fldChar w:fldCharType="separate"/>
      </w:r>
      <w:r>
        <w:t>14</w:t>
      </w:r>
      <w:r>
        <w:fldChar w:fldCharType="end"/>
      </w:r>
      <w:r>
        <w:rPr>
          <w:rFonts w:hint="eastAsia" w:ascii="宋体" w:hAnsi="宋体" w:eastAsia="宋体" w:cs="宋体"/>
          <w:i w:val="0"/>
          <w:iCs w:val="0"/>
          <w:szCs w:val="24"/>
        </w:rPr>
        <w:fldChar w:fldCharType="end"/>
      </w:r>
    </w:p>
    <w:p w14:paraId="557F6187">
      <w:pPr>
        <w:pStyle w:val="4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_Toc24757 </w:instrText>
      </w:r>
      <w:r>
        <w:rPr>
          <w:rFonts w:hint="eastAsia" w:ascii="宋体" w:hAnsi="宋体" w:eastAsia="宋体" w:cs="宋体"/>
          <w:i w:val="0"/>
          <w:iCs w:val="0"/>
          <w:szCs w:val="24"/>
        </w:rPr>
        <w:fldChar w:fldCharType="separate"/>
      </w:r>
      <w:r>
        <w:rPr>
          <w:rFonts w:hint="eastAsia" w:ascii="宋体" w:hAnsi="宋体" w:eastAsia="宋体" w:cs="宋体"/>
          <w:szCs w:val="24"/>
        </w:rPr>
        <w:t>11.磋商报价</w:t>
      </w:r>
      <w:r>
        <w:tab/>
      </w:r>
      <w:r>
        <w:fldChar w:fldCharType="begin"/>
      </w:r>
      <w:r>
        <w:instrText xml:space="preserve"> PAGEREF _Toc24757 \h </w:instrText>
      </w:r>
      <w:r>
        <w:fldChar w:fldCharType="separate"/>
      </w:r>
      <w:r>
        <w:t>14</w:t>
      </w:r>
      <w:r>
        <w:fldChar w:fldCharType="end"/>
      </w:r>
      <w:r>
        <w:rPr>
          <w:rFonts w:hint="eastAsia" w:ascii="宋体" w:hAnsi="宋体" w:eastAsia="宋体" w:cs="宋体"/>
          <w:i w:val="0"/>
          <w:iCs w:val="0"/>
          <w:szCs w:val="24"/>
        </w:rPr>
        <w:fldChar w:fldCharType="end"/>
      </w:r>
    </w:p>
    <w:p w14:paraId="1AB89995">
      <w:pPr>
        <w:pStyle w:val="4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_Toc21900 </w:instrText>
      </w:r>
      <w:r>
        <w:rPr>
          <w:rFonts w:hint="eastAsia" w:ascii="宋体" w:hAnsi="宋体" w:eastAsia="宋体" w:cs="宋体"/>
          <w:i w:val="0"/>
          <w:iCs w:val="0"/>
          <w:szCs w:val="24"/>
        </w:rPr>
        <w:fldChar w:fldCharType="separate"/>
      </w:r>
      <w:r>
        <w:rPr>
          <w:rFonts w:hint="eastAsia" w:ascii="宋体" w:hAnsi="宋体" w:eastAsia="宋体" w:cs="宋体"/>
          <w:szCs w:val="24"/>
        </w:rPr>
        <w:t>12.备选方案</w:t>
      </w:r>
      <w:r>
        <w:tab/>
      </w:r>
      <w:r>
        <w:fldChar w:fldCharType="begin"/>
      </w:r>
      <w:r>
        <w:instrText xml:space="preserve"> PAGEREF _Toc21900 \h </w:instrText>
      </w:r>
      <w:r>
        <w:fldChar w:fldCharType="separate"/>
      </w:r>
      <w:r>
        <w:t>15</w:t>
      </w:r>
      <w:r>
        <w:fldChar w:fldCharType="end"/>
      </w:r>
      <w:r>
        <w:rPr>
          <w:rFonts w:hint="eastAsia" w:ascii="宋体" w:hAnsi="宋体" w:eastAsia="宋体" w:cs="宋体"/>
          <w:i w:val="0"/>
          <w:iCs w:val="0"/>
          <w:szCs w:val="24"/>
        </w:rPr>
        <w:fldChar w:fldCharType="end"/>
      </w:r>
    </w:p>
    <w:p w14:paraId="192E4AB3">
      <w:pPr>
        <w:pStyle w:val="4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_Toc18980 </w:instrText>
      </w:r>
      <w:r>
        <w:rPr>
          <w:rFonts w:hint="eastAsia" w:ascii="宋体" w:hAnsi="宋体" w:eastAsia="宋体" w:cs="宋体"/>
          <w:i w:val="0"/>
          <w:iCs w:val="0"/>
          <w:szCs w:val="24"/>
        </w:rPr>
        <w:fldChar w:fldCharType="separate"/>
      </w:r>
      <w:r>
        <w:rPr>
          <w:rFonts w:hint="eastAsia" w:ascii="宋体" w:hAnsi="宋体" w:eastAsia="宋体" w:cs="宋体"/>
          <w:szCs w:val="24"/>
        </w:rPr>
        <w:t>13.联合体</w:t>
      </w:r>
      <w:r>
        <w:tab/>
      </w:r>
      <w:r>
        <w:fldChar w:fldCharType="begin"/>
      </w:r>
      <w:r>
        <w:instrText xml:space="preserve"> PAGEREF _Toc18980 \h </w:instrText>
      </w:r>
      <w:r>
        <w:fldChar w:fldCharType="separate"/>
      </w:r>
      <w:r>
        <w:t>15</w:t>
      </w:r>
      <w:r>
        <w:fldChar w:fldCharType="end"/>
      </w:r>
      <w:r>
        <w:rPr>
          <w:rFonts w:hint="eastAsia" w:ascii="宋体" w:hAnsi="宋体" w:eastAsia="宋体" w:cs="宋体"/>
          <w:i w:val="0"/>
          <w:iCs w:val="0"/>
          <w:szCs w:val="24"/>
        </w:rPr>
        <w:fldChar w:fldCharType="end"/>
      </w:r>
    </w:p>
    <w:p w14:paraId="1410B289">
      <w:pPr>
        <w:pStyle w:val="4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_Toc4657 </w:instrText>
      </w:r>
      <w:r>
        <w:rPr>
          <w:rFonts w:hint="eastAsia" w:ascii="宋体" w:hAnsi="宋体" w:eastAsia="宋体" w:cs="宋体"/>
          <w:i w:val="0"/>
          <w:iCs w:val="0"/>
          <w:szCs w:val="24"/>
        </w:rPr>
        <w:fldChar w:fldCharType="separate"/>
      </w:r>
      <w:r>
        <w:rPr>
          <w:rFonts w:hint="eastAsia" w:ascii="宋体" w:hAnsi="宋体" w:eastAsia="宋体" w:cs="宋体"/>
          <w:szCs w:val="24"/>
        </w:rPr>
        <w:t>14.供应商资格证明文件</w:t>
      </w:r>
      <w:r>
        <w:tab/>
      </w:r>
      <w:r>
        <w:fldChar w:fldCharType="begin"/>
      </w:r>
      <w:r>
        <w:instrText xml:space="preserve"> PAGEREF _Toc4657 \h </w:instrText>
      </w:r>
      <w:r>
        <w:fldChar w:fldCharType="separate"/>
      </w:r>
      <w:r>
        <w:t>15</w:t>
      </w:r>
      <w:r>
        <w:fldChar w:fldCharType="end"/>
      </w:r>
      <w:r>
        <w:rPr>
          <w:rFonts w:hint="eastAsia" w:ascii="宋体" w:hAnsi="宋体" w:eastAsia="宋体" w:cs="宋体"/>
          <w:i w:val="0"/>
          <w:iCs w:val="0"/>
          <w:szCs w:val="24"/>
        </w:rPr>
        <w:fldChar w:fldCharType="end"/>
      </w:r>
    </w:p>
    <w:p w14:paraId="74AF12BE">
      <w:pPr>
        <w:pStyle w:val="4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_Toc11001 </w:instrText>
      </w:r>
      <w:r>
        <w:rPr>
          <w:rFonts w:hint="eastAsia" w:ascii="宋体" w:hAnsi="宋体" w:eastAsia="宋体" w:cs="宋体"/>
          <w:i w:val="0"/>
          <w:iCs w:val="0"/>
          <w:szCs w:val="24"/>
        </w:rPr>
        <w:fldChar w:fldCharType="separate"/>
      </w:r>
      <w:r>
        <w:rPr>
          <w:rFonts w:hint="eastAsia" w:ascii="宋体" w:hAnsi="宋体" w:eastAsia="宋体" w:cs="宋体"/>
          <w:szCs w:val="24"/>
        </w:rPr>
        <w:t>15.证明报价内容、服务合格性和符合磋商文件规定的文件</w:t>
      </w:r>
      <w:r>
        <w:tab/>
      </w:r>
      <w:r>
        <w:fldChar w:fldCharType="begin"/>
      </w:r>
      <w:r>
        <w:instrText xml:space="preserve"> PAGEREF _Toc11001 \h </w:instrText>
      </w:r>
      <w:r>
        <w:fldChar w:fldCharType="separate"/>
      </w:r>
      <w:r>
        <w:t>15</w:t>
      </w:r>
      <w:r>
        <w:fldChar w:fldCharType="end"/>
      </w:r>
      <w:r>
        <w:rPr>
          <w:rFonts w:hint="eastAsia" w:ascii="宋体" w:hAnsi="宋体" w:eastAsia="宋体" w:cs="宋体"/>
          <w:i w:val="0"/>
          <w:iCs w:val="0"/>
          <w:szCs w:val="24"/>
        </w:rPr>
        <w:fldChar w:fldCharType="end"/>
      </w:r>
    </w:p>
    <w:p w14:paraId="6EDE72BC">
      <w:pPr>
        <w:pStyle w:val="4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_Toc9861 </w:instrText>
      </w:r>
      <w:r>
        <w:rPr>
          <w:rFonts w:hint="eastAsia" w:ascii="宋体" w:hAnsi="宋体" w:eastAsia="宋体" w:cs="宋体"/>
          <w:i w:val="0"/>
          <w:iCs w:val="0"/>
          <w:szCs w:val="24"/>
        </w:rPr>
        <w:fldChar w:fldCharType="separate"/>
      </w:r>
      <w:r>
        <w:rPr>
          <w:rFonts w:hint="eastAsia" w:ascii="宋体" w:hAnsi="宋体" w:eastAsia="宋体" w:cs="宋体"/>
          <w:szCs w:val="24"/>
        </w:rPr>
        <w:t>16.响应文件有效期</w:t>
      </w:r>
      <w:r>
        <w:tab/>
      </w:r>
      <w:r>
        <w:fldChar w:fldCharType="begin"/>
      </w:r>
      <w:r>
        <w:instrText xml:space="preserve"> PAGEREF _Toc9861 \h </w:instrText>
      </w:r>
      <w:r>
        <w:fldChar w:fldCharType="separate"/>
      </w:r>
      <w:r>
        <w:t>15</w:t>
      </w:r>
      <w:r>
        <w:fldChar w:fldCharType="end"/>
      </w:r>
      <w:r>
        <w:rPr>
          <w:rFonts w:hint="eastAsia" w:ascii="宋体" w:hAnsi="宋体" w:eastAsia="宋体" w:cs="宋体"/>
          <w:i w:val="0"/>
          <w:iCs w:val="0"/>
          <w:szCs w:val="24"/>
        </w:rPr>
        <w:fldChar w:fldCharType="end"/>
      </w:r>
    </w:p>
    <w:p w14:paraId="547117FE">
      <w:pPr>
        <w:pStyle w:val="4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_Toc22564 </w:instrText>
      </w:r>
      <w:r>
        <w:rPr>
          <w:rFonts w:hint="eastAsia" w:ascii="宋体" w:hAnsi="宋体" w:eastAsia="宋体" w:cs="宋体"/>
          <w:i w:val="0"/>
          <w:iCs w:val="0"/>
          <w:szCs w:val="24"/>
        </w:rPr>
        <w:fldChar w:fldCharType="separate"/>
      </w:r>
      <w:r>
        <w:rPr>
          <w:rFonts w:hint="eastAsia" w:ascii="宋体" w:hAnsi="宋体" w:eastAsia="宋体" w:cs="宋体"/>
          <w:szCs w:val="24"/>
        </w:rPr>
        <w:t>17.响应文件的装订、签署和数量</w:t>
      </w:r>
      <w:r>
        <w:tab/>
      </w:r>
      <w:r>
        <w:fldChar w:fldCharType="begin"/>
      </w:r>
      <w:r>
        <w:instrText xml:space="preserve"> PAGEREF _Toc22564 \h </w:instrText>
      </w:r>
      <w:r>
        <w:fldChar w:fldCharType="separate"/>
      </w:r>
      <w:r>
        <w:t>16</w:t>
      </w:r>
      <w:r>
        <w:fldChar w:fldCharType="end"/>
      </w:r>
      <w:r>
        <w:rPr>
          <w:rFonts w:hint="eastAsia" w:ascii="宋体" w:hAnsi="宋体" w:eastAsia="宋体" w:cs="宋体"/>
          <w:i w:val="0"/>
          <w:iCs w:val="0"/>
          <w:szCs w:val="24"/>
        </w:rPr>
        <w:fldChar w:fldCharType="end"/>
      </w:r>
    </w:p>
    <w:p w14:paraId="291E57A5">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_Toc13490 </w:instrText>
      </w:r>
      <w:r>
        <w:rPr>
          <w:rFonts w:hint="eastAsia" w:ascii="宋体" w:hAnsi="宋体" w:eastAsia="宋体" w:cs="宋体"/>
          <w:i w:val="0"/>
          <w:iCs w:val="0"/>
          <w:szCs w:val="24"/>
        </w:rPr>
        <w:fldChar w:fldCharType="separate"/>
      </w:r>
      <w:r>
        <w:rPr>
          <w:rFonts w:hint="eastAsia" w:ascii="宋体" w:hAnsi="宋体" w:eastAsia="宋体" w:cs="宋体"/>
          <w:szCs w:val="24"/>
        </w:rPr>
        <w:t>（四）响应文件的递交</w:t>
      </w:r>
      <w:r>
        <w:tab/>
      </w:r>
      <w:r>
        <w:fldChar w:fldCharType="begin"/>
      </w:r>
      <w:r>
        <w:instrText xml:space="preserve"> PAGEREF _Toc13490 \h </w:instrText>
      </w:r>
      <w:r>
        <w:fldChar w:fldCharType="separate"/>
      </w:r>
      <w:r>
        <w:t>16</w:t>
      </w:r>
      <w:r>
        <w:fldChar w:fldCharType="end"/>
      </w:r>
      <w:r>
        <w:rPr>
          <w:rFonts w:hint="eastAsia" w:ascii="宋体" w:hAnsi="宋体" w:eastAsia="宋体" w:cs="宋体"/>
          <w:i w:val="0"/>
          <w:iCs w:val="0"/>
          <w:szCs w:val="24"/>
        </w:rPr>
        <w:fldChar w:fldCharType="end"/>
      </w:r>
    </w:p>
    <w:p w14:paraId="65466D09">
      <w:pPr>
        <w:pStyle w:val="4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_Toc28727 </w:instrText>
      </w:r>
      <w:r>
        <w:rPr>
          <w:rFonts w:hint="eastAsia" w:ascii="宋体" w:hAnsi="宋体" w:eastAsia="宋体" w:cs="宋体"/>
          <w:i w:val="0"/>
          <w:iCs w:val="0"/>
          <w:szCs w:val="24"/>
        </w:rPr>
        <w:fldChar w:fldCharType="separate"/>
      </w:r>
      <w:r>
        <w:rPr>
          <w:rFonts w:hint="eastAsia" w:ascii="宋体" w:hAnsi="宋体" w:eastAsia="宋体" w:cs="宋体"/>
          <w:szCs w:val="24"/>
        </w:rPr>
        <w:t>18.响应文件的密封和标记</w:t>
      </w:r>
      <w:r>
        <w:tab/>
      </w:r>
      <w:r>
        <w:fldChar w:fldCharType="begin"/>
      </w:r>
      <w:r>
        <w:instrText xml:space="preserve"> PAGEREF _Toc28727 \h </w:instrText>
      </w:r>
      <w:r>
        <w:fldChar w:fldCharType="separate"/>
      </w:r>
      <w:r>
        <w:t>16</w:t>
      </w:r>
      <w:r>
        <w:fldChar w:fldCharType="end"/>
      </w:r>
      <w:r>
        <w:rPr>
          <w:rFonts w:hint="eastAsia" w:ascii="宋体" w:hAnsi="宋体" w:eastAsia="宋体" w:cs="宋体"/>
          <w:i w:val="0"/>
          <w:iCs w:val="0"/>
          <w:szCs w:val="24"/>
        </w:rPr>
        <w:fldChar w:fldCharType="end"/>
      </w:r>
    </w:p>
    <w:p w14:paraId="48A14450">
      <w:pPr>
        <w:pStyle w:val="4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_Toc6599 </w:instrText>
      </w:r>
      <w:r>
        <w:rPr>
          <w:rFonts w:hint="eastAsia" w:ascii="宋体" w:hAnsi="宋体" w:eastAsia="宋体" w:cs="宋体"/>
          <w:i w:val="0"/>
          <w:iCs w:val="0"/>
          <w:szCs w:val="24"/>
        </w:rPr>
        <w:fldChar w:fldCharType="separate"/>
      </w:r>
      <w:r>
        <w:rPr>
          <w:rFonts w:hint="eastAsia" w:ascii="宋体" w:hAnsi="宋体" w:eastAsia="宋体" w:cs="宋体"/>
          <w:szCs w:val="24"/>
        </w:rPr>
        <w:t>19.响应文件的送达地点及截止时间</w:t>
      </w:r>
      <w:r>
        <w:tab/>
      </w:r>
      <w:r>
        <w:fldChar w:fldCharType="begin"/>
      </w:r>
      <w:r>
        <w:instrText xml:space="preserve"> PAGEREF _Toc6599 \h </w:instrText>
      </w:r>
      <w:r>
        <w:fldChar w:fldCharType="separate"/>
      </w:r>
      <w:r>
        <w:t>17</w:t>
      </w:r>
      <w:r>
        <w:fldChar w:fldCharType="end"/>
      </w:r>
      <w:r>
        <w:rPr>
          <w:rFonts w:hint="eastAsia" w:ascii="宋体" w:hAnsi="宋体" w:eastAsia="宋体" w:cs="宋体"/>
          <w:i w:val="0"/>
          <w:iCs w:val="0"/>
          <w:szCs w:val="24"/>
        </w:rPr>
        <w:fldChar w:fldCharType="end"/>
      </w:r>
    </w:p>
    <w:p w14:paraId="353D749F">
      <w:pPr>
        <w:pStyle w:val="4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_Toc22953 </w:instrText>
      </w:r>
      <w:r>
        <w:rPr>
          <w:rFonts w:hint="eastAsia" w:ascii="宋体" w:hAnsi="宋体" w:eastAsia="宋体" w:cs="宋体"/>
          <w:i w:val="0"/>
          <w:iCs w:val="0"/>
          <w:szCs w:val="24"/>
        </w:rPr>
        <w:fldChar w:fldCharType="separate"/>
      </w:r>
      <w:r>
        <w:rPr>
          <w:rFonts w:hint="eastAsia" w:ascii="宋体" w:hAnsi="宋体" w:eastAsia="宋体" w:cs="宋体"/>
          <w:szCs w:val="24"/>
        </w:rPr>
        <w:t>20.迟交的响应文件</w:t>
      </w:r>
      <w:r>
        <w:tab/>
      </w:r>
      <w:r>
        <w:fldChar w:fldCharType="begin"/>
      </w:r>
      <w:r>
        <w:instrText xml:space="preserve"> PAGEREF _Toc22953 \h </w:instrText>
      </w:r>
      <w:r>
        <w:fldChar w:fldCharType="separate"/>
      </w:r>
      <w:r>
        <w:t>17</w:t>
      </w:r>
      <w:r>
        <w:fldChar w:fldCharType="end"/>
      </w:r>
      <w:r>
        <w:rPr>
          <w:rFonts w:hint="eastAsia" w:ascii="宋体" w:hAnsi="宋体" w:eastAsia="宋体" w:cs="宋体"/>
          <w:i w:val="0"/>
          <w:iCs w:val="0"/>
          <w:szCs w:val="24"/>
        </w:rPr>
        <w:fldChar w:fldCharType="end"/>
      </w:r>
    </w:p>
    <w:p w14:paraId="42406DC3">
      <w:pPr>
        <w:pStyle w:val="4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_Toc12672 </w:instrText>
      </w:r>
      <w:r>
        <w:rPr>
          <w:rFonts w:hint="eastAsia" w:ascii="宋体" w:hAnsi="宋体" w:eastAsia="宋体" w:cs="宋体"/>
          <w:i w:val="0"/>
          <w:iCs w:val="0"/>
          <w:szCs w:val="24"/>
        </w:rPr>
        <w:fldChar w:fldCharType="separate"/>
      </w:r>
      <w:r>
        <w:rPr>
          <w:rFonts w:hint="eastAsia" w:ascii="宋体" w:hAnsi="宋体" w:eastAsia="宋体" w:cs="宋体"/>
          <w:szCs w:val="24"/>
        </w:rPr>
        <w:t>21.响应文件的补充、修改或者撤回</w:t>
      </w:r>
      <w:r>
        <w:tab/>
      </w:r>
      <w:r>
        <w:fldChar w:fldCharType="begin"/>
      </w:r>
      <w:r>
        <w:instrText xml:space="preserve"> PAGEREF _Toc12672 \h </w:instrText>
      </w:r>
      <w:r>
        <w:fldChar w:fldCharType="separate"/>
      </w:r>
      <w:r>
        <w:t>17</w:t>
      </w:r>
      <w:r>
        <w:fldChar w:fldCharType="end"/>
      </w:r>
      <w:r>
        <w:rPr>
          <w:rFonts w:hint="eastAsia" w:ascii="宋体" w:hAnsi="宋体" w:eastAsia="宋体" w:cs="宋体"/>
          <w:i w:val="0"/>
          <w:iCs w:val="0"/>
          <w:szCs w:val="24"/>
        </w:rPr>
        <w:fldChar w:fldCharType="end"/>
      </w:r>
    </w:p>
    <w:p w14:paraId="52EE4360">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_Toc15353 </w:instrText>
      </w:r>
      <w:r>
        <w:rPr>
          <w:rFonts w:hint="eastAsia" w:ascii="宋体" w:hAnsi="宋体" w:eastAsia="宋体" w:cs="宋体"/>
          <w:i w:val="0"/>
          <w:iCs w:val="0"/>
          <w:szCs w:val="24"/>
        </w:rPr>
        <w:fldChar w:fldCharType="separate"/>
      </w:r>
      <w:r>
        <w:rPr>
          <w:rFonts w:hint="eastAsia" w:ascii="宋体" w:hAnsi="宋体" w:eastAsia="宋体" w:cs="宋体"/>
          <w:szCs w:val="24"/>
        </w:rPr>
        <w:t>（五）磋商程序</w:t>
      </w:r>
      <w:r>
        <w:tab/>
      </w:r>
      <w:r>
        <w:fldChar w:fldCharType="begin"/>
      </w:r>
      <w:r>
        <w:instrText xml:space="preserve"> PAGEREF _Toc15353 \h </w:instrText>
      </w:r>
      <w:r>
        <w:fldChar w:fldCharType="separate"/>
      </w:r>
      <w:r>
        <w:t>17</w:t>
      </w:r>
      <w:r>
        <w:fldChar w:fldCharType="end"/>
      </w:r>
      <w:r>
        <w:rPr>
          <w:rFonts w:hint="eastAsia" w:ascii="宋体" w:hAnsi="宋体" w:eastAsia="宋体" w:cs="宋体"/>
          <w:i w:val="0"/>
          <w:iCs w:val="0"/>
          <w:szCs w:val="24"/>
        </w:rPr>
        <w:fldChar w:fldCharType="end"/>
      </w:r>
    </w:p>
    <w:p w14:paraId="1B115C61">
      <w:pPr>
        <w:pStyle w:val="4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_Toc7490 </w:instrText>
      </w:r>
      <w:r>
        <w:rPr>
          <w:rFonts w:hint="eastAsia" w:ascii="宋体" w:hAnsi="宋体" w:eastAsia="宋体" w:cs="宋体"/>
          <w:i w:val="0"/>
          <w:iCs w:val="0"/>
          <w:szCs w:val="24"/>
        </w:rPr>
        <w:fldChar w:fldCharType="separate"/>
      </w:r>
      <w:r>
        <w:rPr>
          <w:rFonts w:hint="eastAsia" w:ascii="宋体" w:hAnsi="宋体" w:eastAsia="宋体" w:cs="宋体"/>
          <w:szCs w:val="24"/>
        </w:rPr>
        <w:t>22.磋商小组</w:t>
      </w:r>
      <w:r>
        <w:tab/>
      </w:r>
      <w:r>
        <w:fldChar w:fldCharType="begin"/>
      </w:r>
      <w:r>
        <w:instrText xml:space="preserve"> PAGEREF _Toc7490 \h </w:instrText>
      </w:r>
      <w:r>
        <w:fldChar w:fldCharType="separate"/>
      </w:r>
      <w:r>
        <w:t>17</w:t>
      </w:r>
      <w:r>
        <w:fldChar w:fldCharType="end"/>
      </w:r>
      <w:r>
        <w:rPr>
          <w:rFonts w:hint="eastAsia" w:ascii="宋体" w:hAnsi="宋体" w:eastAsia="宋体" w:cs="宋体"/>
          <w:i w:val="0"/>
          <w:iCs w:val="0"/>
          <w:szCs w:val="24"/>
        </w:rPr>
        <w:fldChar w:fldCharType="end"/>
      </w:r>
    </w:p>
    <w:p w14:paraId="59D6C6B9">
      <w:pPr>
        <w:pStyle w:val="4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_Toc4918 </w:instrText>
      </w:r>
      <w:r>
        <w:rPr>
          <w:rFonts w:hint="eastAsia" w:ascii="宋体" w:hAnsi="宋体" w:eastAsia="宋体" w:cs="宋体"/>
          <w:i w:val="0"/>
          <w:iCs w:val="0"/>
          <w:szCs w:val="24"/>
        </w:rPr>
        <w:fldChar w:fldCharType="separate"/>
      </w:r>
      <w:r>
        <w:rPr>
          <w:rFonts w:hint="eastAsia" w:ascii="宋体" w:hAnsi="宋体" w:eastAsia="宋体" w:cs="宋体"/>
          <w:szCs w:val="24"/>
        </w:rPr>
        <w:t>23.磋商代表</w:t>
      </w:r>
      <w:r>
        <w:tab/>
      </w:r>
      <w:r>
        <w:fldChar w:fldCharType="begin"/>
      </w:r>
      <w:r>
        <w:instrText xml:space="preserve"> PAGEREF _Toc4918 \h </w:instrText>
      </w:r>
      <w:r>
        <w:fldChar w:fldCharType="separate"/>
      </w:r>
      <w:r>
        <w:t>17</w:t>
      </w:r>
      <w:r>
        <w:fldChar w:fldCharType="end"/>
      </w:r>
      <w:r>
        <w:rPr>
          <w:rFonts w:hint="eastAsia" w:ascii="宋体" w:hAnsi="宋体" w:eastAsia="宋体" w:cs="宋体"/>
          <w:i w:val="0"/>
          <w:iCs w:val="0"/>
          <w:szCs w:val="24"/>
        </w:rPr>
        <w:fldChar w:fldCharType="end"/>
      </w:r>
    </w:p>
    <w:p w14:paraId="4B4C6E6D">
      <w:pPr>
        <w:pStyle w:val="4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_Toc20515 </w:instrText>
      </w:r>
      <w:r>
        <w:rPr>
          <w:rFonts w:hint="eastAsia" w:ascii="宋体" w:hAnsi="宋体" w:eastAsia="宋体" w:cs="宋体"/>
          <w:i w:val="0"/>
          <w:iCs w:val="0"/>
          <w:szCs w:val="24"/>
        </w:rPr>
        <w:fldChar w:fldCharType="separate"/>
      </w:r>
      <w:r>
        <w:rPr>
          <w:rFonts w:hint="eastAsia" w:ascii="宋体" w:hAnsi="宋体" w:eastAsia="宋体" w:cs="宋体"/>
          <w:szCs w:val="24"/>
        </w:rPr>
        <w:t>24.资格审查和符合性审查</w:t>
      </w:r>
      <w:r>
        <w:tab/>
      </w:r>
      <w:r>
        <w:fldChar w:fldCharType="begin"/>
      </w:r>
      <w:r>
        <w:instrText xml:space="preserve"> PAGEREF _Toc20515 \h </w:instrText>
      </w:r>
      <w:r>
        <w:fldChar w:fldCharType="separate"/>
      </w:r>
      <w:r>
        <w:t>18</w:t>
      </w:r>
      <w:r>
        <w:fldChar w:fldCharType="end"/>
      </w:r>
      <w:r>
        <w:rPr>
          <w:rFonts w:hint="eastAsia" w:ascii="宋体" w:hAnsi="宋体" w:eastAsia="宋体" w:cs="宋体"/>
          <w:i w:val="0"/>
          <w:iCs w:val="0"/>
          <w:szCs w:val="24"/>
        </w:rPr>
        <w:fldChar w:fldCharType="end"/>
      </w:r>
    </w:p>
    <w:p w14:paraId="22D50361">
      <w:pPr>
        <w:pStyle w:val="4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_Toc14450 </w:instrText>
      </w:r>
      <w:r>
        <w:rPr>
          <w:rFonts w:hint="eastAsia" w:ascii="宋体" w:hAnsi="宋体" w:eastAsia="宋体" w:cs="宋体"/>
          <w:i w:val="0"/>
          <w:iCs w:val="0"/>
          <w:szCs w:val="24"/>
        </w:rPr>
        <w:fldChar w:fldCharType="separate"/>
      </w:r>
      <w:r>
        <w:rPr>
          <w:rFonts w:hint="eastAsia" w:ascii="宋体" w:hAnsi="宋体" w:eastAsia="宋体" w:cs="宋体"/>
          <w:szCs w:val="24"/>
        </w:rPr>
        <w:t>25.磋商</w:t>
      </w:r>
      <w:r>
        <w:tab/>
      </w:r>
      <w:r>
        <w:fldChar w:fldCharType="begin"/>
      </w:r>
      <w:r>
        <w:instrText xml:space="preserve"> PAGEREF _Toc14450 \h </w:instrText>
      </w:r>
      <w:r>
        <w:fldChar w:fldCharType="separate"/>
      </w:r>
      <w:r>
        <w:t>18</w:t>
      </w:r>
      <w:r>
        <w:fldChar w:fldCharType="end"/>
      </w:r>
      <w:r>
        <w:rPr>
          <w:rFonts w:hint="eastAsia" w:ascii="宋体" w:hAnsi="宋体" w:eastAsia="宋体" w:cs="宋体"/>
          <w:i w:val="0"/>
          <w:iCs w:val="0"/>
          <w:szCs w:val="24"/>
        </w:rPr>
        <w:fldChar w:fldCharType="end"/>
      </w:r>
    </w:p>
    <w:p w14:paraId="13749786">
      <w:pPr>
        <w:pStyle w:val="4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_Toc28655 </w:instrText>
      </w:r>
      <w:r>
        <w:rPr>
          <w:rFonts w:hint="eastAsia" w:ascii="宋体" w:hAnsi="宋体" w:eastAsia="宋体" w:cs="宋体"/>
          <w:i w:val="0"/>
          <w:iCs w:val="0"/>
          <w:szCs w:val="24"/>
        </w:rPr>
        <w:fldChar w:fldCharType="separate"/>
      </w:r>
      <w:r>
        <w:rPr>
          <w:rFonts w:hint="eastAsia" w:ascii="宋体" w:hAnsi="宋体" w:eastAsia="宋体" w:cs="宋体"/>
          <w:szCs w:val="24"/>
        </w:rPr>
        <w:t>26.推荐成交候选供应商</w:t>
      </w:r>
      <w:r>
        <w:tab/>
      </w:r>
      <w:r>
        <w:fldChar w:fldCharType="begin"/>
      </w:r>
      <w:r>
        <w:instrText xml:space="preserve"> PAGEREF _Toc28655 \h </w:instrText>
      </w:r>
      <w:r>
        <w:fldChar w:fldCharType="separate"/>
      </w:r>
      <w:r>
        <w:t>19</w:t>
      </w:r>
      <w:r>
        <w:fldChar w:fldCharType="end"/>
      </w:r>
      <w:r>
        <w:rPr>
          <w:rFonts w:hint="eastAsia" w:ascii="宋体" w:hAnsi="宋体" w:eastAsia="宋体" w:cs="宋体"/>
          <w:i w:val="0"/>
          <w:iCs w:val="0"/>
          <w:szCs w:val="24"/>
        </w:rPr>
        <w:fldChar w:fldCharType="end"/>
      </w:r>
    </w:p>
    <w:p w14:paraId="11F822EB">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_Toc20269 </w:instrText>
      </w:r>
      <w:r>
        <w:rPr>
          <w:rFonts w:hint="eastAsia" w:ascii="宋体" w:hAnsi="宋体" w:eastAsia="宋体" w:cs="宋体"/>
          <w:i w:val="0"/>
          <w:iCs w:val="0"/>
          <w:szCs w:val="24"/>
        </w:rPr>
        <w:fldChar w:fldCharType="separate"/>
      </w:r>
      <w:r>
        <w:rPr>
          <w:rFonts w:hint="eastAsia" w:ascii="宋体" w:hAnsi="宋体" w:eastAsia="宋体" w:cs="宋体"/>
          <w:szCs w:val="24"/>
        </w:rPr>
        <w:t>（六）成交与签订合同</w:t>
      </w:r>
      <w:r>
        <w:tab/>
      </w:r>
      <w:r>
        <w:fldChar w:fldCharType="begin"/>
      </w:r>
      <w:r>
        <w:instrText xml:space="preserve"> PAGEREF _Toc20269 \h </w:instrText>
      </w:r>
      <w:r>
        <w:fldChar w:fldCharType="separate"/>
      </w:r>
      <w:r>
        <w:t>19</w:t>
      </w:r>
      <w:r>
        <w:fldChar w:fldCharType="end"/>
      </w:r>
      <w:r>
        <w:rPr>
          <w:rFonts w:hint="eastAsia" w:ascii="宋体" w:hAnsi="宋体" w:eastAsia="宋体" w:cs="宋体"/>
          <w:i w:val="0"/>
          <w:iCs w:val="0"/>
          <w:szCs w:val="24"/>
        </w:rPr>
        <w:fldChar w:fldCharType="end"/>
      </w:r>
    </w:p>
    <w:p w14:paraId="472248B8">
      <w:pPr>
        <w:pStyle w:val="4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_Toc23427 </w:instrText>
      </w:r>
      <w:r>
        <w:rPr>
          <w:rFonts w:hint="eastAsia" w:ascii="宋体" w:hAnsi="宋体" w:eastAsia="宋体" w:cs="宋体"/>
          <w:i w:val="0"/>
          <w:iCs w:val="0"/>
          <w:szCs w:val="24"/>
        </w:rPr>
        <w:fldChar w:fldCharType="separate"/>
      </w:r>
      <w:r>
        <w:rPr>
          <w:rFonts w:hint="eastAsia" w:ascii="宋体" w:hAnsi="宋体" w:eastAsia="宋体" w:cs="宋体"/>
          <w:szCs w:val="24"/>
        </w:rPr>
        <w:t>27.确定成交供应商</w:t>
      </w:r>
      <w:r>
        <w:tab/>
      </w:r>
      <w:r>
        <w:fldChar w:fldCharType="begin"/>
      </w:r>
      <w:r>
        <w:instrText xml:space="preserve"> PAGEREF _Toc23427 \h </w:instrText>
      </w:r>
      <w:r>
        <w:fldChar w:fldCharType="separate"/>
      </w:r>
      <w:r>
        <w:t>19</w:t>
      </w:r>
      <w:r>
        <w:fldChar w:fldCharType="end"/>
      </w:r>
      <w:r>
        <w:rPr>
          <w:rFonts w:hint="eastAsia" w:ascii="宋体" w:hAnsi="宋体" w:eastAsia="宋体" w:cs="宋体"/>
          <w:i w:val="0"/>
          <w:iCs w:val="0"/>
          <w:szCs w:val="24"/>
        </w:rPr>
        <w:fldChar w:fldCharType="end"/>
      </w:r>
    </w:p>
    <w:p w14:paraId="7EE51692">
      <w:pPr>
        <w:pStyle w:val="4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_Toc18110 </w:instrText>
      </w:r>
      <w:r>
        <w:rPr>
          <w:rFonts w:hint="eastAsia" w:ascii="宋体" w:hAnsi="宋体" w:eastAsia="宋体" w:cs="宋体"/>
          <w:i w:val="0"/>
          <w:iCs w:val="0"/>
          <w:szCs w:val="24"/>
        </w:rPr>
        <w:fldChar w:fldCharType="separate"/>
      </w:r>
      <w:r>
        <w:rPr>
          <w:rFonts w:hint="eastAsia" w:ascii="宋体" w:hAnsi="宋体" w:eastAsia="宋体" w:cs="宋体"/>
          <w:szCs w:val="24"/>
        </w:rPr>
        <w:t>28.签订合同</w:t>
      </w:r>
      <w:r>
        <w:tab/>
      </w:r>
      <w:r>
        <w:fldChar w:fldCharType="begin"/>
      </w:r>
      <w:r>
        <w:instrText xml:space="preserve"> PAGEREF _Toc18110 \h </w:instrText>
      </w:r>
      <w:r>
        <w:fldChar w:fldCharType="separate"/>
      </w:r>
      <w:r>
        <w:t>19</w:t>
      </w:r>
      <w:r>
        <w:fldChar w:fldCharType="end"/>
      </w:r>
      <w:r>
        <w:rPr>
          <w:rFonts w:hint="eastAsia" w:ascii="宋体" w:hAnsi="宋体" w:eastAsia="宋体" w:cs="宋体"/>
          <w:i w:val="0"/>
          <w:iCs w:val="0"/>
          <w:szCs w:val="24"/>
        </w:rPr>
        <w:fldChar w:fldCharType="end"/>
      </w:r>
    </w:p>
    <w:p w14:paraId="7702D34F">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_Toc26885 </w:instrText>
      </w:r>
      <w:r>
        <w:rPr>
          <w:rFonts w:hint="eastAsia" w:ascii="宋体" w:hAnsi="宋体" w:eastAsia="宋体" w:cs="宋体"/>
          <w:i w:val="0"/>
          <w:iCs w:val="0"/>
          <w:szCs w:val="24"/>
        </w:rPr>
        <w:fldChar w:fldCharType="separate"/>
      </w:r>
      <w:r>
        <w:rPr>
          <w:rFonts w:hint="eastAsia" w:ascii="宋体" w:hAnsi="宋体" w:eastAsia="宋体" w:cs="宋体"/>
          <w:snapToGrid w:val="0"/>
          <w:szCs w:val="24"/>
          <w:lang w:val="zh-CN"/>
        </w:rPr>
        <w:t>（七）质疑和投诉</w:t>
      </w:r>
      <w:r>
        <w:tab/>
      </w:r>
      <w:r>
        <w:fldChar w:fldCharType="begin"/>
      </w:r>
      <w:r>
        <w:instrText xml:space="preserve"> PAGEREF _Toc26885 \h </w:instrText>
      </w:r>
      <w:r>
        <w:fldChar w:fldCharType="separate"/>
      </w:r>
      <w:r>
        <w:t>20</w:t>
      </w:r>
      <w:r>
        <w:fldChar w:fldCharType="end"/>
      </w:r>
      <w:r>
        <w:rPr>
          <w:rFonts w:hint="eastAsia" w:ascii="宋体" w:hAnsi="宋体" w:eastAsia="宋体" w:cs="宋体"/>
          <w:i w:val="0"/>
          <w:iCs w:val="0"/>
          <w:szCs w:val="24"/>
        </w:rPr>
        <w:fldChar w:fldCharType="end"/>
      </w:r>
    </w:p>
    <w:p w14:paraId="4A299480">
      <w:pPr>
        <w:pStyle w:val="4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_Toc22584 </w:instrText>
      </w:r>
      <w:r>
        <w:rPr>
          <w:rFonts w:hint="eastAsia" w:ascii="宋体" w:hAnsi="宋体" w:eastAsia="宋体" w:cs="宋体"/>
          <w:i w:val="0"/>
          <w:iCs w:val="0"/>
          <w:szCs w:val="24"/>
        </w:rPr>
        <w:fldChar w:fldCharType="separate"/>
      </w:r>
      <w:r>
        <w:rPr>
          <w:rFonts w:hint="eastAsia" w:ascii="宋体" w:hAnsi="宋体" w:eastAsia="宋体" w:cs="宋体"/>
          <w:szCs w:val="24"/>
        </w:rPr>
        <w:t>29.质疑</w:t>
      </w:r>
      <w:r>
        <w:tab/>
      </w:r>
      <w:r>
        <w:fldChar w:fldCharType="begin"/>
      </w:r>
      <w:r>
        <w:instrText xml:space="preserve"> PAGEREF _Toc22584 \h </w:instrText>
      </w:r>
      <w:r>
        <w:fldChar w:fldCharType="separate"/>
      </w:r>
      <w:r>
        <w:t>20</w:t>
      </w:r>
      <w:r>
        <w:fldChar w:fldCharType="end"/>
      </w:r>
      <w:r>
        <w:rPr>
          <w:rFonts w:hint="eastAsia" w:ascii="宋体" w:hAnsi="宋体" w:eastAsia="宋体" w:cs="宋体"/>
          <w:i w:val="0"/>
          <w:iCs w:val="0"/>
          <w:szCs w:val="24"/>
        </w:rPr>
        <w:fldChar w:fldCharType="end"/>
      </w:r>
    </w:p>
    <w:p w14:paraId="7409D0FF">
      <w:pPr>
        <w:pStyle w:val="4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_Toc17078 </w:instrText>
      </w:r>
      <w:r>
        <w:rPr>
          <w:rFonts w:hint="eastAsia" w:ascii="宋体" w:hAnsi="宋体" w:eastAsia="宋体" w:cs="宋体"/>
          <w:i w:val="0"/>
          <w:iCs w:val="0"/>
          <w:szCs w:val="24"/>
        </w:rPr>
        <w:fldChar w:fldCharType="separate"/>
      </w:r>
      <w:r>
        <w:rPr>
          <w:rFonts w:hint="eastAsia" w:ascii="宋体" w:hAnsi="宋体" w:eastAsia="宋体" w:cs="宋体"/>
          <w:szCs w:val="24"/>
        </w:rPr>
        <w:t>30.质疑回复</w:t>
      </w:r>
      <w:r>
        <w:tab/>
      </w:r>
      <w:r>
        <w:fldChar w:fldCharType="begin"/>
      </w:r>
      <w:r>
        <w:instrText xml:space="preserve"> PAGEREF _Toc17078 \h </w:instrText>
      </w:r>
      <w:r>
        <w:fldChar w:fldCharType="separate"/>
      </w:r>
      <w:r>
        <w:t>20</w:t>
      </w:r>
      <w:r>
        <w:fldChar w:fldCharType="end"/>
      </w:r>
      <w:r>
        <w:rPr>
          <w:rFonts w:hint="eastAsia" w:ascii="宋体" w:hAnsi="宋体" w:eastAsia="宋体" w:cs="宋体"/>
          <w:i w:val="0"/>
          <w:iCs w:val="0"/>
          <w:szCs w:val="24"/>
        </w:rPr>
        <w:fldChar w:fldCharType="end"/>
      </w:r>
    </w:p>
    <w:p w14:paraId="3957035B">
      <w:pPr>
        <w:pStyle w:val="4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_Toc27755 </w:instrText>
      </w:r>
      <w:r>
        <w:rPr>
          <w:rFonts w:hint="eastAsia" w:ascii="宋体" w:hAnsi="宋体" w:eastAsia="宋体" w:cs="宋体"/>
          <w:i w:val="0"/>
          <w:iCs w:val="0"/>
          <w:szCs w:val="24"/>
        </w:rPr>
        <w:fldChar w:fldCharType="separate"/>
      </w:r>
      <w:r>
        <w:rPr>
          <w:rFonts w:hint="eastAsia" w:ascii="宋体" w:hAnsi="宋体" w:eastAsia="宋体" w:cs="宋体"/>
          <w:szCs w:val="24"/>
        </w:rPr>
        <w:t>31.投诉</w:t>
      </w:r>
      <w:r>
        <w:tab/>
      </w:r>
      <w:r>
        <w:fldChar w:fldCharType="begin"/>
      </w:r>
      <w:r>
        <w:instrText xml:space="preserve"> PAGEREF _Toc27755 \h </w:instrText>
      </w:r>
      <w:r>
        <w:fldChar w:fldCharType="separate"/>
      </w:r>
      <w:r>
        <w:t>21</w:t>
      </w:r>
      <w:r>
        <w:fldChar w:fldCharType="end"/>
      </w:r>
      <w:r>
        <w:rPr>
          <w:rFonts w:hint="eastAsia" w:ascii="宋体" w:hAnsi="宋体" w:eastAsia="宋体" w:cs="宋体"/>
          <w:i w:val="0"/>
          <w:iCs w:val="0"/>
          <w:szCs w:val="24"/>
        </w:rPr>
        <w:fldChar w:fldCharType="end"/>
      </w:r>
    </w:p>
    <w:p w14:paraId="39EC1631">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_Toc16240 </w:instrText>
      </w:r>
      <w:r>
        <w:rPr>
          <w:rFonts w:hint="eastAsia" w:ascii="宋体" w:hAnsi="宋体" w:eastAsia="宋体" w:cs="宋体"/>
          <w:i w:val="0"/>
          <w:iCs w:val="0"/>
          <w:szCs w:val="24"/>
        </w:rPr>
        <w:fldChar w:fldCharType="separate"/>
      </w:r>
      <w:r>
        <w:rPr>
          <w:rFonts w:hint="eastAsia" w:ascii="宋体" w:hAnsi="宋体" w:eastAsia="宋体" w:cs="宋体"/>
          <w:snapToGrid w:val="0"/>
          <w:szCs w:val="24"/>
          <w:lang w:val="zh-CN"/>
        </w:rPr>
        <w:t>（八）政府采购政策</w:t>
      </w:r>
      <w:r>
        <w:tab/>
      </w:r>
      <w:r>
        <w:fldChar w:fldCharType="begin"/>
      </w:r>
      <w:r>
        <w:instrText xml:space="preserve"> PAGEREF _Toc16240 \h </w:instrText>
      </w:r>
      <w:r>
        <w:fldChar w:fldCharType="separate"/>
      </w:r>
      <w:r>
        <w:t>21</w:t>
      </w:r>
      <w:r>
        <w:fldChar w:fldCharType="end"/>
      </w:r>
      <w:r>
        <w:rPr>
          <w:rFonts w:hint="eastAsia" w:ascii="宋体" w:hAnsi="宋体" w:eastAsia="宋体" w:cs="宋体"/>
          <w:i w:val="0"/>
          <w:iCs w:val="0"/>
          <w:szCs w:val="24"/>
        </w:rPr>
        <w:fldChar w:fldCharType="end"/>
      </w:r>
    </w:p>
    <w:p w14:paraId="1A4DF514">
      <w:pPr>
        <w:pStyle w:val="4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_Toc29416 </w:instrText>
      </w:r>
      <w:r>
        <w:rPr>
          <w:rFonts w:hint="eastAsia" w:ascii="宋体" w:hAnsi="宋体" w:eastAsia="宋体" w:cs="宋体"/>
          <w:i w:val="0"/>
          <w:iCs w:val="0"/>
          <w:szCs w:val="24"/>
        </w:rPr>
        <w:fldChar w:fldCharType="separate"/>
      </w:r>
      <w:r>
        <w:rPr>
          <w:rFonts w:hint="eastAsia" w:ascii="宋体" w:hAnsi="宋体" w:eastAsia="宋体" w:cs="宋体"/>
          <w:szCs w:val="24"/>
        </w:rPr>
        <w:t>32.是否接受进口产品</w:t>
      </w:r>
      <w:r>
        <w:tab/>
      </w:r>
      <w:r>
        <w:fldChar w:fldCharType="begin"/>
      </w:r>
      <w:r>
        <w:instrText xml:space="preserve"> PAGEREF _Toc29416 \h </w:instrText>
      </w:r>
      <w:r>
        <w:fldChar w:fldCharType="separate"/>
      </w:r>
      <w:r>
        <w:t>21</w:t>
      </w:r>
      <w:r>
        <w:fldChar w:fldCharType="end"/>
      </w:r>
      <w:r>
        <w:rPr>
          <w:rFonts w:hint="eastAsia" w:ascii="宋体" w:hAnsi="宋体" w:eastAsia="宋体" w:cs="宋体"/>
          <w:i w:val="0"/>
          <w:iCs w:val="0"/>
          <w:szCs w:val="24"/>
        </w:rPr>
        <w:fldChar w:fldCharType="end"/>
      </w:r>
    </w:p>
    <w:p w14:paraId="326FBFC8">
      <w:pPr>
        <w:pStyle w:val="4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_Toc15383 </w:instrText>
      </w:r>
      <w:r>
        <w:rPr>
          <w:rFonts w:hint="eastAsia" w:ascii="宋体" w:hAnsi="宋体" w:eastAsia="宋体" w:cs="宋体"/>
          <w:i w:val="0"/>
          <w:iCs w:val="0"/>
          <w:szCs w:val="24"/>
        </w:rPr>
        <w:fldChar w:fldCharType="separate"/>
      </w:r>
      <w:r>
        <w:rPr>
          <w:rFonts w:hint="eastAsia" w:ascii="宋体" w:hAnsi="宋体" w:eastAsia="宋体" w:cs="宋体"/>
          <w:szCs w:val="24"/>
        </w:rPr>
        <w:t>33.中小企业扶持政策</w:t>
      </w:r>
      <w:r>
        <w:tab/>
      </w:r>
      <w:r>
        <w:fldChar w:fldCharType="begin"/>
      </w:r>
      <w:r>
        <w:instrText xml:space="preserve"> PAGEREF _Toc15383 \h </w:instrText>
      </w:r>
      <w:r>
        <w:fldChar w:fldCharType="separate"/>
      </w:r>
      <w:r>
        <w:t>21</w:t>
      </w:r>
      <w:r>
        <w:fldChar w:fldCharType="end"/>
      </w:r>
      <w:r>
        <w:rPr>
          <w:rFonts w:hint="eastAsia" w:ascii="宋体" w:hAnsi="宋体" w:eastAsia="宋体" w:cs="宋体"/>
          <w:i w:val="0"/>
          <w:iCs w:val="0"/>
          <w:szCs w:val="24"/>
        </w:rPr>
        <w:fldChar w:fldCharType="end"/>
      </w:r>
    </w:p>
    <w:p w14:paraId="63AE317C">
      <w:pPr>
        <w:pStyle w:val="4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_Toc14903 </w:instrText>
      </w:r>
      <w:r>
        <w:rPr>
          <w:rFonts w:hint="eastAsia" w:ascii="宋体" w:hAnsi="宋体" w:eastAsia="宋体" w:cs="宋体"/>
          <w:i w:val="0"/>
          <w:iCs w:val="0"/>
          <w:szCs w:val="24"/>
        </w:rPr>
        <w:fldChar w:fldCharType="separate"/>
      </w:r>
      <w:r>
        <w:rPr>
          <w:rFonts w:hint="eastAsia" w:ascii="宋体" w:hAnsi="宋体" w:eastAsia="宋体" w:cs="宋体"/>
          <w:szCs w:val="24"/>
        </w:rPr>
        <w:t>34.节能产品、环境标志产品采购政策</w:t>
      </w:r>
      <w:r>
        <w:tab/>
      </w:r>
      <w:r>
        <w:fldChar w:fldCharType="begin"/>
      </w:r>
      <w:r>
        <w:instrText xml:space="preserve"> PAGEREF _Toc14903 \h </w:instrText>
      </w:r>
      <w:r>
        <w:fldChar w:fldCharType="separate"/>
      </w:r>
      <w:r>
        <w:t>22</w:t>
      </w:r>
      <w:r>
        <w:fldChar w:fldCharType="end"/>
      </w:r>
      <w:r>
        <w:rPr>
          <w:rFonts w:hint="eastAsia" w:ascii="宋体" w:hAnsi="宋体" w:eastAsia="宋体" w:cs="宋体"/>
          <w:i w:val="0"/>
          <w:iCs w:val="0"/>
          <w:szCs w:val="24"/>
        </w:rPr>
        <w:fldChar w:fldCharType="end"/>
      </w:r>
    </w:p>
    <w:p w14:paraId="53B74B97">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_Toc25983 </w:instrText>
      </w:r>
      <w:r>
        <w:rPr>
          <w:rFonts w:hint="eastAsia" w:ascii="宋体" w:hAnsi="宋体" w:eastAsia="宋体" w:cs="宋体"/>
          <w:i w:val="0"/>
          <w:iCs w:val="0"/>
          <w:szCs w:val="24"/>
        </w:rPr>
        <w:fldChar w:fldCharType="separate"/>
      </w:r>
      <w:r>
        <w:rPr>
          <w:rFonts w:hint="eastAsia" w:ascii="宋体" w:hAnsi="宋体" w:eastAsia="宋体" w:cs="宋体"/>
          <w:snapToGrid w:val="0"/>
          <w:szCs w:val="24"/>
          <w:lang w:val="zh-CN"/>
        </w:rPr>
        <w:t>（九）政府采购合同融资政策</w:t>
      </w:r>
      <w:r>
        <w:tab/>
      </w:r>
      <w:r>
        <w:fldChar w:fldCharType="begin"/>
      </w:r>
      <w:r>
        <w:instrText xml:space="preserve"> PAGEREF _Toc25983 \h </w:instrText>
      </w:r>
      <w:r>
        <w:fldChar w:fldCharType="separate"/>
      </w:r>
      <w:r>
        <w:t>22</w:t>
      </w:r>
      <w:r>
        <w:fldChar w:fldCharType="end"/>
      </w:r>
      <w:r>
        <w:rPr>
          <w:rFonts w:hint="eastAsia" w:ascii="宋体" w:hAnsi="宋体" w:eastAsia="宋体" w:cs="宋体"/>
          <w:i w:val="0"/>
          <w:iCs w:val="0"/>
          <w:szCs w:val="24"/>
        </w:rPr>
        <w:fldChar w:fldCharType="end"/>
      </w:r>
    </w:p>
    <w:p w14:paraId="44AA983E">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_Toc6812 </w:instrText>
      </w:r>
      <w:r>
        <w:rPr>
          <w:rFonts w:hint="eastAsia" w:ascii="宋体" w:hAnsi="宋体" w:eastAsia="宋体" w:cs="宋体"/>
          <w:i w:val="0"/>
          <w:iCs w:val="0"/>
          <w:szCs w:val="24"/>
        </w:rPr>
        <w:fldChar w:fldCharType="separate"/>
      </w:r>
      <w:r>
        <w:rPr>
          <w:rFonts w:hint="eastAsia" w:ascii="宋体" w:hAnsi="宋体" w:eastAsia="宋体" w:cs="宋体"/>
          <w:snapToGrid w:val="0"/>
          <w:szCs w:val="24"/>
          <w:lang w:val="zh-CN"/>
        </w:rPr>
        <w:t>（十）其他要求</w:t>
      </w:r>
      <w:r>
        <w:tab/>
      </w:r>
      <w:r>
        <w:fldChar w:fldCharType="begin"/>
      </w:r>
      <w:r>
        <w:instrText xml:space="preserve"> PAGEREF _Toc6812 \h </w:instrText>
      </w:r>
      <w:r>
        <w:fldChar w:fldCharType="separate"/>
      </w:r>
      <w:r>
        <w:t>22</w:t>
      </w:r>
      <w:r>
        <w:fldChar w:fldCharType="end"/>
      </w:r>
      <w:r>
        <w:rPr>
          <w:rFonts w:hint="eastAsia" w:ascii="宋体" w:hAnsi="宋体" w:eastAsia="宋体" w:cs="宋体"/>
          <w:i w:val="0"/>
          <w:iCs w:val="0"/>
          <w:szCs w:val="24"/>
        </w:rPr>
        <w:fldChar w:fldCharType="end"/>
      </w:r>
    </w:p>
    <w:p w14:paraId="6A29B9FF">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_Toc7832 </w:instrText>
      </w:r>
      <w:r>
        <w:rPr>
          <w:rFonts w:hint="eastAsia" w:ascii="宋体" w:hAnsi="宋体" w:eastAsia="宋体" w:cs="宋体"/>
          <w:i w:val="0"/>
          <w:iCs w:val="0"/>
          <w:szCs w:val="24"/>
        </w:rPr>
        <w:fldChar w:fldCharType="separate"/>
      </w:r>
      <w:r>
        <w:rPr>
          <w:rFonts w:hint="eastAsia" w:ascii="宋体" w:hAnsi="宋体" w:eastAsia="宋体" w:cs="宋体"/>
          <w:snapToGrid w:val="0"/>
          <w:szCs w:val="24"/>
          <w:lang w:val="zh-CN"/>
        </w:rPr>
        <w:t>（十一）适用法律</w:t>
      </w:r>
      <w:r>
        <w:tab/>
      </w:r>
      <w:r>
        <w:fldChar w:fldCharType="begin"/>
      </w:r>
      <w:r>
        <w:instrText xml:space="preserve"> PAGEREF _Toc7832 \h </w:instrText>
      </w:r>
      <w:r>
        <w:fldChar w:fldCharType="separate"/>
      </w:r>
      <w:r>
        <w:t>22</w:t>
      </w:r>
      <w:r>
        <w:fldChar w:fldCharType="end"/>
      </w:r>
      <w:r>
        <w:rPr>
          <w:rFonts w:hint="eastAsia" w:ascii="宋体" w:hAnsi="宋体" w:eastAsia="宋体" w:cs="宋体"/>
          <w:i w:val="0"/>
          <w:iCs w:val="0"/>
          <w:szCs w:val="24"/>
        </w:rPr>
        <w:fldChar w:fldCharType="end"/>
      </w:r>
    </w:p>
    <w:p w14:paraId="13BFAD45">
      <w:pPr>
        <w:pStyle w:val="59"/>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_Toc4123 </w:instrText>
      </w:r>
      <w:r>
        <w:rPr>
          <w:rFonts w:hint="eastAsia" w:ascii="宋体" w:hAnsi="宋体" w:eastAsia="宋体" w:cs="宋体"/>
          <w:i w:val="0"/>
          <w:iCs w:val="0"/>
          <w:szCs w:val="24"/>
        </w:rPr>
        <w:fldChar w:fldCharType="separate"/>
      </w:r>
      <w:r>
        <w:rPr>
          <w:rFonts w:hint="eastAsia" w:ascii="宋体" w:hAnsi="宋体" w:eastAsia="宋体" w:cs="宋体"/>
          <w:bCs/>
          <w:szCs w:val="28"/>
        </w:rPr>
        <w:t>第三章 项目采购需求</w:t>
      </w:r>
      <w:r>
        <w:tab/>
      </w:r>
      <w:r>
        <w:fldChar w:fldCharType="begin"/>
      </w:r>
      <w:r>
        <w:instrText xml:space="preserve"> PAGEREF _Toc4123 \h </w:instrText>
      </w:r>
      <w:r>
        <w:fldChar w:fldCharType="separate"/>
      </w:r>
      <w:r>
        <w:t>23</w:t>
      </w:r>
      <w:r>
        <w:fldChar w:fldCharType="end"/>
      </w:r>
      <w:r>
        <w:rPr>
          <w:rFonts w:hint="eastAsia" w:ascii="宋体" w:hAnsi="宋体" w:eastAsia="宋体" w:cs="宋体"/>
          <w:i w:val="0"/>
          <w:iCs w:val="0"/>
          <w:szCs w:val="24"/>
        </w:rPr>
        <w:fldChar w:fldCharType="end"/>
      </w:r>
    </w:p>
    <w:p w14:paraId="6C61FA72">
      <w:pPr>
        <w:pStyle w:val="59"/>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_Toc19677 </w:instrText>
      </w:r>
      <w:r>
        <w:rPr>
          <w:rFonts w:hint="eastAsia" w:ascii="宋体" w:hAnsi="宋体" w:eastAsia="宋体" w:cs="宋体"/>
          <w:i w:val="0"/>
          <w:iCs w:val="0"/>
          <w:szCs w:val="24"/>
        </w:rPr>
        <w:fldChar w:fldCharType="separate"/>
      </w:r>
      <w:r>
        <w:rPr>
          <w:rFonts w:hint="eastAsia" w:ascii="宋体" w:hAnsi="宋体" w:eastAsia="宋体" w:cs="宋体"/>
          <w:bCs/>
          <w:szCs w:val="28"/>
        </w:rPr>
        <w:t>第四章 合同草案</w:t>
      </w:r>
      <w:r>
        <w:tab/>
      </w:r>
      <w:r>
        <w:fldChar w:fldCharType="begin"/>
      </w:r>
      <w:r>
        <w:instrText xml:space="preserve"> PAGEREF _Toc19677 \h </w:instrText>
      </w:r>
      <w:r>
        <w:fldChar w:fldCharType="separate"/>
      </w:r>
      <w:r>
        <w:t>68</w:t>
      </w:r>
      <w:r>
        <w:fldChar w:fldCharType="end"/>
      </w:r>
      <w:r>
        <w:rPr>
          <w:rFonts w:hint="eastAsia" w:ascii="宋体" w:hAnsi="宋体" w:eastAsia="宋体" w:cs="宋体"/>
          <w:i w:val="0"/>
          <w:iCs w:val="0"/>
          <w:szCs w:val="24"/>
        </w:rPr>
        <w:fldChar w:fldCharType="end"/>
      </w:r>
    </w:p>
    <w:p w14:paraId="4023A1CB">
      <w:pPr>
        <w:pStyle w:val="59"/>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_Toc1445 </w:instrText>
      </w:r>
      <w:r>
        <w:rPr>
          <w:rFonts w:hint="eastAsia" w:ascii="宋体" w:hAnsi="宋体" w:eastAsia="宋体" w:cs="宋体"/>
          <w:i w:val="0"/>
          <w:iCs w:val="0"/>
          <w:szCs w:val="24"/>
        </w:rPr>
        <w:fldChar w:fldCharType="separate"/>
      </w:r>
      <w:r>
        <w:rPr>
          <w:rFonts w:hint="eastAsia" w:ascii="宋体" w:hAnsi="宋体" w:eastAsia="宋体" w:cs="宋体"/>
          <w:szCs w:val="28"/>
        </w:rPr>
        <w:t>第五章 评审程序、方法及标准</w:t>
      </w:r>
      <w:r>
        <w:tab/>
      </w:r>
      <w:r>
        <w:fldChar w:fldCharType="begin"/>
      </w:r>
      <w:r>
        <w:instrText xml:space="preserve"> PAGEREF _Toc1445 \h </w:instrText>
      </w:r>
      <w:r>
        <w:fldChar w:fldCharType="separate"/>
      </w:r>
      <w:r>
        <w:t>72</w:t>
      </w:r>
      <w:r>
        <w:fldChar w:fldCharType="end"/>
      </w:r>
      <w:r>
        <w:rPr>
          <w:rFonts w:hint="eastAsia" w:ascii="宋体" w:hAnsi="宋体" w:eastAsia="宋体" w:cs="宋体"/>
          <w:i w:val="0"/>
          <w:iCs w:val="0"/>
          <w:szCs w:val="24"/>
        </w:rPr>
        <w:fldChar w:fldCharType="end"/>
      </w:r>
    </w:p>
    <w:p w14:paraId="6FE520A5">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_Toc25945 </w:instrText>
      </w:r>
      <w:r>
        <w:rPr>
          <w:rFonts w:hint="eastAsia" w:ascii="宋体" w:hAnsi="宋体" w:eastAsia="宋体" w:cs="宋体"/>
          <w:i w:val="0"/>
          <w:iCs w:val="0"/>
          <w:szCs w:val="24"/>
        </w:rPr>
        <w:fldChar w:fldCharType="separate"/>
      </w:r>
      <w:r>
        <w:rPr>
          <w:rFonts w:hint="eastAsia" w:ascii="宋体" w:hAnsi="宋体" w:eastAsia="宋体" w:cs="宋体"/>
          <w:bCs w:val="0"/>
          <w:szCs w:val="24"/>
        </w:rPr>
        <w:t>一、评审方法</w:t>
      </w:r>
      <w:r>
        <w:tab/>
      </w:r>
      <w:r>
        <w:fldChar w:fldCharType="begin"/>
      </w:r>
      <w:r>
        <w:instrText xml:space="preserve"> PAGEREF _Toc25945 \h </w:instrText>
      </w:r>
      <w:r>
        <w:fldChar w:fldCharType="separate"/>
      </w:r>
      <w:r>
        <w:t>72</w:t>
      </w:r>
      <w:r>
        <w:fldChar w:fldCharType="end"/>
      </w:r>
      <w:r>
        <w:rPr>
          <w:rFonts w:hint="eastAsia" w:ascii="宋体" w:hAnsi="宋体" w:eastAsia="宋体" w:cs="宋体"/>
          <w:i w:val="0"/>
          <w:iCs w:val="0"/>
          <w:szCs w:val="24"/>
        </w:rPr>
        <w:fldChar w:fldCharType="end"/>
      </w:r>
    </w:p>
    <w:p w14:paraId="30E52AED">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_Toc25225 </w:instrText>
      </w:r>
      <w:r>
        <w:rPr>
          <w:rFonts w:hint="eastAsia" w:ascii="宋体" w:hAnsi="宋体" w:eastAsia="宋体" w:cs="宋体"/>
          <w:i w:val="0"/>
          <w:iCs w:val="0"/>
          <w:szCs w:val="24"/>
        </w:rPr>
        <w:fldChar w:fldCharType="separate"/>
      </w:r>
      <w:r>
        <w:rPr>
          <w:rFonts w:hint="eastAsia" w:ascii="宋体" w:hAnsi="宋体" w:eastAsia="宋体" w:cs="宋体"/>
          <w:szCs w:val="24"/>
        </w:rPr>
        <w:t>二、评审程序</w:t>
      </w:r>
      <w:r>
        <w:tab/>
      </w:r>
      <w:r>
        <w:fldChar w:fldCharType="begin"/>
      </w:r>
      <w:r>
        <w:instrText xml:space="preserve"> PAGEREF _Toc25225 \h </w:instrText>
      </w:r>
      <w:r>
        <w:fldChar w:fldCharType="separate"/>
      </w:r>
      <w:r>
        <w:t>72</w:t>
      </w:r>
      <w:r>
        <w:fldChar w:fldCharType="end"/>
      </w:r>
      <w:r>
        <w:rPr>
          <w:rFonts w:hint="eastAsia" w:ascii="宋体" w:hAnsi="宋体" w:eastAsia="宋体" w:cs="宋体"/>
          <w:i w:val="0"/>
          <w:iCs w:val="0"/>
          <w:szCs w:val="24"/>
        </w:rPr>
        <w:fldChar w:fldCharType="end"/>
      </w:r>
    </w:p>
    <w:p w14:paraId="7748CDC6">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_Toc9922 </w:instrText>
      </w:r>
      <w:r>
        <w:rPr>
          <w:rFonts w:hint="eastAsia" w:ascii="宋体" w:hAnsi="宋体" w:eastAsia="宋体" w:cs="宋体"/>
          <w:i w:val="0"/>
          <w:iCs w:val="0"/>
          <w:szCs w:val="24"/>
        </w:rPr>
        <w:fldChar w:fldCharType="separate"/>
      </w:r>
      <w:r>
        <w:rPr>
          <w:rFonts w:hint="eastAsia" w:ascii="宋体" w:hAnsi="宋体" w:eastAsia="宋体" w:cs="宋体"/>
          <w:szCs w:val="24"/>
        </w:rPr>
        <w:t>（一）资格审查表</w:t>
      </w:r>
      <w:r>
        <w:tab/>
      </w:r>
      <w:r>
        <w:fldChar w:fldCharType="begin"/>
      </w:r>
      <w:r>
        <w:instrText xml:space="preserve"> PAGEREF _Toc9922 \h </w:instrText>
      </w:r>
      <w:r>
        <w:fldChar w:fldCharType="separate"/>
      </w:r>
      <w:r>
        <w:t>72</w:t>
      </w:r>
      <w:r>
        <w:fldChar w:fldCharType="end"/>
      </w:r>
      <w:r>
        <w:rPr>
          <w:rFonts w:hint="eastAsia" w:ascii="宋体" w:hAnsi="宋体" w:eastAsia="宋体" w:cs="宋体"/>
          <w:i w:val="0"/>
          <w:iCs w:val="0"/>
          <w:szCs w:val="24"/>
        </w:rPr>
        <w:fldChar w:fldCharType="end"/>
      </w:r>
    </w:p>
    <w:p w14:paraId="5E7D0C75">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_Toc13479 </w:instrText>
      </w:r>
      <w:r>
        <w:rPr>
          <w:rFonts w:hint="eastAsia" w:ascii="宋体" w:hAnsi="宋体" w:eastAsia="宋体" w:cs="宋体"/>
          <w:i w:val="0"/>
          <w:iCs w:val="0"/>
          <w:szCs w:val="24"/>
        </w:rPr>
        <w:fldChar w:fldCharType="separate"/>
      </w:r>
      <w:r>
        <w:rPr>
          <w:rFonts w:hint="eastAsia" w:ascii="宋体" w:hAnsi="宋体" w:eastAsia="宋体" w:cs="宋体"/>
        </w:rPr>
        <w:t>（二）符合性检查表</w:t>
      </w:r>
      <w:r>
        <w:tab/>
      </w:r>
      <w:r>
        <w:fldChar w:fldCharType="begin"/>
      </w:r>
      <w:r>
        <w:instrText xml:space="preserve"> PAGEREF _Toc13479 \h </w:instrText>
      </w:r>
      <w:r>
        <w:fldChar w:fldCharType="separate"/>
      </w:r>
      <w:r>
        <w:t>75</w:t>
      </w:r>
      <w:r>
        <w:fldChar w:fldCharType="end"/>
      </w:r>
      <w:r>
        <w:rPr>
          <w:rFonts w:hint="eastAsia" w:ascii="宋体" w:hAnsi="宋体" w:eastAsia="宋体" w:cs="宋体"/>
          <w:i w:val="0"/>
          <w:iCs w:val="0"/>
          <w:szCs w:val="24"/>
        </w:rPr>
        <w:fldChar w:fldCharType="end"/>
      </w:r>
    </w:p>
    <w:p w14:paraId="5BC59B2F">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_Toc4473 </w:instrText>
      </w:r>
      <w:r>
        <w:rPr>
          <w:rFonts w:hint="eastAsia" w:ascii="宋体" w:hAnsi="宋体" w:eastAsia="宋体" w:cs="宋体"/>
          <w:i w:val="0"/>
          <w:iCs w:val="0"/>
          <w:szCs w:val="24"/>
        </w:rPr>
        <w:fldChar w:fldCharType="separate"/>
      </w:r>
      <w:r>
        <w:rPr>
          <w:rFonts w:hint="eastAsia" w:ascii="宋体" w:hAnsi="宋体" w:eastAsia="宋体" w:cs="宋体"/>
        </w:rPr>
        <w:t>（三）详细评审</w:t>
      </w:r>
      <w:r>
        <w:tab/>
      </w:r>
      <w:r>
        <w:fldChar w:fldCharType="begin"/>
      </w:r>
      <w:r>
        <w:instrText xml:space="preserve"> PAGEREF _Toc4473 \h </w:instrText>
      </w:r>
      <w:r>
        <w:fldChar w:fldCharType="separate"/>
      </w:r>
      <w:r>
        <w:t>76</w:t>
      </w:r>
      <w:r>
        <w:fldChar w:fldCharType="end"/>
      </w:r>
      <w:r>
        <w:rPr>
          <w:rFonts w:hint="eastAsia" w:ascii="宋体" w:hAnsi="宋体" w:eastAsia="宋体" w:cs="宋体"/>
          <w:i w:val="0"/>
          <w:iCs w:val="0"/>
          <w:szCs w:val="24"/>
        </w:rPr>
        <w:fldChar w:fldCharType="end"/>
      </w:r>
    </w:p>
    <w:p w14:paraId="440A8495">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_Toc25843 </w:instrText>
      </w:r>
      <w:r>
        <w:rPr>
          <w:rFonts w:hint="eastAsia" w:ascii="宋体" w:hAnsi="宋体" w:eastAsia="宋体" w:cs="宋体"/>
          <w:i w:val="0"/>
          <w:iCs w:val="0"/>
          <w:szCs w:val="24"/>
        </w:rPr>
        <w:fldChar w:fldCharType="separate"/>
      </w:r>
      <w:r>
        <w:rPr>
          <w:rFonts w:hint="eastAsia" w:ascii="宋体" w:hAnsi="宋体" w:eastAsia="宋体" w:cs="宋体"/>
          <w:szCs w:val="24"/>
        </w:rPr>
        <w:t>三、编写评审报告</w:t>
      </w:r>
      <w:r>
        <w:tab/>
      </w:r>
      <w:r>
        <w:fldChar w:fldCharType="begin"/>
      </w:r>
      <w:r>
        <w:instrText xml:space="preserve"> PAGEREF _Toc25843 \h </w:instrText>
      </w:r>
      <w:r>
        <w:fldChar w:fldCharType="separate"/>
      </w:r>
      <w:r>
        <w:t>81</w:t>
      </w:r>
      <w:r>
        <w:fldChar w:fldCharType="end"/>
      </w:r>
      <w:r>
        <w:rPr>
          <w:rFonts w:hint="eastAsia" w:ascii="宋体" w:hAnsi="宋体" w:eastAsia="宋体" w:cs="宋体"/>
          <w:i w:val="0"/>
          <w:iCs w:val="0"/>
          <w:szCs w:val="24"/>
        </w:rPr>
        <w:fldChar w:fldCharType="end"/>
      </w:r>
    </w:p>
    <w:p w14:paraId="544967E9">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_Toc29802 </w:instrText>
      </w:r>
      <w:r>
        <w:rPr>
          <w:rFonts w:hint="eastAsia" w:ascii="宋体" w:hAnsi="宋体" w:eastAsia="宋体" w:cs="宋体"/>
          <w:i w:val="0"/>
          <w:iCs w:val="0"/>
          <w:szCs w:val="24"/>
        </w:rPr>
        <w:fldChar w:fldCharType="separate"/>
      </w:r>
      <w:r>
        <w:rPr>
          <w:rFonts w:hint="eastAsia" w:ascii="宋体" w:hAnsi="宋体" w:eastAsia="宋体" w:cs="宋体"/>
        </w:rPr>
        <w:t>（一）评审报告的内容</w:t>
      </w:r>
      <w:r>
        <w:tab/>
      </w:r>
      <w:r>
        <w:fldChar w:fldCharType="begin"/>
      </w:r>
      <w:r>
        <w:instrText xml:space="preserve"> PAGEREF _Toc29802 \h </w:instrText>
      </w:r>
      <w:r>
        <w:fldChar w:fldCharType="separate"/>
      </w:r>
      <w:r>
        <w:t>81</w:t>
      </w:r>
      <w:r>
        <w:fldChar w:fldCharType="end"/>
      </w:r>
      <w:r>
        <w:rPr>
          <w:rFonts w:hint="eastAsia" w:ascii="宋体" w:hAnsi="宋体" w:eastAsia="宋体" w:cs="宋体"/>
          <w:i w:val="0"/>
          <w:iCs w:val="0"/>
          <w:szCs w:val="24"/>
        </w:rPr>
        <w:fldChar w:fldCharType="end"/>
      </w:r>
    </w:p>
    <w:p w14:paraId="32898659">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_Toc4418 </w:instrText>
      </w:r>
      <w:r>
        <w:rPr>
          <w:rFonts w:hint="eastAsia" w:ascii="宋体" w:hAnsi="宋体" w:eastAsia="宋体" w:cs="宋体"/>
          <w:i w:val="0"/>
          <w:iCs w:val="0"/>
          <w:szCs w:val="24"/>
        </w:rPr>
        <w:fldChar w:fldCharType="separate"/>
      </w:r>
      <w:r>
        <w:rPr>
          <w:rFonts w:hint="eastAsia" w:ascii="宋体" w:hAnsi="宋体" w:eastAsia="宋体" w:cs="宋体"/>
        </w:rPr>
        <w:t>（二）评审报告的签署</w:t>
      </w:r>
      <w:r>
        <w:tab/>
      </w:r>
      <w:r>
        <w:fldChar w:fldCharType="begin"/>
      </w:r>
      <w:r>
        <w:instrText xml:space="preserve"> PAGEREF _Toc4418 \h </w:instrText>
      </w:r>
      <w:r>
        <w:fldChar w:fldCharType="separate"/>
      </w:r>
      <w:r>
        <w:t>81</w:t>
      </w:r>
      <w:r>
        <w:fldChar w:fldCharType="end"/>
      </w:r>
      <w:r>
        <w:rPr>
          <w:rFonts w:hint="eastAsia" w:ascii="宋体" w:hAnsi="宋体" w:eastAsia="宋体" w:cs="宋体"/>
          <w:i w:val="0"/>
          <w:iCs w:val="0"/>
          <w:szCs w:val="24"/>
        </w:rPr>
        <w:fldChar w:fldCharType="end"/>
      </w:r>
    </w:p>
    <w:p w14:paraId="2FD486FB">
      <w:pPr>
        <w:pStyle w:val="59"/>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_Toc24108 </w:instrText>
      </w:r>
      <w:r>
        <w:rPr>
          <w:rFonts w:hint="eastAsia" w:ascii="宋体" w:hAnsi="宋体" w:eastAsia="宋体" w:cs="宋体"/>
          <w:i w:val="0"/>
          <w:iCs w:val="0"/>
          <w:szCs w:val="24"/>
        </w:rPr>
        <w:fldChar w:fldCharType="separate"/>
      </w:r>
      <w:r>
        <w:rPr>
          <w:rFonts w:hint="eastAsia" w:ascii="宋体" w:hAnsi="宋体" w:eastAsia="宋体" w:cs="宋体"/>
          <w:szCs w:val="28"/>
        </w:rPr>
        <w:t>第六章 响应文件的格式</w:t>
      </w:r>
      <w:r>
        <w:tab/>
      </w:r>
      <w:r>
        <w:fldChar w:fldCharType="begin"/>
      </w:r>
      <w:r>
        <w:instrText xml:space="preserve"> PAGEREF _Toc24108 \h </w:instrText>
      </w:r>
      <w:r>
        <w:fldChar w:fldCharType="separate"/>
      </w:r>
      <w:r>
        <w:t>82</w:t>
      </w:r>
      <w:r>
        <w:fldChar w:fldCharType="end"/>
      </w:r>
      <w:r>
        <w:rPr>
          <w:rFonts w:hint="eastAsia" w:ascii="宋体" w:hAnsi="宋体" w:eastAsia="宋体" w:cs="宋体"/>
          <w:i w:val="0"/>
          <w:iCs w:val="0"/>
          <w:szCs w:val="24"/>
        </w:rPr>
        <w:fldChar w:fldCharType="end"/>
      </w:r>
    </w:p>
    <w:p w14:paraId="0AC2A9F3">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_Toc15756 </w:instrText>
      </w:r>
      <w:r>
        <w:rPr>
          <w:rFonts w:hint="eastAsia" w:ascii="宋体" w:hAnsi="宋体" w:eastAsia="宋体" w:cs="宋体"/>
          <w:i w:val="0"/>
          <w:iCs w:val="0"/>
          <w:szCs w:val="24"/>
        </w:rPr>
        <w:fldChar w:fldCharType="separate"/>
      </w:r>
      <w:r>
        <w:rPr>
          <w:rFonts w:hint="eastAsia" w:ascii="宋体" w:hAnsi="宋体" w:eastAsia="宋体" w:cs="宋体"/>
          <w:bCs w:val="0"/>
          <w:szCs w:val="21"/>
        </w:rPr>
        <w:t>资格自查表</w:t>
      </w:r>
      <w:r>
        <w:tab/>
      </w:r>
      <w:r>
        <w:fldChar w:fldCharType="begin"/>
      </w:r>
      <w:r>
        <w:instrText xml:space="preserve"> PAGEREF _Toc15756 \h </w:instrText>
      </w:r>
      <w:r>
        <w:fldChar w:fldCharType="separate"/>
      </w:r>
      <w:r>
        <w:t>83</w:t>
      </w:r>
      <w:r>
        <w:fldChar w:fldCharType="end"/>
      </w:r>
      <w:r>
        <w:rPr>
          <w:rFonts w:hint="eastAsia" w:ascii="宋体" w:hAnsi="宋体" w:eastAsia="宋体" w:cs="宋体"/>
          <w:i w:val="0"/>
          <w:iCs w:val="0"/>
          <w:szCs w:val="24"/>
        </w:rPr>
        <w:fldChar w:fldCharType="end"/>
      </w:r>
    </w:p>
    <w:p w14:paraId="47AECA45">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_Toc31687 </w:instrText>
      </w:r>
      <w:r>
        <w:rPr>
          <w:rFonts w:hint="eastAsia" w:ascii="宋体" w:hAnsi="宋体" w:eastAsia="宋体" w:cs="宋体"/>
          <w:i w:val="0"/>
          <w:iCs w:val="0"/>
          <w:szCs w:val="24"/>
        </w:rPr>
        <w:fldChar w:fldCharType="separate"/>
      </w:r>
      <w:r>
        <w:rPr>
          <w:rFonts w:hint="eastAsia" w:ascii="宋体" w:hAnsi="宋体" w:eastAsia="宋体" w:cs="宋体"/>
          <w:bCs w:val="0"/>
          <w:szCs w:val="21"/>
        </w:rPr>
        <w:t>评标导航表</w:t>
      </w:r>
      <w:r>
        <w:tab/>
      </w:r>
      <w:r>
        <w:fldChar w:fldCharType="begin"/>
      </w:r>
      <w:r>
        <w:instrText xml:space="preserve"> PAGEREF _Toc31687 \h </w:instrText>
      </w:r>
      <w:r>
        <w:fldChar w:fldCharType="separate"/>
      </w:r>
      <w:r>
        <w:t>86</w:t>
      </w:r>
      <w:r>
        <w:fldChar w:fldCharType="end"/>
      </w:r>
      <w:r>
        <w:rPr>
          <w:rFonts w:hint="eastAsia" w:ascii="宋体" w:hAnsi="宋体" w:eastAsia="宋体" w:cs="宋体"/>
          <w:i w:val="0"/>
          <w:iCs w:val="0"/>
          <w:szCs w:val="24"/>
        </w:rPr>
        <w:fldChar w:fldCharType="end"/>
      </w:r>
    </w:p>
    <w:p w14:paraId="350C4696">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_Toc24562 </w:instrText>
      </w:r>
      <w:r>
        <w:rPr>
          <w:rFonts w:hint="eastAsia" w:ascii="宋体" w:hAnsi="宋体" w:eastAsia="宋体" w:cs="宋体"/>
          <w:i w:val="0"/>
          <w:iCs w:val="0"/>
          <w:szCs w:val="24"/>
        </w:rPr>
        <w:fldChar w:fldCharType="separate"/>
      </w:r>
      <w:r>
        <w:rPr>
          <w:rFonts w:hint="eastAsia" w:ascii="宋体" w:hAnsi="宋体" w:eastAsia="宋体" w:cs="宋体"/>
          <w:szCs w:val="28"/>
        </w:rPr>
        <w:t>一、磋商书及附件</w:t>
      </w:r>
      <w:r>
        <w:tab/>
      </w:r>
      <w:r>
        <w:fldChar w:fldCharType="begin"/>
      </w:r>
      <w:r>
        <w:instrText xml:space="preserve"> PAGEREF _Toc24562 \h </w:instrText>
      </w:r>
      <w:r>
        <w:fldChar w:fldCharType="separate"/>
      </w:r>
      <w:r>
        <w:t>88</w:t>
      </w:r>
      <w:r>
        <w:fldChar w:fldCharType="end"/>
      </w:r>
      <w:r>
        <w:rPr>
          <w:rFonts w:hint="eastAsia" w:ascii="宋体" w:hAnsi="宋体" w:eastAsia="宋体" w:cs="宋体"/>
          <w:i w:val="0"/>
          <w:iCs w:val="0"/>
          <w:szCs w:val="24"/>
        </w:rPr>
        <w:fldChar w:fldCharType="end"/>
      </w:r>
    </w:p>
    <w:p w14:paraId="31C20E09">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_Toc31501 </w:instrText>
      </w:r>
      <w:r>
        <w:rPr>
          <w:rFonts w:hint="eastAsia" w:ascii="宋体" w:hAnsi="宋体" w:eastAsia="宋体" w:cs="宋体"/>
          <w:i w:val="0"/>
          <w:iCs w:val="0"/>
          <w:szCs w:val="24"/>
        </w:rPr>
        <w:fldChar w:fldCharType="separate"/>
      </w:r>
      <w:r>
        <w:rPr>
          <w:rFonts w:hint="eastAsia" w:ascii="宋体" w:hAnsi="宋体" w:eastAsia="宋体" w:cs="宋体"/>
          <w:szCs w:val="28"/>
        </w:rPr>
        <w:t>（一）磋商书</w:t>
      </w:r>
      <w:r>
        <w:tab/>
      </w:r>
      <w:r>
        <w:fldChar w:fldCharType="begin"/>
      </w:r>
      <w:r>
        <w:instrText xml:space="preserve"> PAGEREF _Toc31501 \h </w:instrText>
      </w:r>
      <w:r>
        <w:fldChar w:fldCharType="separate"/>
      </w:r>
      <w:r>
        <w:t>88</w:t>
      </w:r>
      <w:r>
        <w:fldChar w:fldCharType="end"/>
      </w:r>
      <w:r>
        <w:rPr>
          <w:rFonts w:hint="eastAsia" w:ascii="宋体" w:hAnsi="宋体" w:eastAsia="宋体" w:cs="宋体"/>
          <w:i w:val="0"/>
          <w:iCs w:val="0"/>
          <w:szCs w:val="24"/>
        </w:rPr>
        <w:fldChar w:fldCharType="end"/>
      </w:r>
    </w:p>
    <w:p w14:paraId="3E76DE2D">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_Toc9810 </w:instrText>
      </w:r>
      <w:r>
        <w:rPr>
          <w:rFonts w:hint="eastAsia" w:ascii="宋体" w:hAnsi="宋体" w:eastAsia="宋体" w:cs="宋体"/>
          <w:i w:val="0"/>
          <w:iCs w:val="0"/>
          <w:szCs w:val="24"/>
        </w:rPr>
        <w:fldChar w:fldCharType="separate"/>
      </w:r>
      <w:r>
        <w:rPr>
          <w:rFonts w:hint="eastAsia" w:ascii="宋体" w:hAnsi="宋体" w:eastAsia="宋体" w:cs="宋体"/>
          <w:szCs w:val="28"/>
        </w:rPr>
        <w:t>（二）法定代表人身份证明</w:t>
      </w:r>
      <w:r>
        <w:tab/>
      </w:r>
      <w:r>
        <w:fldChar w:fldCharType="begin"/>
      </w:r>
      <w:r>
        <w:instrText xml:space="preserve"> PAGEREF _Toc9810 \h </w:instrText>
      </w:r>
      <w:r>
        <w:fldChar w:fldCharType="separate"/>
      </w:r>
      <w:r>
        <w:t>90</w:t>
      </w:r>
      <w:r>
        <w:fldChar w:fldCharType="end"/>
      </w:r>
      <w:r>
        <w:rPr>
          <w:rFonts w:hint="eastAsia" w:ascii="宋体" w:hAnsi="宋体" w:eastAsia="宋体" w:cs="宋体"/>
          <w:i w:val="0"/>
          <w:iCs w:val="0"/>
          <w:szCs w:val="24"/>
        </w:rPr>
        <w:fldChar w:fldCharType="end"/>
      </w:r>
    </w:p>
    <w:p w14:paraId="71880AD8">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_Toc29811 </w:instrText>
      </w:r>
      <w:r>
        <w:rPr>
          <w:rFonts w:hint="eastAsia" w:ascii="宋体" w:hAnsi="宋体" w:eastAsia="宋体" w:cs="宋体"/>
          <w:i w:val="0"/>
          <w:iCs w:val="0"/>
          <w:szCs w:val="24"/>
        </w:rPr>
        <w:fldChar w:fldCharType="separate"/>
      </w:r>
      <w:r>
        <w:rPr>
          <w:rFonts w:hint="eastAsia" w:ascii="宋体" w:hAnsi="宋体" w:eastAsia="宋体" w:cs="宋体"/>
          <w:szCs w:val="28"/>
        </w:rPr>
        <w:t>（三）法定代表人授权书</w:t>
      </w:r>
      <w:r>
        <w:tab/>
      </w:r>
      <w:r>
        <w:fldChar w:fldCharType="begin"/>
      </w:r>
      <w:r>
        <w:instrText xml:space="preserve"> PAGEREF _Toc29811 \h </w:instrText>
      </w:r>
      <w:r>
        <w:fldChar w:fldCharType="separate"/>
      </w:r>
      <w:r>
        <w:t>91</w:t>
      </w:r>
      <w:r>
        <w:fldChar w:fldCharType="end"/>
      </w:r>
      <w:r>
        <w:rPr>
          <w:rFonts w:hint="eastAsia" w:ascii="宋体" w:hAnsi="宋体" w:eastAsia="宋体" w:cs="宋体"/>
          <w:i w:val="0"/>
          <w:iCs w:val="0"/>
          <w:szCs w:val="24"/>
        </w:rPr>
        <w:fldChar w:fldCharType="end"/>
      </w:r>
    </w:p>
    <w:p w14:paraId="416B2CFA">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_Toc2356 </w:instrText>
      </w:r>
      <w:r>
        <w:rPr>
          <w:rFonts w:hint="eastAsia" w:ascii="宋体" w:hAnsi="宋体" w:eastAsia="宋体" w:cs="宋体"/>
          <w:i w:val="0"/>
          <w:iCs w:val="0"/>
          <w:szCs w:val="24"/>
        </w:rPr>
        <w:fldChar w:fldCharType="separate"/>
      </w:r>
      <w:r>
        <w:rPr>
          <w:rFonts w:hint="eastAsia" w:ascii="宋体" w:hAnsi="宋体" w:eastAsia="宋体" w:cs="宋体"/>
          <w:szCs w:val="28"/>
        </w:rPr>
        <w:t>二、报价文件</w:t>
      </w:r>
      <w:r>
        <w:tab/>
      </w:r>
      <w:r>
        <w:fldChar w:fldCharType="begin"/>
      </w:r>
      <w:r>
        <w:instrText xml:space="preserve"> PAGEREF _Toc2356 \h </w:instrText>
      </w:r>
      <w:r>
        <w:fldChar w:fldCharType="separate"/>
      </w:r>
      <w:r>
        <w:t>92</w:t>
      </w:r>
      <w:r>
        <w:fldChar w:fldCharType="end"/>
      </w:r>
      <w:r>
        <w:rPr>
          <w:rFonts w:hint="eastAsia" w:ascii="宋体" w:hAnsi="宋体" w:eastAsia="宋体" w:cs="宋体"/>
          <w:i w:val="0"/>
          <w:iCs w:val="0"/>
          <w:szCs w:val="24"/>
        </w:rPr>
        <w:fldChar w:fldCharType="end"/>
      </w:r>
    </w:p>
    <w:p w14:paraId="48CBD8A0">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_Toc16566 </w:instrText>
      </w:r>
      <w:r>
        <w:rPr>
          <w:rFonts w:hint="eastAsia" w:ascii="宋体" w:hAnsi="宋体" w:eastAsia="宋体" w:cs="宋体"/>
          <w:i w:val="0"/>
          <w:iCs w:val="0"/>
          <w:szCs w:val="24"/>
        </w:rPr>
        <w:fldChar w:fldCharType="separate"/>
      </w:r>
      <w:r>
        <w:rPr>
          <w:rFonts w:hint="eastAsia" w:ascii="宋体" w:hAnsi="宋体" w:eastAsia="宋体" w:cs="宋体"/>
          <w:szCs w:val="28"/>
        </w:rPr>
        <w:t>（一）报价一览表</w:t>
      </w:r>
      <w:r>
        <w:tab/>
      </w:r>
      <w:r>
        <w:fldChar w:fldCharType="begin"/>
      </w:r>
      <w:r>
        <w:instrText xml:space="preserve"> PAGEREF _Toc16566 \h </w:instrText>
      </w:r>
      <w:r>
        <w:fldChar w:fldCharType="separate"/>
      </w:r>
      <w:r>
        <w:t>92</w:t>
      </w:r>
      <w:r>
        <w:fldChar w:fldCharType="end"/>
      </w:r>
      <w:r>
        <w:rPr>
          <w:rFonts w:hint="eastAsia" w:ascii="宋体" w:hAnsi="宋体" w:eastAsia="宋体" w:cs="宋体"/>
          <w:i w:val="0"/>
          <w:iCs w:val="0"/>
          <w:szCs w:val="24"/>
        </w:rPr>
        <w:fldChar w:fldCharType="end"/>
      </w:r>
    </w:p>
    <w:p w14:paraId="08931821">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_Toc8012 </w:instrText>
      </w:r>
      <w:r>
        <w:rPr>
          <w:rFonts w:hint="eastAsia" w:ascii="宋体" w:hAnsi="宋体" w:eastAsia="宋体" w:cs="宋体"/>
          <w:i w:val="0"/>
          <w:iCs w:val="0"/>
          <w:szCs w:val="24"/>
        </w:rPr>
        <w:fldChar w:fldCharType="separate"/>
      </w:r>
      <w:r>
        <w:rPr>
          <w:rFonts w:hint="eastAsia" w:ascii="宋体" w:hAnsi="宋体" w:eastAsia="宋体" w:cs="宋体"/>
          <w:szCs w:val="28"/>
        </w:rPr>
        <w:t>（二）分项报价表</w:t>
      </w:r>
      <w:r>
        <w:tab/>
      </w:r>
      <w:r>
        <w:fldChar w:fldCharType="begin"/>
      </w:r>
      <w:r>
        <w:instrText xml:space="preserve"> PAGEREF _Toc8012 \h </w:instrText>
      </w:r>
      <w:r>
        <w:fldChar w:fldCharType="separate"/>
      </w:r>
      <w:r>
        <w:t>93</w:t>
      </w:r>
      <w:r>
        <w:fldChar w:fldCharType="end"/>
      </w:r>
      <w:r>
        <w:rPr>
          <w:rFonts w:hint="eastAsia" w:ascii="宋体" w:hAnsi="宋体" w:eastAsia="宋体" w:cs="宋体"/>
          <w:i w:val="0"/>
          <w:iCs w:val="0"/>
          <w:szCs w:val="24"/>
        </w:rPr>
        <w:fldChar w:fldCharType="end"/>
      </w:r>
    </w:p>
    <w:p w14:paraId="4AAB7017">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_Toc232 </w:instrText>
      </w:r>
      <w:r>
        <w:rPr>
          <w:rFonts w:hint="eastAsia" w:ascii="宋体" w:hAnsi="宋体" w:eastAsia="宋体" w:cs="宋体"/>
          <w:i w:val="0"/>
          <w:iCs w:val="0"/>
          <w:szCs w:val="24"/>
        </w:rPr>
        <w:fldChar w:fldCharType="separate"/>
      </w:r>
      <w:r>
        <w:rPr>
          <w:rFonts w:hint="eastAsia" w:ascii="宋体" w:hAnsi="宋体" w:eastAsia="宋体" w:cs="宋体"/>
          <w:szCs w:val="28"/>
        </w:rPr>
        <w:t>三、商务文件</w:t>
      </w:r>
      <w:r>
        <w:tab/>
      </w:r>
      <w:r>
        <w:fldChar w:fldCharType="begin"/>
      </w:r>
      <w:r>
        <w:instrText xml:space="preserve"> PAGEREF _Toc232 \h </w:instrText>
      </w:r>
      <w:r>
        <w:fldChar w:fldCharType="separate"/>
      </w:r>
      <w:r>
        <w:t>94</w:t>
      </w:r>
      <w:r>
        <w:fldChar w:fldCharType="end"/>
      </w:r>
      <w:r>
        <w:rPr>
          <w:rFonts w:hint="eastAsia" w:ascii="宋体" w:hAnsi="宋体" w:eastAsia="宋体" w:cs="宋体"/>
          <w:i w:val="0"/>
          <w:iCs w:val="0"/>
          <w:szCs w:val="24"/>
        </w:rPr>
        <w:fldChar w:fldCharType="end"/>
      </w:r>
    </w:p>
    <w:p w14:paraId="0E3CFDF3">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_Toc32235 </w:instrText>
      </w:r>
      <w:r>
        <w:rPr>
          <w:rFonts w:hint="eastAsia" w:ascii="宋体" w:hAnsi="宋体" w:eastAsia="宋体" w:cs="宋体"/>
          <w:i w:val="0"/>
          <w:iCs w:val="0"/>
          <w:szCs w:val="24"/>
        </w:rPr>
        <w:fldChar w:fldCharType="separate"/>
      </w:r>
      <w:r>
        <w:rPr>
          <w:rFonts w:hint="eastAsia" w:ascii="宋体" w:hAnsi="宋体" w:eastAsia="宋体" w:cs="宋体"/>
          <w:szCs w:val="28"/>
        </w:rPr>
        <w:t>（一）供应商基本情况表</w:t>
      </w:r>
      <w:r>
        <w:tab/>
      </w:r>
      <w:r>
        <w:fldChar w:fldCharType="begin"/>
      </w:r>
      <w:r>
        <w:instrText xml:space="preserve"> PAGEREF _Toc32235 \h </w:instrText>
      </w:r>
      <w:r>
        <w:fldChar w:fldCharType="separate"/>
      </w:r>
      <w:r>
        <w:t>94</w:t>
      </w:r>
      <w:r>
        <w:fldChar w:fldCharType="end"/>
      </w:r>
      <w:r>
        <w:rPr>
          <w:rFonts w:hint="eastAsia" w:ascii="宋体" w:hAnsi="宋体" w:eastAsia="宋体" w:cs="宋体"/>
          <w:i w:val="0"/>
          <w:iCs w:val="0"/>
          <w:szCs w:val="24"/>
        </w:rPr>
        <w:fldChar w:fldCharType="end"/>
      </w:r>
    </w:p>
    <w:p w14:paraId="66E35627">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_Toc5006 </w:instrText>
      </w:r>
      <w:r>
        <w:rPr>
          <w:rFonts w:hint="eastAsia" w:ascii="宋体" w:hAnsi="宋体" w:eastAsia="宋体" w:cs="宋体"/>
          <w:i w:val="0"/>
          <w:iCs w:val="0"/>
          <w:szCs w:val="24"/>
        </w:rPr>
        <w:fldChar w:fldCharType="separate"/>
      </w:r>
      <w:r>
        <w:rPr>
          <w:rFonts w:hint="eastAsia" w:ascii="宋体" w:hAnsi="宋体" w:eastAsia="宋体" w:cs="宋体"/>
          <w:szCs w:val="28"/>
        </w:rPr>
        <w:t>（二）关于资格条件的有关承诺及声明</w:t>
      </w:r>
      <w:r>
        <w:tab/>
      </w:r>
      <w:r>
        <w:fldChar w:fldCharType="begin"/>
      </w:r>
      <w:r>
        <w:instrText xml:space="preserve"> PAGEREF _Toc5006 \h </w:instrText>
      </w:r>
      <w:r>
        <w:fldChar w:fldCharType="separate"/>
      </w:r>
      <w:r>
        <w:t>95</w:t>
      </w:r>
      <w:r>
        <w:fldChar w:fldCharType="end"/>
      </w:r>
      <w:r>
        <w:rPr>
          <w:rFonts w:hint="eastAsia" w:ascii="宋体" w:hAnsi="宋体" w:eastAsia="宋体" w:cs="宋体"/>
          <w:i w:val="0"/>
          <w:iCs w:val="0"/>
          <w:szCs w:val="24"/>
        </w:rPr>
        <w:fldChar w:fldCharType="end"/>
      </w:r>
    </w:p>
    <w:p w14:paraId="6EB5D640">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_Toc5648 </w:instrText>
      </w:r>
      <w:r>
        <w:rPr>
          <w:rFonts w:hint="eastAsia" w:ascii="宋体" w:hAnsi="宋体" w:eastAsia="宋体" w:cs="宋体"/>
          <w:i w:val="0"/>
          <w:iCs w:val="0"/>
          <w:szCs w:val="24"/>
        </w:rPr>
        <w:fldChar w:fldCharType="separate"/>
      </w:r>
      <w:r>
        <w:rPr>
          <w:rFonts w:hint="eastAsia" w:ascii="宋体" w:hAnsi="宋体" w:eastAsia="宋体" w:cs="宋体"/>
          <w:szCs w:val="28"/>
        </w:rPr>
        <w:t>（三）资质证明文件</w:t>
      </w:r>
      <w:r>
        <w:tab/>
      </w:r>
      <w:r>
        <w:fldChar w:fldCharType="begin"/>
      </w:r>
      <w:r>
        <w:instrText xml:space="preserve"> PAGEREF _Toc5648 \h </w:instrText>
      </w:r>
      <w:r>
        <w:fldChar w:fldCharType="separate"/>
      </w:r>
      <w:r>
        <w:t>96</w:t>
      </w:r>
      <w:r>
        <w:fldChar w:fldCharType="end"/>
      </w:r>
      <w:r>
        <w:rPr>
          <w:rFonts w:hint="eastAsia" w:ascii="宋体" w:hAnsi="宋体" w:eastAsia="宋体" w:cs="宋体"/>
          <w:i w:val="0"/>
          <w:iCs w:val="0"/>
          <w:szCs w:val="24"/>
        </w:rPr>
        <w:fldChar w:fldCharType="end"/>
      </w:r>
    </w:p>
    <w:p w14:paraId="30CFB25E">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_Toc18419 </w:instrText>
      </w:r>
      <w:r>
        <w:rPr>
          <w:rFonts w:hint="eastAsia" w:ascii="宋体" w:hAnsi="宋体" w:eastAsia="宋体" w:cs="宋体"/>
          <w:i w:val="0"/>
          <w:iCs w:val="0"/>
          <w:szCs w:val="24"/>
        </w:rPr>
        <w:fldChar w:fldCharType="separate"/>
      </w:r>
      <w:r>
        <w:rPr>
          <w:rFonts w:hint="eastAsia" w:ascii="宋体" w:hAnsi="宋体" w:eastAsia="宋体" w:cs="宋体"/>
          <w:szCs w:val="28"/>
        </w:rPr>
        <w:t>（四）业绩证明文件</w:t>
      </w:r>
      <w:r>
        <w:tab/>
      </w:r>
      <w:r>
        <w:fldChar w:fldCharType="begin"/>
      </w:r>
      <w:r>
        <w:instrText xml:space="preserve"> PAGEREF _Toc18419 \h </w:instrText>
      </w:r>
      <w:r>
        <w:fldChar w:fldCharType="separate"/>
      </w:r>
      <w:r>
        <w:t>97</w:t>
      </w:r>
      <w:r>
        <w:fldChar w:fldCharType="end"/>
      </w:r>
      <w:r>
        <w:rPr>
          <w:rFonts w:hint="eastAsia" w:ascii="宋体" w:hAnsi="宋体" w:eastAsia="宋体" w:cs="宋体"/>
          <w:i w:val="0"/>
          <w:iCs w:val="0"/>
          <w:szCs w:val="24"/>
        </w:rPr>
        <w:fldChar w:fldCharType="end"/>
      </w:r>
    </w:p>
    <w:p w14:paraId="13C14977">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_Toc15105 </w:instrText>
      </w:r>
      <w:r>
        <w:rPr>
          <w:rFonts w:hint="eastAsia" w:ascii="宋体" w:hAnsi="宋体" w:eastAsia="宋体" w:cs="宋体"/>
          <w:i w:val="0"/>
          <w:iCs w:val="0"/>
          <w:szCs w:val="24"/>
        </w:rPr>
        <w:fldChar w:fldCharType="separate"/>
      </w:r>
      <w:r>
        <w:rPr>
          <w:rFonts w:hint="eastAsia" w:ascii="宋体" w:hAnsi="宋体" w:eastAsia="宋体" w:cs="宋体"/>
          <w:szCs w:val="28"/>
        </w:rPr>
        <w:t>（五）信誉、荣誉状况证明文件</w:t>
      </w:r>
      <w:r>
        <w:tab/>
      </w:r>
      <w:r>
        <w:fldChar w:fldCharType="begin"/>
      </w:r>
      <w:r>
        <w:instrText xml:space="preserve"> PAGEREF _Toc15105 \h </w:instrText>
      </w:r>
      <w:r>
        <w:fldChar w:fldCharType="separate"/>
      </w:r>
      <w:r>
        <w:t>98</w:t>
      </w:r>
      <w:r>
        <w:fldChar w:fldCharType="end"/>
      </w:r>
      <w:r>
        <w:rPr>
          <w:rFonts w:hint="eastAsia" w:ascii="宋体" w:hAnsi="宋体" w:eastAsia="宋体" w:cs="宋体"/>
          <w:i w:val="0"/>
          <w:iCs w:val="0"/>
          <w:szCs w:val="24"/>
        </w:rPr>
        <w:fldChar w:fldCharType="end"/>
      </w:r>
    </w:p>
    <w:p w14:paraId="19FC56F2">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_Toc26851 </w:instrText>
      </w:r>
      <w:r>
        <w:rPr>
          <w:rFonts w:hint="eastAsia" w:ascii="宋体" w:hAnsi="宋体" w:eastAsia="宋体" w:cs="宋体"/>
          <w:i w:val="0"/>
          <w:iCs w:val="0"/>
          <w:szCs w:val="24"/>
        </w:rPr>
        <w:fldChar w:fldCharType="separate"/>
      </w:r>
      <w:r>
        <w:rPr>
          <w:rFonts w:hint="eastAsia" w:ascii="宋体" w:hAnsi="宋体" w:eastAsia="宋体" w:cs="宋体"/>
          <w:szCs w:val="28"/>
        </w:rPr>
        <w:t>（六）商务偏离表</w:t>
      </w:r>
      <w:r>
        <w:tab/>
      </w:r>
      <w:r>
        <w:fldChar w:fldCharType="begin"/>
      </w:r>
      <w:r>
        <w:instrText xml:space="preserve"> PAGEREF _Toc26851 \h </w:instrText>
      </w:r>
      <w:r>
        <w:fldChar w:fldCharType="separate"/>
      </w:r>
      <w:r>
        <w:t>99</w:t>
      </w:r>
      <w:r>
        <w:fldChar w:fldCharType="end"/>
      </w:r>
      <w:r>
        <w:rPr>
          <w:rFonts w:hint="eastAsia" w:ascii="宋体" w:hAnsi="宋体" w:eastAsia="宋体" w:cs="宋体"/>
          <w:i w:val="0"/>
          <w:iCs w:val="0"/>
          <w:szCs w:val="24"/>
        </w:rPr>
        <w:fldChar w:fldCharType="end"/>
      </w:r>
    </w:p>
    <w:p w14:paraId="44D0756E">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_Toc9865 </w:instrText>
      </w:r>
      <w:r>
        <w:rPr>
          <w:rFonts w:hint="eastAsia" w:ascii="宋体" w:hAnsi="宋体" w:eastAsia="宋体" w:cs="宋体"/>
          <w:i w:val="0"/>
          <w:iCs w:val="0"/>
          <w:szCs w:val="24"/>
        </w:rPr>
        <w:fldChar w:fldCharType="separate"/>
      </w:r>
      <w:r>
        <w:rPr>
          <w:rFonts w:hint="eastAsia" w:ascii="宋体" w:hAnsi="宋体" w:eastAsia="宋体" w:cs="宋体"/>
          <w:szCs w:val="28"/>
        </w:rPr>
        <w:t>（</w:t>
      </w:r>
      <w:r>
        <w:rPr>
          <w:rFonts w:hint="eastAsia" w:ascii="宋体" w:hAnsi="宋体" w:cs="宋体"/>
          <w:szCs w:val="28"/>
          <w:lang w:val="en-US" w:eastAsia="zh-CN"/>
        </w:rPr>
        <w:t>七</w:t>
      </w:r>
      <w:r>
        <w:rPr>
          <w:rFonts w:hint="eastAsia" w:ascii="宋体" w:hAnsi="宋体" w:eastAsia="宋体" w:cs="宋体"/>
          <w:szCs w:val="28"/>
        </w:rPr>
        <w:t>）其它商务文件</w:t>
      </w:r>
      <w:r>
        <w:tab/>
      </w:r>
      <w:r>
        <w:fldChar w:fldCharType="begin"/>
      </w:r>
      <w:r>
        <w:instrText xml:space="preserve"> PAGEREF _Toc9865 \h </w:instrText>
      </w:r>
      <w:r>
        <w:fldChar w:fldCharType="separate"/>
      </w:r>
      <w:r>
        <w:t>100</w:t>
      </w:r>
      <w:r>
        <w:fldChar w:fldCharType="end"/>
      </w:r>
      <w:r>
        <w:rPr>
          <w:rFonts w:hint="eastAsia" w:ascii="宋体" w:hAnsi="宋体" w:eastAsia="宋体" w:cs="宋体"/>
          <w:i w:val="0"/>
          <w:iCs w:val="0"/>
          <w:szCs w:val="24"/>
        </w:rPr>
        <w:fldChar w:fldCharType="end"/>
      </w:r>
    </w:p>
    <w:p w14:paraId="7373C4F3">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_Toc16998 </w:instrText>
      </w:r>
      <w:r>
        <w:rPr>
          <w:rFonts w:hint="eastAsia" w:ascii="宋体" w:hAnsi="宋体" w:eastAsia="宋体" w:cs="宋体"/>
          <w:i w:val="0"/>
          <w:iCs w:val="0"/>
          <w:szCs w:val="24"/>
        </w:rPr>
        <w:fldChar w:fldCharType="separate"/>
      </w:r>
      <w:r>
        <w:rPr>
          <w:rFonts w:hint="eastAsia" w:ascii="宋体" w:hAnsi="宋体" w:eastAsia="宋体" w:cs="宋体"/>
          <w:szCs w:val="28"/>
        </w:rPr>
        <w:t>四、技术文件</w:t>
      </w:r>
      <w:r>
        <w:tab/>
      </w:r>
      <w:r>
        <w:fldChar w:fldCharType="begin"/>
      </w:r>
      <w:r>
        <w:instrText xml:space="preserve"> PAGEREF _Toc16998 \h </w:instrText>
      </w:r>
      <w:r>
        <w:fldChar w:fldCharType="separate"/>
      </w:r>
      <w:r>
        <w:t>101</w:t>
      </w:r>
      <w:r>
        <w:fldChar w:fldCharType="end"/>
      </w:r>
      <w:r>
        <w:rPr>
          <w:rFonts w:hint="eastAsia" w:ascii="宋体" w:hAnsi="宋体" w:eastAsia="宋体" w:cs="宋体"/>
          <w:i w:val="0"/>
          <w:iCs w:val="0"/>
          <w:szCs w:val="24"/>
        </w:rPr>
        <w:fldChar w:fldCharType="end"/>
      </w:r>
    </w:p>
    <w:p w14:paraId="76F48135">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_Toc12369 </w:instrText>
      </w:r>
      <w:r>
        <w:rPr>
          <w:rFonts w:hint="eastAsia" w:ascii="宋体" w:hAnsi="宋体" w:eastAsia="宋体" w:cs="宋体"/>
          <w:i w:val="0"/>
          <w:iCs w:val="0"/>
          <w:szCs w:val="24"/>
        </w:rPr>
        <w:fldChar w:fldCharType="separate"/>
      </w:r>
      <w:r>
        <w:rPr>
          <w:rFonts w:hint="eastAsia" w:ascii="宋体" w:hAnsi="宋体" w:eastAsia="宋体" w:cs="宋体"/>
          <w:szCs w:val="28"/>
        </w:rPr>
        <w:t>（一）技术要求偏离表</w:t>
      </w:r>
      <w:r>
        <w:tab/>
      </w:r>
      <w:r>
        <w:fldChar w:fldCharType="begin"/>
      </w:r>
      <w:r>
        <w:instrText xml:space="preserve"> PAGEREF _Toc12369 \h </w:instrText>
      </w:r>
      <w:r>
        <w:fldChar w:fldCharType="separate"/>
      </w:r>
      <w:r>
        <w:t>101</w:t>
      </w:r>
      <w:r>
        <w:fldChar w:fldCharType="end"/>
      </w:r>
      <w:r>
        <w:rPr>
          <w:rFonts w:hint="eastAsia" w:ascii="宋体" w:hAnsi="宋体" w:eastAsia="宋体" w:cs="宋体"/>
          <w:i w:val="0"/>
          <w:iCs w:val="0"/>
          <w:szCs w:val="24"/>
        </w:rPr>
        <w:fldChar w:fldCharType="end"/>
      </w:r>
    </w:p>
    <w:p w14:paraId="31C42D94">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_Toc8761 </w:instrText>
      </w:r>
      <w:r>
        <w:rPr>
          <w:rFonts w:hint="eastAsia" w:ascii="宋体" w:hAnsi="宋体" w:eastAsia="宋体" w:cs="宋体"/>
          <w:i w:val="0"/>
          <w:iCs w:val="0"/>
          <w:szCs w:val="24"/>
        </w:rPr>
        <w:fldChar w:fldCharType="separate"/>
      </w:r>
      <w:r>
        <w:rPr>
          <w:rFonts w:hint="eastAsia" w:ascii="宋体" w:hAnsi="宋体" w:eastAsia="宋体" w:cs="宋体"/>
          <w:szCs w:val="28"/>
        </w:rPr>
        <w:t>（二）技术方案</w:t>
      </w:r>
      <w:r>
        <w:tab/>
      </w:r>
      <w:r>
        <w:fldChar w:fldCharType="begin"/>
      </w:r>
      <w:r>
        <w:instrText xml:space="preserve"> PAGEREF _Toc8761 \h </w:instrText>
      </w:r>
      <w:r>
        <w:fldChar w:fldCharType="separate"/>
      </w:r>
      <w:r>
        <w:t>102</w:t>
      </w:r>
      <w:r>
        <w:fldChar w:fldCharType="end"/>
      </w:r>
      <w:r>
        <w:rPr>
          <w:rFonts w:hint="eastAsia" w:ascii="宋体" w:hAnsi="宋体" w:eastAsia="宋体" w:cs="宋体"/>
          <w:i w:val="0"/>
          <w:iCs w:val="0"/>
          <w:szCs w:val="24"/>
        </w:rPr>
        <w:fldChar w:fldCharType="end"/>
      </w:r>
    </w:p>
    <w:p w14:paraId="33F50D18">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_Toc22775 </w:instrText>
      </w:r>
      <w:r>
        <w:rPr>
          <w:rFonts w:hint="eastAsia" w:ascii="宋体" w:hAnsi="宋体" w:eastAsia="宋体" w:cs="宋体"/>
          <w:i w:val="0"/>
          <w:iCs w:val="0"/>
          <w:szCs w:val="24"/>
        </w:rPr>
        <w:fldChar w:fldCharType="separate"/>
      </w:r>
      <w:r>
        <w:rPr>
          <w:rFonts w:hint="eastAsia" w:ascii="宋体" w:hAnsi="宋体" w:eastAsia="宋体" w:cs="宋体"/>
          <w:szCs w:val="28"/>
        </w:rPr>
        <w:t>（三）其它技术文件</w:t>
      </w:r>
      <w:r>
        <w:tab/>
      </w:r>
      <w:r>
        <w:fldChar w:fldCharType="begin"/>
      </w:r>
      <w:r>
        <w:instrText xml:space="preserve"> PAGEREF _Toc22775 \h </w:instrText>
      </w:r>
      <w:r>
        <w:fldChar w:fldCharType="separate"/>
      </w:r>
      <w:r>
        <w:t>103</w:t>
      </w:r>
      <w:r>
        <w:fldChar w:fldCharType="end"/>
      </w:r>
      <w:r>
        <w:rPr>
          <w:rFonts w:hint="eastAsia" w:ascii="宋体" w:hAnsi="宋体" w:eastAsia="宋体" w:cs="宋体"/>
          <w:i w:val="0"/>
          <w:iCs w:val="0"/>
          <w:szCs w:val="24"/>
        </w:rPr>
        <w:fldChar w:fldCharType="end"/>
      </w:r>
    </w:p>
    <w:p w14:paraId="3F2367A3">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_Toc4366 </w:instrText>
      </w:r>
      <w:r>
        <w:rPr>
          <w:rFonts w:hint="eastAsia" w:ascii="宋体" w:hAnsi="宋体" w:eastAsia="宋体" w:cs="宋体"/>
          <w:i w:val="0"/>
          <w:iCs w:val="0"/>
          <w:szCs w:val="24"/>
        </w:rPr>
        <w:fldChar w:fldCharType="separate"/>
      </w:r>
      <w:r>
        <w:rPr>
          <w:rFonts w:hint="eastAsia" w:ascii="宋体" w:hAnsi="宋体" w:eastAsia="宋体" w:cs="宋体"/>
          <w:szCs w:val="28"/>
        </w:rPr>
        <w:t>五、落实政府采购政策相关证明文件</w:t>
      </w:r>
      <w:r>
        <w:tab/>
      </w:r>
      <w:r>
        <w:fldChar w:fldCharType="begin"/>
      </w:r>
      <w:r>
        <w:instrText xml:space="preserve"> PAGEREF _Toc4366 \h </w:instrText>
      </w:r>
      <w:r>
        <w:fldChar w:fldCharType="separate"/>
      </w:r>
      <w:r>
        <w:t>104</w:t>
      </w:r>
      <w:r>
        <w:fldChar w:fldCharType="end"/>
      </w:r>
      <w:r>
        <w:rPr>
          <w:rFonts w:hint="eastAsia" w:ascii="宋体" w:hAnsi="宋体" w:eastAsia="宋体" w:cs="宋体"/>
          <w:i w:val="0"/>
          <w:iCs w:val="0"/>
          <w:szCs w:val="24"/>
        </w:rPr>
        <w:fldChar w:fldCharType="end"/>
      </w:r>
    </w:p>
    <w:p w14:paraId="240C035F">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_Toc3781 </w:instrText>
      </w:r>
      <w:r>
        <w:rPr>
          <w:rFonts w:hint="eastAsia" w:ascii="宋体" w:hAnsi="宋体" w:eastAsia="宋体" w:cs="宋体"/>
          <w:i w:val="0"/>
          <w:iCs w:val="0"/>
          <w:szCs w:val="24"/>
        </w:rPr>
        <w:fldChar w:fldCharType="separate"/>
      </w:r>
      <w:r>
        <w:rPr>
          <w:rFonts w:hint="eastAsia" w:ascii="宋体" w:hAnsi="宋体" w:eastAsia="宋体" w:cs="宋体"/>
          <w:szCs w:val="28"/>
        </w:rPr>
        <w:t>（</w:t>
      </w:r>
      <w:r>
        <w:rPr>
          <w:rFonts w:hint="eastAsia" w:ascii="宋体" w:hAnsi="宋体" w:eastAsia="宋体" w:cs="宋体"/>
          <w:szCs w:val="28"/>
          <w:lang w:val="en-US" w:eastAsia="zh-CN"/>
        </w:rPr>
        <w:t>一</w:t>
      </w:r>
      <w:r>
        <w:rPr>
          <w:rFonts w:hint="eastAsia" w:ascii="宋体" w:hAnsi="宋体" w:eastAsia="宋体" w:cs="宋体"/>
          <w:szCs w:val="28"/>
        </w:rPr>
        <w:t>）中小企业声明函（工程、服务）</w:t>
      </w:r>
      <w:r>
        <w:tab/>
      </w:r>
      <w:r>
        <w:fldChar w:fldCharType="begin"/>
      </w:r>
      <w:r>
        <w:instrText xml:space="preserve"> PAGEREF _Toc3781 \h </w:instrText>
      </w:r>
      <w:r>
        <w:fldChar w:fldCharType="separate"/>
      </w:r>
      <w:r>
        <w:t>104</w:t>
      </w:r>
      <w:r>
        <w:fldChar w:fldCharType="end"/>
      </w:r>
      <w:r>
        <w:rPr>
          <w:rFonts w:hint="eastAsia" w:ascii="宋体" w:hAnsi="宋体" w:eastAsia="宋体" w:cs="宋体"/>
          <w:i w:val="0"/>
          <w:iCs w:val="0"/>
          <w:szCs w:val="24"/>
        </w:rPr>
        <w:fldChar w:fldCharType="end"/>
      </w:r>
    </w:p>
    <w:p w14:paraId="13CC97E1">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_Toc13025 </w:instrText>
      </w:r>
      <w:r>
        <w:rPr>
          <w:rFonts w:hint="eastAsia" w:ascii="宋体" w:hAnsi="宋体" w:eastAsia="宋体" w:cs="宋体"/>
          <w:i w:val="0"/>
          <w:iCs w:val="0"/>
          <w:szCs w:val="24"/>
        </w:rPr>
        <w:fldChar w:fldCharType="separate"/>
      </w:r>
      <w:r>
        <w:rPr>
          <w:rFonts w:hint="eastAsia" w:ascii="宋体" w:hAnsi="宋体" w:eastAsia="宋体" w:cs="宋体"/>
          <w:szCs w:val="28"/>
        </w:rPr>
        <w:t>（</w:t>
      </w:r>
      <w:r>
        <w:rPr>
          <w:rFonts w:hint="eastAsia" w:ascii="宋体" w:hAnsi="宋体" w:eastAsia="宋体" w:cs="宋体"/>
          <w:szCs w:val="28"/>
          <w:lang w:val="en-US" w:eastAsia="zh-CN"/>
        </w:rPr>
        <w:t>二</w:t>
      </w:r>
      <w:r>
        <w:rPr>
          <w:rFonts w:hint="eastAsia" w:ascii="宋体" w:hAnsi="宋体" w:eastAsia="宋体" w:cs="宋体"/>
          <w:szCs w:val="28"/>
        </w:rPr>
        <w:t>）监狱企业证明文件</w:t>
      </w:r>
      <w:r>
        <w:tab/>
      </w:r>
      <w:r>
        <w:fldChar w:fldCharType="begin"/>
      </w:r>
      <w:r>
        <w:instrText xml:space="preserve"> PAGEREF _Toc13025 \h </w:instrText>
      </w:r>
      <w:r>
        <w:fldChar w:fldCharType="separate"/>
      </w:r>
      <w:r>
        <w:t>105</w:t>
      </w:r>
      <w:r>
        <w:fldChar w:fldCharType="end"/>
      </w:r>
      <w:r>
        <w:rPr>
          <w:rFonts w:hint="eastAsia" w:ascii="宋体" w:hAnsi="宋体" w:eastAsia="宋体" w:cs="宋体"/>
          <w:i w:val="0"/>
          <w:iCs w:val="0"/>
          <w:szCs w:val="24"/>
        </w:rPr>
        <w:fldChar w:fldCharType="end"/>
      </w:r>
    </w:p>
    <w:p w14:paraId="6EA1DA99">
      <w:pPr>
        <w:pStyle w:val="74"/>
        <w:tabs>
          <w:tab w:val="right" w:leader="dot" w:pos="8313"/>
        </w:tabs>
      </w:pPr>
      <w:r>
        <w:rPr>
          <w:rFonts w:hint="eastAsia" w:ascii="宋体" w:hAnsi="宋体" w:eastAsia="宋体" w:cs="宋体"/>
          <w:i w:val="0"/>
          <w:iCs w:val="0"/>
          <w:szCs w:val="24"/>
        </w:rPr>
        <w:fldChar w:fldCharType="begin"/>
      </w:r>
      <w:r>
        <w:rPr>
          <w:rFonts w:hint="eastAsia" w:ascii="宋体" w:hAnsi="宋体" w:eastAsia="宋体" w:cs="宋体"/>
          <w:i w:val="0"/>
          <w:iCs w:val="0"/>
          <w:szCs w:val="24"/>
        </w:rPr>
        <w:instrText xml:space="preserve"> HYPERLINK \l _Toc311 </w:instrText>
      </w:r>
      <w:r>
        <w:rPr>
          <w:rFonts w:hint="eastAsia" w:ascii="宋体" w:hAnsi="宋体" w:eastAsia="宋体" w:cs="宋体"/>
          <w:i w:val="0"/>
          <w:iCs w:val="0"/>
          <w:szCs w:val="24"/>
        </w:rPr>
        <w:fldChar w:fldCharType="separate"/>
      </w:r>
      <w:r>
        <w:rPr>
          <w:rFonts w:hint="eastAsia" w:ascii="宋体" w:hAnsi="宋体" w:eastAsia="宋体" w:cs="宋体"/>
          <w:szCs w:val="28"/>
        </w:rPr>
        <w:t>（</w:t>
      </w:r>
      <w:r>
        <w:rPr>
          <w:rFonts w:hint="eastAsia" w:ascii="宋体" w:hAnsi="宋体" w:eastAsia="宋体" w:cs="宋体"/>
          <w:szCs w:val="28"/>
          <w:lang w:val="en-US" w:eastAsia="zh-CN"/>
        </w:rPr>
        <w:t>三</w:t>
      </w:r>
      <w:r>
        <w:rPr>
          <w:rFonts w:hint="eastAsia" w:ascii="宋体" w:hAnsi="宋体" w:eastAsia="宋体" w:cs="宋体"/>
          <w:szCs w:val="28"/>
        </w:rPr>
        <w:t>）残疾人福利性单位声明函</w:t>
      </w:r>
      <w:r>
        <w:tab/>
      </w:r>
      <w:r>
        <w:fldChar w:fldCharType="begin"/>
      </w:r>
      <w:r>
        <w:instrText xml:space="preserve"> PAGEREF _Toc311 \h </w:instrText>
      </w:r>
      <w:r>
        <w:fldChar w:fldCharType="separate"/>
      </w:r>
      <w:r>
        <w:t>106</w:t>
      </w:r>
      <w:r>
        <w:fldChar w:fldCharType="end"/>
      </w:r>
      <w:r>
        <w:rPr>
          <w:rFonts w:hint="eastAsia" w:ascii="宋体" w:hAnsi="宋体" w:eastAsia="宋体" w:cs="宋体"/>
          <w:i w:val="0"/>
          <w:iCs w:val="0"/>
          <w:szCs w:val="24"/>
        </w:rPr>
        <w:fldChar w:fldCharType="end"/>
      </w:r>
    </w:p>
    <w:p w14:paraId="685BF4D5">
      <w:pPr>
        <w:keepNext w:val="0"/>
        <w:keepLines w:val="0"/>
        <w:pageBreakBefore w:val="0"/>
        <w:widowControl w:val="0"/>
        <w:kinsoku/>
        <w:wordWrap/>
        <w:overflowPunct/>
        <w:topLinePunct w:val="0"/>
        <w:autoSpaceDE/>
        <w:autoSpaceDN/>
        <w:bidi w:val="0"/>
        <w:adjustRightInd w:val="0"/>
        <w:snapToGrid w:val="0"/>
        <w:spacing w:line="360" w:lineRule="auto"/>
        <w:ind w:left="0"/>
        <w:contextualSpacing/>
        <w:textAlignment w:val="auto"/>
        <w:rPr>
          <w:rFonts w:hint="eastAsia" w:ascii="宋体" w:hAnsi="宋体" w:eastAsia="宋体" w:cs="宋体"/>
          <w:szCs w:val="21"/>
        </w:rPr>
        <w:sectPr>
          <w:headerReference r:id="rId7" w:type="first"/>
          <w:headerReference r:id="rId5" w:type="default"/>
          <w:footerReference r:id="rId8" w:type="default"/>
          <w:headerReference r:id="rId6" w:type="even"/>
          <w:type w:val="nextColumn"/>
          <w:pgSz w:w="11907" w:h="16840"/>
          <w:pgMar w:top="1440" w:right="1797" w:bottom="1440" w:left="1797" w:header="907" w:footer="907" w:gutter="0"/>
          <w:pgNumType w:fmt="decimal" w:start="1"/>
          <w:cols w:space="720" w:num="1"/>
          <w:docGrid w:linePitch="312" w:charSpace="0"/>
        </w:sectPr>
      </w:pPr>
      <w:r>
        <w:rPr>
          <w:rFonts w:hint="eastAsia" w:ascii="宋体" w:hAnsi="宋体" w:eastAsia="宋体" w:cs="宋体"/>
          <w:i w:val="0"/>
          <w:iCs w:val="0"/>
          <w:szCs w:val="24"/>
        </w:rPr>
        <w:fldChar w:fldCharType="end"/>
      </w:r>
    </w:p>
    <w:p w14:paraId="754C2F9D">
      <w:pPr>
        <w:pStyle w:val="3"/>
        <w:snapToGrid/>
        <w:spacing w:before="200" w:beforeAutospacing="0" w:after="100" w:afterAutospacing="0" w:line="240" w:lineRule="auto"/>
        <w:ind w:left="0" w:leftChars="0" w:right="0" w:rightChars="0" w:firstLine="0" w:firstLineChars="0"/>
        <w:jc w:val="center"/>
        <w:outlineLvl w:val="0"/>
        <w:rPr>
          <w:rFonts w:hint="eastAsia" w:ascii="宋体" w:hAnsi="宋体" w:eastAsia="宋体" w:cs="宋体"/>
          <w:b w:val="0"/>
          <w:sz w:val="32"/>
          <w:szCs w:val="32"/>
        </w:rPr>
      </w:pPr>
      <w:bookmarkStart w:id="21" w:name="_Hlt9666678"/>
      <w:bookmarkEnd w:id="21"/>
      <w:bookmarkStart w:id="22" w:name="_Toc15721"/>
      <w:bookmarkStart w:id="23" w:name="_Toc109899939"/>
      <w:bookmarkStart w:id="24" w:name="_Toc109897421"/>
      <w:bookmarkStart w:id="25" w:name="_Toc109900358"/>
      <w:r>
        <w:rPr>
          <w:rFonts w:hint="eastAsia" w:ascii="宋体" w:hAnsi="宋体" w:eastAsia="宋体" w:cs="宋体"/>
          <w:b/>
          <w:bCs/>
          <w:sz w:val="28"/>
          <w:szCs w:val="28"/>
        </w:rPr>
        <w:t>第一章</w:t>
      </w:r>
      <w:bookmarkEnd w:id="19"/>
      <w:bookmarkEnd w:id="20"/>
      <w:r>
        <w:rPr>
          <w:rFonts w:hint="eastAsia" w:ascii="宋体" w:hAnsi="宋体" w:eastAsia="宋体" w:cs="宋体"/>
          <w:b/>
          <w:bCs/>
          <w:sz w:val="28"/>
          <w:szCs w:val="28"/>
        </w:rPr>
        <w:t xml:space="preserve"> 磋商公告（代磋商邀请函）</w:t>
      </w:r>
      <w:bookmarkEnd w:id="22"/>
      <w:bookmarkEnd w:id="23"/>
      <w:bookmarkEnd w:id="24"/>
      <w:bookmarkEnd w:id="25"/>
    </w:p>
    <w:p w14:paraId="34E0E284">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beforeAutospacing="0" w:afterAutospacing="0" w:line="360" w:lineRule="auto"/>
        <w:ind w:right="0" w:rightChars="0"/>
        <w:jc w:val="left"/>
        <w:textAlignment w:val="auto"/>
        <w:rPr>
          <w:rFonts w:hint="eastAsia" w:ascii="宋体" w:hAnsi="宋体" w:eastAsia="宋体" w:cs="宋体"/>
          <w:sz w:val="24"/>
          <w:szCs w:val="24"/>
        </w:rPr>
      </w:pPr>
      <w:bookmarkStart w:id="26" w:name="_Hlk517968013"/>
      <w:bookmarkStart w:id="27" w:name="_Hlk89852814"/>
      <w:r>
        <w:rPr>
          <w:rFonts w:hint="eastAsia" w:ascii="宋体" w:hAnsi="宋体" w:eastAsia="宋体" w:cs="宋体"/>
          <w:sz w:val="24"/>
          <w:szCs w:val="24"/>
        </w:rPr>
        <w:t>项目概况：</w:t>
      </w:r>
    </w:p>
    <w:p w14:paraId="49B40491">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beforeAutospacing="0" w:afterAutospacing="0" w:line="360" w:lineRule="auto"/>
        <w:ind w:right="0" w:rightChars="0" w:firstLine="480" w:firstLineChars="200"/>
        <w:jc w:val="left"/>
        <w:textAlignment w:val="auto"/>
        <w:rPr>
          <w:rFonts w:hint="eastAsia" w:ascii="宋体" w:hAnsi="宋体" w:eastAsia="宋体" w:cs="宋体"/>
          <w:sz w:val="24"/>
          <w:szCs w:val="24"/>
        </w:rPr>
      </w:pPr>
      <w:r>
        <w:rPr>
          <w:rFonts w:hint="eastAsia" w:ascii="宋体" w:hAnsi="宋体" w:cs="宋体"/>
          <w:sz w:val="24"/>
          <w:szCs w:val="24"/>
          <w:u w:val="single"/>
          <w:lang w:val="en-US" w:eastAsia="zh-CN"/>
        </w:rPr>
        <w:t>中南民族大学实验室安全综合管理平台建设（一期）</w:t>
      </w:r>
      <w:r>
        <w:rPr>
          <w:rFonts w:hint="eastAsia" w:ascii="宋体" w:hAnsi="宋体" w:eastAsia="宋体" w:cs="宋体"/>
          <w:sz w:val="24"/>
          <w:szCs w:val="24"/>
        </w:rPr>
        <w:t>的潜在供应商应在</w:t>
      </w:r>
      <w:r>
        <w:rPr>
          <w:rFonts w:hint="eastAsia" w:ascii="宋体" w:hAnsi="宋体" w:eastAsia="宋体" w:cs="宋体"/>
          <w:sz w:val="24"/>
          <w:szCs w:val="24"/>
          <w:u w:val="single"/>
        </w:rPr>
        <w:t>中南民族大学采购综合管理服务平台（https://caizhao.scuec.edu.cn/zb/）</w:t>
      </w:r>
      <w:r>
        <w:rPr>
          <w:rFonts w:hint="eastAsia" w:ascii="宋体" w:hAnsi="宋体" w:eastAsia="宋体" w:cs="宋体"/>
          <w:sz w:val="24"/>
          <w:szCs w:val="24"/>
        </w:rPr>
        <w:t>获取采购文件，并于</w:t>
      </w:r>
      <w:r>
        <w:rPr>
          <w:rFonts w:hint="eastAsia" w:ascii="宋体" w:hAnsi="宋体" w:eastAsia="宋体" w:cs="宋体"/>
          <w:sz w:val="24"/>
          <w:szCs w:val="24"/>
          <w:u w:val="single"/>
          <w:lang w:val="en-US" w:eastAsia="zh-CN"/>
        </w:rPr>
        <w:t>2025</w:t>
      </w:r>
      <w:r>
        <w:rPr>
          <w:rFonts w:hint="eastAsia" w:ascii="宋体" w:hAnsi="宋体" w:eastAsia="宋体" w:cs="宋体"/>
          <w:sz w:val="24"/>
          <w:szCs w:val="24"/>
          <w:u w:val="single"/>
        </w:rPr>
        <w:t>年</w:t>
      </w:r>
      <w:r>
        <w:rPr>
          <w:rFonts w:hint="eastAsia" w:ascii="宋体" w:hAnsi="宋体" w:cs="宋体"/>
          <w:sz w:val="24"/>
          <w:szCs w:val="24"/>
          <w:u w:val="single"/>
          <w:lang w:val="en-US" w:eastAsia="zh-CN"/>
        </w:rPr>
        <w:t>06</w:t>
      </w:r>
      <w:r>
        <w:rPr>
          <w:rFonts w:hint="eastAsia" w:ascii="宋体" w:hAnsi="宋体" w:eastAsia="宋体" w:cs="宋体"/>
          <w:sz w:val="24"/>
          <w:szCs w:val="24"/>
          <w:u w:val="single"/>
        </w:rPr>
        <w:t>月</w:t>
      </w:r>
      <w:r>
        <w:rPr>
          <w:rFonts w:hint="eastAsia" w:ascii="宋体" w:hAnsi="宋体" w:cs="宋体"/>
          <w:sz w:val="24"/>
          <w:szCs w:val="24"/>
          <w:u w:val="single"/>
          <w:lang w:val="en-US" w:eastAsia="zh-CN"/>
        </w:rPr>
        <w:t>25</w:t>
      </w:r>
      <w:r>
        <w:rPr>
          <w:rFonts w:hint="eastAsia" w:ascii="宋体" w:hAnsi="宋体" w:eastAsia="宋体" w:cs="宋体"/>
          <w:sz w:val="24"/>
          <w:szCs w:val="24"/>
          <w:u w:val="single"/>
        </w:rPr>
        <w:t>日</w:t>
      </w:r>
      <w:r>
        <w:rPr>
          <w:rFonts w:hint="eastAsia" w:ascii="宋体" w:hAnsi="宋体" w:eastAsia="宋体" w:cs="宋体"/>
          <w:sz w:val="24"/>
          <w:szCs w:val="24"/>
          <w:u w:val="single"/>
          <w:lang w:val="en-US" w:eastAsia="zh-CN"/>
        </w:rPr>
        <w:t>10</w:t>
      </w:r>
      <w:r>
        <w:rPr>
          <w:rFonts w:hint="eastAsia" w:ascii="宋体" w:hAnsi="宋体" w:eastAsia="宋体" w:cs="宋体"/>
          <w:sz w:val="24"/>
          <w:szCs w:val="24"/>
          <w:u w:val="single"/>
        </w:rPr>
        <w:t>点</w:t>
      </w:r>
      <w:r>
        <w:rPr>
          <w:rFonts w:hint="eastAsia" w:ascii="宋体" w:hAnsi="宋体" w:eastAsia="宋体" w:cs="宋体"/>
          <w:sz w:val="24"/>
          <w:szCs w:val="24"/>
          <w:u w:val="single"/>
          <w:lang w:val="en-US" w:eastAsia="zh-CN"/>
        </w:rPr>
        <w:t>30</w:t>
      </w:r>
      <w:r>
        <w:rPr>
          <w:rFonts w:hint="eastAsia" w:ascii="宋体" w:hAnsi="宋体" w:eastAsia="宋体" w:cs="宋体"/>
          <w:sz w:val="24"/>
          <w:szCs w:val="24"/>
          <w:u w:val="single"/>
        </w:rPr>
        <w:t>分</w:t>
      </w:r>
      <w:r>
        <w:rPr>
          <w:rFonts w:hint="eastAsia" w:ascii="宋体" w:hAnsi="宋体" w:eastAsia="宋体" w:cs="宋体"/>
          <w:sz w:val="24"/>
          <w:szCs w:val="24"/>
        </w:rPr>
        <w:t>（北京时间）前提交响应文件。</w:t>
      </w:r>
    </w:p>
    <w:p w14:paraId="33CC3949">
      <w:pPr>
        <w:keepNext/>
        <w:keepLines/>
        <w:pageBreakBefore w:val="0"/>
        <w:kinsoku/>
        <w:wordWrap/>
        <w:overflowPunct/>
        <w:topLinePunct w:val="0"/>
        <w:autoSpaceDE/>
        <w:autoSpaceDN/>
        <w:bidi w:val="0"/>
        <w:snapToGrid/>
        <w:spacing w:beforeAutospacing="0" w:afterAutospacing="0" w:line="360" w:lineRule="auto"/>
        <w:ind w:left="0" w:leftChars="0" w:right="0" w:rightChars="0" w:firstLine="0" w:firstLineChars="0"/>
        <w:jc w:val="left"/>
        <w:textAlignment w:val="auto"/>
        <w:outlineLvl w:val="1"/>
        <w:rPr>
          <w:rFonts w:hint="eastAsia" w:ascii="宋体" w:hAnsi="宋体" w:eastAsia="宋体" w:cs="宋体"/>
          <w:b w:val="0"/>
          <w:sz w:val="24"/>
          <w:szCs w:val="24"/>
        </w:rPr>
      </w:pPr>
      <w:bookmarkStart w:id="28" w:name="_Toc109899940"/>
      <w:bookmarkStart w:id="29" w:name="_Toc109900359"/>
      <w:bookmarkStart w:id="30" w:name="_Toc109897422"/>
      <w:bookmarkStart w:id="31" w:name="_Toc22993"/>
      <w:r>
        <w:rPr>
          <w:rFonts w:hint="eastAsia" w:ascii="宋体" w:hAnsi="宋体" w:eastAsia="宋体" w:cs="宋体"/>
          <w:b w:val="0"/>
          <w:sz w:val="24"/>
          <w:szCs w:val="24"/>
        </w:rPr>
        <w:t>一、项目基本情况</w:t>
      </w:r>
      <w:bookmarkEnd w:id="28"/>
      <w:bookmarkEnd w:id="29"/>
      <w:bookmarkEnd w:id="30"/>
      <w:bookmarkEnd w:id="31"/>
    </w:p>
    <w:p w14:paraId="646DFC6C">
      <w:pPr>
        <w:pageBreakBefore w:val="0"/>
        <w:kinsoku/>
        <w:wordWrap/>
        <w:overflowPunct/>
        <w:topLinePunct w:val="0"/>
        <w:autoSpaceDE/>
        <w:autoSpaceDN/>
        <w:bidi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szCs w:val="24"/>
          <w:u w:val="single"/>
          <w:lang w:eastAsia="zh-CN"/>
        </w:rPr>
      </w:pPr>
      <w:r>
        <w:rPr>
          <w:rFonts w:hint="eastAsia" w:ascii="宋体" w:hAnsi="宋体" w:eastAsia="宋体" w:cs="宋体"/>
          <w:sz w:val="24"/>
          <w:szCs w:val="24"/>
        </w:rPr>
        <w:t>1.项目编号：</w:t>
      </w:r>
      <w:r>
        <w:rPr>
          <w:rFonts w:hint="eastAsia" w:ascii="宋体" w:hAnsi="宋体" w:cs="宋体"/>
          <w:sz w:val="24"/>
          <w:szCs w:val="24"/>
          <w:u w:val="single"/>
          <w:lang w:eastAsia="zh-CN"/>
        </w:rPr>
        <w:t>HBJX-ZB-2025-037</w:t>
      </w:r>
    </w:p>
    <w:p w14:paraId="300C6CE9">
      <w:pPr>
        <w:pageBreakBefore w:val="0"/>
        <w:kinsoku/>
        <w:wordWrap/>
        <w:overflowPunct/>
        <w:topLinePunct w:val="0"/>
        <w:autoSpaceDE/>
        <w:autoSpaceDN/>
        <w:bidi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szCs w:val="24"/>
          <w:u w:val="single"/>
        </w:rPr>
      </w:pPr>
      <w:r>
        <w:rPr>
          <w:rFonts w:hint="eastAsia" w:ascii="宋体" w:hAnsi="宋体" w:eastAsia="宋体" w:cs="宋体"/>
          <w:sz w:val="24"/>
          <w:szCs w:val="24"/>
          <w:lang w:val="en-US" w:eastAsia="zh-CN"/>
        </w:rPr>
        <w:t>2</w:t>
      </w:r>
      <w:r>
        <w:rPr>
          <w:rFonts w:hint="eastAsia" w:ascii="宋体" w:hAnsi="宋体" w:eastAsia="宋体" w:cs="宋体"/>
          <w:sz w:val="24"/>
          <w:szCs w:val="24"/>
        </w:rPr>
        <w:t>.项目名称：</w:t>
      </w:r>
      <w:r>
        <w:rPr>
          <w:rFonts w:hint="eastAsia" w:ascii="宋体" w:hAnsi="宋体" w:cs="宋体"/>
          <w:sz w:val="24"/>
          <w:szCs w:val="24"/>
          <w:u w:val="single"/>
          <w:lang w:val="en-US" w:eastAsia="zh-CN"/>
        </w:rPr>
        <w:t>中南民族大学实验室安全综合管理平台建设（一期）</w:t>
      </w:r>
    </w:p>
    <w:p w14:paraId="492872A1">
      <w:pPr>
        <w:pageBreakBefore w:val="0"/>
        <w:kinsoku/>
        <w:wordWrap/>
        <w:overflowPunct/>
        <w:topLinePunct w:val="0"/>
        <w:autoSpaceDE/>
        <w:autoSpaceDN/>
        <w:bidi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.采购方式：竞争性磋商</w:t>
      </w:r>
    </w:p>
    <w:p w14:paraId="2193BC88">
      <w:pPr>
        <w:pageBreakBefore w:val="0"/>
        <w:kinsoku/>
        <w:wordWrap/>
        <w:overflowPunct/>
        <w:topLinePunct w:val="0"/>
        <w:autoSpaceDE/>
        <w:autoSpaceDN/>
        <w:bidi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.预算金额：</w:t>
      </w:r>
      <w:r>
        <w:rPr>
          <w:rFonts w:hint="eastAsia" w:ascii="宋体" w:hAnsi="宋体" w:cs="宋体"/>
          <w:sz w:val="24"/>
          <w:szCs w:val="24"/>
          <w:u w:val="single"/>
          <w:lang w:val="en-US" w:eastAsia="zh-CN"/>
        </w:rPr>
        <w:t>70</w:t>
      </w:r>
      <w:r>
        <w:rPr>
          <w:rFonts w:hint="eastAsia" w:ascii="宋体" w:hAnsi="宋体" w:eastAsia="宋体" w:cs="宋体"/>
          <w:sz w:val="24"/>
          <w:szCs w:val="24"/>
          <w:u w:val="single"/>
          <w:lang w:eastAsia="zh-CN"/>
        </w:rPr>
        <w:t>万元</w:t>
      </w:r>
    </w:p>
    <w:p w14:paraId="5029E0F6">
      <w:pPr>
        <w:pageBreakBefore w:val="0"/>
        <w:kinsoku/>
        <w:wordWrap/>
        <w:overflowPunct/>
        <w:topLinePunct w:val="0"/>
        <w:autoSpaceDE/>
        <w:autoSpaceDN/>
        <w:bidi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.最高限价：</w:t>
      </w:r>
      <w:r>
        <w:rPr>
          <w:rFonts w:hint="eastAsia" w:ascii="宋体" w:hAnsi="宋体" w:cs="宋体"/>
          <w:sz w:val="24"/>
          <w:szCs w:val="24"/>
          <w:u w:val="single"/>
          <w:lang w:val="en-US" w:eastAsia="zh-CN"/>
        </w:rPr>
        <w:t>70</w:t>
      </w:r>
      <w:r>
        <w:rPr>
          <w:rFonts w:hint="eastAsia" w:ascii="宋体" w:hAnsi="宋体" w:eastAsia="宋体" w:cs="宋体"/>
          <w:sz w:val="24"/>
          <w:szCs w:val="24"/>
          <w:u w:val="single"/>
          <w:lang w:eastAsia="zh-CN"/>
        </w:rPr>
        <w:t>万元</w:t>
      </w:r>
    </w:p>
    <w:p w14:paraId="3B7ABE99">
      <w:pPr>
        <w:pageBreakBefore w:val="0"/>
        <w:kinsoku/>
        <w:wordWrap/>
        <w:overflowPunct/>
        <w:topLinePunct w:val="0"/>
        <w:autoSpaceDE/>
        <w:autoSpaceDN/>
        <w:bidi w:val="0"/>
        <w:adjustRightInd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.采购需求：</w:t>
      </w:r>
      <w:r>
        <w:rPr>
          <w:rFonts w:hint="eastAsia" w:ascii="宋体" w:hAnsi="宋体" w:eastAsia="宋体" w:cs="宋体"/>
          <w:sz w:val="24"/>
          <w:szCs w:val="24"/>
          <w:u w:val="single"/>
        </w:rPr>
        <w:t>本次采购共分1个项目标包，</w:t>
      </w:r>
      <w:r>
        <w:rPr>
          <w:rFonts w:hint="eastAsia" w:ascii="宋体" w:hAnsi="宋体" w:cs="宋体"/>
          <w:sz w:val="24"/>
          <w:szCs w:val="24"/>
          <w:u w:val="single"/>
          <w:lang w:val="en-US" w:eastAsia="zh-CN"/>
        </w:rPr>
        <w:t>中南民族大学实验室安全综合管理平台建设（一期）</w:t>
      </w:r>
      <w:r>
        <w:rPr>
          <w:rFonts w:hint="eastAsia" w:ascii="宋体" w:hAnsi="宋体" w:eastAsia="宋体" w:cs="宋体"/>
          <w:sz w:val="24"/>
          <w:szCs w:val="24"/>
          <w:u w:val="single"/>
          <w:lang w:val="en-US" w:eastAsia="zh-CN"/>
        </w:rPr>
        <w:t>；详细技术规格、参数及要求见本项目竞争性磋商文件</w:t>
      </w:r>
      <w:r>
        <w:rPr>
          <w:rFonts w:hint="eastAsia" w:ascii="宋体" w:hAnsi="宋体" w:eastAsia="宋体" w:cs="宋体"/>
          <w:sz w:val="24"/>
          <w:szCs w:val="24"/>
          <w:u w:val="none"/>
        </w:rPr>
        <w:t>。</w:t>
      </w:r>
    </w:p>
    <w:p w14:paraId="2FCCE02C">
      <w:pPr>
        <w:pageBreakBefore w:val="0"/>
        <w:kinsoku/>
        <w:wordWrap/>
        <w:overflowPunct/>
        <w:topLinePunct w:val="0"/>
        <w:autoSpaceDE/>
        <w:autoSpaceDN/>
        <w:bidi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w:t>
      </w:r>
      <w:r>
        <w:rPr>
          <w:rFonts w:hint="eastAsia" w:ascii="宋体" w:hAnsi="宋体" w:eastAsia="宋体" w:cs="宋体"/>
          <w:sz w:val="24"/>
          <w:szCs w:val="24"/>
        </w:rPr>
        <w:t>.合同履行期限：</w:t>
      </w:r>
      <w:r>
        <w:rPr>
          <w:rFonts w:hint="eastAsia" w:ascii="宋体" w:hAnsi="宋体" w:eastAsia="宋体" w:cs="宋体"/>
          <w:snapToGrid w:val="0"/>
          <w:kern w:val="0"/>
          <w:sz w:val="24"/>
          <w:szCs w:val="24"/>
          <w:lang w:val="zh-CN"/>
        </w:rPr>
        <w:t>自合同签订生效之日起30个日历日内完成项目</w:t>
      </w:r>
      <w:r>
        <w:rPr>
          <w:rFonts w:hint="eastAsia" w:ascii="宋体" w:hAnsi="宋体" w:eastAsia="宋体" w:cs="宋体"/>
          <w:sz w:val="24"/>
          <w:szCs w:val="24"/>
          <w:u w:val="none"/>
          <w:lang w:eastAsia="zh-CN"/>
        </w:rPr>
        <w:t>。</w:t>
      </w:r>
    </w:p>
    <w:p w14:paraId="07A8DF2C">
      <w:pPr>
        <w:pageBreakBefore w:val="0"/>
        <w:kinsoku/>
        <w:wordWrap/>
        <w:overflowPunct/>
        <w:topLinePunct w:val="0"/>
        <w:autoSpaceDE/>
        <w:autoSpaceDN/>
        <w:bidi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8</w:t>
      </w:r>
      <w:r>
        <w:rPr>
          <w:rFonts w:hint="eastAsia" w:ascii="宋体" w:hAnsi="宋体" w:eastAsia="宋体" w:cs="宋体"/>
          <w:sz w:val="24"/>
          <w:szCs w:val="24"/>
        </w:rPr>
        <w:t>.本项目（是/否）接受联合体投标：</w:t>
      </w:r>
      <w:r>
        <w:rPr>
          <w:rFonts w:hint="eastAsia" w:ascii="宋体" w:hAnsi="宋体" w:eastAsia="宋体" w:cs="宋体"/>
          <w:kern w:val="2"/>
          <w:sz w:val="24"/>
          <w:szCs w:val="24"/>
          <w:u w:val="single"/>
          <w:lang w:eastAsia="zh-CN"/>
        </w:rPr>
        <w:t>否</w:t>
      </w:r>
    </w:p>
    <w:p w14:paraId="22C67C39">
      <w:pPr>
        <w:pageBreakBefore w:val="0"/>
        <w:kinsoku/>
        <w:wordWrap/>
        <w:overflowPunct/>
        <w:topLinePunct w:val="0"/>
        <w:autoSpaceDE/>
        <w:autoSpaceDN/>
        <w:bidi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szCs w:val="24"/>
          <w:lang w:eastAsia="zh-CN"/>
        </w:rPr>
      </w:pPr>
      <w:bookmarkStart w:id="32" w:name="_Toc109900360"/>
      <w:bookmarkStart w:id="33" w:name="_Toc109899941"/>
      <w:bookmarkStart w:id="34" w:name="_Toc109897423"/>
      <w:r>
        <w:rPr>
          <w:rFonts w:hint="eastAsia" w:ascii="宋体" w:hAnsi="宋体" w:eastAsia="宋体" w:cs="宋体"/>
          <w:sz w:val="24"/>
          <w:szCs w:val="24"/>
          <w:lang w:val="en-US" w:eastAsia="zh-CN"/>
        </w:rPr>
        <w:t>9</w:t>
      </w:r>
      <w:r>
        <w:rPr>
          <w:rFonts w:hint="eastAsia" w:ascii="宋体" w:hAnsi="宋体" w:eastAsia="宋体" w:cs="宋体"/>
          <w:sz w:val="24"/>
          <w:szCs w:val="24"/>
        </w:rPr>
        <w:t>.是否可采购进口产品：</w:t>
      </w:r>
      <w:r>
        <w:rPr>
          <w:rFonts w:hint="eastAsia" w:ascii="宋体" w:hAnsi="宋体" w:eastAsia="宋体" w:cs="宋体"/>
          <w:kern w:val="2"/>
          <w:sz w:val="24"/>
          <w:szCs w:val="24"/>
          <w:u w:val="single"/>
          <w:lang w:eastAsia="zh-CN"/>
        </w:rPr>
        <w:t>否</w:t>
      </w:r>
    </w:p>
    <w:p w14:paraId="7731AAA8">
      <w:pPr>
        <w:pageBreakBefore w:val="0"/>
        <w:kinsoku/>
        <w:wordWrap/>
        <w:overflowPunct/>
        <w:topLinePunct w:val="0"/>
        <w:autoSpaceDE/>
        <w:autoSpaceDN/>
        <w:bidi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0</w:t>
      </w:r>
      <w:r>
        <w:rPr>
          <w:rFonts w:hint="eastAsia" w:ascii="宋体" w:hAnsi="宋体" w:eastAsia="宋体" w:cs="宋体"/>
          <w:sz w:val="24"/>
          <w:szCs w:val="24"/>
        </w:rPr>
        <w:t>.本项目（是/否）专门面向中小微企业：</w:t>
      </w:r>
      <w:r>
        <w:rPr>
          <w:rFonts w:hint="eastAsia" w:ascii="宋体" w:hAnsi="宋体" w:eastAsia="宋体" w:cs="宋体"/>
          <w:kern w:val="2"/>
          <w:sz w:val="24"/>
          <w:szCs w:val="24"/>
          <w:u w:val="single"/>
          <w:lang w:eastAsia="zh-CN"/>
        </w:rPr>
        <w:t>是</w:t>
      </w:r>
    </w:p>
    <w:p w14:paraId="0CC6C4A3">
      <w:pPr>
        <w:keepNext/>
        <w:keepLines/>
        <w:pageBreakBefore w:val="0"/>
        <w:kinsoku/>
        <w:wordWrap/>
        <w:overflowPunct/>
        <w:topLinePunct w:val="0"/>
        <w:autoSpaceDE/>
        <w:autoSpaceDN/>
        <w:bidi w:val="0"/>
        <w:snapToGrid/>
        <w:spacing w:beforeAutospacing="0" w:afterAutospacing="0" w:line="360" w:lineRule="auto"/>
        <w:ind w:left="0" w:leftChars="0" w:right="0" w:rightChars="0" w:firstLine="0" w:firstLineChars="0"/>
        <w:jc w:val="left"/>
        <w:textAlignment w:val="auto"/>
        <w:outlineLvl w:val="1"/>
        <w:rPr>
          <w:rFonts w:hint="eastAsia" w:ascii="宋体" w:hAnsi="宋体" w:eastAsia="宋体" w:cs="宋体"/>
          <w:b w:val="0"/>
          <w:sz w:val="24"/>
          <w:szCs w:val="24"/>
        </w:rPr>
      </w:pPr>
      <w:bookmarkStart w:id="35" w:name="_Toc8204"/>
      <w:r>
        <w:rPr>
          <w:rFonts w:hint="eastAsia" w:ascii="宋体" w:hAnsi="宋体" w:eastAsia="宋体" w:cs="宋体"/>
          <w:b w:val="0"/>
          <w:sz w:val="24"/>
          <w:szCs w:val="24"/>
        </w:rPr>
        <w:t>二、申请人的资格要求</w:t>
      </w:r>
      <w:bookmarkEnd w:id="32"/>
      <w:bookmarkEnd w:id="33"/>
      <w:bookmarkEnd w:id="34"/>
      <w:bookmarkEnd w:id="35"/>
    </w:p>
    <w:p w14:paraId="71E7E635">
      <w:pPr>
        <w:pageBreakBefore w:val="0"/>
        <w:widowControl/>
        <w:kinsoku/>
        <w:wordWrap/>
        <w:overflowPunct/>
        <w:topLinePunct w:val="0"/>
        <w:autoSpaceDE/>
        <w:autoSpaceDN/>
        <w:bidi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1.基本要求：满足《中华人民共和国政府采购法》第二十二条规定</w:t>
      </w:r>
      <w:r>
        <w:rPr>
          <w:rFonts w:hint="eastAsia" w:ascii="宋体" w:hAnsi="宋体" w:eastAsia="宋体" w:cs="宋体"/>
          <w:sz w:val="24"/>
          <w:szCs w:val="24"/>
          <w:highlight w:val="none"/>
          <w:lang w:eastAsia="zh-CN"/>
        </w:rPr>
        <w:t>。</w:t>
      </w:r>
    </w:p>
    <w:p w14:paraId="016CE358">
      <w:pPr>
        <w:pageBreakBefore w:val="0"/>
        <w:kinsoku/>
        <w:wordWrap/>
        <w:overflowPunct/>
        <w:topLinePunct w:val="0"/>
        <w:autoSpaceDE/>
        <w:autoSpaceDN/>
        <w:bidi w:val="0"/>
        <w:adjustRightInd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szCs w:val="24"/>
          <w:lang w:val="hr-HR"/>
        </w:rPr>
      </w:pPr>
      <w:r>
        <w:rPr>
          <w:rFonts w:hint="eastAsia" w:ascii="宋体" w:hAnsi="宋体" w:eastAsia="宋体" w:cs="宋体"/>
          <w:sz w:val="24"/>
          <w:szCs w:val="24"/>
          <w:lang w:val="hr-HR"/>
        </w:rPr>
        <w:t>（1）具有独立承担民事责任的能力；</w:t>
      </w:r>
    </w:p>
    <w:p w14:paraId="23FE8528">
      <w:pPr>
        <w:pageBreakBefore w:val="0"/>
        <w:kinsoku/>
        <w:wordWrap/>
        <w:overflowPunct/>
        <w:topLinePunct w:val="0"/>
        <w:autoSpaceDE/>
        <w:autoSpaceDN/>
        <w:bidi w:val="0"/>
        <w:adjustRightInd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szCs w:val="24"/>
          <w:lang w:val="hr-HR"/>
        </w:rPr>
      </w:pPr>
      <w:r>
        <w:rPr>
          <w:rFonts w:hint="eastAsia" w:ascii="宋体" w:hAnsi="宋体" w:eastAsia="宋体" w:cs="宋体"/>
          <w:sz w:val="24"/>
          <w:szCs w:val="24"/>
          <w:lang w:val="hr-HR"/>
        </w:rPr>
        <w:t>（2）具有良好的商业信誉和健全的财务会计制度；</w:t>
      </w:r>
    </w:p>
    <w:p w14:paraId="2FB650A0">
      <w:pPr>
        <w:pageBreakBefore w:val="0"/>
        <w:kinsoku/>
        <w:wordWrap/>
        <w:overflowPunct/>
        <w:topLinePunct w:val="0"/>
        <w:autoSpaceDE/>
        <w:autoSpaceDN/>
        <w:bidi w:val="0"/>
        <w:adjustRightInd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szCs w:val="24"/>
          <w:lang w:val="hr-HR"/>
        </w:rPr>
      </w:pPr>
      <w:r>
        <w:rPr>
          <w:rFonts w:hint="eastAsia" w:ascii="宋体" w:hAnsi="宋体" w:eastAsia="宋体" w:cs="宋体"/>
          <w:sz w:val="24"/>
          <w:szCs w:val="24"/>
          <w:lang w:val="hr-HR"/>
        </w:rPr>
        <w:t>（3）具有履行合同所必需的设备和专业技术能力；</w:t>
      </w:r>
    </w:p>
    <w:p w14:paraId="382B1BFF">
      <w:pPr>
        <w:pageBreakBefore w:val="0"/>
        <w:kinsoku/>
        <w:wordWrap/>
        <w:overflowPunct/>
        <w:topLinePunct w:val="0"/>
        <w:autoSpaceDE/>
        <w:autoSpaceDN/>
        <w:bidi w:val="0"/>
        <w:adjustRightInd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szCs w:val="24"/>
          <w:lang w:val="hr-HR"/>
        </w:rPr>
      </w:pPr>
      <w:r>
        <w:rPr>
          <w:rFonts w:hint="eastAsia" w:ascii="宋体" w:hAnsi="宋体" w:eastAsia="宋体" w:cs="宋体"/>
          <w:sz w:val="24"/>
          <w:szCs w:val="24"/>
          <w:lang w:val="hr-HR"/>
        </w:rPr>
        <w:t>（4）有依法缴纳税收和社会保障资金的良好记录；</w:t>
      </w:r>
    </w:p>
    <w:p w14:paraId="37F4C282">
      <w:pPr>
        <w:pageBreakBefore w:val="0"/>
        <w:kinsoku/>
        <w:wordWrap/>
        <w:overflowPunct/>
        <w:topLinePunct w:val="0"/>
        <w:autoSpaceDE/>
        <w:autoSpaceDN/>
        <w:bidi w:val="0"/>
        <w:adjustRightInd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szCs w:val="24"/>
          <w:lang w:val="hr-HR"/>
        </w:rPr>
      </w:pPr>
      <w:r>
        <w:rPr>
          <w:rFonts w:hint="eastAsia" w:ascii="宋体" w:hAnsi="宋体" w:eastAsia="宋体" w:cs="宋体"/>
          <w:sz w:val="24"/>
          <w:szCs w:val="24"/>
          <w:lang w:val="hr-HR"/>
        </w:rPr>
        <w:t>（5）参加政府采购活动前三年内，在经营活动中没有重大违法记录；</w:t>
      </w:r>
    </w:p>
    <w:p w14:paraId="717E2C7E">
      <w:pPr>
        <w:pageBreakBefore w:val="0"/>
        <w:kinsoku/>
        <w:wordWrap/>
        <w:overflowPunct/>
        <w:topLinePunct w:val="0"/>
        <w:autoSpaceDE/>
        <w:autoSpaceDN/>
        <w:bidi w:val="0"/>
        <w:adjustRightInd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val="hr-HR"/>
        </w:rPr>
        <w:t>（6）法律、行政法规规定的其他条件。</w:t>
      </w:r>
    </w:p>
    <w:p w14:paraId="6DC52B0E">
      <w:pPr>
        <w:pageBreakBefore w:val="0"/>
        <w:kinsoku/>
        <w:wordWrap/>
        <w:overflowPunct/>
        <w:topLinePunct w:val="0"/>
        <w:autoSpaceDE/>
        <w:autoSpaceDN/>
        <w:bidi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kern w:val="2"/>
          <w:sz w:val="24"/>
          <w:szCs w:val="24"/>
          <w:highlight w:val="none"/>
          <w:lang w:eastAsia="zh-CN"/>
        </w:rPr>
      </w:pPr>
      <w:r>
        <w:rPr>
          <w:rFonts w:hint="eastAsia" w:ascii="宋体" w:hAnsi="宋体" w:eastAsia="宋体" w:cs="宋体"/>
          <w:kern w:val="2"/>
          <w:sz w:val="24"/>
          <w:szCs w:val="24"/>
          <w:highlight w:val="none"/>
        </w:rPr>
        <w:t>2.落实政府采购政策需满足的资格要求：</w:t>
      </w:r>
      <w:r>
        <w:rPr>
          <w:rFonts w:hint="eastAsia" w:ascii="宋体" w:hAnsi="宋体" w:eastAsia="宋体" w:cs="宋体"/>
          <w:kern w:val="2"/>
          <w:sz w:val="24"/>
          <w:szCs w:val="24"/>
          <w:highlight w:val="none"/>
          <w:lang w:eastAsia="zh-CN"/>
        </w:rPr>
        <w:t>本政府采购项目是专门面向中小微企业项目（所属行业：</w:t>
      </w:r>
      <w:r>
        <w:rPr>
          <w:rFonts w:hint="eastAsia" w:ascii="宋体" w:hAnsi="宋体" w:cs="Times New Roman"/>
          <w:sz w:val="24"/>
          <w:szCs w:val="24"/>
          <w:highlight w:val="none"/>
        </w:rPr>
        <w:t>软件和信息技术服务业</w:t>
      </w:r>
      <w:r>
        <w:rPr>
          <w:rFonts w:hint="eastAsia" w:ascii="宋体" w:hAnsi="宋体" w:eastAsia="宋体" w:cs="宋体"/>
          <w:kern w:val="2"/>
          <w:sz w:val="24"/>
          <w:szCs w:val="24"/>
          <w:highlight w:val="none"/>
          <w:lang w:eastAsia="zh-CN"/>
        </w:rPr>
        <w:t>），供应商需提供中小企业声明函（财库[2020]46号文附件）。（根据财库[2017]141号和财库[2014]68号文件的要求，监狱企业和残疾人政府采购政策等同于中小微企业政策）。</w:t>
      </w:r>
    </w:p>
    <w:p w14:paraId="03B88E26">
      <w:pPr>
        <w:pageBreakBefore w:val="0"/>
        <w:widowControl/>
        <w:kinsoku/>
        <w:wordWrap/>
        <w:overflowPunct/>
        <w:topLinePunct w:val="0"/>
        <w:autoSpaceDE/>
        <w:autoSpaceDN/>
        <w:bidi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特定资格要求：</w:t>
      </w:r>
      <w:bookmarkStart w:id="36" w:name="_Toc109899942"/>
      <w:bookmarkStart w:id="37" w:name="_Toc109900361"/>
      <w:bookmarkStart w:id="38" w:name="_Toc109897424"/>
      <w:r>
        <w:rPr>
          <w:rFonts w:hint="eastAsia" w:ascii="宋体" w:hAnsi="宋体" w:eastAsia="宋体" w:cs="宋体"/>
          <w:sz w:val="24"/>
          <w:szCs w:val="24"/>
          <w:highlight w:val="none"/>
        </w:rPr>
        <w:t>供应商未被列入“信用中国”网站(www.creditchina.gov.cn)失信被执行人、重大税收违法失信主体、政府采购严重违法失信行为记录名单和“中国政府采购”网站（www.ccgp.gov.cn）政府采购严重违法失信行为记录名单</w:t>
      </w:r>
      <w:r>
        <w:rPr>
          <w:rFonts w:hint="eastAsia" w:ascii="宋体" w:hAnsi="宋体" w:eastAsia="宋体" w:cs="宋体"/>
          <w:sz w:val="24"/>
          <w:szCs w:val="24"/>
          <w:highlight w:val="none"/>
          <w:lang w:eastAsia="zh-CN"/>
        </w:rPr>
        <w:t>。</w:t>
      </w:r>
    </w:p>
    <w:p w14:paraId="1BC207A0">
      <w:pPr>
        <w:keepNext/>
        <w:keepLines/>
        <w:pageBreakBefore w:val="0"/>
        <w:kinsoku/>
        <w:wordWrap/>
        <w:overflowPunct/>
        <w:topLinePunct w:val="0"/>
        <w:autoSpaceDE/>
        <w:autoSpaceDN/>
        <w:bidi w:val="0"/>
        <w:snapToGrid/>
        <w:spacing w:beforeAutospacing="0" w:afterAutospacing="0" w:line="360" w:lineRule="auto"/>
        <w:ind w:left="0" w:leftChars="0" w:right="0" w:rightChars="0" w:firstLine="0" w:firstLineChars="0"/>
        <w:jc w:val="left"/>
        <w:textAlignment w:val="auto"/>
        <w:outlineLvl w:val="1"/>
        <w:rPr>
          <w:rFonts w:hint="eastAsia" w:ascii="宋体" w:hAnsi="宋体" w:eastAsia="宋体" w:cs="宋体"/>
          <w:b w:val="0"/>
          <w:sz w:val="24"/>
          <w:szCs w:val="24"/>
        </w:rPr>
      </w:pPr>
      <w:bookmarkStart w:id="39" w:name="_Toc21174"/>
      <w:r>
        <w:rPr>
          <w:rFonts w:hint="eastAsia" w:ascii="宋体" w:hAnsi="宋体" w:eastAsia="宋体" w:cs="宋体"/>
          <w:b w:val="0"/>
          <w:sz w:val="24"/>
          <w:szCs w:val="24"/>
        </w:rPr>
        <w:t>三、获取采购文件</w:t>
      </w:r>
      <w:bookmarkEnd w:id="36"/>
      <w:bookmarkEnd w:id="37"/>
      <w:bookmarkEnd w:id="38"/>
      <w:bookmarkEnd w:id="39"/>
    </w:p>
    <w:p w14:paraId="4646E90D">
      <w:pPr>
        <w:pageBreakBefore w:val="0"/>
        <w:kinsoku/>
        <w:wordWrap/>
        <w:overflowPunct/>
        <w:topLinePunct w:val="0"/>
        <w:autoSpaceDE/>
        <w:autoSpaceDN/>
        <w:bidi w:val="0"/>
        <w:adjustRightInd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kern w:val="2"/>
          <w:sz w:val="24"/>
          <w:szCs w:val="24"/>
          <w:highlight w:val="none"/>
          <w:lang w:val="hr-HR"/>
        </w:rPr>
      </w:pPr>
      <w:r>
        <w:rPr>
          <w:rFonts w:hint="eastAsia" w:ascii="宋体" w:hAnsi="宋体" w:eastAsia="宋体" w:cs="宋体"/>
          <w:kern w:val="2"/>
          <w:sz w:val="24"/>
          <w:szCs w:val="24"/>
          <w:highlight w:val="none"/>
          <w:lang w:val="hr-HR"/>
        </w:rPr>
        <w:t>1.时间：</w:t>
      </w:r>
      <w:r>
        <w:rPr>
          <w:rFonts w:hint="eastAsia" w:ascii="宋体" w:hAnsi="宋体" w:eastAsia="宋体" w:cs="宋体"/>
          <w:kern w:val="2"/>
          <w:sz w:val="24"/>
          <w:szCs w:val="24"/>
          <w:highlight w:val="none"/>
          <w:lang w:val="en-US" w:eastAsia="zh-CN"/>
        </w:rPr>
        <w:t>2025</w:t>
      </w:r>
      <w:r>
        <w:rPr>
          <w:rFonts w:hint="eastAsia" w:ascii="宋体" w:hAnsi="宋体" w:eastAsia="宋体" w:cs="宋体"/>
          <w:kern w:val="2"/>
          <w:sz w:val="24"/>
          <w:szCs w:val="24"/>
          <w:highlight w:val="none"/>
          <w:lang w:val="hr-HR"/>
        </w:rPr>
        <w:t>年</w:t>
      </w:r>
      <w:r>
        <w:rPr>
          <w:rFonts w:hint="eastAsia" w:ascii="宋体" w:hAnsi="宋体" w:cs="宋体"/>
          <w:kern w:val="2"/>
          <w:sz w:val="24"/>
          <w:szCs w:val="24"/>
          <w:highlight w:val="none"/>
          <w:lang w:val="en-US" w:eastAsia="zh-CN"/>
        </w:rPr>
        <w:t>06</w:t>
      </w:r>
      <w:r>
        <w:rPr>
          <w:rFonts w:hint="eastAsia" w:ascii="宋体" w:hAnsi="宋体" w:eastAsia="宋体" w:cs="宋体"/>
          <w:kern w:val="2"/>
          <w:sz w:val="24"/>
          <w:szCs w:val="24"/>
          <w:highlight w:val="none"/>
          <w:lang w:val="hr-HR"/>
        </w:rPr>
        <w:t>月</w:t>
      </w:r>
      <w:r>
        <w:rPr>
          <w:rFonts w:hint="eastAsia" w:ascii="宋体" w:hAnsi="宋体" w:cs="宋体"/>
          <w:kern w:val="2"/>
          <w:sz w:val="24"/>
          <w:szCs w:val="24"/>
          <w:highlight w:val="none"/>
          <w:lang w:val="en-US" w:eastAsia="zh-CN"/>
        </w:rPr>
        <w:t>13</w:t>
      </w:r>
      <w:r>
        <w:rPr>
          <w:rFonts w:hint="eastAsia" w:ascii="宋体" w:hAnsi="宋体" w:eastAsia="宋体" w:cs="宋体"/>
          <w:kern w:val="2"/>
          <w:sz w:val="24"/>
          <w:szCs w:val="24"/>
          <w:highlight w:val="none"/>
          <w:lang w:val="hr-HR"/>
        </w:rPr>
        <w:t>日至</w:t>
      </w:r>
      <w:r>
        <w:rPr>
          <w:rFonts w:hint="eastAsia" w:ascii="宋体" w:hAnsi="宋体" w:eastAsia="宋体" w:cs="宋体"/>
          <w:kern w:val="2"/>
          <w:sz w:val="24"/>
          <w:szCs w:val="24"/>
          <w:highlight w:val="none"/>
          <w:lang w:val="en-US" w:eastAsia="zh-CN"/>
        </w:rPr>
        <w:t>2025</w:t>
      </w:r>
      <w:r>
        <w:rPr>
          <w:rFonts w:hint="eastAsia" w:ascii="宋体" w:hAnsi="宋体" w:eastAsia="宋体" w:cs="宋体"/>
          <w:kern w:val="2"/>
          <w:sz w:val="24"/>
          <w:szCs w:val="24"/>
          <w:highlight w:val="none"/>
          <w:lang w:val="hr-HR"/>
        </w:rPr>
        <w:t>年</w:t>
      </w:r>
      <w:r>
        <w:rPr>
          <w:rFonts w:hint="eastAsia" w:ascii="宋体" w:hAnsi="宋体" w:cs="宋体"/>
          <w:kern w:val="2"/>
          <w:sz w:val="24"/>
          <w:szCs w:val="24"/>
          <w:highlight w:val="none"/>
          <w:lang w:val="en-US" w:eastAsia="zh-CN"/>
        </w:rPr>
        <w:t>06</w:t>
      </w:r>
      <w:r>
        <w:rPr>
          <w:rFonts w:hint="eastAsia" w:ascii="宋体" w:hAnsi="宋体" w:eastAsia="宋体" w:cs="宋体"/>
          <w:kern w:val="2"/>
          <w:sz w:val="24"/>
          <w:szCs w:val="24"/>
          <w:highlight w:val="none"/>
          <w:lang w:val="hr-HR"/>
        </w:rPr>
        <w:t>月</w:t>
      </w:r>
      <w:r>
        <w:rPr>
          <w:rFonts w:hint="eastAsia" w:ascii="宋体" w:hAnsi="宋体" w:cs="宋体"/>
          <w:kern w:val="2"/>
          <w:sz w:val="24"/>
          <w:szCs w:val="24"/>
          <w:highlight w:val="none"/>
          <w:lang w:val="en-US" w:eastAsia="zh-CN"/>
        </w:rPr>
        <w:t>19</w:t>
      </w:r>
      <w:bookmarkStart w:id="872" w:name="_GoBack"/>
      <w:bookmarkEnd w:id="872"/>
      <w:r>
        <w:rPr>
          <w:rFonts w:hint="eastAsia" w:ascii="宋体" w:hAnsi="宋体" w:eastAsia="宋体" w:cs="宋体"/>
          <w:kern w:val="2"/>
          <w:sz w:val="24"/>
          <w:szCs w:val="24"/>
          <w:highlight w:val="none"/>
          <w:lang w:val="hr-HR"/>
        </w:rPr>
        <w:t>日，每天上午9:00至12:00，下午14:00至17:00。（北京时间，法定节假日除外）</w:t>
      </w:r>
    </w:p>
    <w:p w14:paraId="55F5F9EA">
      <w:pPr>
        <w:pageBreakBefore w:val="0"/>
        <w:kinsoku/>
        <w:wordWrap/>
        <w:overflowPunct/>
        <w:topLinePunct w:val="0"/>
        <w:autoSpaceDE/>
        <w:autoSpaceDN/>
        <w:bidi w:val="0"/>
        <w:adjustRightInd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kern w:val="2"/>
          <w:sz w:val="24"/>
          <w:szCs w:val="24"/>
          <w:highlight w:val="none"/>
          <w:lang w:val="hr-HR"/>
        </w:rPr>
      </w:pPr>
      <w:r>
        <w:rPr>
          <w:rFonts w:hint="eastAsia" w:ascii="宋体" w:hAnsi="宋体" w:eastAsia="宋体" w:cs="宋体"/>
          <w:kern w:val="2"/>
          <w:sz w:val="24"/>
          <w:szCs w:val="24"/>
          <w:highlight w:val="none"/>
          <w:lang w:val="hr-HR"/>
        </w:rPr>
        <w:t>2.地点：</w:t>
      </w:r>
      <w:bookmarkStart w:id="40" w:name="_Hlk89807779"/>
      <w:r>
        <w:rPr>
          <w:rFonts w:hint="eastAsia" w:ascii="宋体" w:hAnsi="宋体" w:eastAsia="宋体" w:cs="宋体"/>
          <w:kern w:val="2"/>
          <w:sz w:val="24"/>
          <w:szCs w:val="24"/>
          <w:highlight w:val="none"/>
          <w:lang w:val="hr-HR"/>
        </w:rPr>
        <w:t>中南民族大学采购综合管理服务平台（https://caizhao.scuec.edu.cn/zb/</w:t>
      </w:r>
      <w:r>
        <w:rPr>
          <w:rFonts w:hint="eastAsia" w:ascii="宋体" w:hAnsi="宋体" w:eastAsia="宋体" w:cs="宋体"/>
          <w:sz w:val="24"/>
          <w:szCs w:val="24"/>
        </w:rPr>
        <w:t>）</w:t>
      </w:r>
      <w:r>
        <w:rPr>
          <w:rFonts w:hint="eastAsia" w:ascii="宋体" w:hAnsi="宋体" w:eastAsia="宋体" w:cs="宋体"/>
          <w:bCs/>
          <w:kern w:val="2"/>
          <w:sz w:val="24"/>
          <w:szCs w:val="24"/>
          <w:highlight w:val="none"/>
        </w:rPr>
        <w:t>。</w:t>
      </w:r>
      <w:bookmarkEnd w:id="40"/>
    </w:p>
    <w:p w14:paraId="4C58CF46">
      <w:pPr>
        <w:pageBreakBefore w:val="0"/>
        <w:kinsoku/>
        <w:wordWrap/>
        <w:overflowPunct/>
        <w:topLinePunct w:val="0"/>
        <w:autoSpaceDE/>
        <w:autoSpaceDN/>
        <w:bidi w:val="0"/>
        <w:adjustRightInd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bCs/>
          <w:sz w:val="24"/>
          <w:szCs w:val="24"/>
        </w:rPr>
      </w:pPr>
      <w:r>
        <w:rPr>
          <w:rFonts w:hint="eastAsia" w:ascii="宋体" w:hAnsi="宋体" w:eastAsia="宋体" w:cs="宋体"/>
          <w:kern w:val="2"/>
          <w:sz w:val="24"/>
          <w:szCs w:val="24"/>
          <w:highlight w:val="none"/>
          <w:lang w:val="hr-HR"/>
        </w:rPr>
        <w:t>3.方式：</w:t>
      </w:r>
      <w:bookmarkStart w:id="41" w:name="_Hlk89807789"/>
      <w:r>
        <w:rPr>
          <w:rFonts w:hint="eastAsia" w:ascii="宋体" w:hAnsi="宋体" w:eastAsia="宋体" w:cs="宋体"/>
          <w:bCs/>
          <w:kern w:val="2"/>
          <w:sz w:val="24"/>
          <w:szCs w:val="24"/>
          <w:highlight w:val="none"/>
        </w:rPr>
        <w:t>网络获取，符合条件的</w:t>
      </w:r>
      <w:r>
        <w:rPr>
          <w:rFonts w:hint="eastAsia" w:ascii="宋体" w:hAnsi="宋体" w:eastAsia="宋体" w:cs="宋体"/>
          <w:bCs/>
          <w:kern w:val="2"/>
          <w:sz w:val="24"/>
          <w:szCs w:val="24"/>
          <w:highlight w:val="none"/>
          <w:lang w:val="en-US" w:eastAsia="zh-CN"/>
        </w:rPr>
        <w:t>供应商</w:t>
      </w:r>
      <w:r>
        <w:rPr>
          <w:rFonts w:hint="eastAsia" w:ascii="宋体" w:hAnsi="宋体" w:eastAsia="宋体" w:cs="宋体"/>
          <w:bCs/>
          <w:kern w:val="2"/>
          <w:sz w:val="24"/>
          <w:szCs w:val="24"/>
          <w:highlight w:val="none"/>
        </w:rPr>
        <w:t>请登录中南民族大学采购综合管理服务平台（https://caizhao.scuec.edu.cn/zb/），完成“供应商注册”（具体操作参见平台网页中“服务指南</w:t>
      </w:r>
      <w:r>
        <w:rPr>
          <w:rFonts w:hint="eastAsia" w:ascii="宋体" w:hAnsi="宋体" w:eastAsia="宋体" w:cs="宋体"/>
          <w:bCs/>
          <w:kern w:val="2"/>
          <w:sz w:val="24"/>
          <w:szCs w:val="24"/>
          <w:highlight w:val="none"/>
          <w:lang w:val="en-US" w:eastAsia="zh-CN"/>
        </w:rPr>
        <w:t>-</w:t>
      </w:r>
      <w:r>
        <w:rPr>
          <w:rFonts w:hint="eastAsia" w:ascii="宋体" w:hAnsi="宋体" w:eastAsia="宋体" w:cs="宋体"/>
          <w:bCs/>
          <w:kern w:val="2"/>
          <w:sz w:val="24"/>
          <w:szCs w:val="24"/>
          <w:highlight w:val="none"/>
        </w:rPr>
        <w:t>操作指南</w:t>
      </w:r>
      <w:r>
        <w:rPr>
          <w:rFonts w:hint="eastAsia" w:ascii="宋体" w:hAnsi="宋体" w:eastAsia="宋体" w:cs="宋体"/>
          <w:bCs/>
          <w:kern w:val="2"/>
          <w:sz w:val="24"/>
          <w:szCs w:val="24"/>
          <w:highlight w:val="none"/>
          <w:lang w:val="en-US" w:eastAsia="zh-CN"/>
        </w:rPr>
        <w:t>-供应商平台操作手册</w:t>
      </w:r>
      <w:r>
        <w:rPr>
          <w:rFonts w:hint="eastAsia" w:ascii="宋体" w:hAnsi="宋体" w:eastAsia="宋体" w:cs="宋体"/>
          <w:bCs/>
          <w:kern w:val="2"/>
          <w:sz w:val="24"/>
          <w:szCs w:val="24"/>
          <w:highlight w:val="none"/>
        </w:rPr>
        <w:t>”）。完成注册登记后，请于上述“获取采购文件”时间内完成项目报名（具体操作参见平台网页中“服务指南</w:t>
      </w:r>
      <w:r>
        <w:rPr>
          <w:rFonts w:hint="eastAsia" w:ascii="宋体" w:hAnsi="宋体" w:eastAsia="宋体" w:cs="宋体"/>
          <w:bCs/>
          <w:kern w:val="2"/>
          <w:sz w:val="24"/>
          <w:szCs w:val="24"/>
          <w:highlight w:val="none"/>
          <w:lang w:val="en-US" w:eastAsia="zh-CN"/>
        </w:rPr>
        <w:t>-</w:t>
      </w:r>
      <w:r>
        <w:rPr>
          <w:rFonts w:hint="eastAsia" w:ascii="宋体" w:hAnsi="宋体" w:eastAsia="宋体" w:cs="宋体"/>
          <w:bCs/>
          <w:kern w:val="2"/>
          <w:sz w:val="24"/>
          <w:szCs w:val="24"/>
          <w:highlight w:val="none"/>
        </w:rPr>
        <w:t>操作指南</w:t>
      </w:r>
      <w:r>
        <w:rPr>
          <w:rFonts w:hint="eastAsia" w:ascii="宋体" w:hAnsi="宋体" w:eastAsia="宋体" w:cs="宋体"/>
          <w:bCs/>
          <w:kern w:val="2"/>
          <w:sz w:val="24"/>
          <w:szCs w:val="24"/>
          <w:highlight w:val="none"/>
          <w:lang w:val="en-US" w:eastAsia="zh-CN"/>
        </w:rPr>
        <w:t>-供应商在线获取采购项目文件操作指南</w:t>
      </w:r>
      <w:r>
        <w:rPr>
          <w:rFonts w:hint="eastAsia" w:ascii="宋体" w:hAnsi="宋体" w:eastAsia="宋体" w:cs="宋体"/>
          <w:bCs/>
          <w:kern w:val="2"/>
          <w:sz w:val="24"/>
          <w:szCs w:val="24"/>
          <w:highlight w:val="none"/>
        </w:rPr>
        <w:t>”），待报名审核通过后，</w:t>
      </w:r>
      <w:r>
        <w:rPr>
          <w:rFonts w:hint="eastAsia" w:ascii="宋体" w:hAnsi="宋体" w:eastAsia="宋体" w:cs="宋体"/>
          <w:bCs/>
          <w:kern w:val="2"/>
          <w:sz w:val="24"/>
          <w:szCs w:val="24"/>
          <w:highlight w:val="none"/>
          <w:lang w:val="en-US" w:eastAsia="zh-CN"/>
        </w:rPr>
        <w:t>供应商</w:t>
      </w:r>
      <w:r>
        <w:rPr>
          <w:rFonts w:hint="eastAsia" w:ascii="宋体" w:hAnsi="宋体" w:eastAsia="宋体" w:cs="宋体"/>
          <w:bCs/>
          <w:kern w:val="2"/>
          <w:sz w:val="24"/>
          <w:szCs w:val="24"/>
          <w:highlight w:val="none"/>
        </w:rPr>
        <w:t>下载</w:t>
      </w:r>
      <w:r>
        <w:rPr>
          <w:rFonts w:hint="eastAsia" w:ascii="宋体" w:hAnsi="宋体" w:eastAsia="宋体" w:cs="宋体"/>
          <w:bCs/>
          <w:kern w:val="2"/>
          <w:sz w:val="24"/>
          <w:szCs w:val="24"/>
          <w:highlight w:val="none"/>
          <w:lang w:val="en-US" w:eastAsia="zh-CN"/>
        </w:rPr>
        <w:t>磋商文件</w:t>
      </w:r>
      <w:r>
        <w:rPr>
          <w:rFonts w:hint="eastAsia" w:ascii="宋体" w:hAnsi="宋体" w:eastAsia="宋体" w:cs="宋体"/>
          <w:bCs/>
          <w:kern w:val="2"/>
          <w:sz w:val="24"/>
          <w:szCs w:val="24"/>
          <w:highlight w:val="none"/>
        </w:rPr>
        <w:t>。未按规定从“中南民族大学采购综合管理服务平台”下载</w:t>
      </w:r>
      <w:r>
        <w:rPr>
          <w:rFonts w:hint="eastAsia" w:ascii="宋体" w:hAnsi="宋体" w:eastAsia="宋体" w:cs="宋体"/>
          <w:bCs/>
          <w:kern w:val="2"/>
          <w:sz w:val="24"/>
          <w:szCs w:val="24"/>
          <w:highlight w:val="none"/>
          <w:lang w:val="en-US" w:eastAsia="zh-CN"/>
        </w:rPr>
        <w:t>磋商文件</w:t>
      </w:r>
      <w:r>
        <w:rPr>
          <w:rFonts w:hint="eastAsia" w:ascii="宋体" w:hAnsi="宋体" w:eastAsia="宋体" w:cs="宋体"/>
          <w:bCs/>
          <w:kern w:val="2"/>
          <w:sz w:val="24"/>
          <w:szCs w:val="24"/>
          <w:highlight w:val="none"/>
        </w:rPr>
        <w:t>的，采购代理机构及采购人将拒收其</w:t>
      </w:r>
      <w:r>
        <w:rPr>
          <w:rFonts w:hint="eastAsia" w:ascii="宋体" w:hAnsi="宋体" w:cs="宋体"/>
          <w:bCs/>
          <w:kern w:val="2"/>
          <w:sz w:val="24"/>
          <w:szCs w:val="24"/>
          <w:highlight w:val="none"/>
          <w:lang w:val="en-US" w:eastAsia="zh-CN"/>
        </w:rPr>
        <w:t>响应文件</w:t>
      </w:r>
      <w:r>
        <w:rPr>
          <w:rFonts w:hint="eastAsia" w:ascii="宋体" w:hAnsi="宋体" w:eastAsia="宋体" w:cs="宋体"/>
          <w:bCs/>
          <w:kern w:val="2"/>
          <w:sz w:val="24"/>
          <w:szCs w:val="24"/>
          <w:highlight w:val="none"/>
        </w:rPr>
        <w:t>。</w:t>
      </w:r>
      <w:bookmarkEnd w:id="41"/>
      <w:r>
        <w:rPr>
          <w:rFonts w:hint="eastAsia" w:ascii="宋体" w:hAnsi="宋体" w:eastAsia="宋体" w:cs="宋体"/>
          <w:sz w:val="24"/>
          <w:szCs w:val="24"/>
          <w:lang w:val="hr-HR"/>
        </w:rPr>
        <w:t xml:space="preserve"> </w:t>
      </w:r>
    </w:p>
    <w:p w14:paraId="3329AF53">
      <w:pPr>
        <w:pageBreakBefore w:val="0"/>
        <w:kinsoku/>
        <w:wordWrap/>
        <w:overflowPunct/>
        <w:topLinePunct w:val="0"/>
        <w:autoSpaceDE/>
        <w:autoSpaceDN/>
        <w:bidi w:val="0"/>
        <w:adjustRightInd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szCs w:val="24"/>
          <w:lang w:val="hr-HR"/>
        </w:rPr>
      </w:pPr>
      <w:r>
        <w:rPr>
          <w:rFonts w:hint="eastAsia" w:ascii="宋体" w:hAnsi="宋体" w:eastAsia="宋体" w:cs="宋体"/>
          <w:sz w:val="24"/>
          <w:szCs w:val="24"/>
          <w:lang w:val="hr-HR"/>
        </w:rPr>
        <w:t>4.售价：</w:t>
      </w:r>
      <w:r>
        <w:rPr>
          <w:rFonts w:hint="eastAsia" w:ascii="宋体" w:hAnsi="宋体" w:eastAsia="宋体" w:cs="宋体"/>
          <w:sz w:val="24"/>
          <w:szCs w:val="24"/>
          <w:lang w:val="en-US" w:eastAsia="zh-CN"/>
        </w:rPr>
        <w:t>30</w:t>
      </w:r>
      <w:r>
        <w:rPr>
          <w:rFonts w:hint="eastAsia" w:ascii="宋体" w:hAnsi="宋体" w:eastAsia="宋体" w:cs="宋体"/>
          <w:bCs/>
          <w:sz w:val="24"/>
          <w:szCs w:val="24"/>
        </w:rPr>
        <w:t>0元。</w:t>
      </w:r>
    </w:p>
    <w:p w14:paraId="2FE93A85">
      <w:pPr>
        <w:keepNext/>
        <w:keepLines/>
        <w:pageBreakBefore w:val="0"/>
        <w:kinsoku/>
        <w:wordWrap/>
        <w:overflowPunct/>
        <w:topLinePunct w:val="0"/>
        <w:autoSpaceDE/>
        <w:autoSpaceDN/>
        <w:bidi w:val="0"/>
        <w:snapToGrid/>
        <w:spacing w:beforeAutospacing="0" w:afterAutospacing="0" w:line="360" w:lineRule="auto"/>
        <w:ind w:left="0" w:leftChars="0" w:right="0" w:rightChars="0" w:firstLine="0" w:firstLineChars="0"/>
        <w:jc w:val="left"/>
        <w:textAlignment w:val="auto"/>
        <w:outlineLvl w:val="1"/>
        <w:rPr>
          <w:rFonts w:hint="eastAsia" w:ascii="宋体" w:hAnsi="宋体" w:eastAsia="宋体" w:cs="宋体"/>
          <w:b w:val="0"/>
          <w:kern w:val="2"/>
          <w:sz w:val="24"/>
          <w:szCs w:val="24"/>
          <w:highlight w:val="none"/>
          <w:lang w:val="hr-HR"/>
        </w:rPr>
      </w:pPr>
      <w:bookmarkStart w:id="42" w:name="_Toc109899832"/>
      <w:bookmarkStart w:id="43" w:name="_Toc109899413"/>
      <w:bookmarkStart w:id="44" w:name="_Toc4747"/>
      <w:bookmarkStart w:id="45" w:name="_Toc109900251"/>
      <w:bookmarkStart w:id="46" w:name="_Toc25497"/>
      <w:bookmarkStart w:id="47" w:name="_Toc28359016"/>
      <w:bookmarkStart w:id="48" w:name="_Toc28359093"/>
      <w:bookmarkStart w:id="49" w:name="_Toc35393633"/>
      <w:bookmarkStart w:id="50" w:name="_Toc35393802"/>
      <w:r>
        <w:rPr>
          <w:rFonts w:hint="eastAsia" w:ascii="宋体" w:hAnsi="宋体" w:eastAsia="宋体" w:cs="宋体"/>
          <w:b w:val="0"/>
          <w:kern w:val="2"/>
          <w:sz w:val="24"/>
          <w:szCs w:val="24"/>
          <w:highlight w:val="none"/>
          <w:lang w:val="hr-HR"/>
        </w:rPr>
        <w:t>四、</w:t>
      </w:r>
      <w:bookmarkEnd w:id="42"/>
      <w:bookmarkEnd w:id="43"/>
      <w:bookmarkEnd w:id="44"/>
      <w:bookmarkEnd w:id="45"/>
      <w:r>
        <w:rPr>
          <w:rFonts w:hint="eastAsia" w:ascii="宋体" w:hAnsi="宋体" w:eastAsia="宋体" w:cs="宋体"/>
          <w:b w:val="0"/>
          <w:sz w:val="24"/>
          <w:szCs w:val="24"/>
        </w:rPr>
        <w:t>响应文件提交</w:t>
      </w:r>
      <w:bookmarkEnd w:id="46"/>
    </w:p>
    <w:p w14:paraId="6FB29CB9">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outlineLvl w:val="9"/>
        <w:rPr>
          <w:rFonts w:hint="eastAsia" w:ascii="宋体" w:hAnsi="宋体" w:eastAsia="宋体" w:cs="宋体"/>
          <w:b w:val="0"/>
          <w:sz w:val="24"/>
          <w:szCs w:val="24"/>
          <w:lang w:val="hr-HR"/>
        </w:rPr>
      </w:pPr>
      <w:r>
        <w:rPr>
          <w:rFonts w:hint="eastAsia" w:ascii="宋体" w:hAnsi="宋体" w:eastAsia="宋体" w:cs="宋体"/>
          <w:b w:val="0"/>
          <w:sz w:val="24"/>
          <w:szCs w:val="24"/>
          <w:lang w:val="hr-HR"/>
        </w:rPr>
        <w:t>1.开始时间：</w:t>
      </w:r>
      <w:r>
        <w:rPr>
          <w:rFonts w:hint="eastAsia" w:ascii="宋体" w:hAnsi="宋体" w:eastAsia="宋体" w:cs="宋体"/>
          <w:b w:val="0"/>
          <w:sz w:val="24"/>
          <w:szCs w:val="24"/>
          <w:u w:val="single"/>
          <w:lang w:val="en-US" w:eastAsia="zh-CN"/>
        </w:rPr>
        <w:t>2025</w:t>
      </w:r>
      <w:r>
        <w:rPr>
          <w:rFonts w:hint="eastAsia" w:ascii="宋体" w:hAnsi="宋体" w:eastAsia="宋体" w:cs="宋体"/>
          <w:b w:val="0"/>
          <w:sz w:val="24"/>
          <w:szCs w:val="24"/>
          <w:u w:val="single"/>
        </w:rPr>
        <w:t>年</w:t>
      </w:r>
      <w:r>
        <w:rPr>
          <w:rFonts w:hint="eastAsia" w:ascii="宋体" w:hAnsi="宋体" w:cs="宋体"/>
          <w:b w:val="0"/>
          <w:sz w:val="24"/>
          <w:szCs w:val="24"/>
          <w:u w:val="single"/>
          <w:lang w:val="en-US" w:eastAsia="zh-CN"/>
        </w:rPr>
        <w:t>06</w:t>
      </w:r>
      <w:r>
        <w:rPr>
          <w:rFonts w:hint="eastAsia" w:ascii="宋体" w:hAnsi="宋体" w:eastAsia="宋体" w:cs="宋体"/>
          <w:b w:val="0"/>
          <w:sz w:val="24"/>
          <w:szCs w:val="24"/>
          <w:u w:val="single"/>
        </w:rPr>
        <w:t>月</w:t>
      </w:r>
      <w:r>
        <w:rPr>
          <w:rFonts w:hint="eastAsia" w:ascii="宋体" w:hAnsi="宋体" w:cs="宋体"/>
          <w:b w:val="0"/>
          <w:sz w:val="24"/>
          <w:szCs w:val="24"/>
          <w:u w:val="single"/>
          <w:lang w:val="en-US" w:eastAsia="zh-CN"/>
        </w:rPr>
        <w:t>25</w:t>
      </w:r>
      <w:r>
        <w:rPr>
          <w:rFonts w:hint="eastAsia" w:ascii="宋体" w:hAnsi="宋体" w:eastAsia="宋体" w:cs="宋体"/>
          <w:b w:val="0"/>
          <w:sz w:val="24"/>
          <w:szCs w:val="24"/>
          <w:u w:val="single"/>
        </w:rPr>
        <w:t>日</w:t>
      </w:r>
      <w:r>
        <w:rPr>
          <w:rFonts w:hint="eastAsia" w:ascii="宋体" w:hAnsi="宋体" w:eastAsia="宋体" w:cs="宋体"/>
          <w:b w:val="0"/>
          <w:sz w:val="24"/>
          <w:szCs w:val="24"/>
          <w:u w:val="single"/>
          <w:lang w:val="en-US" w:eastAsia="zh-CN"/>
        </w:rPr>
        <w:t>10</w:t>
      </w:r>
      <w:r>
        <w:rPr>
          <w:rFonts w:hint="eastAsia" w:ascii="宋体" w:hAnsi="宋体" w:eastAsia="宋体" w:cs="宋体"/>
          <w:b w:val="0"/>
          <w:sz w:val="24"/>
          <w:szCs w:val="24"/>
          <w:u w:val="single"/>
        </w:rPr>
        <w:t>点</w:t>
      </w:r>
      <w:r>
        <w:rPr>
          <w:rFonts w:hint="eastAsia" w:ascii="宋体" w:hAnsi="宋体" w:eastAsia="宋体" w:cs="宋体"/>
          <w:b w:val="0"/>
          <w:sz w:val="24"/>
          <w:szCs w:val="24"/>
          <w:u w:val="single"/>
          <w:lang w:val="en-US" w:eastAsia="zh-CN"/>
        </w:rPr>
        <w:t>00</w:t>
      </w:r>
      <w:r>
        <w:rPr>
          <w:rFonts w:hint="eastAsia" w:ascii="宋体" w:hAnsi="宋体" w:eastAsia="宋体" w:cs="宋体"/>
          <w:b w:val="0"/>
          <w:sz w:val="24"/>
          <w:szCs w:val="24"/>
          <w:u w:val="single"/>
        </w:rPr>
        <w:t>分</w:t>
      </w:r>
      <w:r>
        <w:rPr>
          <w:rFonts w:hint="eastAsia" w:ascii="宋体" w:hAnsi="宋体" w:eastAsia="宋体" w:cs="宋体"/>
          <w:b w:val="0"/>
          <w:sz w:val="24"/>
          <w:szCs w:val="24"/>
          <w:lang w:val="hr-HR"/>
        </w:rPr>
        <w:t>（北京时间）。</w:t>
      </w:r>
    </w:p>
    <w:p w14:paraId="18CBB64D">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outlineLvl w:val="9"/>
        <w:rPr>
          <w:rFonts w:hint="eastAsia" w:ascii="宋体" w:hAnsi="宋体" w:eastAsia="宋体" w:cs="宋体"/>
          <w:b w:val="0"/>
          <w:sz w:val="24"/>
          <w:szCs w:val="24"/>
          <w:lang w:val="hr-HR"/>
        </w:rPr>
      </w:pPr>
      <w:r>
        <w:rPr>
          <w:rFonts w:hint="eastAsia" w:ascii="宋体" w:hAnsi="宋体" w:eastAsia="宋体" w:cs="宋体"/>
          <w:b w:val="0"/>
          <w:sz w:val="24"/>
          <w:szCs w:val="24"/>
          <w:lang w:val="hr-HR"/>
        </w:rPr>
        <w:t>2.截止时间：</w:t>
      </w:r>
      <w:r>
        <w:rPr>
          <w:rFonts w:hint="eastAsia" w:ascii="宋体" w:hAnsi="宋体" w:eastAsia="宋体" w:cs="宋体"/>
          <w:b w:val="0"/>
          <w:sz w:val="24"/>
          <w:szCs w:val="24"/>
          <w:u w:val="single"/>
          <w:lang w:val="en-US" w:eastAsia="zh-CN"/>
        </w:rPr>
        <w:t>2025</w:t>
      </w:r>
      <w:r>
        <w:rPr>
          <w:rFonts w:hint="eastAsia" w:ascii="宋体" w:hAnsi="宋体" w:eastAsia="宋体" w:cs="宋体"/>
          <w:b w:val="0"/>
          <w:sz w:val="24"/>
          <w:szCs w:val="24"/>
          <w:u w:val="single"/>
        </w:rPr>
        <w:t>年</w:t>
      </w:r>
      <w:r>
        <w:rPr>
          <w:rFonts w:hint="eastAsia" w:ascii="宋体" w:hAnsi="宋体" w:cs="宋体"/>
          <w:b w:val="0"/>
          <w:sz w:val="24"/>
          <w:szCs w:val="24"/>
          <w:u w:val="single"/>
          <w:lang w:val="en-US" w:eastAsia="zh-CN"/>
        </w:rPr>
        <w:t>06</w:t>
      </w:r>
      <w:r>
        <w:rPr>
          <w:rFonts w:hint="eastAsia" w:ascii="宋体" w:hAnsi="宋体" w:eastAsia="宋体" w:cs="宋体"/>
          <w:b w:val="0"/>
          <w:sz w:val="24"/>
          <w:szCs w:val="24"/>
          <w:u w:val="single"/>
        </w:rPr>
        <w:t>月</w:t>
      </w:r>
      <w:r>
        <w:rPr>
          <w:rFonts w:hint="eastAsia" w:ascii="宋体" w:hAnsi="宋体" w:cs="宋体"/>
          <w:b w:val="0"/>
          <w:sz w:val="24"/>
          <w:szCs w:val="24"/>
          <w:u w:val="single"/>
          <w:lang w:val="en-US" w:eastAsia="zh-CN"/>
        </w:rPr>
        <w:t>25</w:t>
      </w:r>
      <w:r>
        <w:rPr>
          <w:rFonts w:hint="eastAsia" w:ascii="宋体" w:hAnsi="宋体" w:eastAsia="宋体" w:cs="宋体"/>
          <w:b w:val="0"/>
          <w:sz w:val="24"/>
          <w:szCs w:val="24"/>
          <w:u w:val="single"/>
        </w:rPr>
        <w:t>日</w:t>
      </w:r>
      <w:r>
        <w:rPr>
          <w:rFonts w:hint="eastAsia" w:ascii="宋体" w:hAnsi="宋体" w:eastAsia="宋体" w:cs="宋体"/>
          <w:b w:val="0"/>
          <w:sz w:val="24"/>
          <w:szCs w:val="24"/>
          <w:u w:val="single"/>
          <w:lang w:val="en-US" w:eastAsia="zh-CN"/>
        </w:rPr>
        <w:t>10</w:t>
      </w:r>
      <w:r>
        <w:rPr>
          <w:rFonts w:hint="eastAsia" w:ascii="宋体" w:hAnsi="宋体" w:eastAsia="宋体" w:cs="宋体"/>
          <w:b w:val="0"/>
          <w:sz w:val="24"/>
          <w:szCs w:val="24"/>
          <w:u w:val="single"/>
        </w:rPr>
        <w:t>点</w:t>
      </w:r>
      <w:r>
        <w:rPr>
          <w:rFonts w:hint="eastAsia" w:ascii="宋体" w:hAnsi="宋体" w:eastAsia="宋体" w:cs="宋体"/>
          <w:b w:val="0"/>
          <w:sz w:val="24"/>
          <w:szCs w:val="24"/>
          <w:u w:val="single"/>
          <w:lang w:val="en-US" w:eastAsia="zh-CN"/>
        </w:rPr>
        <w:t>30</w:t>
      </w:r>
      <w:r>
        <w:rPr>
          <w:rFonts w:hint="eastAsia" w:ascii="宋体" w:hAnsi="宋体" w:eastAsia="宋体" w:cs="宋体"/>
          <w:b w:val="0"/>
          <w:sz w:val="24"/>
          <w:szCs w:val="24"/>
          <w:u w:val="single"/>
        </w:rPr>
        <w:t>分</w:t>
      </w:r>
      <w:r>
        <w:rPr>
          <w:rFonts w:hint="eastAsia" w:ascii="宋体" w:hAnsi="宋体" w:eastAsia="宋体" w:cs="宋体"/>
          <w:b w:val="0"/>
          <w:sz w:val="24"/>
          <w:szCs w:val="24"/>
          <w:lang w:val="hr-HR"/>
        </w:rPr>
        <w:t>（北京时间）。</w:t>
      </w:r>
    </w:p>
    <w:p w14:paraId="482D962B">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outlineLvl w:val="9"/>
        <w:rPr>
          <w:rFonts w:hint="eastAsia" w:ascii="宋体" w:hAnsi="宋体" w:eastAsia="宋体" w:cs="宋体"/>
          <w:b w:val="0"/>
          <w:color w:val="auto"/>
          <w:sz w:val="24"/>
          <w:szCs w:val="24"/>
          <w:lang w:val="hr-HR"/>
        </w:rPr>
      </w:pPr>
      <w:r>
        <w:rPr>
          <w:rFonts w:hint="eastAsia" w:ascii="宋体" w:hAnsi="宋体" w:eastAsia="宋体" w:cs="宋体"/>
          <w:b w:val="0"/>
          <w:color w:val="auto"/>
          <w:sz w:val="24"/>
          <w:szCs w:val="24"/>
          <w:lang w:val="hr-HR"/>
        </w:rPr>
        <w:t>3.地点：</w:t>
      </w:r>
      <w:r>
        <w:rPr>
          <w:rFonts w:hint="eastAsia" w:ascii="宋体" w:hAnsi="宋体" w:cs="宋体"/>
          <w:b w:val="0"/>
          <w:i w:val="0"/>
          <w:iCs w:val="0"/>
          <w:caps w:val="0"/>
          <w:color w:val="auto"/>
          <w:spacing w:val="0"/>
          <w:sz w:val="24"/>
          <w:szCs w:val="24"/>
          <w:u w:val="single"/>
          <w:lang w:eastAsia="zh-CN"/>
        </w:rPr>
        <w:t>中南民族大学4号教学楼215室</w:t>
      </w:r>
      <w:r>
        <w:rPr>
          <w:rFonts w:hint="eastAsia" w:ascii="宋体" w:hAnsi="宋体" w:eastAsia="宋体" w:cs="宋体"/>
          <w:b w:val="0"/>
          <w:color w:val="auto"/>
          <w:sz w:val="24"/>
          <w:szCs w:val="24"/>
          <w:u w:val="single"/>
          <w:lang w:val="hr-HR"/>
        </w:rPr>
        <w:t>。</w:t>
      </w:r>
    </w:p>
    <w:p w14:paraId="2318E8E7">
      <w:pPr>
        <w:keepNext/>
        <w:keepLines/>
        <w:pageBreakBefore w:val="0"/>
        <w:kinsoku/>
        <w:wordWrap/>
        <w:overflowPunct/>
        <w:topLinePunct w:val="0"/>
        <w:autoSpaceDE/>
        <w:autoSpaceDN/>
        <w:bidi w:val="0"/>
        <w:snapToGrid/>
        <w:spacing w:beforeAutospacing="0" w:afterAutospacing="0" w:line="360" w:lineRule="auto"/>
        <w:ind w:left="0" w:leftChars="0" w:right="0" w:rightChars="0" w:firstLine="0" w:firstLineChars="0"/>
        <w:jc w:val="left"/>
        <w:textAlignment w:val="auto"/>
        <w:outlineLvl w:val="1"/>
        <w:rPr>
          <w:rFonts w:hint="eastAsia" w:ascii="宋体" w:hAnsi="宋体" w:eastAsia="宋体" w:cs="宋体"/>
          <w:b w:val="0"/>
          <w:sz w:val="24"/>
          <w:szCs w:val="24"/>
        </w:rPr>
      </w:pPr>
      <w:bookmarkStart w:id="51" w:name="_Toc19318"/>
      <w:bookmarkStart w:id="52" w:name="_Toc109897426"/>
      <w:bookmarkStart w:id="53" w:name="_Toc109899944"/>
      <w:bookmarkStart w:id="54" w:name="_Toc109900363"/>
      <w:bookmarkStart w:id="55" w:name="_Toc109899525"/>
      <w:r>
        <w:rPr>
          <w:rFonts w:hint="eastAsia" w:ascii="宋体" w:hAnsi="宋体" w:eastAsia="宋体" w:cs="宋体"/>
          <w:b w:val="0"/>
          <w:sz w:val="24"/>
          <w:szCs w:val="24"/>
        </w:rPr>
        <w:t>五、开启</w:t>
      </w:r>
      <w:bookmarkEnd w:id="51"/>
      <w:bookmarkEnd w:id="52"/>
      <w:bookmarkEnd w:id="53"/>
      <w:bookmarkEnd w:id="54"/>
      <w:bookmarkEnd w:id="55"/>
    </w:p>
    <w:p w14:paraId="650EF02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outlineLvl w:val="9"/>
        <w:rPr>
          <w:rFonts w:hint="eastAsia" w:ascii="宋体" w:hAnsi="宋体" w:eastAsia="宋体" w:cs="宋体"/>
          <w:b w:val="0"/>
          <w:sz w:val="24"/>
          <w:szCs w:val="24"/>
          <w:lang w:val="hr-HR"/>
        </w:rPr>
      </w:pPr>
      <w:r>
        <w:rPr>
          <w:rFonts w:hint="eastAsia" w:ascii="宋体" w:hAnsi="宋体" w:eastAsia="宋体" w:cs="宋体"/>
          <w:b w:val="0"/>
          <w:sz w:val="24"/>
          <w:szCs w:val="24"/>
        </w:rPr>
        <w:t>1.时间：</w:t>
      </w:r>
      <w:r>
        <w:rPr>
          <w:rFonts w:hint="eastAsia" w:ascii="宋体" w:hAnsi="宋体" w:eastAsia="宋体" w:cs="宋体"/>
          <w:b w:val="0"/>
          <w:sz w:val="24"/>
          <w:szCs w:val="24"/>
          <w:u w:val="single"/>
          <w:lang w:val="en-US" w:eastAsia="zh-CN"/>
        </w:rPr>
        <w:t>2025</w:t>
      </w:r>
      <w:r>
        <w:rPr>
          <w:rFonts w:hint="eastAsia" w:ascii="宋体" w:hAnsi="宋体" w:eastAsia="宋体" w:cs="宋体"/>
          <w:b w:val="0"/>
          <w:sz w:val="24"/>
          <w:szCs w:val="24"/>
          <w:u w:val="single"/>
        </w:rPr>
        <w:t>年</w:t>
      </w:r>
      <w:r>
        <w:rPr>
          <w:rFonts w:hint="eastAsia" w:ascii="宋体" w:hAnsi="宋体" w:cs="宋体"/>
          <w:b w:val="0"/>
          <w:sz w:val="24"/>
          <w:szCs w:val="24"/>
          <w:u w:val="single"/>
          <w:lang w:val="en-US" w:eastAsia="zh-CN"/>
        </w:rPr>
        <w:t>06</w:t>
      </w:r>
      <w:r>
        <w:rPr>
          <w:rFonts w:hint="eastAsia" w:ascii="宋体" w:hAnsi="宋体" w:eastAsia="宋体" w:cs="宋体"/>
          <w:b w:val="0"/>
          <w:sz w:val="24"/>
          <w:szCs w:val="24"/>
          <w:u w:val="single"/>
        </w:rPr>
        <w:t>月</w:t>
      </w:r>
      <w:r>
        <w:rPr>
          <w:rFonts w:hint="eastAsia" w:ascii="宋体" w:hAnsi="宋体" w:cs="宋体"/>
          <w:b w:val="0"/>
          <w:sz w:val="24"/>
          <w:szCs w:val="24"/>
          <w:u w:val="single"/>
          <w:lang w:val="en-US" w:eastAsia="zh-CN"/>
        </w:rPr>
        <w:t>25</w:t>
      </w:r>
      <w:r>
        <w:rPr>
          <w:rFonts w:hint="eastAsia" w:ascii="宋体" w:hAnsi="宋体" w:eastAsia="宋体" w:cs="宋体"/>
          <w:b w:val="0"/>
          <w:sz w:val="24"/>
          <w:szCs w:val="24"/>
          <w:u w:val="single"/>
        </w:rPr>
        <w:t>日</w:t>
      </w:r>
      <w:r>
        <w:rPr>
          <w:rFonts w:hint="eastAsia" w:ascii="宋体" w:hAnsi="宋体" w:eastAsia="宋体" w:cs="宋体"/>
          <w:b w:val="0"/>
          <w:sz w:val="24"/>
          <w:szCs w:val="24"/>
          <w:u w:val="single"/>
          <w:lang w:val="en-US" w:eastAsia="zh-CN"/>
        </w:rPr>
        <w:t>10</w:t>
      </w:r>
      <w:r>
        <w:rPr>
          <w:rFonts w:hint="eastAsia" w:ascii="宋体" w:hAnsi="宋体" w:eastAsia="宋体" w:cs="宋体"/>
          <w:b w:val="0"/>
          <w:sz w:val="24"/>
          <w:szCs w:val="24"/>
          <w:u w:val="single"/>
        </w:rPr>
        <w:t>点</w:t>
      </w:r>
      <w:r>
        <w:rPr>
          <w:rFonts w:hint="eastAsia" w:ascii="宋体" w:hAnsi="宋体" w:eastAsia="宋体" w:cs="宋体"/>
          <w:b w:val="0"/>
          <w:sz w:val="24"/>
          <w:szCs w:val="24"/>
          <w:u w:val="single"/>
          <w:lang w:val="en-US" w:eastAsia="zh-CN"/>
        </w:rPr>
        <w:t>30</w:t>
      </w:r>
      <w:r>
        <w:rPr>
          <w:rFonts w:hint="eastAsia" w:ascii="宋体" w:hAnsi="宋体" w:eastAsia="宋体" w:cs="宋体"/>
          <w:b w:val="0"/>
          <w:sz w:val="24"/>
          <w:szCs w:val="24"/>
          <w:u w:val="single"/>
        </w:rPr>
        <w:t>分</w:t>
      </w:r>
      <w:r>
        <w:rPr>
          <w:rFonts w:hint="eastAsia" w:ascii="宋体" w:hAnsi="宋体" w:eastAsia="宋体" w:cs="宋体"/>
          <w:b w:val="0"/>
          <w:sz w:val="24"/>
          <w:szCs w:val="24"/>
          <w:lang w:val="hr-HR"/>
        </w:rPr>
        <w:t>（北京时间）。</w:t>
      </w:r>
    </w:p>
    <w:p w14:paraId="6813F69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outlineLvl w:val="9"/>
        <w:rPr>
          <w:rFonts w:hint="eastAsia" w:ascii="宋体" w:hAnsi="宋体" w:eastAsia="宋体" w:cs="宋体"/>
          <w:b w:val="0"/>
          <w:color w:val="auto"/>
          <w:sz w:val="24"/>
          <w:szCs w:val="24"/>
          <w:lang w:val="hr-HR"/>
        </w:rPr>
      </w:pPr>
      <w:r>
        <w:rPr>
          <w:rFonts w:hint="eastAsia" w:ascii="宋体" w:hAnsi="宋体" w:eastAsia="宋体" w:cs="宋体"/>
          <w:b w:val="0"/>
          <w:color w:val="auto"/>
          <w:sz w:val="24"/>
          <w:szCs w:val="24"/>
        </w:rPr>
        <w:t>2.地点：</w:t>
      </w:r>
      <w:r>
        <w:rPr>
          <w:rFonts w:hint="eastAsia" w:ascii="宋体" w:hAnsi="宋体" w:cs="宋体"/>
          <w:b w:val="0"/>
          <w:i w:val="0"/>
          <w:iCs w:val="0"/>
          <w:caps w:val="0"/>
          <w:color w:val="auto"/>
          <w:spacing w:val="0"/>
          <w:sz w:val="24"/>
          <w:szCs w:val="24"/>
          <w:u w:val="single"/>
          <w:lang w:eastAsia="zh-CN"/>
        </w:rPr>
        <w:t>中南民族大学4号教学楼215室</w:t>
      </w:r>
      <w:r>
        <w:rPr>
          <w:rFonts w:hint="eastAsia" w:ascii="宋体" w:hAnsi="宋体" w:eastAsia="宋体" w:cs="宋体"/>
          <w:b w:val="0"/>
          <w:color w:val="auto"/>
          <w:sz w:val="24"/>
          <w:szCs w:val="24"/>
          <w:u w:val="single"/>
          <w:lang w:val="hr-HR"/>
        </w:rPr>
        <w:t>。</w:t>
      </w:r>
    </w:p>
    <w:bookmarkEnd w:id="47"/>
    <w:bookmarkEnd w:id="48"/>
    <w:bookmarkEnd w:id="49"/>
    <w:bookmarkEnd w:id="50"/>
    <w:p w14:paraId="4CA4BBBF">
      <w:pPr>
        <w:keepNext/>
        <w:keepLines/>
        <w:pageBreakBefore w:val="0"/>
        <w:kinsoku/>
        <w:wordWrap/>
        <w:overflowPunct/>
        <w:topLinePunct w:val="0"/>
        <w:autoSpaceDE/>
        <w:autoSpaceDN/>
        <w:bidi w:val="0"/>
        <w:snapToGrid/>
        <w:spacing w:beforeAutospacing="0" w:afterAutospacing="0" w:line="360" w:lineRule="auto"/>
        <w:ind w:left="0" w:leftChars="0" w:right="0" w:rightChars="0" w:firstLine="0" w:firstLineChars="0"/>
        <w:jc w:val="left"/>
        <w:textAlignment w:val="auto"/>
        <w:outlineLvl w:val="1"/>
        <w:rPr>
          <w:rFonts w:hint="eastAsia" w:ascii="宋体" w:hAnsi="宋体" w:eastAsia="宋体" w:cs="宋体"/>
          <w:b w:val="0"/>
          <w:sz w:val="24"/>
          <w:szCs w:val="24"/>
        </w:rPr>
      </w:pPr>
      <w:bookmarkStart w:id="56" w:name="_Toc17599"/>
      <w:bookmarkStart w:id="57" w:name="_Toc109897427"/>
      <w:bookmarkStart w:id="58" w:name="_Toc109899945"/>
      <w:bookmarkStart w:id="59" w:name="_Toc109900364"/>
      <w:r>
        <w:rPr>
          <w:rFonts w:hint="eastAsia" w:ascii="宋体" w:hAnsi="宋体" w:eastAsia="宋体" w:cs="宋体"/>
          <w:b w:val="0"/>
          <w:sz w:val="24"/>
          <w:szCs w:val="24"/>
          <w:lang w:val="en-US" w:eastAsia="zh-CN"/>
        </w:rPr>
        <w:t>六</w:t>
      </w:r>
      <w:r>
        <w:rPr>
          <w:rFonts w:hint="eastAsia" w:ascii="宋体" w:hAnsi="宋体" w:eastAsia="宋体" w:cs="宋体"/>
          <w:b w:val="0"/>
          <w:sz w:val="24"/>
          <w:szCs w:val="24"/>
        </w:rPr>
        <w:t>、公告期限</w:t>
      </w:r>
      <w:bookmarkEnd w:id="56"/>
      <w:bookmarkEnd w:id="57"/>
      <w:bookmarkEnd w:id="58"/>
      <w:bookmarkEnd w:id="59"/>
    </w:p>
    <w:p w14:paraId="2A2626C3">
      <w:pPr>
        <w:pageBreakBefore w:val="0"/>
        <w:kinsoku/>
        <w:wordWrap/>
        <w:overflowPunct/>
        <w:topLinePunct w:val="0"/>
        <w:autoSpaceDE/>
        <w:autoSpaceDN/>
        <w:bidi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6DCCD01B">
      <w:pPr>
        <w:keepNext/>
        <w:keepLines/>
        <w:pageBreakBefore w:val="0"/>
        <w:kinsoku/>
        <w:wordWrap/>
        <w:overflowPunct/>
        <w:topLinePunct w:val="0"/>
        <w:autoSpaceDE/>
        <w:autoSpaceDN/>
        <w:bidi w:val="0"/>
        <w:snapToGrid/>
        <w:spacing w:beforeAutospacing="0" w:afterAutospacing="0" w:line="360" w:lineRule="auto"/>
        <w:ind w:left="0" w:leftChars="0" w:right="0" w:rightChars="0" w:firstLine="0" w:firstLineChars="0"/>
        <w:jc w:val="left"/>
        <w:textAlignment w:val="auto"/>
        <w:outlineLvl w:val="1"/>
        <w:rPr>
          <w:rFonts w:hint="eastAsia" w:ascii="宋体" w:hAnsi="宋体" w:eastAsia="宋体" w:cs="宋体"/>
          <w:b w:val="0"/>
          <w:color w:val="auto"/>
          <w:sz w:val="24"/>
          <w:szCs w:val="24"/>
        </w:rPr>
      </w:pPr>
      <w:bookmarkStart w:id="60" w:name="_Toc109899946"/>
      <w:bookmarkStart w:id="61" w:name="_Toc109900365"/>
      <w:bookmarkStart w:id="62" w:name="_Toc1269"/>
      <w:bookmarkStart w:id="63" w:name="_Toc109897428"/>
      <w:r>
        <w:rPr>
          <w:rFonts w:hint="eastAsia" w:ascii="宋体" w:hAnsi="宋体" w:eastAsia="宋体" w:cs="宋体"/>
          <w:b w:val="0"/>
          <w:color w:val="auto"/>
          <w:sz w:val="24"/>
          <w:szCs w:val="24"/>
          <w:lang w:val="en-US" w:eastAsia="zh-CN"/>
        </w:rPr>
        <w:t>七</w:t>
      </w:r>
      <w:r>
        <w:rPr>
          <w:rFonts w:hint="eastAsia" w:ascii="宋体" w:hAnsi="宋体" w:eastAsia="宋体" w:cs="宋体"/>
          <w:b w:val="0"/>
          <w:color w:val="auto"/>
          <w:sz w:val="24"/>
          <w:szCs w:val="24"/>
        </w:rPr>
        <w:t>、其他补充事宜</w:t>
      </w:r>
      <w:bookmarkEnd w:id="60"/>
      <w:bookmarkEnd w:id="61"/>
      <w:bookmarkEnd w:id="62"/>
      <w:bookmarkEnd w:id="63"/>
    </w:p>
    <w:p w14:paraId="146D6534">
      <w:pPr>
        <w:pageBreakBefore w:val="0"/>
        <w:kinsoku/>
        <w:wordWrap/>
        <w:overflowPunct/>
        <w:topLinePunct w:val="0"/>
        <w:autoSpaceDE/>
        <w:autoSpaceDN/>
        <w:bidi w:val="0"/>
        <w:adjustRightInd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rPr>
        <w:t>1、信息发布媒体：中国政府采购网（http://www.ccgp.gov.cn/）、中南民族大学采购综合管理服务平台（https://caizhao.scuec.edu.cn/zb/）</w:t>
      </w:r>
    </w:p>
    <w:p w14:paraId="7231D091">
      <w:pPr>
        <w:pageBreakBefore w:val="0"/>
        <w:kinsoku/>
        <w:wordWrap/>
        <w:overflowPunct/>
        <w:topLinePunct w:val="0"/>
        <w:autoSpaceDE/>
        <w:autoSpaceDN/>
        <w:bidi w:val="0"/>
        <w:adjustRightInd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rPr>
        <w:t>2、网上报名须上传营业执照副本扫描件（加盖公章）、法定代表人授权书或法定代表人身份证明书（格式自拟，加盖公章）、缴费凭证截图（</w:t>
      </w:r>
      <w:r>
        <w:rPr>
          <w:rFonts w:hint="eastAsia" w:ascii="宋体" w:hAnsi="宋体" w:eastAsia="宋体" w:cs="宋体"/>
          <w:bCs/>
          <w:kern w:val="2"/>
          <w:sz w:val="24"/>
          <w:szCs w:val="24"/>
          <w:highlight w:val="none"/>
          <w:lang w:eastAsia="zh-CN"/>
        </w:rPr>
        <w:t>供应商</w:t>
      </w:r>
      <w:r>
        <w:rPr>
          <w:rFonts w:hint="eastAsia" w:ascii="宋体" w:hAnsi="宋体" w:eastAsia="宋体" w:cs="宋体"/>
          <w:bCs/>
          <w:kern w:val="2"/>
          <w:sz w:val="24"/>
          <w:szCs w:val="24"/>
          <w:highlight w:val="none"/>
        </w:rPr>
        <w:t>汇款时需仔细核对账户信息并注明项目编号</w:t>
      </w:r>
      <w:r>
        <w:rPr>
          <w:rFonts w:hint="eastAsia" w:ascii="宋体" w:hAnsi="宋体" w:eastAsia="宋体" w:cs="宋体"/>
          <w:bCs/>
          <w:kern w:val="2"/>
          <w:sz w:val="24"/>
          <w:szCs w:val="24"/>
          <w:highlight w:val="none"/>
          <w:lang w:eastAsia="zh-CN"/>
        </w:rPr>
        <w:t>、</w:t>
      </w:r>
      <w:r>
        <w:rPr>
          <w:rFonts w:hint="eastAsia" w:ascii="宋体" w:hAnsi="宋体" w:eastAsia="宋体" w:cs="宋体"/>
          <w:bCs/>
          <w:kern w:val="2"/>
          <w:sz w:val="24"/>
          <w:szCs w:val="24"/>
          <w:highlight w:val="none"/>
        </w:rPr>
        <w:t>单位名称）。</w:t>
      </w:r>
    </w:p>
    <w:p w14:paraId="03F1FE7E">
      <w:pPr>
        <w:pageBreakBefore w:val="0"/>
        <w:kinsoku/>
        <w:wordWrap/>
        <w:overflowPunct/>
        <w:topLinePunct w:val="0"/>
        <w:autoSpaceDE/>
        <w:autoSpaceDN/>
        <w:bidi w:val="0"/>
        <w:adjustRightInd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rPr>
        <w:t>3</w:t>
      </w:r>
      <w:r>
        <w:rPr>
          <w:rFonts w:hint="eastAsia" w:ascii="宋体" w:hAnsi="宋体" w:eastAsia="宋体" w:cs="宋体"/>
          <w:bCs/>
          <w:kern w:val="2"/>
          <w:sz w:val="24"/>
          <w:szCs w:val="24"/>
          <w:highlight w:val="none"/>
          <w:lang w:eastAsia="zh-CN"/>
        </w:rPr>
        <w:t>、供应商</w:t>
      </w:r>
      <w:r>
        <w:rPr>
          <w:rFonts w:hint="eastAsia" w:ascii="宋体" w:hAnsi="宋体" w:eastAsia="宋体" w:cs="宋体"/>
          <w:bCs/>
          <w:kern w:val="2"/>
          <w:sz w:val="24"/>
          <w:szCs w:val="24"/>
          <w:highlight w:val="none"/>
        </w:rPr>
        <w:t>在购买</w:t>
      </w:r>
      <w:r>
        <w:rPr>
          <w:rFonts w:hint="eastAsia" w:ascii="宋体" w:hAnsi="宋体" w:eastAsia="宋体" w:cs="宋体"/>
          <w:bCs/>
          <w:kern w:val="2"/>
          <w:sz w:val="24"/>
          <w:szCs w:val="24"/>
          <w:highlight w:val="none"/>
          <w:lang w:eastAsia="zh-CN"/>
        </w:rPr>
        <w:t>磋商文件</w:t>
      </w:r>
      <w:r>
        <w:rPr>
          <w:rFonts w:hint="eastAsia" w:ascii="宋体" w:hAnsi="宋体" w:eastAsia="宋体" w:cs="宋体"/>
          <w:bCs/>
          <w:kern w:val="2"/>
          <w:sz w:val="24"/>
          <w:szCs w:val="24"/>
          <w:highlight w:val="none"/>
        </w:rPr>
        <w:t>时须仔细阅读投标资格要求。</w:t>
      </w:r>
    </w:p>
    <w:p w14:paraId="64BF564D">
      <w:pPr>
        <w:pageBreakBefore w:val="0"/>
        <w:kinsoku/>
        <w:wordWrap/>
        <w:overflowPunct/>
        <w:topLinePunct w:val="0"/>
        <w:autoSpaceDE/>
        <w:autoSpaceDN/>
        <w:bidi w:val="0"/>
        <w:adjustRightInd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rPr>
        <w:t>4、</w:t>
      </w:r>
      <w:r>
        <w:rPr>
          <w:rFonts w:hint="eastAsia" w:ascii="宋体" w:hAnsi="宋体" w:eastAsia="宋体" w:cs="宋体"/>
          <w:bCs/>
          <w:kern w:val="2"/>
          <w:sz w:val="24"/>
          <w:szCs w:val="24"/>
          <w:highlight w:val="none"/>
          <w:lang w:eastAsia="zh-CN"/>
        </w:rPr>
        <w:t>供应商</w:t>
      </w:r>
      <w:r>
        <w:rPr>
          <w:rFonts w:hint="eastAsia" w:ascii="宋体" w:hAnsi="宋体" w:eastAsia="宋体" w:cs="宋体"/>
          <w:bCs/>
          <w:kern w:val="2"/>
          <w:sz w:val="24"/>
          <w:szCs w:val="24"/>
          <w:highlight w:val="none"/>
        </w:rPr>
        <w:t>对自己所提供的资格证明材料的复印件的真实性负责，无论何时，如发现</w:t>
      </w:r>
      <w:r>
        <w:rPr>
          <w:rFonts w:hint="eastAsia" w:ascii="宋体" w:hAnsi="宋体" w:eastAsia="宋体" w:cs="宋体"/>
          <w:bCs/>
          <w:kern w:val="2"/>
          <w:sz w:val="24"/>
          <w:szCs w:val="24"/>
          <w:highlight w:val="none"/>
          <w:lang w:eastAsia="zh-CN"/>
        </w:rPr>
        <w:t>供应商</w:t>
      </w:r>
      <w:r>
        <w:rPr>
          <w:rFonts w:hint="eastAsia" w:ascii="宋体" w:hAnsi="宋体" w:eastAsia="宋体" w:cs="宋体"/>
          <w:bCs/>
          <w:kern w:val="2"/>
          <w:sz w:val="24"/>
          <w:szCs w:val="24"/>
          <w:highlight w:val="none"/>
        </w:rPr>
        <w:t>提供了虚假的资格证明材料，将按照《中华人民共和国政府采购法》及《</w:t>
      </w:r>
      <w:r>
        <w:rPr>
          <w:rFonts w:hint="eastAsia" w:ascii="宋体" w:hAnsi="宋体" w:eastAsia="宋体" w:cs="宋体"/>
          <w:bCs/>
          <w:kern w:val="2"/>
          <w:sz w:val="24"/>
          <w:szCs w:val="24"/>
          <w:highlight w:val="none"/>
          <w:lang w:eastAsia="zh-CN"/>
        </w:rPr>
        <w:t>磋商文件</w:t>
      </w:r>
      <w:r>
        <w:rPr>
          <w:rFonts w:hint="eastAsia" w:ascii="宋体" w:hAnsi="宋体" w:eastAsia="宋体" w:cs="宋体"/>
          <w:bCs/>
          <w:kern w:val="2"/>
          <w:sz w:val="24"/>
          <w:szCs w:val="24"/>
          <w:highlight w:val="none"/>
        </w:rPr>
        <w:t>》等有关规定进行严肃处理，并在相关网站上进行通报。</w:t>
      </w:r>
    </w:p>
    <w:p w14:paraId="701F30B1">
      <w:pPr>
        <w:pageBreakBefore w:val="0"/>
        <w:kinsoku/>
        <w:wordWrap/>
        <w:overflowPunct/>
        <w:topLinePunct w:val="0"/>
        <w:autoSpaceDE/>
        <w:autoSpaceDN/>
        <w:bidi w:val="0"/>
        <w:adjustRightInd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rPr>
        <w:t>5、请各</w:t>
      </w:r>
      <w:r>
        <w:rPr>
          <w:rFonts w:hint="eastAsia" w:ascii="宋体" w:hAnsi="宋体" w:eastAsia="宋体" w:cs="宋体"/>
          <w:bCs/>
          <w:kern w:val="2"/>
          <w:sz w:val="24"/>
          <w:szCs w:val="24"/>
          <w:highlight w:val="none"/>
          <w:lang w:eastAsia="zh-CN"/>
        </w:rPr>
        <w:t>供应商</w:t>
      </w:r>
      <w:r>
        <w:rPr>
          <w:rFonts w:hint="eastAsia" w:ascii="宋体" w:hAnsi="宋体" w:eastAsia="宋体" w:cs="宋体"/>
          <w:bCs/>
          <w:kern w:val="2"/>
          <w:sz w:val="24"/>
          <w:szCs w:val="24"/>
          <w:highlight w:val="none"/>
        </w:rPr>
        <w:t>仔细阅读本</w:t>
      </w:r>
      <w:r>
        <w:rPr>
          <w:rFonts w:hint="eastAsia" w:ascii="宋体" w:hAnsi="宋体" w:eastAsia="宋体" w:cs="宋体"/>
          <w:bCs/>
          <w:kern w:val="2"/>
          <w:sz w:val="24"/>
          <w:szCs w:val="24"/>
          <w:highlight w:val="none"/>
          <w:lang w:eastAsia="zh-CN"/>
        </w:rPr>
        <w:t>磋商文件</w:t>
      </w:r>
      <w:r>
        <w:rPr>
          <w:rFonts w:hint="eastAsia" w:ascii="宋体" w:hAnsi="宋体" w:eastAsia="宋体" w:cs="宋体"/>
          <w:bCs/>
          <w:kern w:val="2"/>
          <w:sz w:val="24"/>
          <w:szCs w:val="24"/>
          <w:highlight w:val="none"/>
        </w:rPr>
        <w:t>的全部条文，对于</w:t>
      </w:r>
      <w:r>
        <w:rPr>
          <w:rFonts w:hint="eastAsia" w:ascii="宋体" w:hAnsi="宋体" w:eastAsia="宋体" w:cs="宋体"/>
          <w:bCs/>
          <w:kern w:val="2"/>
          <w:sz w:val="24"/>
          <w:szCs w:val="24"/>
          <w:highlight w:val="none"/>
          <w:lang w:eastAsia="zh-CN"/>
        </w:rPr>
        <w:t>磋商</w:t>
      </w:r>
      <w:r>
        <w:rPr>
          <w:rFonts w:hint="eastAsia" w:ascii="宋体" w:hAnsi="宋体" w:eastAsia="宋体" w:cs="宋体"/>
          <w:bCs/>
          <w:kern w:val="2"/>
          <w:sz w:val="24"/>
          <w:szCs w:val="24"/>
          <w:highlight w:val="none"/>
        </w:rPr>
        <w:t>文件中存在的任何含糊、遗漏、相互矛盾之处，或是对于采购范围的界定和采购内容的要求不清楚，认为存在歧义的，</w:t>
      </w:r>
      <w:r>
        <w:rPr>
          <w:rFonts w:hint="eastAsia" w:ascii="宋体" w:hAnsi="宋体" w:eastAsia="宋体" w:cs="宋体"/>
          <w:bCs/>
          <w:kern w:val="2"/>
          <w:sz w:val="24"/>
          <w:szCs w:val="24"/>
          <w:highlight w:val="none"/>
          <w:lang w:eastAsia="zh-CN"/>
        </w:rPr>
        <w:t>供应商</w:t>
      </w:r>
      <w:r>
        <w:rPr>
          <w:rFonts w:hint="eastAsia" w:ascii="宋体" w:hAnsi="宋体" w:eastAsia="宋体" w:cs="宋体"/>
          <w:bCs/>
          <w:kern w:val="2"/>
          <w:sz w:val="24"/>
          <w:szCs w:val="24"/>
          <w:highlight w:val="none"/>
        </w:rPr>
        <w:t>应按</w:t>
      </w:r>
      <w:r>
        <w:rPr>
          <w:rFonts w:hint="eastAsia" w:ascii="宋体" w:hAnsi="宋体" w:eastAsia="宋体" w:cs="宋体"/>
          <w:bCs/>
          <w:kern w:val="2"/>
          <w:sz w:val="24"/>
          <w:szCs w:val="24"/>
          <w:highlight w:val="none"/>
          <w:lang w:eastAsia="zh-CN"/>
        </w:rPr>
        <w:t>磋商文件</w:t>
      </w:r>
      <w:r>
        <w:rPr>
          <w:rFonts w:hint="eastAsia" w:ascii="宋体" w:hAnsi="宋体" w:eastAsia="宋体" w:cs="宋体"/>
          <w:bCs/>
          <w:kern w:val="2"/>
          <w:sz w:val="24"/>
          <w:szCs w:val="24"/>
          <w:highlight w:val="none"/>
        </w:rPr>
        <w:t>规定向</w:t>
      </w:r>
      <w:r>
        <w:rPr>
          <w:rFonts w:hint="eastAsia" w:ascii="宋体" w:hAnsi="宋体" w:eastAsia="宋体" w:cs="宋体"/>
          <w:bCs/>
          <w:kern w:val="2"/>
          <w:sz w:val="24"/>
          <w:szCs w:val="24"/>
          <w:highlight w:val="none"/>
          <w:lang w:eastAsia="zh-CN"/>
        </w:rPr>
        <w:t>采购</w:t>
      </w:r>
      <w:r>
        <w:rPr>
          <w:rFonts w:hint="eastAsia" w:ascii="宋体" w:hAnsi="宋体" w:eastAsia="宋体" w:cs="宋体"/>
          <w:bCs/>
          <w:kern w:val="2"/>
          <w:sz w:val="24"/>
          <w:szCs w:val="24"/>
          <w:highlight w:val="none"/>
        </w:rPr>
        <w:t>方寻求书面澄清；未提出澄清要求的，则认同为完全理解</w:t>
      </w:r>
      <w:r>
        <w:rPr>
          <w:rFonts w:hint="eastAsia" w:ascii="宋体" w:hAnsi="宋体" w:eastAsia="宋体" w:cs="宋体"/>
          <w:bCs/>
          <w:kern w:val="2"/>
          <w:sz w:val="24"/>
          <w:szCs w:val="24"/>
          <w:highlight w:val="none"/>
          <w:lang w:eastAsia="zh-CN"/>
        </w:rPr>
        <w:t>磋商</w:t>
      </w:r>
      <w:r>
        <w:rPr>
          <w:rFonts w:hint="eastAsia" w:ascii="宋体" w:hAnsi="宋体" w:eastAsia="宋体" w:cs="宋体"/>
          <w:bCs/>
          <w:kern w:val="2"/>
          <w:sz w:val="24"/>
          <w:szCs w:val="24"/>
          <w:highlight w:val="none"/>
        </w:rPr>
        <w:t>文件要求并接受</w:t>
      </w:r>
      <w:r>
        <w:rPr>
          <w:rFonts w:hint="eastAsia" w:ascii="宋体" w:hAnsi="宋体" w:eastAsia="宋体" w:cs="宋体"/>
          <w:bCs/>
          <w:kern w:val="2"/>
          <w:sz w:val="24"/>
          <w:szCs w:val="24"/>
          <w:highlight w:val="none"/>
          <w:lang w:eastAsia="zh-CN"/>
        </w:rPr>
        <w:t>采购</w:t>
      </w:r>
      <w:r>
        <w:rPr>
          <w:rFonts w:hint="eastAsia" w:ascii="宋体" w:hAnsi="宋体" w:eastAsia="宋体" w:cs="宋体"/>
          <w:bCs/>
          <w:kern w:val="2"/>
          <w:sz w:val="24"/>
          <w:szCs w:val="24"/>
          <w:highlight w:val="none"/>
        </w:rPr>
        <w:t>方可能作出的任何最终解释。</w:t>
      </w:r>
    </w:p>
    <w:p w14:paraId="38AEF1F8">
      <w:pPr>
        <w:pageBreakBefore w:val="0"/>
        <w:kinsoku/>
        <w:wordWrap/>
        <w:overflowPunct/>
        <w:topLinePunct w:val="0"/>
        <w:autoSpaceDE/>
        <w:autoSpaceDN/>
        <w:bidi w:val="0"/>
        <w:adjustRightInd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lang w:val="en-US" w:eastAsia="zh-CN"/>
        </w:rPr>
        <w:t>6</w:t>
      </w:r>
      <w:r>
        <w:rPr>
          <w:rFonts w:hint="eastAsia" w:ascii="宋体" w:hAnsi="宋体" w:eastAsia="宋体" w:cs="宋体"/>
          <w:bCs/>
          <w:kern w:val="2"/>
          <w:sz w:val="24"/>
          <w:szCs w:val="24"/>
          <w:highlight w:val="none"/>
        </w:rPr>
        <w:t>、银行账户信息</w:t>
      </w:r>
    </w:p>
    <w:p w14:paraId="48B21991">
      <w:pPr>
        <w:pageBreakBefore w:val="0"/>
        <w:kinsoku/>
        <w:wordWrap/>
        <w:overflowPunct/>
        <w:topLinePunct w:val="0"/>
        <w:autoSpaceDE/>
        <w:autoSpaceDN/>
        <w:bidi w:val="0"/>
        <w:adjustRightInd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rPr>
        <w:t>户名：湖北建信建设工程咨询有限公司</w:t>
      </w:r>
    </w:p>
    <w:p w14:paraId="7CCC5BB5">
      <w:pPr>
        <w:pageBreakBefore w:val="0"/>
        <w:kinsoku/>
        <w:wordWrap/>
        <w:overflowPunct/>
        <w:topLinePunct w:val="0"/>
        <w:autoSpaceDE/>
        <w:autoSpaceDN/>
        <w:bidi w:val="0"/>
        <w:adjustRightInd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rPr>
        <w:t>账号：015011000125864</w:t>
      </w:r>
    </w:p>
    <w:p w14:paraId="5F0BCAEE">
      <w:pPr>
        <w:pageBreakBefore w:val="0"/>
        <w:kinsoku/>
        <w:wordWrap/>
        <w:overflowPunct/>
        <w:topLinePunct w:val="0"/>
        <w:autoSpaceDE/>
        <w:autoSpaceDN/>
        <w:bidi w:val="0"/>
        <w:adjustRightInd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rPr>
        <w:t>开户银行：汉口银行黄鹤楼支行</w:t>
      </w:r>
    </w:p>
    <w:p w14:paraId="2260C95B">
      <w:pPr>
        <w:pageBreakBefore w:val="0"/>
        <w:kinsoku/>
        <w:wordWrap/>
        <w:overflowPunct/>
        <w:topLinePunct w:val="0"/>
        <w:autoSpaceDE/>
        <w:autoSpaceDN/>
        <w:bidi w:val="0"/>
        <w:adjustRightInd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rPr>
        <w:t>行号：890154</w:t>
      </w:r>
    </w:p>
    <w:p w14:paraId="18DB7C2D">
      <w:pPr>
        <w:pageBreakBefore w:val="0"/>
        <w:kinsoku/>
        <w:wordWrap/>
        <w:overflowPunct/>
        <w:topLinePunct w:val="0"/>
        <w:autoSpaceDE/>
        <w:autoSpaceDN/>
        <w:bidi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szCs w:val="24"/>
          <w:u w:val="single"/>
        </w:rPr>
      </w:pPr>
      <w:r>
        <w:rPr>
          <w:rFonts w:hint="eastAsia" w:ascii="宋体" w:hAnsi="宋体" w:eastAsia="宋体" w:cs="宋体"/>
          <w:bCs/>
          <w:kern w:val="2"/>
          <w:sz w:val="24"/>
          <w:szCs w:val="24"/>
          <w:highlight w:val="none"/>
          <w:lang w:val="en-US" w:eastAsia="zh-CN"/>
        </w:rPr>
        <w:t>7</w:t>
      </w:r>
      <w:r>
        <w:rPr>
          <w:rFonts w:hint="eastAsia" w:ascii="宋体" w:hAnsi="宋体" w:eastAsia="宋体" w:cs="宋体"/>
          <w:bCs/>
          <w:kern w:val="2"/>
          <w:sz w:val="24"/>
          <w:szCs w:val="24"/>
          <w:highlight w:val="none"/>
        </w:rPr>
        <w:t>、</w:t>
      </w:r>
      <w:r>
        <w:rPr>
          <w:rFonts w:hint="eastAsia" w:ascii="宋体" w:hAnsi="宋体" w:eastAsia="宋体" w:cs="宋体"/>
          <w:bCs/>
          <w:kern w:val="2"/>
          <w:sz w:val="24"/>
          <w:szCs w:val="24"/>
          <w:highlight w:val="none"/>
          <w:lang w:eastAsia="zh-CN"/>
        </w:rPr>
        <w:t>磋商</w:t>
      </w:r>
      <w:r>
        <w:rPr>
          <w:rFonts w:hint="eastAsia" w:ascii="宋体" w:hAnsi="宋体" w:eastAsia="宋体" w:cs="宋体"/>
          <w:bCs/>
          <w:kern w:val="2"/>
          <w:sz w:val="24"/>
          <w:szCs w:val="24"/>
          <w:highlight w:val="none"/>
        </w:rPr>
        <w:t>文件售后不退</w:t>
      </w:r>
      <w:r>
        <w:rPr>
          <w:rFonts w:hint="eastAsia" w:ascii="宋体" w:hAnsi="宋体" w:eastAsia="宋体" w:cs="宋体"/>
          <w:bCs/>
          <w:kern w:val="2"/>
          <w:sz w:val="24"/>
          <w:szCs w:val="24"/>
          <w:highlight w:val="none"/>
          <w:lang w:eastAsia="zh-CN"/>
        </w:rPr>
        <w:t>，</w:t>
      </w:r>
      <w:r>
        <w:rPr>
          <w:rFonts w:hint="eastAsia" w:ascii="宋体" w:hAnsi="宋体" w:eastAsia="宋体" w:cs="宋体"/>
          <w:bCs/>
          <w:kern w:val="2"/>
          <w:sz w:val="24"/>
          <w:szCs w:val="24"/>
          <w:highlight w:val="none"/>
          <w:lang w:val="en-US" w:eastAsia="zh-CN"/>
        </w:rPr>
        <w:t>文件款需公对公打款</w:t>
      </w:r>
      <w:r>
        <w:rPr>
          <w:rFonts w:hint="eastAsia" w:ascii="宋体" w:hAnsi="宋体" w:eastAsia="宋体" w:cs="宋体"/>
          <w:bCs/>
          <w:kern w:val="2"/>
          <w:sz w:val="24"/>
          <w:szCs w:val="24"/>
          <w:highlight w:val="none"/>
        </w:rPr>
        <w:t>。</w:t>
      </w:r>
    </w:p>
    <w:p w14:paraId="0BD1FDB1">
      <w:pPr>
        <w:keepNext/>
        <w:keepLines/>
        <w:pageBreakBefore w:val="0"/>
        <w:kinsoku/>
        <w:wordWrap/>
        <w:overflowPunct/>
        <w:topLinePunct w:val="0"/>
        <w:autoSpaceDE/>
        <w:autoSpaceDN/>
        <w:bidi w:val="0"/>
        <w:snapToGrid/>
        <w:spacing w:beforeAutospacing="0" w:afterAutospacing="0" w:line="360" w:lineRule="auto"/>
        <w:ind w:left="0" w:leftChars="0" w:right="0" w:rightChars="0" w:firstLine="0" w:firstLineChars="0"/>
        <w:jc w:val="left"/>
        <w:textAlignment w:val="auto"/>
        <w:outlineLvl w:val="1"/>
        <w:rPr>
          <w:rFonts w:hint="eastAsia" w:ascii="宋体" w:hAnsi="宋体" w:eastAsia="宋体" w:cs="宋体"/>
          <w:b w:val="0"/>
          <w:sz w:val="24"/>
          <w:szCs w:val="24"/>
        </w:rPr>
      </w:pPr>
      <w:bookmarkStart w:id="64" w:name="_Toc109899947"/>
      <w:bookmarkStart w:id="65" w:name="_Toc17428"/>
      <w:bookmarkStart w:id="66" w:name="_Toc109900366"/>
      <w:bookmarkStart w:id="67" w:name="_Toc109897429"/>
      <w:r>
        <w:rPr>
          <w:rFonts w:hint="eastAsia" w:ascii="宋体" w:hAnsi="宋体" w:eastAsia="宋体" w:cs="宋体"/>
          <w:b w:val="0"/>
          <w:sz w:val="24"/>
          <w:szCs w:val="24"/>
          <w:lang w:val="en-US" w:eastAsia="zh-CN"/>
        </w:rPr>
        <w:t>八</w:t>
      </w:r>
      <w:r>
        <w:rPr>
          <w:rFonts w:hint="eastAsia" w:ascii="宋体" w:hAnsi="宋体" w:eastAsia="宋体" w:cs="宋体"/>
          <w:b w:val="0"/>
          <w:sz w:val="24"/>
          <w:szCs w:val="24"/>
        </w:rPr>
        <w:t>、联系方式</w:t>
      </w:r>
      <w:bookmarkEnd w:id="64"/>
      <w:bookmarkEnd w:id="65"/>
      <w:bookmarkEnd w:id="66"/>
      <w:bookmarkEnd w:id="67"/>
    </w:p>
    <w:bookmarkEnd w:id="26"/>
    <w:p w14:paraId="713A90DB">
      <w:pPr>
        <w:pageBreakBefore w:val="0"/>
        <w:kinsoku/>
        <w:wordWrap/>
        <w:overflowPunct/>
        <w:topLinePunct w:val="0"/>
        <w:autoSpaceDE/>
        <w:autoSpaceDN/>
        <w:bidi w:val="0"/>
        <w:adjustRightInd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rPr>
        <w:t>1.采购人信息</w:t>
      </w:r>
    </w:p>
    <w:p w14:paraId="09FAA915">
      <w:pPr>
        <w:pageBreakBefore w:val="0"/>
        <w:kinsoku/>
        <w:wordWrap/>
        <w:overflowPunct/>
        <w:topLinePunct w:val="0"/>
        <w:autoSpaceDE/>
        <w:autoSpaceDN/>
        <w:bidi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名称：中南民族大学　　　　　</w:t>
      </w:r>
    </w:p>
    <w:p w14:paraId="5D2DC989">
      <w:pPr>
        <w:pageBreakBefore w:val="0"/>
        <w:kinsoku/>
        <w:wordWrap/>
        <w:overflowPunct/>
        <w:topLinePunct w:val="0"/>
        <w:autoSpaceDE/>
        <w:autoSpaceDN/>
        <w:bidi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地址：武汉市洪山区民族大道182号　　　　　　　　</w:t>
      </w:r>
    </w:p>
    <w:p w14:paraId="2C7306CF">
      <w:pPr>
        <w:pageBreakBefore w:val="0"/>
        <w:kinsoku/>
        <w:wordWrap/>
        <w:overflowPunct/>
        <w:topLinePunct w:val="0"/>
        <w:autoSpaceDE/>
        <w:autoSpaceDN/>
        <w:bidi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联系方式：朱老师、027-67843832　　　　　　</w:t>
      </w:r>
    </w:p>
    <w:p w14:paraId="6DB4DB94">
      <w:pPr>
        <w:pageBreakBefore w:val="0"/>
        <w:kinsoku/>
        <w:wordWrap/>
        <w:overflowPunct/>
        <w:topLinePunct w:val="0"/>
        <w:autoSpaceDE/>
        <w:autoSpaceDN/>
        <w:bidi w:val="0"/>
        <w:adjustRightInd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b w:val="0"/>
          <w:kern w:val="2"/>
          <w:sz w:val="24"/>
          <w:szCs w:val="24"/>
          <w:highlight w:val="none"/>
        </w:rPr>
      </w:pPr>
      <w:r>
        <w:rPr>
          <w:rFonts w:hint="eastAsia" w:ascii="宋体" w:hAnsi="宋体" w:eastAsia="宋体" w:cs="宋体"/>
          <w:bCs/>
          <w:kern w:val="2"/>
          <w:sz w:val="24"/>
          <w:szCs w:val="24"/>
          <w:highlight w:val="none"/>
        </w:rPr>
        <w:t>2.采购代理机构信息</w:t>
      </w:r>
    </w:p>
    <w:p w14:paraId="205087AE">
      <w:pPr>
        <w:pageBreakBefore w:val="0"/>
        <w:kinsoku/>
        <w:wordWrap/>
        <w:overflowPunct/>
        <w:topLinePunct w:val="0"/>
        <w:autoSpaceDE/>
        <w:autoSpaceDN/>
        <w:bidi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名称：湖北建信建设工程咨询有限公司　　　　　　　　　　　　</w:t>
      </w:r>
    </w:p>
    <w:p w14:paraId="3DD4C6E4">
      <w:pPr>
        <w:pageBreakBefore w:val="0"/>
        <w:kinsoku/>
        <w:wordWrap/>
        <w:overflowPunct/>
        <w:topLinePunct w:val="0"/>
        <w:autoSpaceDE/>
        <w:autoSpaceDN/>
        <w:bidi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地　址：武汉市武昌区才茂街万科金域华府商业中心B座7楼　　　　　　　</w:t>
      </w:r>
    </w:p>
    <w:p w14:paraId="1178A9C5">
      <w:pPr>
        <w:pageBreakBefore w:val="0"/>
        <w:kinsoku/>
        <w:wordWrap/>
        <w:overflowPunct/>
        <w:topLinePunct w:val="0"/>
        <w:autoSpaceDE/>
        <w:autoSpaceDN/>
        <w:bidi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联系方式：魏峥、吴利艳、</w:t>
      </w:r>
      <w:r>
        <w:rPr>
          <w:rFonts w:hint="eastAsia" w:ascii="宋体" w:hAnsi="宋体" w:eastAsia="宋体" w:cs="宋体"/>
          <w:kern w:val="2"/>
          <w:sz w:val="24"/>
          <w:szCs w:val="24"/>
          <w:highlight w:val="none"/>
          <w:lang w:eastAsia="zh-CN"/>
        </w:rPr>
        <w:t>13995867616</w:t>
      </w:r>
      <w:r>
        <w:rPr>
          <w:rFonts w:hint="eastAsia" w:ascii="宋体" w:hAnsi="宋体" w:eastAsia="宋体" w:cs="宋体"/>
          <w:kern w:val="2"/>
          <w:sz w:val="24"/>
          <w:szCs w:val="24"/>
          <w:highlight w:val="none"/>
        </w:rPr>
        <w:t>　　　　　　　　　　　　</w:t>
      </w:r>
    </w:p>
    <w:p w14:paraId="4ABEB771">
      <w:pPr>
        <w:pageBreakBefore w:val="0"/>
        <w:kinsoku/>
        <w:wordWrap/>
        <w:overflowPunct/>
        <w:topLinePunct w:val="0"/>
        <w:autoSpaceDE/>
        <w:autoSpaceDN/>
        <w:bidi w:val="0"/>
        <w:adjustRightInd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b w:val="0"/>
          <w:kern w:val="2"/>
          <w:sz w:val="24"/>
          <w:szCs w:val="24"/>
          <w:highlight w:val="none"/>
        </w:rPr>
      </w:pPr>
      <w:r>
        <w:rPr>
          <w:rFonts w:hint="eastAsia" w:ascii="宋体" w:hAnsi="宋体" w:eastAsia="宋体" w:cs="宋体"/>
          <w:bCs/>
          <w:kern w:val="2"/>
          <w:sz w:val="24"/>
          <w:szCs w:val="24"/>
          <w:highlight w:val="none"/>
        </w:rPr>
        <w:t>3.项目联系方式</w:t>
      </w:r>
    </w:p>
    <w:p w14:paraId="7AC00DD8">
      <w:pPr>
        <w:pageBreakBefore w:val="0"/>
        <w:kinsoku/>
        <w:wordWrap/>
        <w:overflowPunct/>
        <w:topLinePunct w:val="0"/>
        <w:autoSpaceDE/>
        <w:autoSpaceDN/>
        <w:bidi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项目联系人：魏峥、吴利艳</w:t>
      </w:r>
    </w:p>
    <w:p w14:paraId="3E8494FD">
      <w:pPr>
        <w:pageBreakBefore w:val="0"/>
        <w:kinsoku/>
        <w:wordWrap/>
        <w:overflowPunct/>
        <w:topLinePunct w:val="0"/>
        <w:autoSpaceDE/>
        <w:autoSpaceDN/>
        <w:bidi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kern w:val="2"/>
          <w:sz w:val="24"/>
          <w:szCs w:val="24"/>
          <w:highlight w:val="none"/>
          <w:lang w:eastAsia="zh-CN"/>
        </w:rPr>
      </w:pPr>
      <w:r>
        <w:rPr>
          <w:rFonts w:hint="eastAsia" w:ascii="宋体" w:hAnsi="宋体" w:eastAsia="宋体" w:cs="宋体"/>
          <w:kern w:val="2"/>
          <w:sz w:val="24"/>
          <w:szCs w:val="24"/>
          <w:highlight w:val="none"/>
        </w:rPr>
        <w:t>电　话：</w:t>
      </w:r>
      <w:r>
        <w:rPr>
          <w:rFonts w:hint="eastAsia" w:ascii="宋体" w:hAnsi="宋体" w:eastAsia="宋体" w:cs="宋体"/>
          <w:kern w:val="2"/>
          <w:sz w:val="24"/>
          <w:szCs w:val="24"/>
          <w:highlight w:val="none"/>
          <w:lang w:eastAsia="zh-CN"/>
        </w:rPr>
        <w:t>13995867616</w:t>
      </w:r>
    </w:p>
    <w:p w14:paraId="4781999E">
      <w:pPr>
        <w:pageBreakBefore w:val="0"/>
        <w:kinsoku/>
        <w:wordWrap/>
        <w:overflowPunct/>
        <w:topLinePunct w:val="0"/>
        <w:autoSpaceDE/>
        <w:autoSpaceDN/>
        <w:bidi w:val="0"/>
        <w:snapToGrid/>
        <w:spacing w:beforeAutospacing="0" w:afterAutospacing="0" w:line="360" w:lineRule="auto"/>
        <w:ind w:left="0" w:leftChars="0" w:right="0" w:rightChars="0" w:firstLine="482" w:firstLineChars="0"/>
        <w:jc w:val="right"/>
        <w:textAlignment w:val="auto"/>
        <w:rPr>
          <w:rFonts w:hint="eastAsia" w:ascii="宋体" w:hAnsi="宋体" w:eastAsia="宋体" w:cs="宋体"/>
          <w:kern w:val="2"/>
          <w:sz w:val="24"/>
          <w:szCs w:val="24"/>
          <w:highlight w:val="none"/>
          <w:u w:val="none"/>
          <w:lang w:val="en-US" w:eastAsia="zh-CN"/>
        </w:rPr>
      </w:pPr>
      <w:bookmarkStart w:id="68" w:name="_Hlk89807695"/>
    </w:p>
    <w:p w14:paraId="68C819D0">
      <w:pPr>
        <w:pageBreakBefore w:val="0"/>
        <w:kinsoku/>
        <w:wordWrap/>
        <w:overflowPunct/>
        <w:topLinePunct w:val="0"/>
        <w:autoSpaceDE/>
        <w:autoSpaceDN/>
        <w:bidi w:val="0"/>
        <w:snapToGrid/>
        <w:spacing w:beforeAutospacing="0" w:afterAutospacing="0" w:line="360" w:lineRule="auto"/>
        <w:ind w:left="0" w:leftChars="0" w:right="0" w:rightChars="0" w:firstLine="482" w:firstLineChars="0"/>
        <w:jc w:val="right"/>
        <w:textAlignment w:val="auto"/>
        <w:rPr>
          <w:rFonts w:hint="eastAsia" w:ascii="宋体" w:hAnsi="宋体" w:eastAsia="宋体" w:cs="宋体"/>
          <w:kern w:val="2"/>
          <w:sz w:val="24"/>
          <w:szCs w:val="24"/>
          <w:highlight w:val="none"/>
          <w:u w:val="none"/>
          <w:lang w:val="en-US" w:eastAsia="zh-CN"/>
        </w:rPr>
      </w:pPr>
      <w:r>
        <w:rPr>
          <w:rFonts w:hint="eastAsia" w:ascii="宋体" w:hAnsi="宋体" w:eastAsia="宋体" w:cs="宋体"/>
          <w:kern w:val="2"/>
          <w:sz w:val="24"/>
          <w:szCs w:val="24"/>
          <w:highlight w:val="none"/>
          <w:u w:val="none"/>
          <w:lang w:val="en-US" w:eastAsia="zh-CN"/>
        </w:rPr>
        <w:t>湖北建信建设工程咨询有限公司</w:t>
      </w:r>
    </w:p>
    <w:p w14:paraId="7A37467F">
      <w:pPr>
        <w:pageBreakBefore w:val="0"/>
        <w:kinsoku/>
        <w:wordWrap/>
        <w:overflowPunct/>
        <w:topLinePunct w:val="0"/>
        <w:autoSpaceDE/>
        <w:autoSpaceDN/>
        <w:bidi w:val="0"/>
        <w:snapToGrid/>
        <w:spacing w:beforeAutospacing="0" w:afterAutospacing="0" w:line="360" w:lineRule="auto"/>
        <w:ind w:left="0" w:leftChars="0" w:right="0" w:rightChars="0" w:firstLine="482" w:firstLineChars="0"/>
        <w:jc w:val="right"/>
        <w:textAlignment w:val="auto"/>
        <w:rPr>
          <w:rFonts w:hint="eastAsia" w:ascii="宋体" w:hAnsi="宋体" w:eastAsia="宋体" w:cs="宋体"/>
          <w:kern w:val="2"/>
          <w:sz w:val="24"/>
          <w:szCs w:val="24"/>
          <w:highlight w:val="none"/>
          <w:u w:val="none"/>
        </w:rPr>
      </w:pPr>
      <w:r>
        <w:rPr>
          <w:rFonts w:hint="eastAsia" w:ascii="宋体" w:hAnsi="宋体" w:eastAsia="宋体" w:cs="宋体"/>
          <w:kern w:val="2"/>
          <w:sz w:val="24"/>
          <w:szCs w:val="24"/>
          <w:highlight w:val="none"/>
          <w:u w:val="none"/>
          <w:lang w:val="en-US" w:eastAsia="zh-CN"/>
        </w:rPr>
        <w:t>2025</w:t>
      </w:r>
      <w:r>
        <w:rPr>
          <w:rFonts w:hint="eastAsia" w:ascii="宋体" w:hAnsi="宋体" w:eastAsia="宋体" w:cs="宋体"/>
          <w:kern w:val="2"/>
          <w:sz w:val="24"/>
          <w:szCs w:val="24"/>
          <w:highlight w:val="none"/>
          <w:u w:val="none"/>
        </w:rPr>
        <w:t>年</w:t>
      </w:r>
      <w:r>
        <w:rPr>
          <w:rFonts w:hint="eastAsia" w:ascii="宋体" w:hAnsi="宋体" w:cs="宋体"/>
          <w:kern w:val="2"/>
          <w:sz w:val="24"/>
          <w:szCs w:val="24"/>
          <w:highlight w:val="none"/>
          <w:u w:val="none"/>
          <w:lang w:val="en-US" w:eastAsia="zh-CN"/>
        </w:rPr>
        <w:t>06</w:t>
      </w:r>
      <w:r>
        <w:rPr>
          <w:rFonts w:hint="eastAsia" w:ascii="宋体" w:hAnsi="宋体" w:eastAsia="宋体" w:cs="宋体"/>
          <w:kern w:val="2"/>
          <w:sz w:val="24"/>
          <w:szCs w:val="24"/>
          <w:highlight w:val="none"/>
          <w:u w:val="none"/>
        </w:rPr>
        <w:t>月</w:t>
      </w:r>
      <w:r>
        <w:rPr>
          <w:rFonts w:hint="eastAsia" w:ascii="宋体" w:hAnsi="宋体" w:cs="宋体"/>
          <w:kern w:val="2"/>
          <w:sz w:val="24"/>
          <w:szCs w:val="24"/>
          <w:highlight w:val="none"/>
          <w:u w:val="none"/>
          <w:lang w:val="en-US" w:eastAsia="zh-CN"/>
        </w:rPr>
        <w:t>12</w:t>
      </w:r>
      <w:r>
        <w:rPr>
          <w:rFonts w:hint="eastAsia" w:ascii="宋体" w:hAnsi="宋体" w:eastAsia="宋体" w:cs="宋体"/>
          <w:kern w:val="2"/>
          <w:sz w:val="24"/>
          <w:szCs w:val="24"/>
          <w:highlight w:val="none"/>
          <w:u w:val="none"/>
        </w:rPr>
        <w:t>日</w:t>
      </w:r>
    </w:p>
    <w:bookmarkEnd w:id="68"/>
    <w:p w14:paraId="61F86215">
      <w:pPr>
        <w:snapToGrid/>
        <w:spacing w:beforeAutospacing="0" w:afterAutospacing="0" w:line="560" w:lineRule="exact"/>
        <w:ind w:left="0" w:leftChars="0" w:right="0" w:rightChars="0" w:firstLine="482" w:firstLineChars="0"/>
        <w:jc w:val="left"/>
        <w:rPr>
          <w:rFonts w:hint="eastAsia" w:ascii="宋体" w:hAnsi="宋体" w:eastAsia="宋体" w:cs="宋体"/>
          <w:sz w:val="24"/>
          <w:u w:val="single"/>
        </w:rPr>
      </w:pPr>
    </w:p>
    <w:p w14:paraId="2DE8A8C2">
      <w:pPr>
        <w:pStyle w:val="613"/>
        <w:snapToGrid/>
        <w:spacing w:beforeAutospacing="0" w:afterAutospacing="0" w:line="560" w:lineRule="exact"/>
        <w:ind w:left="0" w:leftChars="0" w:right="0" w:rightChars="0" w:firstLine="482" w:firstLineChars="0"/>
        <w:jc w:val="left"/>
        <w:rPr>
          <w:rFonts w:hint="eastAsia" w:ascii="宋体" w:hAnsi="宋体" w:eastAsia="宋体" w:cs="宋体"/>
          <w:sz w:val="24"/>
          <w:szCs w:val="21"/>
          <w:lang w:val="hr-HR"/>
        </w:rPr>
        <w:sectPr>
          <w:type w:val="nextColumn"/>
          <w:pgSz w:w="11907" w:h="16840"/>
          <w:pgMar w:top="1440" w:right="1797" w:bottom="1440" w:left="1797" w:header="907" w:footer="907" w:gutter="0"/>
          <w:pgNumType w:fmt="decimal"/>
          <w:cols w:space="720" w:num="1"/>
          <w:docGrid w:linePitch="312" w:charSpace="0"/>
        </w:sectPr>
      </w:pPr>
    </w:p>
    <w:bookmarkEnd w:id="27"/>
    <w:p w14:paraId="738F6BE5">
      <w:pPr>
        <w:pStyle w:val="3"/>
        <w:snapToGrid/>
        <w:spacing w:before="200" w:beforeAutospacing="0" w:after="100" w:afterAutospacing="0" w:line="240" w:lineRule="auto"/>
        <w:ind w:left="0" w:leftChars="0" w:right="0" w:rightChars="0" w:firstLine="0" w:firstLineChars="0"/>
        <w:jc w:val="center"/>
        <w:outlineLvl w:val="0"/>
        <w:rPr>
          <w:rFonts w:hint="eastAsia" w:ascii="宋体" w:hAnsi="宋体" w:eastAsia="宋体" w:cs="宋体"/>
          <w:b/>
          <w:bCs/>
          <w:sz w:val="28"/>
          <w:szCs w:val="28"/>
        </w:rPr>
      </w:pPr>
      <w:bookmarkStart w:id="69" w:name="_Toc109900367"/>
      <w:bookmarkStart w:id="70" w:name="_Toc109899948"/>
      <w:bookmarkStart w:id="71" w:name="_Toc15273"/>
      <w:bookmarkStart w:id="72" w:name="_Toc109897430"/>
      <w:r>
        <w:rPr>
          <w:rFonts w:hint="eastAsia" w:ascii="宋体" w:hAnsi="宋体" w:eastAsia="宋体" w:cs="宋体"/>
          <w:b/>
          <w:bCs/>
          <w:sz w:val="28"/>
          <w:szCs w:val="28"/>
        </w:rPr>
        <w:t>第二章 供应商须知</w:t>
      </w:r>
      <w:bookmarkEnd w:id="69"/>
      <w:bookmarkEnd w:id="70"/>
      <w:bookmarkEnd w:id="71"/>
      <w:bookmarkEnd w:id="72"/>
    </w:p>
    <w:p w14:paraId="374BDF22">
      <w:pPr>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rightChars="0" w:firstLine="482" w:firstLineChars="200"/>
        <w:jc w:val="left"/>
        <w:textAlignment w:val="auto"/>
        <w:outlineLvl w:val="1"/>
        <w:rPr>
          <w:rFonts w:hint="eastAsia" w:ascii="宋体" w:hAnsi="宋体" w:eastAsia="宋体" w:cs="宋体"/>
          <w:b/>
          <w:sz w:val="24"/>
          <w:szCs w:val="24"/>
          <w:lang w:val="zh-CN"/>
        </w:rPr>
      </w:pPr>
      <w:bookmarkStart w:id="73" w:name="_Toc109897431"/>
      <w:bookmarkStart w:id="74" w:name="_Toc109899949"/>
      <w:bookmarkStart w:id="75" w:name="_Toc22915"/>
      <w:bookmarkStart w:id="76" w:name="_Toc109900368"/>
      <w:bookmarkStart w:id="77" w:name="_Toc470172661"/>
      <w:r>
        <w:rPr>
          <w:rFonts w:hint="eastAsia" w:ascii="宋体" w:hAnsi="宋体" w:eastAsia="宋体" w:cs="宋体"/>
          <w:b/>
          <w:sz w:val="24"/>
          <w:szCs w:val="24"/>
        </w:rPr>
        <w:t>一、供应商须知前附表</w:t>
      </w:r>
      <w:bookmarkEnd w:id="73"/>
      <w:bookmarkEnd w:id="74"/>
      <w:bookmarkEnd w:id="75"/>
      <w:bookmarkEnd w:id="76"/>
      <w:bookmarkEnd w:id="77"/>
    </w:p>
    <w:p w14:paraId="3BAF6C78">
      <w:pPr>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szCs w:val="24"/>
          <w:lang w:val="zh-CN"/>
        </w:rPr>
      </w:pPr>
      <w:r>
        <w:rPr>
          <w:rFonts w:hint="eastAsia" w:ascii="宋体" w:hAnsi="宋体" w:eastAsia="宋体" w:cs="宋体"/>
          <w:sz w:val="24"/>
          <w:szCs w:val="24"/>
        </w:rPr>
        <w:t>磋商供应商应仔细阅读本磋商文件的第二章“供应商须知”，下面所列资料是对“供应商须知”的具体补充和说明。</w:t>
      </w:r>
      <w:r>
        <w:rPr>
          <w:rFonts w:hint="eastAsia" w:ascii="宋体" w:hAnsi="宋体" w:eastAsia="宋体" w:cs="宋体"/>
          <w:sz w:val="24"/>
          <w:szCs w:val="24"/>
          <w:lang w:val="zh-CN"/>
        </w:rPr>
        <w:t>如有矛盾，应以本表为准。</w:t>
      </w:r>
    </w:p>
    <w:tbl>
      <w:tblPr>
        <w:tblStyle w:val="88"/>
        <w:tblW w:w="83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902"/>
        <w:gridCol w:w="1692"/>
        <w:gridCol w:w="5709"/>
      </w:tblGrid>
      <w:tr w14:paraId="0A72A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tblHeader/>
          <w:jc w:val="center"/>
        </w:trPr>
        <w:tc>
          <w:tcPr>
            <w:tcW w:w="902" w:type="dxa"/>
            <w:shd w:val="clear" w:color="auto" w:fill="FFFFFF" w:themeFill="background1"/>
            <w:vAlign w:val="center"/>
          </w:tcPr>
          <w:p w14:paraId="6B78F0A1">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b/>
                <w:sz w:val="24"/>
                <w:szCs w:val="24"/>
              </w:rPr>
            </w:pPr>
            <w:r>
              <w:rPr>
                <w:rFonts w:hint="eastAsia" w:ascii="宋体" w:hAnsi="宋体" w:eastAsia="宋体" w:cs="宋体"/>
                <w:b/>
                <w:sz w:val="24"/>
                <w:szCs w:val="24"/>
                <w:lang w:val="zh-CN"/>
              </w:rPr>
              <w:t>条款号</w:t>
            </w:r>
          </w:p>
        </w:tc>
        <w:tc>
          <w:tcPr>
            <w:tcW w:w="1692" w:type="dxa"/>
            <w:shd w:val="clear" w:color="auto" w:fill="FFFFFF" w:themeFill="background1"/>
            <w:vAlign w:val="center"/>
          </w:tcPr>
          <w:p w14:paraId="4FD420C3">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b/>
                <w:sz w:val="24"/>
                <w:szCs w:val="24"/>
                <w:lang w:val="zh-CN"/>
              </w:rPr>
            </w:pPr>
            <w:r>
              <w:rPr>
                <w:rFonts w:hint="eastAsia" w:ascii="宋体" w:hAnsi="宋体" w:eastAsia="宋体" w:cs="宋体"/>
                <w:b/>
                <w:sz w:val="24"/>
                <w:szCs w:val="24"/>
                <w:lang w:val="zh-CN"/>
              </w:rPr>
              <w:t>条款名称</w:t>
            </w:r>
          </w:p>
        </w:tc>
        <w:tc>
          <w:tcPr>
            <w:tcW w:w="5709" w:type="dxa"/>
            <w:shd w:val="clear" w:color="auto" w:fill="FFFFFF" w:themeFill="background1"/>
            <w:vAlign w:val="center"/>
          </w:tcPr>
          <w:p w14:paraId="71E100DF">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b/>
                <w:sz w:val="24"/>
                <w:szCs w:val="24"/>
              </w:rPr>
            </w:pPr>
            <w:r>
              <w:rPr>
                <w:rFonts w:hint="eastAsia" w:ascii="宋体" w:hAnsi="宋体" w:eastAsia="宋体" w:cs="宋体"/>
                <w:b/>
                <w:sz w:val="24"/>
                <w:szCs w:val="24"/>
                <w:lang w:val="zh-CN"/>
              </w:rPr>
              <w:t>编列内容</w:t>
            </w:r>
          </w:p>
        </w:tc>
      </w:tr>
      <w:tr w14:paraId="3659F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902" w:type="dxa"/>
            <w:vAlign w:val="center"/>
          </w:tcPr>
          <w:p w14:paraId="555B43DE">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2.1</w:t>
            </w:r>
          </w:p>
        </w:tc>
        <w:tc>
          <w:tcPr>
            <w:tcW w:w="1692" w:type="dxa"/>
            <w:vAlign w:val="center"/>
          </w:tcPr>
          <w:p w14:paraId="2390402F">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采购人</w:t>
            </w:r>
          </w:p>
        </w:tc>
        <w:tc>
          <w:tcPr>
            <w:tcW w:w="5709" w:type="dxa"/>
            <w:vAlign w:val="center"/>
          </w:tcPr>
          <w:p w14:paraId="47DF0C19">
            <w:pPr>
              <w:keepNext w:val="0"/>
              <w:keepLines w:val="0"/>
              <w:pageBreakBefore w:val="0"/>
              <w:widowControl w:val="0"/>
              <w:kinsoku/>
              <w:wordWrap/>
              <w:overflowPunct/>
              <w:topLinePunct w:val="0"/>
              <w:bidi w:val="0"/>
              <w:spacing w:line="240" w:lineRule="auto"/>
              <w:ind w:left="0" w:leftChars="0" w:right="0" w:rightChars="0" w:firstLine="0" w:firstLineChars="0"/>
              <w:textAlignment w:val="auto"/>
              <w:rPr>
                <w:rFonts w:hint="eastAsia" w:ascii="宋体" w:hAnsi="宋体" w:eastAsia="宋体" w:cs="宋体"/>
                <w:sz w:val="22"/>
                <w:szCs w:val="22"/>
                <w:lang w:val="zh-CN"/>
              </w:rPr>
            </w:pPr>
            <w:r>
              <w:rPr>
                <w:rFonts w:hint="eastAsia" w:ascii="宋体" w:hAnsi="宋体" w:eastAsia="宋体" w:cs="宋体"/>
                <w:sz w:val="22"/>
                <w:szCs w:val="22"/>
                <w:highlight w:val="none"/>
                <w:lang w:val="en-US" w:eastAsia="zh-CN"/>
              </w:rPr>
              <w:t>中南民族大学</w:t>
            </w:r>
          </w:p>
        </w:tc>
      </w:tr>
      <w:tr w14:paraId="2770B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902" w:type="dxa"/>
            <w:vAlign w:val="center"/>
          </w:tcPr>
          <w:p w14:paraId="112E4C70">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2.2</w:t>
            </w:r>
          </w:p>
        </w:tc>
        <w:tc>
          <w:tcPr>
            <w:tcW w:w="1692" w:type="dxa"/>
            <w:vAlign w:val="center"/>
          </w:tcPr>
          <w:p w14:paraId="50AE104E">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监管部门</w:t>
            </w:r>
          </w:p>
        </w:tc>
        <w:tc>
          <w:tcPr>
            <w:tcW w:w="5709" w:type="dxa"/>
            <w:vAlign w:val="center"/>
          </w:tcPr>
          <w:p w14:paraId="57DE5089">
            <w:pPr>
              <w:keepNext w:val="0"/>
              <w:keepLines w:val="0"/>
              <w:pageBreakBefore w:val="0"/>
              <w:widowControl w:val="0"/>
              <w:kinsoku/>
              <w:wordWrap/>
              <w:overflowPunct/>
              <w:topLinePunct w:val="0"/>
              <w:bidi w:val="0"/>
              <w:spacing w:line="240" w:lineRule="auto"/>
              <w:ind w:left="0" w:leftChars="0" w:right="0" w:rightChars="0" w:firstLine="0" w:firstLineChars="0"/>
              <w:textAlignment w:val="auto"/>
              <w:rPr>
                <w:rFonts w:hint="eastAsia" w:ascii="宋体" w:hAnsi="宋体" w:eastAsia="宋体" w:cs="宋体"/>
                <w:sz w:val="22"/>
                <w:szCs w:val="22"/>
                <w:lang w:val="zh-CN"/>
              </w:rPr>
            </w:pPr>
            <w:r>
              <w:rPr>
                <w:rFonts w:hint="eastAsia" w:ascii="宋体" w:hAnsi="宋体" w:eastAsia="宋体" w:cs="宋体"/>
                <w:sz w:val="22"/>
                <w:szCs w:val="22"/>
                <w:highlight w:val="none"/>
                <w:lang w:val="en-US" w:eastAsia="zh-CN"/>
              </w:rPr>
              <w:t>中南民族大学纪委办公室</w:t>
            </w:r>
          </w:p>
        </w:tc>
      </w:tr>
      <w:tr w14:paraId="13F15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902" w:type="dxa"/>
            <w:vAlign w:val="center"/>
          </w:tcPr>
          <w:p w14:paraId="65E761FB">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2.3</w:t>
            </w:r>
          </w:p>
        </w:tc>
        <w:tc>
          <w:tcPr>
            <w:tcW w:w="1692" w:type="dxa"/>
            <w:vAlign w:val="center"/>
          </w:tcPr>
          <w:p w14:paraId="7A4A9C7A">
            <w:pPr>
              <w:pStyle w:val="81"/>
              <w:keepNext w:val="0"/>
              <w:keepLines w:val="0"/>
              <w:pageBreakBefore w:val="0"/>
              <w:widowControl w:val="0"/>
              <w:kinsoku/>
              <w:wordWrap/>
              <w:overflowPunct/>
              <w:topLinePunct w:val="0"/>
              <w:autoSpaceDE w:val="0"/>
              <w:autoSpaceDN w:val="0"/>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kern w:val="2"/>
                <w:sz w:val="22"/>
                <w:szCs w:val="22"/>
                <w:lang w:val="zh-CN"/>
              </w:rPr>
            </w:pPr>
            <w:r>
              <w:rPr>
                <w:rFonts w:hint="eastAsia" w:ascii="宋体" w:hAnsi="宋体" w:eastAsia="宋体" w:cs="宋体"/>
                <w:kern w:val="2"/>
                <w:sz w:val="22"/>
                <w:szCs w:val="22"/>
                <w:lang w:val="zh-CN"/>
              </w:rPr>
              <w:t>采购代理机构</w:t>
            </w:r>
          </w:p>
        </w:tc>
        <w:tc>
          <w:tcPr>
            <w:tcW w:w="5709" w:type="dxa"/>
            <w:vAlign w:val="center"/>
          </w:tcPr>
          <w:p w14:paraId="5910095C">
            <w:pPr>
              <w:keepNext w:val="0"/>
              <w:keepLines w:val="0"/>
              <w:pageBreakBefore w:val="0"/>
              <w:widowControl w:val="0"/>
              <w:kinsoku/>
              <w:wordWrap/>
              <w:overflowPunct/>
              <w:topLinePunct w:val="0"/>
              <w:bidi w:val="0"/>
              <w:spacing w:line="240" w:lineRule="auto"/>
              <w:ind w:left="0" w:leftChars="0" w:right="0" w:rightChars="0" w:firstLine="0" w:firstLineChars="0"/>
              <w:textAlignment w:val="auto"/>
              <w:rPr>
                <w:rFonts w:hint="eastAsia" w:ascii="宋体" w:hAnsi="宋体" w:eastAsia="宋体" w:cs="宋体"/>
                <w:sz w:val="22"/>
                <w:szCs w:val="22"/>
                <w:lang w:val="zh-CN"/>
              </w:rPr>
            </w:pPr>
            <w:r>
              <w:rPr>
                <w:rFonts w:hint="eastAsia" w:ascii="宋体" w:hAnsi="宋体" w:eastAsia="宋体" w:cs="宋体"/>
                <w:sz w:val="22"/>
                <w:szCs w:val="22"/>
                <w:highlight w:val="none"/>
              </w:rPr>
              <w:t>湖北建信建设工程咨询有限公司</w:t>
            </w:r>
          </w:p>
        </w:tc>
      </w:tr>
      <w:tr w14:paraId="474B2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902" w:type="dxa"/>
            <w:vAlign w:val="center"/>
          </w:tcPr>
          <w:p w14:paraId="201C96B1">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2.5</w:t>
            </w:r>
          </w:p>
        </w:tc>
        <w:tc>
          <w:tcPr>
            <w:tcW w:w="1692" w:type="dxa"/>
            <w:vAlign w:val="center"/>
          </w:tcPr>
          <w:p w14:paraId="453BACB9">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磋商供应商</w:t>
            </w:r>
          </w:p>
        </w:tc>
        <w:tc>
          <w:tcPr>
            <w:tcW w:w="5709" w:type="dxa"/>
            <w:vAlign w:val="center"/>
          </w:tcPr>
          <w:p w14:paraId="1E413CA3">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满足第一章第二条“申请人的资格要求”</w:t>
            </w:r>
          </w:p>
        </w:tc>
      </w:tr>
      <w:tr w14:paraId="6A06A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902" w:type="dxa"/>
            <w:vAlign w:val="center"/>
          </w:tcPr>
          <w:p w14:paraId="19734B18">
            <w:pPr>
              <w:pStyle w:val="81"/>
              <w:keepNext w:val="0"/>
              <w:keepLines w:val="0"/>
              <w:pageBreakBefore w:val="0"/>
              <w:widowControl w:val="0"/>
              <w:kinsoku/>
              <w:wordWrap/>
              <w:overflowPunct/>
              <w:topLinePunct w:val="0"/>
              <w:autoSpaceDE w:val="0"/>
              <w:autoSpaceDN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kern w:val="2"/>
                <w:sz w:val="22"/>
                <w:szCs w:val="22"/>
                <w:lang w:val="zh-CN"/>
              </w:rPr>
            </w:pPr>
            <w:r>
              <w:rPr>
                <w:rFonts w:hint="eastAsia" w:ascii="宋体" w:hAnsi="宋体" w:eastAsia="宋体" w:cs="宋体"/>
                <w:kern w:val="2"/>
                <w:sz w:val="22"/>
                <w:szCs w:val="22"/>
                <w:lang w:val="zh-CN"/>
              </w:rPr>
              <w:t>4.2</w:t>
            </w:r>
          </w:p>
        </w:tc>
        <w:tc>
          <w:tcPr>
            <w:tcW w:w="1692" w:type="dxa"/>
            <w:vAlign w:val="center"/>
          </w:tcPr>
          <w:p w14:paraId="2F20DC72">
            <w:pPr>
              <w:keepNext w:val="0"/>
              <w:keepLines w:val="0"/>
              <w:pageBreakBefore w:val="0"/>
              <w:widowControl w:val="0"/>
              <w:kinsoku/>
              <w:wordWrap/>
              <w:overflowPunct/>
              <w:topLinePunct w:val="0"/>
              <w:autoSpaceDE w:val="0"/>
              <w:autoSpaceDN w:val="0"/>
              <w:bidi w:val="0"/>
              <w:adjustRightIn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rPr>
              <w:t>采购代理服务费</w:t>
            </w:r>
          </w:p>
        </w:tc>
        <w:tc>
          <w:tcPr>
            <w:tcW w:w="5709" w:type="dxa"/>
            <w:vAlign w:val="center"/>
          </w:tcPr>
          <w:p w14:paraId="275746D2">
            <w:pPr>
              <w:keepNext w:val="0"/>
              <w:keepLines w:val="0"/>
              <w:pageBreakBefore w:val="0"/>
              <w:widowControl w:val="0"/>
              <w:kinsoku/>
              <w:wordWrap/>
              <w:overflowPunct/>
              <w:topLinePunct w:val="0"/>
              <w:bidi w:val="0"/>
              <w:spacing w:line="240" w:lineRule="auto"/>
              <w:ind w:left="0" w:leftChars="0" w:right="0" w:rightChars="0" w:firstLine="0" w:firstLineChars="0"/>
              <w:textAlignment w:val="auto"/>
              <w:rPr>
                <w:rFonts w:hint="eastAsia" w:ascii="宋体" w:hAnsi="宋体" w:eastAsia="宋体" w:cs="宋体"/>
                <w:sz w:val="22"/>
                <w:szCs w:val="22"/>
              </w:rPr>
            </w:pPr>
            <w:r>
              <w:rPr>
                <w:rFonts w:hint="eastAsia" w:ascii="宋体" w:hAnsi="宋体" w:eastAsia="宋体" w:cs="宋体"/>
                <w:sz w:val="22"/>
                <w:szCs w:val="22"/>
              </w:rPr>
              <w:t>根据采购人和采购代理机构签署的委托代理协议书约定：</w:t>
            </w:r>
          </w:p>
          <w:p w14:paraId="4C250286">
            <w:pPr>
              <w:keepNext w:val="0"/>
              <w:keepLines w:val="0"/>
              <w:pageBreakBefore w:val="0"/>
              <w:widowControl w:val="0"/>
              <w:kinsoku/>
              <w:wordWrap/>
              <w:overflowPunct/>
              <w:topLinePunct w:val="0"/>
              <w:bidi w:val="0"/>
              <w:spacing w:line="240" w:lineRule="auto"/>
              <w:ind w:left="0" w:leftChars="0" w:right="0" w:rightChars="0" w:firstLine="0" w:firstLineChars="0"/>
              <w:textAlignment w:val="auto"/>
              <w:rPr>
                <w:rFonts w:hint="eastAsia" w:ascii="宋体" w:hAnsi="宋体" w:eastAsia="宋体" w:cs="宋体"/>
                <w:sz w:val="22"/>
                <w:szCs w:val="22"/>
              </w:rPr>
            </w:pPr>
            <w:r>
              <w:rPr>
                <w:rFonts w:hint="eastAsia" w:ascii="宋体" w:hAnsi="宋体" w:eastAsia="宋体" w:cs="宋体"/>
                <w:sz w:val="22"/>
                <w:szCs w:val="22"/>
              </w:rPr>
              <w:t>1.采购代理服务费：</w:t>
            </w:r>
            <w:r>
              <w:rPr>
                <w:rFonts w:hint="eastAsia" w:ascii="宋体" w:hAnsi="宋体" w:eastAsia="宋体" w:cs="宋体"/>
                <w:sz w:val="22"/>
                <w:szCs w:val="22"/>
              </w:rPr>
              <w:sym w:font="Wingdings" w:char="00FE"/>
            </w:r>
            <w:r>
              <w:rPr>
                <w:rFonts w:hint="eastAsia" w:ascii="宋体" w:hAnsi="宋体" w:eastAsia="宋体" w:cs="宋体"/>
                <w:sz w:val="22"/>
                <w:szCs w:val="22"/>
              </w:rPr>
              <w:t>由</w:t>
            </w:r>
            <w:r>
              <w:rPr>
                <w:rFonts w:hint="eastAsia" w:ascii="宋体" w:hAnsi="宋体" w:eastAsia="宋体" w:cs="宋体"/>
                <w:sz w:val="22"/>
                <w:szCs w:val="22"/>
                <w:lang w:eastAsia="zh-CN"/>
              </w:rPr>
              <w:t>成交</w:t>
            </w:r>
            <w:r>
              <w:rPr>
                <w:rFonts w:hint="eastAsia" w:ascii="宋体" w:hAnsi="宋体" w:eastAsia="宋体" w:cs="宋体"/>
                <w:sz w:val="22"/>
                <w:szCs w:val="22"/>
              </w:rPr>
              <w:t xml:space="preserve">人支付  </w:t>
            </w:r>
            <w:r>
              <w:rPr>
                <w:rFonts w:hint="eastAsia" w:ascii="宋体" w:hAnsi="宋体" w:eastAsia="宋体" w:cs="宋体"/>
                <w:sz w:val="22"/>
                <w:szCs w:val="22"/>
              </w:rPr>
              <w:sym w:font="Wingdings" w:char="00A8"/>
            </w:r>
            <w:r>
              <w:rPr>
                <w:rFonts w:hint="eastAsia" w:ascii="宋体" w:hAnsi="宋体" w:eastAsia="宋体" w:cs="宋体"/>
                <w:sz w:val="22"/>
                <w:szCs w:val="22"/>
              </w:rPr>
              <w:t>由采购人支付</w:t>
            </w:r>
          </w:p>
          <w:p w14:paraId="54E8D40A">
            <w:pPr>
              <w:keepNext w:val="0"/>
              <w:keepLines w:val="0"/>
              <w:pageBreakBefore w:val="0"/>
              <w:widowControl w:val="0"/>
              <w:kinsoku/>
              <w:wordWrap/>
              <w:overflowPunct/>
              <w:topLinePunct w:val="0"/>
              <w:bidi w:val="0"/>
              <w:spacing w:line="240" w:lineRule="auto"/>
              <w:ind w:left="0" w:leftChars="0" w:right="0" w:rightChars="0" w:firstLine="0" w:firstLineChars="0"/>
              <w:textAlignment w:val="auto"/>
              <w:rPr>
                <w:rFonts w:hint="eastAsia" w:ascii="宋体" w:hAnsi="宋体" w:eastAsia="宋体" w:cs="宋体"/>
                <w:sz w:val="22"/>
                <w:szCs w:val="22"/>
                <w:lang w:eastAsia="zh-CN"/>
              </w:rPr>
            </w:pPr>
            <w:r>
              <w:rPr>
                <w:rFonts w:hint="eastAsia" w:ascii="宋体" w:hAnsi="宋体" w:eastAsia="宋体" w:cs="宋体"/>
                <w:sz w:val="22"/>
                <w:szCs w:val="22"/>
              </w:rPr>
              <w:t>2.支付标准：参照“发改价格[2011]534号”和“计价格</w:t>
            </w:r>
            <w:r>
              <w:rPr>
                <w:rFonts w:hint="eastAsia" w:ascii="宋体" w:hAnsi="宋体" w:eastAsia="宋体" w:cs="宋体"/>
                <w:sz w:val="22"/>
                <w:szCs w:val="22"/>
                <w:lang w:eastAsia="zh-CN"/>
              </w:rPr>
              <w:t>（</w:t>
            </w:r>
            <w:r>
              <w:rPr>
                <w:rFonts w:hint="eastAsia" w:ascii="宋体" w:hAnsi="宋体" w:eastAsia="宋体" w:cs="宋体"/>
                <w:sz w:val="22"/>
                <w:szCs w:val="22"/>
              </w:rPr>
              <w:t>2002</w:t>
            </w:r>
            <w:r>
              <w:rPr>
                <w:rFonts w:hint="eastAsia" w:ascii="宋体" w:hAnsi="宋体" w:eastAsia="宋体" w:cs="宋体"/>
                <w:sz w:val="22"/>
                <w:szCs w:val="22"/>
                <w:lang w:eastAsia="zh-CN"/>
              </w:rPr>
              <w:t>）</w:t>
            </w:r>
            <w:r>
              <w:rPr>
                <w:rFonts w:hint="eastAsia" w:ascii="宋体" w:hAnsi="宋体" w:eastAsia="宋体" w:cs="宋体"/>
                <w:sz w:val="22"/>
                <w:szCs w:val="22"/>
              </w:rPr>
              <w:t>1980号”文件规定标准，以中标金额为基数按差额定率累进计费方式的70%收取，招标代理服务费保底价为单个项目4000元人民币</w:t>
            </w: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含税价</w:t>
            </w:r>
            <w:r>
              <w:rPr>
                <w:rFonts w:hint="eastAsia" w:ascii="宋体" w:hAnsi="宋体" w:eastAsia="宋体" w:cs="宋体"/>
                <w:sz w:val="22"/>
                <w:szCs w:val="22"/>
                <w:lang w:eastAsia="zh-CN"/>
              </w:rPr>
              <w:t>）。</w:t>
            </w:r>
          </w:p>
          <w:p w14:paraId="666DE7D2">
            <w:pPr>
              <w:keepNext w:val="0"/>
              <w:keepLines w:val="0"/>
              <w:pageBreakBefore w:val="0"/>
              <w:widowControl w:val="0"/>
              <w:kinsoku/>
              <w:wordWrap/>
              <w:overflowPunct/>
              <w:topLinePunct w:val="0"/>
              <w:bidi w:val="0"/>
              <w:spacing w:line="240" w:lineRule="auto"/>
              <w:ind w:left="0" w:leftChars="0" w:right="0" w:rightChars="0" w:firstLine="0" w:firstLineChars="0"/>
              <w:textAlignment w:val="auto"/>
              <w:rPr>
                <w:rFonts w:hint="eastAsia" w:ascii="宋体" w:hAnsi="宋体" w:eastAsia="宋体" w:cs="宋体"/>
                <w:sz w:val="22"/>
                <w:szCs w:val="22"/>
              </w:rPr>
            </w:pPr>
            <w:r>
              <w:rPr>
                <w:rFonts w:hint="eastAsia" w:ascii="宋体" w:hAnsi="宋体" w:eastAsia="宋体" w:cs="宋体"/>
                <w:sz w:val="22"/>
                <w:szCs w:val="22"/>
              </w:rPr>
              <w:t>3.支付时间：采购代理服务费由成交</w:t>
            </w:r>
            <w:r>
              <w:rPr>
                <w:rFonts w:hint="eastAsia" w:ascii="宋体" w:hAnsi="宋体" w:eastAsia="宋体" w:cs="宋体"/>
                <w:sz w:val="22"/>
                <w:szCs w:val="22"/>
                <w:lang w:eastAsia="zh-CN"/>
              </w:rPr>
              <w:t>供应商</w:t>
            </w:r>
            <w:r>
              <w:rPr>
                <w:rFonts w:hint="eastAsia" w:ascii="宋体" w:hAnsi="宋体" w:eastAsia="宋体" w:cs="宋体"/>
                <w:sz w:val="22"/>
                <w:szCs w:val="22"/>
              </w:rPr>
              <w:t>在领取成交通知书的同时，向代理机构支付。</w:t>
            </w:r>
          </w:p>
          <w:p w14:paraId="2A8739F2">
            <w:pPr>
              <w:keepNext w:val="0"/>
              <w:keepLines w:val="0"/>
              <w:pageBreakBefore w:val="0"/>
              <w:widowControl w:val="0"/>
              <w:tabs>
                <w:tab w:val="left" w:pos="1260"/>
              </w:tabs>
              <w:kinsoku/>
              <w:wordWrap/>
              <w:overflowPunct/>
              <w:topLinePunct w:val="0"/>
              <w:bidi w:val="0"/>
              <w:snapToGrid w:val="0"/>
              <w:spacing w:line="240" w:lineRule="auto"/>
              <w:ind w:left="0" w:leftChars="0" w:right="0" w:rightChars="0" w:firstLine="0" w:firstLineChars="0"/>
              <w:textAlignment w:val="auto"/>
              <w:rPr>
                <w:rFonts w:hint="eastAsia" w:ascii="宋体" w:hAnsi="宋体" w:eastAsia="宋体" w:cs="宋体"/>
                <w:sz w:val="22"/>
                <w:szCs w:val="22"/>
                <w:lang w:val="en-US" w:eastAsia="zh-CN"/>
              </w:rPr>
            </w:pPr>
            <w:r>
              <w:rPr>
                <w:rFonts w:hint="eastAsia" w:ascii="宋体" w:hAnsi="宋体" w:eastAsia="宋体" w:cs="宋体"/>
                <w:sz w:val="22"/>
                <w:szCs w:val="22"/>
              </w:rPr>
              <w:t>4.支付方式：</w:t>
            </w:r>
            <w:r>
              <w:rPr>
                <w:rFonts w:hint="eastAsia" w:ascii="宋体" w:hAnsi="宋体" w:eastAsia="宋体" w:cs="宋体"/>
                <w:sz w:val="22"/>
                <w:szCs w:val="22"/>
                <w:u w:val="single"/>
                <w:lang w:val="en-US" w:eastAsia="zh-CN"/>
              </w:rPr>
              <w:t>现金或银行转账</w:t>
            </w:r>
          </w:p>
          <w:p w14:paraId="0D5B9022">
            <w:pPr>
              <w:keepNext w:val="0"/>
              <w:keepLines w:val="0"/>
              <w:pageBreakBefore w:val="0"/>
              <w:widowControl w:val="0"/>
              <w:tabs>
                <w:tab w:val="left" w:pos="1260"/>
              </w:tabs>
              <w:kinsoku/>
              <w:wordWrap/>
              <w:overflowPunct/>
              <w:topLinePunct w:val="0"/>
              <w:bidi w:val="0"/>
              <w:snapToGrid w:val="0"/>
              <w:spacing w:line="240" w:lineRule="auto"/>
              <w:ind w:left="0" w:leftChars="0" w:right="0" w:rightChars="0" w:firstLine="0" w:firstLineChars="0"/>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户名：湖北建信建设工程咨询有限公司</w:t>
            </w:r>
          </w:p>
          <w:p w14:paraId="4893A738">
            <w:pPr>
              <w:keepNext w:val="0"/>
              <w:keepLines w:val="0"/>
              <w:pageBreakBefore w:val="0"/>
              <w:widowControl w:val="0"/>
              <w:tabs>
                <w:tab w:val="left" w:pos="1260"/>
              </w:tabs>
              <w:kinsoku/>
              <w:wordWrap/>
              <w:overflowPunct/>
              <w:topLinePunct w:val="0"/>
              <w:bidi w:val="0"/>
              <w:snapToGrid w:val="0"/>
              <w:spacing w:line="240" w:lineRule="auto"/>
              <w:ind w:left="0" w:leftChars="0" w:right="0" w:rightChars="0" w:firstLine="0" w:firstLineChars="0"/>
              <w:textAlignment w:val="auto"/>
              <w:rPr>
                <w:rFonts w:hint="eastAsia" w:ascii="宋体" w:hAnsi="宋体" w:eastAsia="宋体" w:cs="宋体"/>
                <w:sz w:val="22"/>
                <w:szCs w:val="22"/>
                <w:lang w:val="en-US" w:eastAsia="zh-CN"/>
              </w:rPr>
            </w:pPr>
            <w:r>
              <w:rPr>
                <w:rFonts w:hint="eastAsia" w:ascii="宋体" w:hAnsi="宋体" w:cs="宋体"/>
                <w:sz w:val="22"/>
                <w:szCs w:val="22"/>
                <w:lang w:val="en-US" w:eastAsia="zh-CN"/>
              </w:rPr>
              <w:t>账号</w:t>
            </w:r>
            <w:r>
              <w:rPr>
                <w:rFonts w:hint="eastAsia" w:ascii="宋体" w:hAnsi="宋体" w:eastAsia="宋体" w:cs="宋体"/>
                <w:sz w:val="22"/>
                <w:szCs w:val="22"/>
                <w:lang w:val="en-US" w:eastAsia="zh-CN"/>
              </w:rPr>
              <w:t>：015011000125864</w:t>
            </w:r>
          </w:p>
          <w:p w14:paraId="667DFE4D">
            <w:pPr>
              <w:keepNext w:val="0"/>
              <w:keepLines w:val="0"/>
              <w:pageBreakBefore w:val="0"/>
              <w:widowControl w:val="0"/>
              <w:tabs>
                <w:tab w:val="left" w:pos="1260"/>
              </w:tabs>
              <w:kinsoku/>
              <w:wordWrap/>
              <w:overflowPunct/>
              <w:topLinePunct w:val="0"/>
              <w:bidi w:val="0"/>
              <w:snapToGrid w:val="0"/>
              <w:spacing w:line="240" w:lineRule="auto"/>
              <w:ind w:left="0" w:leftChars="0" w:right="0" w:rightChars="0" w:firstLine="0" w:firstLineChars="0"/>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开户银行：汉口银行黄鹤楼支行</w:t>
            </w:r>
          </w:p>
          <w:p w14:paraId="0004919B">
            <w:pPr>
              <w:keepNext w:val="0"/>
              <w:keepLines w:val="0"/>
              <w:pageBreakBefore w:val="0"/>
              <w:widowControl w:val="0"/>
              <w:tabs>
                <w:tab w:val="left" w:pos="1260"/>
              </w:tabs>
              <w:kinsoku/>
              <w:wordWrap/>
              <w:overflowPunct/>
              <w:topLinePunct w:val="0"/>
              <w:bidi w:val="0"/>
              <w:snapToGrid w:val="0"/>
              <w:spacing w:line="240" w:lineRule="auto"/>
              <w:ind w:left="0" w:leftChars="0" w:right="0" w:rightChars="0" w:firstLine="0" w:firstLineChars="0"/>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行号：890154</w:t>
            </w:r>
          </w:p>
        </w:tc>
      </w:tr>
      <w:tr w14:paraId="57561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902" w:type="dxa"/>
            <w:vAlign w:val="center"/>
          </w:tcPr>
          <w:p w14:paraId="322B4AA4">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6.3</w:t>
            </w:r>
          </w:p>
        </w:tc>
        <w:tc>
          <w:tcPr>
            <w:tcW w:w="1692" w:type="dxa"/>
            <w:vAlign w:val="center"/>
          </w:tcPr>
          <w:p w14:paraId="5CE4E96D">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供应商确认收到磋商文件澄清或者修改的时间</w:t>
            </w:r>
          </w:p>
        </w:tc>
        <w:tc>
          <w:tcPr>
            <w:tcW w:w="5709" w:type="dxa"/>
            <w:vAlign w:val="center"/>
          </w:tcPr>
          <w:p w14:paraId="7F1A39A8">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left"/>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在收到相应澄清或者修改文件后</w:t>
            </w:r>
            <w:r>
              <w:rPr>
                <w:rFonts w:hint="eastAsia" w:ascii="宋体" w:hAnsi="宋体" w:eastAsia="宋体" w:cs="宋体"/>
                <w:sz w:val="22"/>
                <w:szCs w:val="22"/>
                <w:lang w:val="en-US" w:eastAsia="zh-CN"/>
              </w:rPr>
              <w:t>24小时</w:t>
            </w:r>
            <w:r>
              <w:rPr>
                <w:rFonts w:hint="eastAsia" w:ascii="宋体" w:hAnsi="宋体" w:eastAsia="宋体" w:cs="宋体"/>
                <w:sz w:val="22"/>
                <w:szCs w:val="22"/>
                <w:lang w:val="zh-CN"/>
              </w:rPr>
              <w:t>内</w:t>
            </w:r>
          </w:p>
        </w:tc>
      </w:tr>
      <w:tr w14:paraId="6FEB2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902" w:type="dxa"/>
            <w:vAlign w:val="center"/>
          </w:tcPr>
          <w:p w14:paraId="236386AE">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7.1</w:t>
            </w:r>
          </w:p>
        </w:tc>
        <w:tc>
          <w:tcPr>
            <w:tcW w:w="1692" w:type="dxa"/>
            <w:vAlign w:val="center"/>
          </w:tcPr>
          <w:p w14:paraId="7CCEC697">
            <w:pPr>
              <w:keepNext w:val="0"/>
              <w:keepLines w:val="0"/>
              <w:pageBreakBefore w:val="0"/>
              <w:widowControl w:val="0"/>
              <w:kinsoku/>
              <w:wordWrap/>
              <w:overflowPunct/>
              <w:topLinePunct w:val="0"/>
              <w:autoSpaceDE w:val="0"/>
              <w:autoSpaceDN w:val="0"/>
              <w:bidi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踏勘现场</w:t>
            </w:r>
          </w:p>
        </w:tc>
        <w:tc>
          <w:tcPr>
            <w:tcW w:w="5709" w:type="dxa"/>
            <w:vAlign w:val="center"/>
          </w:tcPr>
          <w:p w14:paraId="0E0C89FA">
            <w:pPr>
              <w:pStyle w:val="365"/>
              <w:keepNext w:val="0"/>
              <w:keepLines w:val="0"/>
              <w:pageBreakBefore w:val="0"/>
              <w:widowControl w:val="0"/>
              <w:kinsoku/>
              <w:wordWrap/>
              <w:overflowPunct/>
              <w:topLinePunct w:val="0"/>
              <w:bidi w:val="0"/>
              <w:snapToGrid w:val="0"/>
              <w:spacing w:line="240" w:lineRule="auto"/>
              <w:ind w:left="0" w:leftChars="0" w:right="0" w:rightChars="0" w:firstLine="0" w:firstLineChars="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sym w:font="Wingdings" w:char="00FE"/>
            </w:r>
            <w:r>
              <w:rPr>
                <w:rFonts w:hint="eastAsia" w:ascii="宋体" w:hAnsi="宋体" w:eastAsia="宋体" w:cs="宋体"/>
                <w:color w:val="auto"/>
                <w:sz w:val="22"/>
                <w:szCs w:val="22"/>
              </w:rPr>
              <w:t>不组织</w:t>
            </w:r>
          </w:p>
          <w:p w14:paraId="6DF76D8B">
            <w:pPr>
              <w:pStyle w:val="365"/>
              <w:keepNext w:val="0"/>
              <w:keepLines w:val="0"/>
              <w:pageBreakBefore w:val="0"/>
              <w:widowControl w:val="0"/>
              <w:kinsoku/>
              <w:wordWrap/>
              <w:overflowPunct/>
              <w:topLinePunct w:val="0"/>
              <w:bidi w:val="0"/>
              <w:snapToGrid w:val="0"/>
              <w:spacing w:line="240" w:lineRule="auto"/>
              <w:ind w:left="0" w:leftChars="0" w:right="0" w:rightChars="0" w:firstLine="0" w:firstLineChars="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sym w:font="Wingdings" w:char="00A8"/>
            </w:r>
            <w:r>
              <w:rPr>
                <w:rFonts w:hint="eastAsia" w:ascii="宋体" w:hAnsi="宋体" w:eastAsia="宋体" w:cs="宋体"/>
                <w:color w:val="auto"/>
                <w:sz w:val="22"/>
                <w:szCs w:val="22"/>
              </w:rPr>
              <w:t>组织</w:t>
            </w:r>
          </w:p>
          <w:p w14:paraId="52AFDD87">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left"/>
              <w:textAlignment w:val="auto"/>
              <w:rPr>
                <w:rFonts w:hint="eastAsia" w:ascii="宋体" w:hAnsi="宋体" w:eastAsia="宋体" w:cs="宋体"/>
                <w:sz w:val="22"/>
                <w:szCs w:val="22"/>
                <w:lang w:val="zh-CN" w:eastAsia="zh-CN"/>
              </w:rPr>
            </w:pPr>
            <w:r>
              <w:rPr>
                <w:rFonts w:hint="eastAsia" w:ascii="宋体" w:hAnsi="宋体" w:eastAsia="宋体" w:cs="宋体"/>
                <w:sz w:val="22"/>
                <w:szCs w:val="22"/>
                <w:lang w:val="zh-CN"/>
              </w:rPr>
              <w:t>集中踏勘时间：</w:t>
            </w:r>
            <w:r>
              <w:rPr>
                <w:rFonts w:hint="eastAsia" w:ascii="宋体" w:hAnsi="宋体" w:eastAsia="宋体" w:cs="宋体"/>
                <w:sz w:val="22"/>
                <w:szCs w:val="22"/>
                <w:lang w:val="en-US" w:eastAsia="zh-CN"/>
              </w:rPr>
              <w:t>/</w:t>
            </w:r>
          </w:p>
          <w:p w14:paraId="4F03E5F2">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left"/>
              <w:textAlignment w:val="auto"/>
              <w:rPr>
                <w:rFonts w:hint="eastAsia" w:ascii="宋体" w:hAnsi="宋体" w:eastAsia="宋体" w:cs="宋体"/>
                <w:sz w:val="22"/>
                <w:szCs w:val="22"/>
                <w:lang w:val="zh-CN" w:eastAsia="zh-CN"/>
              </w:rPr>
            </w:pPr>
            <w:r>
              <w:rPr>
                <w:rFonts w:hint="eastAsia" w:ascii="宋体" w:hAnsi="宋体" w:eastAsia="宋体" w:cs="宋体"/>
                <w:sz w:val="22"/>
                <w:szCs w:val="22"/>
                <w:lang w:val="zh-CN"/>
              </w:rPr>
              <w:t>集中踏勘集合地点：</w:t>
            </w:r>
            <w:r>
              <w:rPr>
                <w:rFonts w:hint="eastAsia" w:ascii="宋体" w:hAnsi="宋体" w:eastAsia="宋体" w:cs="宋体"/>
                <w:sz w:val="22"/>
                <w:szCs w:val="22"/>
                <w:lang w:val="en-US" w:eastAsia="zh-CN"/>
              </w:rPr>
              <w:t>/</w:t>
            </w:r>
          </w:p>
          <w:p w14:paraId="1320235A">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left"/>
              <w:textAlignment w:val="auto"/>
              <w:rPr>
                <w:rFonts w:hint="eastAsia" w:ascii="宋体" w:hAnsi="宋体" w:eastAsia="宋体" w:cs="宋体"/>
                <w:sz w:val="22"/>
                <w:szCs w:val="22"/>
                <w:lang w:val="zh-CN" w:eastAsia="zh-CN"/>
              </w:rPr>
            </w:pPr>
            <w:r>
              <w:rPr>
                <w:rFonts w:hint="eastAsia" w:ascii="宋体" w:hAnsi="宋体" w:eastAsia="宋体" w:cs="宋体"/>
                <w:sz w:val="22"/>
                <w:szCs w:val="22"/>
                <w:lang w:val="zh-CN"/>
              </w:rPr>
              <w:t>联系人：</w:t>
            </w:r>
            <w:r>
              <w:rPr>
                <w:rFonts w:hint="eastAsia" w:ascii="宋体" w:hAnsi="宋体" w:eastAsia="宋体" w:cs="宋体"/>
                <w:sz w:val="22"/>
                <w:szCs w:val="22"/>
                <w:lang w:val="en-US" w:eastAsia="zh-CN"/>
              </w:rPr>
              <w:t>/</w:t>
            </w:r>
          </w:p>
          <w:p w14:paraId="59A26E9F">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left"/>
              <w:textAlignment w:val="auto"/>
              <w:rPr>
                <w:rFonts w:hint="eastAsia" w:ascii="宋体" w:hAnsi="宋体" w:eastAsia="宋体" w:cs="宋体"/>
                <w:b/>
                <w:sz w:val="22"/>
                <w:szCs w:val="22"/>
                <w:lang w:eastAsia="zh-CN"/>
              </w:rPr>
            </w:pPr>
            <w:r>
              <w:rPr>
                <w:rFonts w:hint="eastAsia" w:ascii="宋体" w:hAnsi="宋体" w:eastAsia="宋体" w:cs="宋体"/>
                <w:sz w:val="22"/>
                <w:szCs w:val="22"/>
                <w:lang w:val="zh-CN"/>
              </w:rPr>
              <w:t>联系方式：</w:t>
            </w:r>
            <w:r>
              <w:rPr>
                <w:rFonts w:hint="eastAsia" w:ascii="宋体" w:hAnsi="宋体" w:eastAsia="宋体" w:cs="宋体"/>
                <w:sz w:val="22"/>
                <w:szCs w:val="22"/>
                <w:lang w:val="en-US" w:eastAsia="zh-CN"/>
              </w:rPr>
              <w:t>/</w:t>
            </w:r>
          </w:p>
        </w:tc>
      </w:tr>
      <w:tr w14:paraId="10C8E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902" w:type="dxa"/>
            <w:vAlign w:val="center"/>
          </w:tcPr>
          <w:p w14:paraId="1E16AB9B">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10.4</w:t>
            </w:r>
          </w:p>
        </w:tc>
        <w:tc>
          <w:tcPr>
            <w:tcW w:w="1692" w:type="dxa"/>
            <w:vAlign w:val="center"/>
          </w:tcPr>
          <w:p w14:paraId="286489D5">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对多包采购</w:t>
            </w:r>
          </w:p>
          <w:p w14:paraId="77C43A08">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的规定</w:t>
            </w:r>
          </w:p>
        </w:tc>
        <w:tc>
          <w:tcPr>
            <w:tcW w:w="5709" w:type="dxa"/>
            <w:vAlign w:val="center"/>
          </w:tcPr>
          <w:p w14:paraId="4CCA4267">
            <w:pPr>
              <w:pStyle w:val="365"/>
              <w:keepNext w:val="0"/>
              <w:keepLines w:val="0"/>
              <w:pageBreakBefore w:val="0"/>
              <w:widowControl w:val="0"/>
              <w:kinsoku/>
              <w:wordWrap/>
              <w:overflowPunct/>
              <w:topLinePunct w:val="0"/>
              <w:bidi w:val="0"/>
              <w:snapToGrid w:val="0"/>
              <w:spacing w:line="240" w:lineRule="auto"/>
              <w:ind w:left="0" w:leftChars="0" w:right="0" w:rightChars="0" w:firstLine="0" w:firstLineChars="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sym w:font="Wingdings" w:char="00FE"/>
            </w:r>
            <w:r>
              <w:rPr>
                <w:rFonts w:hint="eastAsia" w:ascii="宋体" w:hAnsi="宋体" w:eastAsia="宋体" w:cs="宋体"/>
                <w:color w:val="auto"/>
                <w:sz w:val="22"/>
                <w:szCs w:val="22"/>
              </w:rPr>
              <w:t>无</w:t>
            </w:r>
          </w:p>
          <w:p w14:paraId="769FD495">
            <w:pPr>
              <w:keepNext w:val="0"/>
              <w:keepLines w:val="0"/>
              <w:pageBreakBefore w:val="0"/>
              <w:widowControl w:val="0"/>
              <w:kinsoku/>
              <w:wordWrap/>
              <w:overflowPunct/>
              <w:topLinePunct w:val="0"/>
              <w:bidi w:val="0"/>
              <w:adjustRightInd w:val="0"/>
              <w:snapToGrid w:val="0"/>
              <w:spacing w:line="240" w:lineRule="auto"/>
              <w:ind w:left="0" w:leftChars="0" w:right="0" w:rightChars="0" w:firstLine="0" w:firstLineChars="0"/>
              <w:textAlignment w:val="auto"/>
              <w:rPr>
                <w:rFonts w:hint="eastAsia" w:ascii="宋体" w:hAnsi="宋体" w:eastAsia="宋体" w:cs="宋体"/>
                <w:sz w:val="22"/>
                <w:szCs w:val="22"/>
                <w:lang w:val="zh-CN" w:eastAsia="zh-CN"/>
              </w:rPr>
            </w:pPr>
            <w:r>
              <w:rPr>
                <w:rFonts w:hint="eastAsia" w:ascii="宋体" w:hAnsi="宋体" w:eastAsia="宋体" w:cs="宋体"/>
                <w:sz w:val="22"/>
                <w:szCs w:val="22"/>
              </w:rPr>
              <w:sym w:font="Wingdings" w:char="00A8"/>
            </w:r>
            <w:r>
              <w:rPr>
                <w:rFonts w:hint="eastAsia" w:ascii="宋体" w:hAnsi="宋体" w:eastAsia="宋体" w:cs="宋体"/>
                <w:sz w:val="22"/>
                <w:szCs w:val="22"/>
                <w:lang w:val="zh-CN"/>
              </w:rPr>
              <w:t>有：</w:t>
            </w:r>
            <w:r>
              <w:rPr>
                <w:rFonts w:hint="eastAsia" w:ascii="宋体" w:hAnsi="宋体" w:eastAsia="宋体" w:cs="宋体"/>
                <w:sz w:val="22"/>
                <w:szCs w:val="22"/>
                <w:lang w:val="en-US" w:eastAsia="zh-CN"/>
              </w:rPr>
              <w:t>/</w:t>
            </w:r>
          </w:p>
        </w:tc>
      </w:tr>
      <w:tr w14:paraId="54D74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902" w:type="dxa"/>
            <w:vAlign w:val="center"/>
          </w:tcPr>
          <w:p w14:paraId="0D7F786F">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12.1</w:t>
            </w:r>
          </w:p>
        </w:tc>
        <w:tc>
          <w:tcPr>
            <w:tcW w:w="1692" w:type="dxa"/>
            <w:vAlign w:val="center"/>
          </w:tcPr>
          <w:p w14:paraId="13254CA2">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备选方案</w:t>
            </w:r>
          </w:p>
        </w:tc>
        <w:tc>
          <w:tcPr>
            <w:tcW w:w="5709" w:type="dxa"/>
            <w:vAlign w:val="center"/>
          </w:tcPr>
          <w:p w14:paraId="316F5618">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left"/>
              <w:textAlignment w:val="auto"/>
              <w:rPr>
                <w:rFonts w:hint="eastAsia" w:ascii="宋体" w:hAnsi="宋体" w:eastAsia="宋体" w:cs="宋体"/>
                <w:sz w:val="22"/>
                <w:szCs w:val="22"/>
                <w:lang w:val="zh-CN"/>
              </w:rPr>
            </w:pPr>
            <w:r>
              <w:rPr>
                <w:rFonts w:hint="eastAsia" w:ascii="宋体" w:hAnsi="宋体" w:eastAsia="宋体" w:cs="宋体"/>
                <w:sz w:val="22"/>
                <w:szCs w:val="22"/>
              </w:rPr>
              <w:sym w:font="Wingdings" w:char="00FE"/>
            </w:r>
            <w:r>
              <w:rPr>
                <w:rFonts w:hint="eastAsia" w:ascii="宋体" w:hAnsi="宋体" w:eastAsia="宋体" w:cs="宋体"/>
                <w:sz w:val="22"/>
                <w:szCs w:val="22"/>
                <w:lang w:val="zh-CN"/>
              </w:rPr>
              <w:t>不接受备选方案</w:t>
            </w:r>
          </w:p>
          <w:p w14:paraId="421553D0">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left"/>
              <w:textAlignment w:val="auto"/>
              <w:rPr>
                <w:rFonts w:hint="eastAsia" w:ascii="宋体" w:hAnsi="宋体" w:eastAsia="宋体" w:cs="宋体"/>
                <w:sz w:val="22"/>
                <w:szCs w:val="22"/>
                <w:lang w:val="zh-CN"/>
              </w:rPr>
            </w:pPr>
            <w:r>
              <w:rPr>
                <w:rFonts w:hint="eastAsia" w:ascii="宋体" w:hAnsi="宋体" w:eastAsia="宋体" w:cs="宋体"/>
                <w:sz w:val="22"/>
                <w:szCs w:val="22"/>
              </w:rPr>
              <w:sym w:font="Wingdings" w:char="00A8"/>
            </w:r>
            <w:r>
              <w:rPr>
                <w:rFonts w:hint="eastAsia" w:ascii="宋体" w:hAnsi="宋体" w:eastAsia="宋体" w:cs="宋体"/>
                <w:sz w:val="22"/>
                <w:szCs w:val="22"/>
                <w:lang w:val="zh-CN"/>
              </w:rPr>
              <w:t xml:space="preserve">接受备选方案    </w:t>
            </w:r>
          </w:p>
        </w:tc>
      </w:tr>
      <w:tr w14:paraId="1598A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902" w:type="dxa"/>
            <w:vAlign w:val="center"/>
          </w:tcPr>
          <w:p w14:paraId="7C3D263D">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13.1</w:t>
            </w:r>
          </w:p>
        </w:tc>
        <w:tc>
          <w:tcPr>
            <w:tcW w:w="1692" w:type="dxa"/>
            <w:vAlign w:val="center"/>
          </w:tcPr>
          <w:p w14:paraId="74887352">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联合体磋商</w:t>
            </w:r>
          </w:p>
        </w:tc>
        <w:tc>
          <w:tcPr>
            <w:tcW w:w="5709" w:type="dxa"/>
            <w:vAlign w:val="center"/>
          </w:tcPr>
          <w:p w14:paraId="536DD5AF">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left"/>
              <w:textAlignment w:val="auto"/>
              <w:rPr>
                <w:rFonts w:hint="eastAsia" w:ascii="宋体" w:hAnsi="宋体" w:eastAsia="宋体" w:cs="宋体"/>
                <w:sz w:val="22"/>
                <w:szCs w:val="22"/>
                <w:lang w:val="zh-CN"/>
              </w:rPr>
            </w:pPr>
            <w:r>
              <w:rPr>
                <w:rFonts w:hint="eastAsia" w:ascii="宋体" w:hAnsi="宋体" w:eastAsia="宋体" w:cs="宋体"/>
                <w:sz w:val="22"/>
                <w:szCs w:val="22"/>
              </w:rPr>
              <w:sym w:font="Wingdings" w:char="00FE"/>
            </w:r>
            <w:r>
              <w:rPr>
                <w:rFonts w:hint="eastAsia" w:ascii="宋体" w:hAnsi="宋体" w:eastAsia="宋体" w:cs="宋体"/>
                <w:sz w:val="22"/>
                <w:szCs w:val="22"/>
                <w:lang w:val="zh-CN"/>
              </w:rPr>
              <w:t>不接受联合体</w:t>
            </w:r>
          </w:p>
          <w:p w14:paraId="02DB2C6D">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left"/>
              <w:textAlignment w:val="auto"/>
              <w:rPr>
                <w:rFonts w:hint="eastAsia" w:ascii="宋体" w:hAnsi="宋体" w:eastAsia="宋体" w:cs="宋体"/>
                <w:sz w:val="22"/>
                <w:szCs w:val="22"/>
                <w:lang w:val="zh-CN"/>
              </w:rPr>
            </w:pPr>
            <w:r>
              <w:rPr>
                <w:rFonts w:hint="eastAsia" w:ascii="宋体" w:hAnsi="宋体" w:eastAsia="宋体" w:cs="宋体"/>
                <w:sz w:val="22"/>
                <w:szCs w:val="22"/>
              </w:rPr>
              <w:sym w:font="Wingdings" w:char="00A8"/>
            </w:r>
            <w:r>
              <w:rPr>
                <w:rFonts w:hint="eastAsia" w:ascii="宋体" w:hAnsi="宋体" w:eastAsia="宋体" w:cs="宋体"/>
                <w:sz w:val="22"/>
                <w:szCs w:val="22"/>
                <w:lang w:val="zh-CN"/>
              </w:rPr>
              <w:t xml:space="preserve">接受联合体      </w:t>
            </w:r>
          </w:p>
        </w:tc>
      </w:tr>
      <w:tr w14:paraId="24E0F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902" w:type="dxa"/>
            <w:vAlign w:val="center"/>
          </w:tcPr>
          <w:p w14:paraId="207C4591">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14.1</w:t>
            </w:r>
          </w:p>
        </w:tc>
        <w:tc>
          <w:tcPr>
            <w:tcW w:w="1692" w:type="dxa"/>
            <w:vAlign w:val="center"/>
          </w:tcPr>
          <w:p w14:paraId="4AD056D1">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资格证明文件</w:t>
            </w:r>
          </w:p>
        </w:tc>
        <w:tc>
          <w:tcPr>
            <w:tcW w:w="5709" w:type="dxa"/>
            <w:vAlign w:val="center"/>
          </w:tcPr>
          <w:p w14:paraId="28F6CD58">
            <w:pPr>
              <w:keepNext w:val="0"/>
              <w:keepLines w:val="0"/>
              <w:pageBreakBefore w:val="0"/>
              <w:widowControl w:val="0"/>
              <w:kinsoku/>
              <w:wordWrap/>
              <w:overflowPunct/>
              <w:topLinePunct w:val="0"/>
              <w:bidi w:val="0"/>
              <w:snapToGrid w:val="0"/>
              <w:spacing w:line="240" w:lineRule="auto"/>
              <w:ind w:left="0" w:leftChars="0" w:right="0" w:rightChars="0" w:firstLine="0" w:firstLineChars="0"/>
              <w:jc w:val="left"/>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详见第一章“磋商公告”第二项“申请人的资格要求”</w:t>
            </w:r>
          </w:p>
        </w:tc>
      </w:tr>
      <w:tr w14:paraId="046F8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3" w:hRule="atLeast"/>
          <w:jc w:val="center"/>
        </w:trPr>
        <w:tc>
          <w:tcPr>
            <w:tcW w:w="902" w:type="dxa"/>
            <w:vAlign w:val="center"/>
          </w:tcPr>
          <w:p w14:paraId="2AD03E34">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14.2</w:t>
            </w:r>
          </w:p>
        </w:tc>
        <w:tc>
          <w:tcPr>
            <w:tcW w:w="1692" w:type="dxa"/>
            <w:vAlign w:val="center"/>
          </w:tcPr>
          <w:p w14:paraId="18243B34">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其他资格证明</w:t>
            </w:r>
          </w:p>
          <w:p w14:paraId="35AA2200">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文件</w:t>
            </w:r>
          </w:p>
        </w:tc>
        <w:tc>
          <w:tcPr>
            <w:tcW w:w="5709" w:type="dxa"/>
            <w:vAlign w:val="center"/>
          </w:tcPr>
          <w:p w14:paraId="0540D616">
            <w:pPr>
              <w:pStyle w:val="365"/>
              <w:keepNext w:val="0"/>
              <w:keepLines w:val="0"/>
              <w:pageBreakBefore w:val="0"/>
              <w:widowControl w:val="0"/>
              <w:kinsoku/>
              <w:wordWrap/>
              <w:overflowPunct/>
              <w:topLinePunct w:val="0"/>
              <w:bidi w:val="0"/>
              <w:snapToGrid w:val="0"/>
              <w:spacing w:line="240" w:lineRule="auto"/>
              <w:ind w:left="0" w:leftChars="0" w:right="0" w:rightChars="0" w:firstLine="0" w:firstLineChars="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sym w:font="Wingdings" w:char="00A8"/>
            </w:r>
            <w:r>
              <w:rPr>
                <w:rFonts w:hint="eastAsia" w:ascii="宋体" w:hAnsi="宋体" w:eastAsia="宋体" w:cs="宋体"/>
                <w:color w:val="auto"/>
                <w:sz w:val="22"/>
                <w:szCs w:val="22"/>
              </w:rPr>
              <w:t>无</w:t>
            </w:r>
          </w:p>
          <w:p w14:paraId="67D490F7">
            <w:pPr>
              <w:keepNext w:val="0"/>
              <w:keepLines w:val="0"/>
              <w:pageBreakBefore w:val="0"/>
              <w:widowControl w:val="0"/>
              <w:kinsoku/>
              <w:wordWrap/>
              <w:overflowPunct/>
              <w:topLinePunct w:val="0"/>
              <w:bidi w:val="0"/>
              <w:adjustRightInd w:val="0"/>
              <w:snapToGrid w:val="0"/>
              <w:spacing w:line="240" w:lineRule="auto"/>
              <w:ind w:left="0" w:leftChars="0" w:right="0" w:rightChars="0" w:firstLine="0" w:firstLineChars="0"/>
              <w:textAlignment w:val="auto"/>
              <w:rPr>
                <w:rFonts w:hint="eastAsia" w:ascii="宋体" w:hAnsi="宋体" w:eastAsia="宋体" w:cs="宋体"/>
                <w:sz w:val="22"/>
                <w:szCs w:val="22"/>
                <w:lang w:val="zh-CN"/>
              </w:rPr>
            </w:pPr>
            <w:r>
              <w:rPr>
                <w:rFonts w:hint="eastAsia" w:ascii="宋体" w:hAnsi="宋体" w:eastAsia="宋体" w:cs="宋体"/>
                <w:sz w:val="22"/>
                <w:szCs w:val="22"/>
              </w:rPr>
              <w:sym w:font="Wingdings" w:char="00FE"/>
            </w:r>
            <w:r>
              <w:rPr>
                <w:rFonts w:hint="eastAsia" w:ascii="宋体" w:hAnsi="宋体" w:eastAsia="宋体" w:cs="宋体"/>
                <w:sz w:val="22"/>
                <w:szCs w:val="22"/>
                <w:lang w:val="zh-CN"/>
              </w:rPr>
              <w:t>有：</w:t>
            </w:r>
          </w:p>
          <w:p w14:paraId="07F635AD">
            <w:pPr>
              <w:keepNext w:val="0"/>
              <w:keepLines w:val="0"/>
              <w:pageBreakBefore w:val="0"/>
              <w:widowControl w:val="0"/>
              <w:kinsoku/>
              <w:wordWrap/>
              <w:overflowPunct/>
              <w:topLinePunct w:val="0"/>
              <w:bidi w:val="0"/>
              <w:adjustRightInd w:val="0"/>
              <w:snapToGrid w:val="0"/>
              <w:spacing w:line="240" w:lineRule="auto"/>
              <w:ind w:left="0" w:leftChars="0" w:right="0" w:rightChars="0" w:firstLine="0" w:firstLineChars="0"/>
              <w:textAlignment w:val="auto"/>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(1）单位负责人为同一人或者存在直接控股、管理关系的不同供应商，不得参加本项目同一合同项下的政府采购活动。（由供应商在《磋商书》中声明）</w:t>
            </w:r>
          </w:p>
          <w:p w14:paraId="2258B1FF">
            <w:pPr>
              <w:keepNext w:val="0"/>
              <w:keepLines w:val="0"/>
              <w:pageBreakBefore w:val="0"/>
              <w:widowControl w:val="0"/>
              <w:kinsoku/>
              <w:wordWrap/>
              <w:overflowPunct/>
              <w:topLinePunct w:val="0"/>
              <w:bidi w:val="0"/>
              <w:adjustRightInd w:val="0"/>
              <w:snapToGrid w:val="0"/>
              <w:spacing w:line="240" w:lineRule="auto"/>
              <w:ind w:left="0" w:leftChars="0" w:right="0" w:rightChars="0" w:firstLine="0" w:firstLineChars="0"/>
              <w:textAlignment w:val="auto"/>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(2）为本采购项目提供整体设计、规范编制或者项目管理、监理、检测等服务的，不得再参加本项目的其他招标采购活动。（由供应商在《磋商书》中声明）</w:t>
            </w:r>
          </w:p>
        </w:tc>
      </w:tr>
      <w:tr w14:paraId="6B32A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902" w:type="dxa"/>
            <w:vAlign w:val="center"/>
          </w:tcPr>
          <w:p w14:paraId="32F59F20">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15.1</w:t>
            </w:r>
          </w:p>
        </w:tc>
        <w:tc>
          <w:tcPr>
            <w:tcW w:w="1692" w:type="dxa"/>
            <w:vAlign w:val="center"/>
          </w:tcPr>
          <w:p w14:paraId="23CC12D8">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证明响应内容</w:t>
            </w:r>
          </w:p>
          <w:p w14:paraId="2B3D682D">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符合磋商文件要求的文件和磋商文件规定的其他资料</w:t>
            </w:r>
          </w:p>
        </w:tc>
        <w:tc>
          <w:tcPr>
            <w:tcW w:w="5709" w:type="dxa"/>
            <w:vAlign w:val="center"/>
          </w:tcPr>
          <w:p w14:paraId="2EF0637C">
            <w:pPr>
              <w:keepNext w:val="0"/>
              <w:keepLines w:val="0"/>
              <w:pageBreakBefore w:val="0"/>
              <w:widowControl w:val="0"/>
              <w:kinsoku/>
              <w:wordWrap/>
              <w:overflowPunct/>
              <w:topLinePunct w:val="0"/>
              <w:bidi w:val="0"/>
              <w:adjustRightInd w:val="0"/>
              <w:snapToGrid w:val="0"/>
              <w:spacing w:line="240" w:lineRule="auto"/>
              <w:ind w:left="0" w:leftChars="0" w:right="0" w:rightChars="0" w:firstLine="0" w:firstLineChars="0"/>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证明满足磋商文件第三章中技术要求及商务要求的所有相关规定的内容。</w:t>
            </w:r>
          </w:p>
        </w:tc>
      </w:tr>
      <w:tr w14:paraId="73948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902" w:type="dxa"/>
            <w:vAlign w:val="center"/>
          </w:tcPr>
          <w:p w14:paraId="495F3B0C">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16.1</w:t>
            </w:r>
          </w:p>
        </w:tc>
        <w:tc>
          <w:tcPr>
            <w:tcW w:w="1692" w:type="dxa"/>
            <w:vAlign w:val="center"/>
          </w:tcPr>
          <w:p w14:paraId="72A88FA3">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响应文件有效期</w:t>
            </w:r>
          </w:p>
        </w:tc>
        <w:tc>
          <w:tcPr>
            <w:tcW w:w="5709" w:type="dxa"/>
            <w:vAlign w:val="center"/>
          </w:tcPr>
          <w:p w14:paraId="0C94A4EB">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textAlignment w:val="auto"/>
              <w:rPr>
                <w:rFonts w:hint="eastAsia" w:ascii="宋体" w:hAnsi="宋体" w:eastAsia="宋体" w:cs="宋体"/>
                <w:sz w:val="22"/>
                <w:szCs w:val="22"/>
                <w:lang w:val="zh-CN" w:eastAsia="zh-CN"/>
              </w:rPr>
            </w:pPr>
            <w:r>
              <w:rPr>
                <w:rFonts w:hint="eastAsia" w:ascii="宋体" w:hAnsi="宋体" w:eastAsia="宋体" w:cs="宋体"/>
                <w:sz w:val="22"/>
                <w:szCs w:val="22"/>
              </w:rPr>
              <w:t>响应文件递交截止日期后</w:t>
            </w:r>
            <w:r>
              <w:rPr>
                <w:rFonts w:hint="eastAsia" w:ascii="宋体" w:hAnsi="宋体" w:eastAsia="宋体" w:cs="宋体"/>
                <w:sz w:val="22"/>
                <w:szCs w:val="22"/>
                <w:lang w:val="en-US" w:eastAsia="zh-CN"/>
              </w:rPr>
              <w:t>90</w:t>
            </w:r>
            <w:r>
              <w:rPr>
                <w:rFonts w:hint="eastAsia" w:ascii="宋体" w:hAnsi="宋体" w:eastAsia="宋体" w:cs="宋体"/>
                <w:sz w:val="22"/>
                <w:szCs w:val="22"/>
              </w:rPr>
              <w:t>日历</w:t>
            </w:r>
            <w:r>
              <w:rPr>
                <w:rFonts w:hint="eastAsia" w:ascii="宋体" w:hAnsi="宋体" w:eastAsia="宋体" w:cs="宋体"/>
                <w:sz w:val="22"/>
                <w:szCs w:val="22"/>
                <w:lang w:eastAsia="zh-CN"/>
              </w:rPr>
              <w:t>天</w:t>
            </w:r>
          </w:p>
        </w:tc>
      </w:tr>
      <w:tr w14:paraId="23D7A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902" w:type="dxa"/>
            <w:vAlign w:val="center"/>
          </w:tcPr>
          <w:p w14:paraId="742DE0E8">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17.1</w:t>
            </w:r>
          </w:p>
        </w:tc>
        <w:tc>
          <w:tcPr>
            <w:tcW w:w="1692" w:type="dxa"/>
            <w:vAlign w:val="center"/>
          </w:tcPr>
          <w:p w14:paraId="13074C86">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竞争性磋商</w:t>
            </w:r>
          </w:p>
          <w:p w14:paraId="000E1B9B">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响应文件</w:t>
            </w:r>
          </w:p>
          <w:p w14:paraId="194FE39E">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正、副本数量</w:t>
            </w:r>
          </w:p>
        </w:tc>
        <w:tc>
          <w:tcPr>
            <w:tcW w:w="5709" w:type="dxa"/>
            <w:vAlign w:val="center"/>
          </w:tcPr>
          <w:p w14:paraId="0DDDA6A7">
            <w:pPr>
              <w:keepNext w:val="0"/>
              <w:keepLines w:val="0"/>
              <w:pageBreakBefore w:val="0"/>
              <w:widowControl w:val="0"/>
              <w:kinsoku/>
              <w:wordWrap/>
              <w:overflowPunct/>
              <w:topLinePunct w:val="0"/>
              <w:bidi w:val="0"/>
              <w:spacing w:line="240" w:lineRule="auto"/>
              <w:ind w:left="0" w:leftChars="0" w:right="0" w:rightChars="0" w:firstLine="0" w:firstLineChars="0"/>
              <w:textAlignment w:val="auto"/>
              <w:rPr>
                <w:rFonts w:hint="eastAsia" w:ascii="宋体" w:hAnsi="宋体" w:eastAsia="宋体" w:cs="宋体"/>
                <w:sz w:val="22"/>
                <w:szCs w:val="22"/>
              </w:rPr>
            </w:pPr>
            <w:r>
              <w:rPr>
                <w:rFonts w:hint="eastAsia" w:ascii="宋体" w:hAnsi="宋体" w:eastAsia="宋体" w:cs="宋体"/>
                <w:sz w:val="22"/>
                <w:szCs w:val="22"/>
              </w:rPr>
              <w:t>纸质响应文件：正本</w:t>
            </w:r>
            <w:r>
              <w:rPr>
                <w:rFonts w:hint="eastAsia" w:ascii="宋体" w:hAnsi="宋体" w:eastAsia="宋体" w:cs="宋体"/>
                <w:sz w:val="22"/>
                <w:szCs w:val="22"/>
                <w:u w:val="single"/>
                <w:lang w:val="en-US" w:eastAsia="zh-CN"/>
              </w:rPr>
              <w:t>1</w:t>
            </w:r>
            <w:r>
              <w:rPr>
                <w:rFonts w:hint="eastAsia" w:ascii="宋体" w:hAnsi="宋体" w:eastAsia="宋体" w:cs="宋体"/>
                <w:sz w:val="22"/>
                <w:szCs w:val="22"/>
              </w:rPr>
              <w:t>份，副本</w:t>
            </w:r>
            <w:r>
              <w:rPr>
                <w:rFonts w:hint="eastAsia" w:ascii="宋体" w:hAnsi="宋体" w:eastAsia="宋体" w:cs="宋体"/>
                <w:sz w:val="22"/>
                <w:szCs w:val="22"/>
                <w:u w:val="single"/>
                <w:lang w:val="en-US" w:eastAsia="zh-CN"/>
              </w:rPr>
              <w:t>3</w:t>
            </w:r>
            <w:r>
              <w:rPr>
                <w:rFonts w:hint="eastAsia" w:ascii="宋体" w:hAnsi="宋体" w:eastAsia="宋体" w:cs="宋体"/>
                <w:sz w:val="22"/>
                <w:szCs w:val="22"/>
              </w:rPr>
              <w:t>份。正本和副本的封面上应当清楚地标记“正本”或者“副本”字样。正本和副本不一致时，以正本为准。电子响应文件：</w:t>
            </w:r>
            <w:r>
              <w:rPr>
                <w:rFonts w:hint="eastAsia" w:ascii="宋体" w:hAnsi="宋体" w:eastAsia="宋体" w:cs="宋体"/>
                <w:sz w:val="22"/>
                <w:szCs w:val="22"/>
                <w:u w:val="single"/>
                <w:lang w:val="en-US" w:eastAsia="zh-CN"/>
              </w:rPr>
              <w:t>1</w:t>
            </w:r>
            <w:r>
              <w:rPr>
                <w:rFonts w:hint="eastAsia" w:ascii="宋体" w:hAnsi="宋体" w:eastAsia="宋体" w:cs="宋体"/>
                <w:sz w:val="22"/>
                <w:szCs w:val="22"/>
              </w:rPr>
              <w:t>份；格式：正本扫描件PDF版本；介质：U盘。内容与纸质响应文件正本一致，纸质和电子响应文件不一致时，以纸质版为准。</w:t>
            </w:r>
          </w:p>
          <w:p w14:paraId="7411CDB8">
            <w:pPr>
              <w:keepNext w:val="0"/>
              <w:keepLines w:val="0"/>
              <w:pageBreakBefore w:val="0"/>
              <w:widowControl w:val="0"/>
              <w:kinsoku/>
              <w:wordWrap/>
              <w:overflowPunct/>
              <w:topLinePunct w:val="0"/>
              <w:bidi w:val="0"/>
              <w:spacing w:line="240" w:lineRule="auto"/>
              <w:ind w:left="0" w:leftChars="0" w:right="0" w:rightChars="0" w:firstLine="0" w:firstLineChars="0"/>
              <w:textAlignment w:val="auto"/>
              <w:rPr>
                <w:rFonts w:hint="eastAsia" w:ascii="宋体" w:hAnsi="宋体" w:eastAsia="宋体" w:cs="宋体"/>
                <w:sz w:val="22"/>
                <w:szCs w:val="22"/>
              </w:rPr>
            </w:pPr>
            <w:r>
              <w:rPr>
                <w:rFonts w:hint="eastAsia" w:ascii="宋体" w:hAnsi="宋体" w:eastAsia="宋体" w:cs="宋体"/>
                <w:sz w:val="22"/>
                <w:szCs w:val="22"/>
              </w:rPr>
              <w:t>响应文件正本应用不褪色的材料书写或打印，并由供应商代表按磋商文件规定在响应文件上签字并加盖公章。供应商代表是法定代表人的，响应文件应附法定代表人身份证明；供应商代表是授权代理人的，响应文件应附法定代表人签署的授权委托书和授权代理人身份证明。响应文件应尽量避免涂改、行间插字或删除。如果出现上述情况，改动之处应加盖单位章或由供应商代表签字确认。响应文件因字迹潦草、表达不清或装订不当所引起的后果由供应商负责。</w:t>
            </w:r>
          </w:p>
        </w:tc>
      </w:tr>
      <w:tr w14:paraId="7CB05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902" w:type="dxa"/>
            <w:vAlign w:val="center"/>
          </w:tcPr>
          <w:p w14:paraId="26F005C5">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18.4</w:t>
            </w:r>
          </w:p>
        </w:tc>
        <w:tc>
          <w:tcPr>
            <w:tcW w:w="1692" w:type="dxa"/>
            <w:vAlign w:val="center"/>
          </w:tcPr>
          <w:p w14:paraId="183D6EA3">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样品</w:t>
            </w:r>
          </w:p>
        </w:tc>
        <w:tc>
          <w:tcPr>
            <w:tcW w:w="5709" w:type="dxa"/>
            <w:vAlign w:val="center"/>
          </w:tcPr>
          <w:p w14:paraId="1C615B08">
            <w:pPr>
              <w:pStyle w:val="365"/>
              <w:keepNext w:val="0"/>
              <w:keepLines w:val="0"/>
              <w:pageBreakBefore w:val="0"/>
              <w:widowControl w:val="0"/>
              <w:kinsoku/>
              <w:wordWrap/>
              <w:overflowPunct/>
              <w:topLinePunct w:val="0"/>
              <w:bidi w:val="0"/>
              <w:snapToGrid w:val="0"/>
              <w:spacing w:line="240" w:lineRule="auto"/>
              <w:ind w:left="0" w:leftChars="0" w:right="0" w:rightChars="0" w:firstLine="0" w:firstLineChars="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sym w:font="Wingdings" w:char="00FE"/>
            </w:r>
            <w:r>
              <w:rPr>
                <w:rFonts w:hint="eastAsia" w:ascii="宋体" w:hAnsi="宋体" w:eastAsia="宋体" w:cs="宋体"/>
                <w:color w:val="auto"/>
                <w:sz w:val="22"/>
                <w:szCs w:val="22"/>
              </w:rPr>
              <w:t>无</w:t>
            </w:r>
          </w:p>
          <w:p w14:paraId="3B12E3A6">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textAlignment w:val="auto"/>
              <w:rPr>
                <w:rFonts w:hint="eastAsia" w:ascii="宋体" w:hAnsi="宋体" w:eastAsia="宋体" w:cs="宋体"/>
                <w:sz w:val="22"/>
                <w:szCs w:val="22"/>
                <w:lang w:val="zh-CN" w:eastAsia="zh-CN"/>
              </w:rPr>
            </w:pPr>
            <w:r>
              <w:rPr>
                <w:rFonts w:hint="eastAsia" w:ascii="宋体" w:hAnsi="宋体" w:eastAsia="宋体" w:cs="宋体"/>
                <w:sz w:val="22"/>
                <w:szCs w:val="22"/>
              </w:rPr>
              <w:sym w:font="Wingdings" w:char="00A8"/>
            </w:r>
            <w:r>
              <w:rPr>
                <w:rFonts w:hint="eastAsia" w:ascii="宋体" w:hAnsi="宋体" w:eastAsia="宋体" w:cs="宋体"/>
                <w:sz w:val="22"/>
                <w:szCs w:val="22"/>
                <w:lang w:val="zh-CN"/>
              </w:rPr>
              <w:t>有：  样品名称：</w:t>
            </w:r>
            <w:r>
              <w:rPr>
                <w:rFonts w:hint="eastAsia" w:ascii="宋体" w:hAnsi="宋体" w:eastAsia="宋体" w:cs="宋体"/>
                <w:sz w:val="22"/>
                <w:szCs w:val="22"/>
                <w:lang w:val="en-US" w:eastAsia="zh-CN"/>
              </w:rPr>
              <w:t>/</w:t>
            </w:r>
          </w:p>
          <w:p w14:paraId="51C5CE20">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textAlignment w:val="auto"/>
              <w:rPr>
                <w:rFonts w:hint="eastAsia" w:ascii="宋体" w:hAnsi="宋体" w:eastAsia="宋体" w:cs="宋体"/>
                <w:sz w:val="22"/>
                <w:szCs w:val="22"/>
                <w:u w:val="single"/>
                <w:lang w:eastAsia="zh-CN"/>
              </w:rPr>
            </w:pPr>
            <w:r>
              <w:rPr>
                <w:rFonts w:hint="eastAsia" w:ascii="宋体" w:hAnsi="宋体" w:eastAsia="宋体" w:cs="宋体"/>
                <w:sz w:val="22"/>
                <w:szCs w:val="22"/>
                <w:lang w:val="zh-CN"/>
              </w:rPr>
              <w:t>样品数量：</w:t>
            </w:r>
            <w:r>
              <w:rPr>
                <w:rFonts w:hint="eastAsia" w:ascii="宋体" w:hAnsi="宋体" w:eastAsia="宋体" w:cs="宋体"/>
                <w:sz w:val="22"/>
                <w:szCs w:val="22"/>
                <w:lang w:val="en-US" w:eastAsia="zh-CN"/>
              </w:rPr>
              <w:t>/</w:t>
            </w:r>
          </w:p>
        </w:tc>
      </w:tr>
      <w:tr w14:paraId="71127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902" w:type="dxa"/>
            <w:vAlign w:val="center"/>
          </w:tcPr>
          <w:p w14:paraId="75FFC693">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19.1</w:t>
            </w:r>
          </w:p>
        </w:tc>
        <w:tc>
          <w:tcPr>
            <w:tcW w:w="1692" w:type="dxa"/>
            <w:vAlign w:val="center"/>
          </w:tcPr>
          <w:p w14:paraId="5B76D13A">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磋商响应文件送达地点及递交</w:t>
            </w:r>
          </w:p>
          <w:p w14:paraId="5B1CB3B3">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截止时间</w:t>
            </w:r>
          </w:p>
        </w:tc>
        <w:tc>
          <w:tcPr>
            <w:tcW w:w="5709" w:type="dxa"/>
            <w:vAlign w:val="center"/>
          </w:tcPr>
          <w:p w14:paraId="7291E554">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详见第一章“磋商公告”内容。</w:t>
            </w:r>
          </w:p>
        </w:tc>
      </w:tr>
      <w:tr w14:paraId="0397D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902" w:type="dxa"/>
            <w:vAlign w:val="center"/>
          </w:tcPr>
          <w:p w14:paraId="5C584582">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22.1</w:t>
            </w:r>
          </w:p>
        </w:tc>
        <w:tc>
          <w:tcPr>
            <w:tcW w:w="1692" w:type="dxa"/>
            <w:vAlign w:val="center"/>
          </w:tcPr>
          <w:p w14:paraId="1C7B7052">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磋商小组人数</w:t>
            </w:r>
          </w:p>
        </w:tc>
        <w:tc>
          <w:tcPr>
            <w:tcW w:w="5709" w:type="dxa"/>
            <w:vAlign w:val="center"/>
          </w:tcPr>
          <w:p w14:paraId="386B8895">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磋商小组由采购人代表和评审专家共3人以上单数组成，评审专家人数不得少于磋商小组成员总数的2/3，评审专家依法从专家库中随机抽取。</w:t>
            </w:r>
          </w:p>
        </w:tc>
      </w:tr>
      <w:tr w14:paraId="3B45F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902" w:type="dxa"/>
            <w:vAlign w:val="center"/>
          </w:tcPr>
          <w:p w14:paraId="78F258A2">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22.2</w:t>
            </w:r>
          </w:p>
        </w:tc>
        <w:tc>
          <w:tcPr>
            <w:tcW w:w="1692" w:type="dxa"/>
            <w:vAlign w:val="center"/>
          </w:tcPr>
          <w:p w14:paraId="43904D7F">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评审专家的产生</w:t>
            </w:r>
          </w:p>
        </w:tc>
        <w:tc>
          <w:tcPr>
            <w:tcW w:w="5709" w:type="dxa"/>
            <w:vAlign w:val="center"/>
          </w:tcPr>
          <w:p w14:paraId="40FA0E21">
            <w:pPr>
              <w:pStyle w:val="365"/>
              <w:keepNext w:val="0"/>
              <w:keepLines w:val="0"/>
              <w:pageBreakBefore w:val="0"/>
              <w:widowControl w:val="0"/>
              <w:kinsoku/>
              <w:wordWrap/>
              <w:overflowPunct/>
              <w:topLinePunct w:val="0"/>
              <w:bidi w:val="0"/>
              <w:snapToGrid w:val="0"/>
              <w:spacing w:line="240" w:lineRule="auto"/>
              <w:ind w:left="0" w:leftChars="0" w:right="0" w:rightChars="0" w:firstLine="0" w:firstLineChars="0"/>
              <w:textAlignment w:val="auto"/>
              <w:rPr>
                <w:rFonts w:hint="eastAsia" w:ascii="宋体" w:hAnsi="宋体" w:eastAsia="宋体" w:cs="宋体"/>
                <w:color w:val="auto"/>
                <w:sz w:val="22"/>
                <w:szCs w:val="22"/>
                <w:lang w:val="zh-CN"/>
              </w:rPr>
            </w:pPr>
            <w:r>
              <w:rPr>
                <w:rFonts w:hint="eastAsia" w:ascii="宋体" w:hAnsi="宋体" w:eastAsia="宋体" w:cs="宋体"/>
                <w:color w:val="auto"/>
                <w:sz w:val="22"/>
                <w:szCs w:val="22"/>
              </w:rPr>
              <w:sym w:font="Wingdings" w:char="00FE"/>
            </w:r>
            <w:r>
              <w:rPr>
                <w:rFonts w:hint="eastAsia" w:ascii="宋体" w:hAnsi="宋体" w:eastAsia="宋体" w:cs="宋体"/>
                <w:color w:val="auto"/>
                <w:sz w:val="22"/>
                <w:szCs w:val="22"/>
                <w:lang w:val="zh-CN"/>
              </w:rPr>
              <w:t>专家库中随机抽取</w:t>
            </w:r>
          </w:p>
          <w:p w14:paraId="2CA856F7">
            <w:pPr>
              <w:keepNext w:val="0"/>
              <w:keepLines w:val="0"/>
              <w:pageBreakBefore w:val="0"/>
              <w:widowControl w:val="0"/>
              <w:kinsoku/>
              <w:wordWrap/>
              <w:overflowPunct/>
              <w:topLinePunct w:val="0"/>
              <w:bidi w:val="0"/>
              <w:adjustRightInd w:val="0"/>
              <w:snapToGrid w:val="0"/>
              <w:spacing w:line="240" w:lineRule="auto"/>
              <w:ind w:left="0" w:leftChars="0" w:right="0" w:rightChars="0" w:firstLine="0" w:firstLineChars="0"/>
              <w:textAlignment w:val="auto"/>
              <w:rPr>
                <w:rFonts w:hint="eastAsia" w:ascii="宋体" w:hAnsi="宋体" w:eastAsia="宋体" w:cs="宋体"/>
                <w:snapToGrid w:val="0"/>
                <w:sz w:val="22"/>
                <w:szCs w:val="22"/>
                <w:u w:val="single"/>
                <w:lang w:val="zh-CN"/>
              </w:rPr>
            </w:pPr>
            <w:r>
              <w:rPr>
                <w:rFonts w:hint="eastAsia" w:ascii="宋体" w:hAnsi="宋体" w:eastAsia="宋体" w:cs="宋体"/>
                <w:sz w:val="22"/>
                <w:szCs w:val="22"/>
              </w:rPr>
              <w:sym w:font="Wingdings" w:char="00A8"/>
            </w:r>
            <w:r>
              <w:rPr>
                <w:rFonts w:hint="eastAsia" w:ascii="宋体" w:hAnsi="宋体" w:eastAsia="宋体" w:cs="宋体"/>
                <w:sz w:val="22"/>
                <w:szCs w:val="22"/>
                <w:lang w:val="zh-CN"/>
              </w:rPr>
              <w:t>其他：</w:t>
            </w:r>
            <w:r>
              <w:rPr>
                <w:rFonts w:hint="eastAsia" w:ascii="宋体" w:hAnsi="宋体" w:eastAsia="宋体" w:cs="宋体"/>
                <w:sz w:val="22"/>
                <w:szCs w:val="22"/>
                <w:lang w:val="en-US" w:eastAsia="zh-CN"/>
              </w:rPr>
              <w:t>/</w:t>
            </w:r>
            <w:r>
              <w:rPr>
                <w:rFonts w:hint="eastAsia" w:ascii="宋体" w:hAnsi="宋体" w:eastAsia="宋体" w:cs="宋体"/>
                <w:sz w:val="22"/>
                <w:szCs w:val="22"/>
                <w:lang w:val="zh-CN"/>
              </w:rPr>
              <w:t xml:space="preserve">   </w:t>
            </w:r>
          </w:p>
        </w:tc>
      </w:tr>
      <w:tr w14:paraId="3FFAD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32" w:hRule="atLeast"/>
          <w:jc w:val="center"/>
        </w:trPr>
        <w:tc>
          <w:tcPr>
            <w:tcW w:w="902" w:type="dxa"/>
            <w:vAlign w:val="center"/>
          </w:tcPr>
          <w:p w14:paraId="2DEA8366">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25.4</w:t>
            </w:r>
          </w:p>
        </w:tc>
        <w:tc>
          <w:tcPr>
            <w:tcW w:w="1692" w:type="dxa"/>
            <w:vAlign w:val="center"/>
          </w:tcPr>
          <w:p w14:paraId="45D7D1D0">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确定提交最后报价供应商的方式</w:t>
            </w:r>
          </w:p>
        </w:tc>
        <w:tc>
          <w:tcPr>
            <w:tcW w:w="5709" w:type="dxa"/>
            <w:vAlign w:val="center"/>
          </w:tcPr>
          <w:p w14:paraId="00F21818">
            <w:pPr>
              <w:pStyle w:val="365"/>
              <w:keepNext w:val="0"/>
              <w:keepLines w:val="0"/>
              <w:pageBreakBefore w:val="0"/>
              <w:widowControl w:val="0"/>
              <w:kinsoku/>
              <w:wordWrap/>
              <w:overflowPunct/>
              <w:topLinePunct w:val="0"/>
              <w:bidi w:val="0"/>
              <w:snapToGrid w:val="0"/>
              <w:spacing w:line="240" w:lineRule="auto"/>
              <w:ind w:left="0" w:leftChars="0" w:right="0" w:rightChars="0" w:firstLine="0" w:firstLineChars="0"/>
              <w:textAlignment w:val="auto"/>
              <w:rPr>
                <w:rFonts w:hint="eastAsia" w:ascii="宋体" w:hAnsi="宋体" w:eastAsia="宋体" w:cs="宋体"/>
                <w:color w:val="auto"/>
                <w:sz w:val="22"/>
                <w:szCs w:val="22"/>
                <w:lang w:val="zh-CN"/>
              </w:rPr>
            </w:pPr>
            <w:r>
              <w:rPr>
                <w:rFonts w:hint="eastAsia" w:ascii="宋体" w:hAnsi="宋体" w:eastAsia="宋体" w:cs="宋体"/>
                <w:color w:val="auto"/>
                <w:sz w:val="22"/>
                <w:szCs w:val="22"/>
              </w:rPr>
              <w:sym w:font="Wingdings" w:char="00FE"/>
            </w:r>
            <w:r>
              <w:rPr>
                <w:rFonts w:hint="eastAsia" w:ascii="宋体" w:hAnsi="宋体" w:eastAsia="宋体" w:cs="宋体"/>
                <w:color w:val="auto"/>
                <w:sz w:val="22"/>
                <w:szCs w:val="22"/>
                <w:lang w:val="zh-CN"/>
              </w:rPr>
              <w:t>本项目按照第（1）条规定确定提交最后报价供应商</w:t>
            </w:r>
          </w:p>
          <w:p w14:paraId="4A07E3F7">
            <w:pPr>
              <w:keepNext w:val="0"/>
              <w:keepLines w:val="0"/>
              <w:pageBreakBefore w:val="0"/>
              <w:widowControl w:val="0"/>
              <w:kinsoku/>
              <w:wordWrap/>
              <w:overflowPunct/>
              <w:topLinePunct w:val="0"/>
              <w:bidi w:val="0"/>
              <w:adjustRightInd w:val="0"/>
              <w:snapToGrid w:val="0"/>
              <w:spacing w:line="240" w:lineRule="auto"/>
              <w:ind w:left="0" w:leftChars="0" w:right="0" w:rightChars="0" w:firstLine="0" w:firstLineChars="0"/>
              <w:textAlignment w:val="auto"/>
              <w:rPr>
                <w:rFonts w:hint="eastAsia" w:ascii="宋体" w:hAnsi="宋体" w:eastAsia="宋体" w:cs="宋体"/>
                <w:snapToGrid w:val="0"/>
                <w:sz w:val="22"/>
                <w:szCs w:val="22"/>
                <w:lang w:val="zh-CN"/>
              </w:rPr>
            </w:pPr>
            <w:r>
              <w:rPr>
                <w:rFonts w:hint="eastAsia" w:ascii="宋体" w:hAnsi="宋体" w:eastAsia="宋体" w:cs="宋体"/>
                <w:sz w:val="22"/>
                <w:szCs w:val="22"/>
              </w:rPr>
              <w:sym w:font="Wingdings" w:char="00A8"/>
            </w:r>
            <w:r>
              <w:rPr>
                <w:rFonts w:hint="eastAsia" w:ascii="宋体" w:hAnsi="宋体" w:eastAsia="宋体" w:cs="宋体"/>
                <w:sz w:val="22"/>
                <w:szCs w:val="22"/>
                <w:lang w:val="zh-CN"/>
              </w:rPr>
              <w:t>本项目适用第（2）条规定确定提交最后报价供应商</w:t>
            </w:r>
          </w:p>
        </w:tc>
      </w:tr>
      <w:tr w14:paraId="32A2C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0" w:hRule="atLeast"/>
          <w:jc w:val="center"/>
        </w:trPr>
        <w:tc>
          <w:tcPr>
            <w:tcW w:w="902" w:type="dxa"/>
            <w:vAlign w:val="center"/>
          </w:tcPr>
          <w:p w14:paraId="13276CE4">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26.2</w:t>
            </w:r>
          </w:p>
        </w:tc>
        <w:tc>
          <w:tcPr>
            <w:tcW w:w="1692" w:type="dxa"/>
            <w:vAlign w:val="center"/>
          </w:tcPr>
          <w:p w14:paraId="24E83BF3">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推荐成交候选</w:t>
            </w:r>
          </w:p>
          <w:p w14:paraId="41642175">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供应商数量</w:t>
            </w:r>
          </w:p>
        </w:tc>
        <w:tc>
          <w:tcPr>
            <w:tcW w:w="5709" w:type="dxa"/>
            <w:vAlign w:val="center"/>
          </w:tcPr>
          <w:p w14:paraId="36585AE1">
            <w:pPr>
              <w:keepNext w:val="0"/>
              <w:keepLines w:val="0"/>
              <w:pageBreakBefore w:val="0"/>
              <w:widowControl w:val="0"/>
              <w:kinsoku/>
              <w:wordWrap/>
              <w:overflowPunct/>
              <w:topLinePunct w:val="0"/>
              <w:bidi w:val="0"/>
              <w:adjustRightInd w:val="0"/>
              <w:snapToGrid w:val="0"/>
              <w:spacing w:line="240" w:lineRule="auto"/>
              <w:ind w:left="0" w:leftChars="0" w:right="0" w:rightChars="0" w:firstLine="0" w:firstLineChars="0"/>
              <w:textAlignment w:val="auto"/>
              <w:rPr>
                <w:rFonts w:hint="eastAsia" w:ascii="宋体" w:hAnsi="宋体" w:eastAsia="宋体" w:cs="宋体"/>
                <w:sz w:val="22"/>
                <w:szCs w:val="22"/>
              </w:rPr>
            </w:pPr>
            <w:r>
              <w:rPr>
                <w:rFonts w:hint="eastAsia" w:ascii="宋体" w:hAnsi="宋体" w:eastAsia="宋体" w:cs="宋体"/>
                <w:sz w:val="22"/>
                <w:szCs w:val="22"/>
              </w:rPr>
              <w:t>本项目推荐3名成交候选供应商。</w:t>
            </w:r>
          </w:p>
        </w:tc>
      </w:tr>
      <w:tr w14:paraId="32D30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99" w:hRule="atLeast"/>
          <w:jc w:val="center"/>
        </w:trPr>
        <w:tc>
          <w:tcPr>
            <w:tcW w:w="902" w:type="dxa"/>
            <w:vAlign w:val="center"/>
          </w:tcPr>
          <w:p w14:paraId="25311137">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27.4</w:t>
            </w:r>
          </w:p>
        </w:tc>
        <w:tc>
          <w:tcPr>
            <w:tcW w:w="1692" w:type="dxa"/>
            <w:vAlign w:val="center"/>
          </w:tcPr>
          <w:p w14:paraId="166B1A9A">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成交通知书的</w:t>
            </w:r>
          </w:p>
          <w:p w14:paraId="5D9C145A">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领取时间</w:t>
            </w:r>
          </w:p>
        </w:tc>
        <w:tc>
          <w:tcPr>
            <w:tcW w:w="5709" w:type="dxa"/>
            <w:vAlign w:val="center"/>
          </w:tcPr>
          <w:p w14:paraId="26EB8E2A">
            <w:pPr>
              <w:keepNext w:val="0"/>
              <w:keepLines w:val="0"/>
              <w:pageBreakBefore w:val="0"/>
              <w:widowControl w:val="0"/>
              <w:kinsoku/>
              <w:wordWrap/>
              <w:overflowPunct/>
              <w:topLinePunct w:val="0"/>
              <w:bidi w:val="0"/>
              <w:adjustRightInd w:val="0"/>
              <w:snapToGrid w:val="0"/>
              <w:spacing w:line="240" w:lineRule="auto"/>
              <w:ind w:left="0" w:leftChars="0" w:right="0" w:rightChars="0" w:firstLine="0" w:firstLineChars="0"/>
              <w:textAlignment w:val="auto"/>
              <w:rPr>
                <w:rFonts w:hint="eastAsia" w:ascii="宋体" w:hAnsi="宋体" w:eastAsia="宋体" w:cs="宋体"/>
                <w:sz w:val="22"/>
                <w:szCs w:val="22"/>
                <w:bdr w:val="single" w:color="auto" w:sz="4" w:space="0"/>
              </w:rPr>
            </w:pPr>
            <w:r>
              <w:rPr>
                <w:rFonts w:hint="eastAsia" w:ascii="宋体" w:hAnsi="宋体" w:eastAsia="宋体" w:cs="宋体"/>
                <w:sz w:val="22"/>
                <w:szCs w:val="22"/>
                <w:lang w:val="zh-CN"/>
              </w:rPr>
              <w:t>成交通知书与成交结果公告同时发出，成交供应商在成交结果公告发布以后即可领取。</w:t>
            </w:r>
          </w:p>
        </w:tc>
      </w:tr>
      <w:tr w14:paraId="4DF4C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902" w:type="dxa"/>
            <w:vAlign w:val="center"/>
          </w:tcPr>
          <w:p w14:paraId="215930A5">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28.1</w:t>
            </w:r>
          </w:p>
        </w:tc>
        <w:tc>
          <w:tcPr>
            <w:tcW w:w="1692" w:type="dxa"/>
            <w:vAlign w:val="center"/>
          </w:tcPr>
          <w:p w14:paraId="36F74281">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履约保证金</w:t>
            </w:r>
          </w:p>
        </w:tc>
        <w:tc>
          <w:tcPr>
            <w:tcW w:w="5709" w:type="dxa"/>
            <w:vAlign w:val="center"/>
          </w:tcPr>
          <w:p w14:paraId="0EBAA449">
            <w:pPr>
              <w:pStyle w:val="365"/>
              <w:keepNext w:val="0"/>
              <w:keepLines w:val="0"/>
              <w:pageBreakBefore w:val="0"/>
              <w:widowControl w:val="0"/>
              <w:kinsoku/>
              <w:wordWrap/>
              <w:overflowPunct/>
              <w:topLinePunct w:val="0"/>
              <w:bidi w:val="0"/>
              <w:snapToGrid w:val="0"/>
              <w:spacing w:line="240" w:lineRule="auto"/>
              <w:ind w:left="0" w:leftChars="0" w:right="0" w:rightChars="0" w:firstLine="0" w:firstLineChars="0"/>
              <w:textAlignment w:val="auto"/>
              <w:rPr>
                <w:rFonts w:hint="eastAsia" w:ascii="宋体" w:hAnsi="宋体" w:eastAsia="宋体" w:cs="宋体"/>
                <w:color w:val="auto"/>
                <w:sz w:val="22"/>
                <w:szCs w:val="22"/>
                <w:lang w:val="zh-CN"/>
              </w:rPr>
            </w:pPr>
            <w:r>
              <w:rPr>
                <w:rFonts w:hint="eastAsia" w:ascii="宋体" w:hAnsi="宋体" w:eastAsia="宋体" w:cs="宋体"/>
                <w:color w:val="auto"/>
                <w:sz w:val="22"/>
                <w:szCs w:val="22"/>
              </w:rPr>
              <w:sym w:font="Wingdings" w:char="00FE"/>
            </w:r>
            <w:r>
              <w:rPr>
                <w:rFonts w:hint="eastAsia" w:ascii="宋体" w:hAnsi="宋体" w:eastAsia="宋体" w:cs="宋体"/>
                <w:color w:val="auto"/>
                <w:sz w:val="22"/>
                <w:szCs w:val="22"/>
              </w:rPr>
              <w:t>无</w:t>
            </w:r>
          </w:p>
          <w:p w14:paraId="452B47A0">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left"/>
              <w:textAlignment w:val="auto"/>
              <w:rPr>
                <w:rFonts w:hint="eastAsia" w:ascii="宋体" w:hAnsi="宋体" w:eastAsia="宋体" w:cs="宋体"/>
                <w:sz w:val="22"/>
                <w:szCs w:val="22"/>
                <w:lang w:val="zh-CN"/>
              </w:rPr>
            </w:pPr>
            <w:r>
              <w:rPr>
                <w:rFonts w:hint="eastAsia" w:ascii="宋体" w:hAnsi="宋体" w:eastAsia="宋体" w:cs="宋体"/>
                <w:sz w:val="22"/>
                <w:szCs w:val="22"/>
              </w:rPr>
              <w:sym w:font="Wingdings" w:char="00A8"/>
            </w:r>
            <w:r>
              <w:rPr>
                <w:rFonts w:hint="eastAsia" w:ascii="宋体" w:hAnsi="宋体" w:eastAsia="宋体" w:cs="宋体"/>
                <w:sz w:val="22"/>
                <w:szCs w:val="22"/>
                <w:lang w:val="zh-CN"/>
              </w:rPr>
              <w:t>有：  履约保证金金额：</w:t>
            </w:r>
            <w:r>
              <w:rPr>
                <w:rFonts w:hint="eastAsia" w:ascii="宋体" w:hAnsi="宋体" w:eastAsia="宋体" w:cs="宋体"/>
                <w:sz w:val="22"/>
                <w:szCs w:val="22"/>
                <w:lang w:val="en-US" w:eastAsia="zh-CN"/>
              </w:rPr>
              <w:t>/</w:t>
            </w:r>
            <w:r>
              <w:rPr>
                <w:rFonts w:hint="eastAsia" w:ascii="宋体" w:hAnsi="宋体" w:eastAsia="宋体" w:cs="宋体"/>
                <w:sz w:val="22"/>
                <w:szCs w:val="22"/>
                <w:lang w:val="zh-CN"/>
              </w:rPr>
              <w:t xml:space="preserve">            </w:t>
            </w:r>
          </w:p>
          <w:p w14:paraId="1BFDACF9">
            <w:pPr>
              <w:keepNext w:val="0"/>
              <w:keepLines w:val="0"/>
              <w:pageBreakBefore w:val="0"/>
              <w:widowControl w:val="0"/>
              <w:kinsoku/>
              <w:wordWrap/>
              <w:overflowPunct/>
              <w:topLinePunct w:val="0"/>
              <w:bidi w:val="0"/>
              <w:adjustRightInd w:val="0"/>
              <w:snapToGrid w:val="0"/>
              <w:spacing w:line="240" w:lineRule="auto"/>
              <w:ind w:left="0" w:leftChars="0" w:right="0" w:rightChars="0" w:firstLine="0" w:firstLineChars="0"/>
              <w:textAlignment w:val="auto"/>
              <w:rPr>
                <w:rFonts w:hint="eastAsia" w:ascii="宋体" w:hAnsi="宋体" w:eastAsia="宋体" w:cs="宋体"/>
                <w:sz w:val="22"/>
                <w:szCs w:val="22"/>
              </w:rPr>
            </w:pPr>
            <w:r>
              <w:rPr>
                <w:rFonts w:hint="eastAsia" w:ascii="宋体" w:hAnsi="宋体" w:eastAsia="宋体" w:cs="宋体"/>
                <w:sz w:val="22"/>
                <w:szCs w:val="22"/>
                <w:lang w:val="zh-CN"/>
              </w:rPr>
              <w:t>履约保证金提交形式：</w:t>
            </w:r>
            <w:r>
              <w:rPr>
                <w:rFonts w:hint="eastAsia" w:ascii="宋体" w:hAnsi="宋体" w:eastAsia="宋体" w:cs="宋体"/>
                <w:sz w:val="22"/>
                <w:szCs w:val="22"/>
                <w:lang w:val="en-US" w:eastAsia="zh-CN"/>
              </w:rPr>
              <w:t>/</w:t>
            </w:r>
            <w:r>
              <w:rPr>
                <w:rFonts w:hint="eastAsia" w:ascii="宋体" w:hAnsi="宋体" w:eastAsia="宋体" w:cs="宋体"/>
                <w:sz w:val="22"/>
                <w:szCs w:val="22"/>
                <w:lang w:val="zh-CN"/>
              </w:rPr>
              <w:t xml:space="preserve">           </w:t>
            </w:r>
          </w:p>
        </w:tc>
      </w:tr>
      <w:tr w14:paraId="1F194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902" w:type="dxa"/>
            <w:vAlign w:val="center"/>
          </w:tcPr>
          <w:p w14:paraId="5D911C07">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29.1</w:t>
            </w:r>
          </w:p>
        </w:tc>
        <w:tc>
          <w:tcPr>
            <w:tcW w:w="1692" w:type="dxa"/>
            <w:vAlign w:val="center"/>
          </w:tcPr>
          <w:p w14:paraId="3DE6DCC4">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质疑期</w:t>
            </w:r>
          </w:p>
        </w:tc>
        <w:tc>
          <w:tcPr>
            <w:tcW w:w="5709" w:type="dxa"/>
            <w:vAlign w:val="center"/>
          </w:tcPr>
          <w:p w14:paraId="10D22E84">
            <w:pPr>
              <w:keepNext w:val="0"/>
              <w:keepLines w:val="0"/>
              <w:pageBreakBefore w:val="0"/>
              <w:widowControl w:val="0"/>
              <w:kinsoku/>
              <w:wordWrap/>
              <w:overflowPunct/>
              <w:topLinePunct w:val="0"/>
              <w:bidi w:val="0"/>
              <w:adjustRightInd w:val="0"/>
              <w:snapToGrid w:val="0"/>
              <w:spacing w:line="240" w:lineRule="auto"/>
              <w:ind w:left="0" w:leftChars="0" w:right="0" w:rightChars="0" w:firstLine="0" w:firstLineChars="0"/>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供应商认为磋商文件、磋商过程和成交结果使自己的权益受到损害的，可以在知道或者应知其权益受到损害之日起7个工作日内，以书面形式向采购人或采购代理机构提出质疑。</w:t>
            </w:r>
          </w:p>
          <w:p w14:paraId="179D5ECF">
            <w:pPr>
              <w:keepNext w:val="0"/>
              <w:keepLines w:val="0"/>
              <w:pageBreakBefore w:val="0"/>
              <w:widowControl w:val="0"/>
              <w:kinsoku/>
              <w:wordWrap/>
              <w:overflowPunct/>
              <w:topLinePunct w:val="0"/>
              <w:bidi w:val="0"/>
              <w:adjustRightInd w:val="0"/>
              <w:snapToGrid w:val="0"/>
              <w:spacing w:line="240" w:lineRule="auto"/>
              <w:ind w:left="0" w:leftChars="0" w:right="0" w:rightChars="0" w:firstLine="0" w:firstLineChars="0"/>
              <w:textAlignment w:val="auto"/>
              <w:rPr>
                <w:rFonts w:hint="eastAsia" w:ascii="宋体" w:hAnsi="宋体" w:eastAsia="宋体" w:cs="宋体"/>
                <w:sz w:val="22"/>
                <w:szCs w:val="22"/>
              </w:rPr>
            </w:pPr>
            <w:r>
              <w:rPr>
                <w:rFonts w:hint="eastAsia" w:ascii="宋体" w:hAnsi="宋体" w:eastAsia="宋体" w:cs="宋体"/>
                <w:sz w:val="22"/>
                <w:szCs w:val="22"/>
              </w:rPr>
              <w:t>联系人：</w:t>
            </w:r>
            <w:r>
              <w:rPr>
                <w:rFonts w:hint="eastAsia" w:ascii="宋体" w:hAnsi="宋体" w:eastAsia="宋体" w:cs="宋体"/>
                <w:sz w:val="22"/>
                <w:szCs w:val="22"/>
                <w:highlight w:val="none"/>
                <w:u w:val="single"/>
              </w:rPr>
              <w:t>魏峥、吴利艳</w:t>
            </w:r>
            <w:r>
              <w:rPr>
                <w:rFonts w:hint="eastAsia" w:ascii="宋体" w:hAnsi="宋体" w:eastAsia="宋体" w:cs="宋体"/>
                <w:sz w:val="22"/>
                <w:szCs w:val="22"/>
              </w:rPr>
              <w:t>，联系电话：</w:t>
            </w:r>
            <w:r>
              <w:rPr>
                <w:rFonts w:hint="eastAsia" w:ascii="宋体" w:hAnsi="宋体" w:eastAsia="宋体" w:cs="宋体"/>
                <w:sz w:val="22"/>
                <w:szCs w:val="22"/>
                <w:highlight w:val="none"/>
                <w:u w:val="single"/>
                <w:lang w:val="en-US" w:eastAsia="zh-CN"/>
              </w:rPr>
              <w:t>13995867616</w:t>
            </w:r>
            <w:r>
              <w:rPr>
                <w:rFonts w:hint="eastAsia" w:ascii="宋体" w:hAnsi="宋体" w:eastAsia="宋体" w:cs="宋体"/>
                <w:sz w:val="22"/>
                <w:szCs w:val="22"/>
              </w:rPr>
              <w:t>。</w:t>
            </w:r>
          </w:p>
        </w:tc>
      </w:tr>
      <w:tr w14:paraId="17EF9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902" w:type="dxa"/>
            <w:vAlign w:val="center"/>
          </w:tcPr>
          <w:p w14:paraId="61F848A1">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30.1</w:t>
            </w:r>
          </w:p>
        </w:tc>
        <w:tc>
          <w:tcPr>
            <w:tcW w:w="1692" w:type="dxa"/>
            <w:vAlign w:val="center"/>
          </w:tcPr>
          <w:p w14:paraId="38119AD8">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质疑回复</w:t>
            </w:r>
          </w:p>
        </w:tc>
        <w:tc>
          <w:tcPr>
            <w:tcW w:w="5709" w:type="dxa"/>
            <w:vAlign w:val="center"/>
          </w:tcPr>
          <w:p w14:paraId="2CAFBEEE">
            <w:pPr>
              <w:keepNext w:val="0"/>
              <w:keepLines w:val="0"/>
              <w:pageBreakBefore w:val="0"/>
              <w:widowControl w:val="0"/>
              <w:kinsoku/>
              <w:wordWrap/>
              <w:overflowPunct/>
              <w:topLinePunct w:val="0"/>
              <w:bidi w:val="0"/>
              <w:adjustRightInd w:val="0"/>
              <w:snapToGrid w:val="0"/>
              <w:spacing w:line="240" w:lineRule="auto"/>
              <w:ind w:left="0" w:leftChars="0" w:right="0" w:rightChars="0" w:firstLine="0" w:firstLineChars="0"/>
              <w:textAlignment w:val="auto"/>
              <w:rPr>
                <w:rFonts w:hint="eastAsia" w:ascii="宋体" w:hAnsi="宋体" w:eastAsia="宋体" w:cs="宋体"/>
                <w:sz w:val="22"/>
                <w:szCs w:val="22"/>
              </w:rPr>
            </w:pPr>
            <w:r>
              <w:rPr>
                <w:rFonts w:hint="eastAsia" w:ascii="宋体" w:hAnsi="宋体" w:eastAsia="宋体" w:cs="宋体"/>
                <w:sz w:val="22"/>
                <w:szCs w:val="22"/>
                <w:lang w:val="zh-CN"/>
              </w:rPr>
              <w:t>采购人或采购代理机构应当在收到供应商的书面质疑后7个工作日内作出答复，并以书面形式通知质疑供应商和其他有关供应商，但答复的内容不得涉及商业秘密。</w:t>
            </w:r>
          </w:p>
        </w:tc>
      </w:tr>
      <w:tr w14:paraId="39086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902" w:type="dxa"/>
            <w:vAlign w:val="center"/>
          </w:tcPr>
          <w:p w14:paraId="233295A3">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32.1</w:t>
            </w:r>
          </w:p>
        </w:tc>
        <w:tc>
          <w:tcPr>
            <w:tcW w:w="1692" w:type="dxa"/>
            <w:vAlign w:val="center"/>
          </w:tcPr>
          <w:p w14:paraId="38622F1B">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是否接受进口产品</w:t>
            </w:r>
          </w:p>
        </w:tc>
        <w:tc>
          <w:tcPr>
            <w:tcW w:w="5709" w:type="dxa"/>
            <w:vAlign w:val="center"/>
          </w:tcPr>
          <w:p w14:paraId="569FCF19">
            <w:pPr>
              <w:pStyle w:val="365"/>
              <w:keepNext w:val="0"/>
              <w:keepLines w:val="0"/>
              <w:pageBreakBefore w:val="0"/>
              <w:widowControl w:val="0"/>
              <w:kinsoku/>
              <w:wordWrap/>
              <w:overflowPunct/>
              <w:topLinePunct w:val="0"/>
              <w:bidi w:val="0"/>
              <w:snapToGrid w:val="0"/>
              <w:spacing w:line="240" w:lineRule="auto"/>
              <w:ind w:left="0" w:leftChars="0" w:right="0" w:rightChars="0" w:firstLine="0" w:firstLineChars="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sym w:font="Wingdings" w:char="00FE"/>
            </w:r>
            <w:r>
              <w:rPr>
                <w:rFonts w:hint="eastAsia" w:ascii="宋体" w:hAnsi="宋体" w:eastAsia="宋体" w:cs="宋体"/>
                <w:color w:val="auto"/>
                <w:sz w:val="22"/>
                <w:szCs w:val="22"/>
              </w:rPr>
              <w:t>不接受</w:t>
            </w:r>
          </w:p>
          <w:p w14:paraId="26E1F51F">
            <w:pPr>
              <w:keepNext w:val="0"/>
              <w:keepLines w:val="0"/>
              <w:pageBreakBefore w:val="0"/>
              <w:widowControl w:val="0"/>
              <w:kinsoku/>
              <w:wordWrap/>
              <w:overflowPunct/>
              <w:topLinePunct w:val="0"/>
              <w:bidi w:val="0"/>
              <w:adjustRightInd w:val="0"/>
              <w:snapToGrid w:val="0"/>
              <w:spacing w:line="240" w:lineRule="auto"/>
              <w:ind w:left="0" w:leftChars="0" w:right="0" w:rightChars="0" w:firstLine="0" w:firstLineChars="0"/>
              <w:textAlignment w:val="auto"/>
              <w:rPr>
                <w:rFonts w:hint="eastAsia" w:ascii="宋体" w:hAnsi="宋体" w:eastAsia="宋体" w:cs="宋体"/>
                <w:sz w:val="22"/>
                <w:szCs w:val="22"/>
                <w:lang w:val="zh-CN"/>
              </w:rPr>
            </w:pPr>
            <w:r>
              <w:rPr>
                <w:rFonts w:hint="eastAsia" w:ascii="宋体" w:hAnsi="宋体" w:eastAsia="宋体" w:cs="宋体"/>
                <w:sz w:val="22"/>
                <w:szCs w:val="22"/>
              </w:rPr>
              <w:sym w:font="Wingdings" w:char="00A8"/>
            </w:r>
            <w:r>
              <w:rPr>
                <w:rFonts w:hint="eastAsia" w:ascii="宋体" w:hAnsi="宋体" w:eastAsia="宋体" w:cs="宋体"/>
                <w:sz w:val="22"/>
                <w:szCs w:val="22"/>
                <w:lang w:val="zh-CN"/>
              </w:rPr>
              <w:t>接  受</w:t>
            </w:r>
          </w:p>
        </w:tc>
      </w:tr>
      <w:tr w14:paraId="09D0E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902" w:type="dxa"/>
            <w:vAlign w:val="center"/>
          </w:tcPr>
          <w:p w14:paraId="28400AFA">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33.1</w:t>
            </w:r>
          </w:p>
        </w:tc>
        <w:tc>
          <w:tcPr>
            <w:tcW w:w="1692" w:type="dxa"/>
            <w:vAlign w:val="center"/>
          </w:tcPr>
          <w:p w14:paraId="73B8CB5C">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是否专门面向中小企业采购</w:t>
            </w:r>
          </w:p>
        </w:tc>
        <w:tc>
          <w:tcPr>
            <w:tcW w:w="5709" w:type="dxa"/>
            <w:vAlign w:val="center"/>
          </w:tcPr>
          <w:p w14:paraId="7809262D">
            <w:pPr>
              <w:keepNext w:val="0"/>
              <w:keepLines w:val="0"/>
              <w:pageBreakBefore w:val="0"/>
              <w:widowControl w:val="0"/>
              <w:kinsoku/>
              <w:wordWrap/>
              <w:overflowPunct/>
              <w:topLinePunct w:val="0"/>
              <w:bidi w:val="0"/>
              <w:snapToGrid w:val="0"/>
              <w:spacing w:line="240" w:lineRule="auto"/>
              <w:ind w:left="0" w:leftChars="0" w:right="0" w:rightChars="0" w:firstLine="0" w:firstLineChars="0"/>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sym w:font="Wingdings" w:char="00A8"/>
            </w:r>
            <w:r>
              <w:rPr>
                <w:rFonts w:hint="eastAsia" w:ascii="宋体" w:hAnsi="宋体" w:eastAsia="宋体" w:cs="宋体"/>
                <w:sz w:val="22"/>
                <w:szCs w:val="22"/>
                <w:lang w:val="zh-CN"/>
              </w:rPr>
              <w:t>非专门面向中小企业的项目</w:t>
            </w:r>
          </w:p>
          <w:p w14:paraId="4DB4739A">
            <w:pPr>
              <w:pStyle w:val="31"/>
              <w:keepNext w:val="0"/>
              <w:keepLines w:val="0"/>
              <w:pageBreakBefore w:val="0"/>
              <w:widowControl w:val="0"/>
              <w:kinsoku/>
              <w:wordWrap/>
              <w:overflowPunct/>
              <w:topLinePunct w:val="0"/>
              <w:bidi w:val="0"/>
              <w:snapToGrid w:val="0"/>
              <w:spacing w:after="0" w:line="240" w:lineRule="auto"/>
              <w:ind w:left="0" w:leftChars="0" w:right="0" w:rightChars="0" w:firstLine="0" w:firstLineChars="0"/>
              <w:textAlignment w:val="auto"/>
              <w:rPr>
                <w:rFonts w:hint="eastAsia" w:ascii="宋体" w:hAnsi="宋体" w:eastAsia="宋体" w:cs="宋体"/>
                <w:kern w:val="0"/>
                <w:sz w:val="22"/>
                <w:szCs w:val="22"/>
                <w:lang w:val="zh-CN"/>
              </w:rPr>
            </w:pPr>
            <w:r>
              <w:rPr>
                <w:rFonts w:hint="eastAsia" w:ascii="宋体" w:hAnsi="宋体" w:eastAsia="宋体" w:cs="宋体"/>
                <w:kern w:val="0"/>
                <w:sz w:val="22"/>
                <w:szCs w:val="22"/>
                <w:lang w:val="zh-CN"/>
              </w:rPr>
              <w:sym w:font="Wingdings" w:char="00FE"/>
            </w:r>
            <w:r>
              <w:rPr>
                <w:rFonts w:hint="eastAsia" w:ascii="宋体" w:hAnsi="宋体" w:eastAsia="宋体" w:cs="宋体"/>
                <w:kern w:val="0"/>
                <w:sz w:val="22"/>
                <w:szCs w:val="22"/>
                <w:lang w:val="zh-CN"/>
              </w:rPr>
              <w:t>专门面向中小企业的项目</w:t>
            </w:r>
          </w:p>
          <w:p w14:paraId="6B961D07">
            <w:pPr>
              <w:keepNext w:val="0"/>
              <w:keepLines w:val="0"/>
              <w:pageBreakBefore w:val="0"/>
              <w:widowControl w:val="0"/>
              <w:kinsoku/>
              <w:wordWrap/>
              <w:overflowPunct/>
              <w:topLinePunct w:val="0"/>
              <w:bidi w:val="0"/>
              <w:snapToGrid w:val="0"/>
              <w:spacing w:line="240" w:lineRule="auto"/>
              <w:ind w:left="0" w:leftChars="0" w:right="0" w:rightChars="0" w:firstLine="0" w:firstLineChars="0"/>
              <w:textAlignment w:val="auto"/>
              <w:rPr>
                <w:rFonts w:hint="eastAsia" w:ascii="宋体" w:hAnsi="宋体" w:eastAsia="宋体" w:cs="宋体"/>
                <w:sz w:val="22"/>
                <w:szCs w:val="22"/>
                <w:lang w:val="zh-CN" w:eastAsia="zh-CN"/>
              </w:rPr>
            </w:pPr>
            <w:r>
              <w:rPr>
                <w:rFonts w:hint="eastAsia" w:ascii="宋体" w:hAnsi="宋体" w:eastAsia="宋体" w:cs="宋体"/>
                <w:sz w:val="22"/>
                <w:szCs w:val="22"/>
                <w:lang w:val="zh-CN"/>
              </w:rPr>
              <w:t>专门面向中小企业采购标的内容：</w:t>
            </w:r>
            <w:r>
              <w:rPr>
                <w:rFonts w:hint="eastAsia" w:ascii="宋体" w:hAnsi="宋体" w:eastAsia="宋体" w:cs="宋体"/>
                <w:sz w:val="22"/>
                <w:szCs w:val="22"/>
                <w:lang w:val="zh-CN" w:eastAsia="zh-CN"/>
              </w:rPr>
              <w:t>实验室安全综合管理平台建设（一期）</w:t>
            </w:r>
          </w:p>
          <w:p w14:paraId="2E259861">
            <w:pPr>
              <w:keepNext w:val="0"/>
              <w:keepLines w:val="0"/>
              <w:pageBreakBefore w:val="0"/>
              <w:widowControl w:val="0"/>
              <w:kinsoku/>
              <w:wordWrap/>
              <w:overflowPunct/>
              <w:topLinePunct w:val="0"/>
              <w:bidi w:val="0"/>
              <w:snapToGrid w:val="0"/>
              <w:spacing w:line="240" w:lineRule="auto"/>
              <w:ind w:left="0" w:leftChars="0" w:right="0" w:rightChars="0" w:firstLine="0" w:firstLineChars="0"/>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专门面向中小企业采购预算金额：</w:t>
            </w:r>
            <w:r>
              <w:rPr>
                <w:rFonts w:hint="eastAsia" w:ascii="宋体" w:hAnsi="宋体" w:cs="宋体"/>
                <w:sz w:val="22"/>
                <w:szCs w:val="22"/>
                <w:lang w:val="en-US" w:eastAsia="zh-CN"/>
              </w:rPr>
              <w:t>70</w:t>
            </w:r>
            <w:r>
              <w:rPr>
                <w:rFonts w:hint="eastAsia" w:ascii="宋体" w:hAnsi="宋体" w:eastAsia="宋体" w:cs="宋体"/>
                <w:sz w:val="22"/>
                <w:szCs w:val="22"/>
                <w:lang w:val="zh-CN"/>
              </w:rPr>
              <w:t>万元</w:t>
            </w:r>
          </w:p>
        </w:tc>
      </w:tr>
      <w:tr w14:paraId="1128E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902" w:type="dxa"/>
            <w:vAlign w:val="center"/>
          </w:tcPr>
          <w:p w14:paraId="78FB6936">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33.4</w:t>
            </w:r>
          </w:p>
        </w:tc>
        <w:tc>
          <w:tcPr>
            <w:tcW w:w="1692" w:type="dxa"/>
            <w:vAlign w:val="center"/>
          </w:tcPr>
          <w:p w14:paraId="308E1D3A">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价格扣除比例</w:t>
            </w:r>
          </w:p>
        </w:tc>
        <w:tc>
          <w:tcPr>
            <w:tcW w:w="5709" w:type="dxa"/>
            <w:vAlign w:val="center"/>
          </w:tcPr>
          <w:p w14:paraId="283898AD">
            <w:pPr>
              <w:keepNext w:val="0"/>
              <w:keepLines w:val="0"/>
              <w:pageBreakBefore w:val="0"/>
              <w:widowControl w:val="0"/>
              <w:kinsoku/>
              <w:wordWrap/>
              <w:overflowPunct/>
              <w:topLinePunct w:val="0"/>
              <w:bidi w:val="0"/>
              <w:adjustRightInd w:val="0"/>
              <w:snapToGrid w:val="0"/>
              <w:spacing w:line="240" w:lineRule="auto"/>
              <w:ind w:left="0" w:leftChars="0" w:right="0" w:rightChars="0" w:firstLine="0" w:firstLineChars="0"/>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sym w:font="Wingdings" w:char="00A8"/>
            </w:r>
            <w:r>
              <w:rPr>
                <w:rFonts w:hint="eastAsia" w:ascii="宋体" w:hAnsi="宋体" w:eastAsia="宋体" w:cs="宋体"/>
                <w:sz w:val="22"/>
                <w:szCs w:val="22"/>
                <w:lang w:val="zh-CN"/>
              </w:rPr>
              <w:t>货物类</w:t>
            </w:r>
            <w:r>
              <w:rPr>
                <w:rFonts w:hint="eastAsia" w:ascii="宋体" w:hAnsi="宋体" w:eastAsia="宋体" w:cs="宋体"/>
                <w:sz w:val="22"/>
                <w:szCs w:val="22"/>
                <w:lang w:val="zh-CN"/>
              </w:rPr>
              <w:sym w:font="Wingdings" w:char="00FE"/>
            </w:r>
            <w:r>
              <w:rPr>
                <w:rFonts w:hint="eastAsia" w:ascii="宋体" w:hAnsi="宋体" w:eastAsia="宋体" w:cs="宋体"/>
                <w:sz w:val="22"/>
                <w:szCs w:val="22"/>
                <w:lang w:val="zh-CN"/>
              </w:rPr>
              <w:t xml:space="preserve">服务类 </w:t>
            </w:r>
            <w:r>
              <w:rPr>
                <w:rFonts w:hint="eastAsia" w:ascii="宋体" w:hAnsi="宋体" w:eastAsia="宋体" w:cs="宋体"/>
                <w:sz w:val="22"/>
                <w:szCs w:val="22"/>
                <w:lang w:val="zh-CN"/>
              </w:rPr>
              <w:sym w:font="Wingdings" w:char="00A8"/>
            </w:r>
            <w:r>
              <w:rPr>
                <w:rFonts w:hint="eastAsia" w:ascii="宋体" w:hAnsi="宋体" w:eastAsia="宋体" w:cs="宋体"/>
                <w:sz w:val="22"/>
                <w:szCs w:val="22"/>
                <w:lang w:val="zh-CN"/>
              </w:rPr>
              <w:t>工程类</w:t>
            </w:r>
          </w:p>
          <w:p w14:paraId="6A2BB43A">
            <w:pPr>
              <w:keepNext w:val="0"/>
              <w:keepLines w:val="0"/>
              <w:pageBreakBefore w:val="0"/>
              <w:widowControl w:val="0"/>
              <w:kinsoku/>
              <w:wordWrap/>
              <w:overflowPunct/>
              <w:topLinePunct w:val="0"/>
              <w:bidi w:val="0"/>
              <w:adjustRightInd w:val="0"/>
              <w:snapToGrid w:val="0"/>
              <w:spacing w:line="240" w:lineRule="auto"/>
              <w:ind w:left="0" w:leftChars="0" w:right="0" w:rightChars="0" w:firstLine="0" w:firstLineChars="0"/>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1.对于未预留份额专门面向中小企业采购的采购项目，以及预留份额项目中的非预留部分采购包，对小微企业报价给予比例扣除，价格扣除比例为：</w:t>
            </w:r>
            <w:r>
              <w:rPr>
                <w:rFonts w:hint="eastAsia" w:ascii="宋体" w:hAnsi="宋体" w:eastAsia="宋体" w:cs="宋体"/>
                <w:sz w:val="22"/>
                <w:szCs w:val="22"/>
                <w:u w:val="single"/>
                <w:lang w:val="en-US" w:eastAsia="zh-CN"/>
              </w:rPr>
              <w:t>/</w:t>
            </w:r>
            <w:r>
              <w:rPr>
                <w:rFonts w:hint="eastAsia" w:ascii="宋体" w:hAnsi="宋体" w:eastAsia="宋体" w:cs="宋体"/>
                <w:sz w:val="22"/>
                <w:szCs w:val="22"/>
                <w:lang w:val="zh-CN"/>
              </w:rPr>
              <w:t>（货物服务10%-20%，工程3%-5%）</w:t>
            </w:r>
          </w:p>
          <w:p w14:paraId="103BBFCE">
            <w:pPr>
              <w:keepNext w:val="0"/>
              <w:keepLines w:val="0"/>
              <w:pageBreakBefore w:val="0"/>
              <w:widowControl w:val="0"/>
              <w:kinsoku/>
              <w:wordWrap/>
              <w:overflowPunct/>
              <w:topLinePunct w:val="0"/>
              <w:bidi w:val="0"/>
              <w:adjustRightInd w:val="0"/>
              <w:snapToGrid w:val="0"/>
              <w:spacing w:line="240" w:lineRule="auto"/>
              <w:ind w:left="0" w:leftChars="0" w:right="0" w:rightChars="0" w:firstLine="0" w:firstLineChars="0"/>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2.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比例扣除，价格扣除比例为：</w:t>
            </w:r>
            <w:r>
              <w:rPr>
                <w:rFonts w:hint="eastAsia" w:ascii="宋体" w:hAnsi="宋体" w:eastAsia="宋体" w:cs="宋体"/>
                <w:sz w:val="22"/>
                <w:szCs w:val="22"/>
                <w:u w:val="single"/>
                <w:lang w:val="en-US" w:eastAsia="zh-CN"/>
              </w:rPr>
              <w:t>/</w:t>
            </w:r>
            <w:r>
              <w:rPr>
                <w:rFonts w:hint="eastAsia" w:ascii="宋体" w:hAnsi="宋体" w:eastAsia="宋体" w:cs="宋体"/>
                <w:sz w:val="22"/>
                <w:szCs w:val="22"/>
                <w:lang w:val="zh-CN"/>
              </w:rPr>
              <w:t>（货物服务4%-6%，工程1%-2%）</w:t>
            </w:r>
          </w:p>
          <w:p w14:paraId="40BB4D22">
            <w:pPr>
              <w:keepNext w:val="0"/>
              <w:keepLines w:val="0"/>
              <w:pageBreakBefore w:val="0"/>
              <w:widowControl w:val="0"/>
              <w:kinsoku/>
              <w:wordWrap/>
              <w:overflowPunct/>
              <w:topLinePunct w:val="0"/>
              <w:bidi w:val="0"/>
              <w:adjustRightInd w:val="0"/>
              <w:snapToGrid w:val="0"/>
              <w:spacing w:line="240" w:lineRule="auto"/>
              <w:ind w:left="0" w:leftChars="0" w:right="0" w:rightChars="0" w:firstLine="0" w:firstLineChars="0"/>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中小企业应当提供《中小企业声明函》（详见本磋商文件第六章 响应文件格式），对符合鄂财采发〔2022〕5号文第二条规定享受上限评审优惠的小微企业，还应提供符合该条款要求的其他证明材料，否则在评审时不享受上述评审优惠。</w:t>
            </w:r>
          </w:p>
        </w:tc>
      </w:tr>
      <w:tr w14:paraId="47034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902" w:type="dxa"/>
            <w:vAlign w:val="center"/>
          </w:tcPr>
          <w:p w14:paraId="0636D5F2">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33.5</w:t>
            </w:r>
          </w:p>
        </w:tc>
        <w:tc>
          <w:tcPr>
            <w:tcW w:w="1692" w:type="dxa"/>
            <w:vAlign w:val="center"/>
          </w:tcPr>
          <w:p w14:paraId="11480931">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优惠措施</w:t>
            </w:r>
          </w:p>
        </w:tc>
        <w:tc>
          <w:tcPr>
            <w:tcW w:w="5709" w:type="dxa"/>
            <w:vAlign w:val="center"/>
          </w:tcPr>
          <w:p w14:paraId="3B5DA352">
            <w:pPr>
              <w:keepNext w:val="0"/>
              <w:keepLines w:val="0"/>
              <w:pageBreakBefore w:val="0"/>
              <w:widowControl w:val="0"/>
              <w:kinsoku/>
              <w:wordWrap/>
              <w:overflowPunct/>
              <w:topLinePunct w:val="0"/>
              <w:bidi w:val="0"/>
              <w:snapToGrid w:val="0"/>
              <w:spacing w:line="240" w:lineRule="auto"/>
              <w:ind w:left="0" w:leftChars="0" w:right="0" w:rightChars="0" w:firstLine="0" w:firstLineChars="0"/>
              <w:textAlignment w:val="auto"/>
              <w:rPr>
                <w:rFonts w:hint="eastAsia" w:ascii="宋体" w:hAnsi="宋体" w:eastAsia="宋体" w:cs="宋体"/>
                <w:sz w:val="22"/>
                <w:szCs w:val="22"/>
                <w:lang w:val="zh-CN" w:eastAsia="zh-CN"/>
              </w:rPr>
            </w:pPr>
            <w:r>
              <w:rPr>
                <w:rFonts w:hint="eastAsia" w:ascii="宋体" w:hAnsi="宋体" w:eastAsia="宋体" w:cs="宋体"/>
                <w:sz w:val="22"/>
                <w:szCs w:val="22"/>
                <w:lang w:val="zh-CN"/>
              </w:rPr>
              <w:t>资金支付期限优惠措施：</w:t>
            </w:r>
            <w:r>
              <w:rPr>
                <w:rFonts w:hint="eastAsia" w:ascii="宋体" w:hAnsi="宋体" w:eastAsia="宋体" w:cs="宋体"/>
                <w:sz w:val="22"/>
                <w:szCs w:val="22"/>
                <w:lang w:val="en-US" w:eastAsia="zh-CN"/>
              </w:rPr>
              <w:t>/</w:t>
            </w:r>
          </w:p>
          <w:p w14:paraId="558B80BB">
            <w:pPr>
              <w:keepNext w:val="0"/>
              <w:keepLines w:val="0"/>
              <w:pageBreakBefore w:val="0"/>
              <w:widowControl w:val="0"/>
              <w:kinsoku/>
              <w:wordWrap/>
              <w:overflowPunct/>
              <w:topLinePunct w:val="0"/>
              <w:bidi w:val="0"/>
              <w:snapToGrid w:val="0"/>
              <w:spacing w:line="240" w:lineRule="auto"/>
              <w:ind w:left="0" w:leftChars="0" w:right="0" w:rightChars="0" w:firstLine="0" w:firstLineChars="0"/>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预付款比例优惠措施：</w:t>
            </w:r>
            <w:r>
              <w:rPr>
                <w:rFonts w:hint="eastAsia" w:ascii="宋体" w:hAnsi="宋体" w:eastAsia="宋体" w:cs="宋体"/>
                <w:sz w:val="22"/>
                <w:szCs w:val="22"/>
                <w:lang w:val="en-US" w:eastAsia="zh-CN"/>
              </w:rPr>
              <w:t>/</w:t>
            </w:r>
          </w:p>
          <w:p w14:paraId="44CD4869">
            <w:pPr>
              <w:keepNext w:val="0"/>
              <w:keepLines w:val="0"/>
              <w:pageBreakBefore w:val="0"/>
              <w:widowControl w:val="0"/>
              <w:kinsoku/>
              <w:wordWrap/>
              <w:overflowPunct/>
              <w:topLinePunct w:val="0"/>
              <w:bidi w:val="0"/>
              <w:snapToGrid w:val="0"/>
              <w:spacing w:line="240" w:lineRule="auto"/>
              <w:ind w:left="0" w:leftChars="0" w:right="0" w:rightChars="0" w:firstLine="0" w:firstLineChars="0"/>
              <w:textAlignment w:val="auto"/>
              <w:rPr>
                <w:rFonts w:hint="eastAsia" w:ascii="宋体" w:hAnsi="宋体" w:eastAsia="宋体" w:cs="宋体"/>
                <w:sz w:val="22"/>
                <w:szCs w:val="22"/>
              </w:rPr>
            </w:pPr>
            <w:r>
              <w:rPr>
                <w:rFonts w:hint="eastAsia" w:ascii="宋体" w:hAnsi="宋体" w:eastAsia="宋体" w:cs="宋体"/>
                <w:sz w:val="22"/>
                <w:szCs w:val="22"/>
                <w:lang w:val="zh-CN"/>
              </w:rPr>
              <w:t>其他优惠措施：</w:t>
            </w:r>
            <w:r>
              <w:rPr>
                <w:rFonts w:hint="eastAsia" w:ascii="宋体" w:hAnsi="宋体" w:eastAsia="宋体" w:cs="宋体"/>
                <w:sz w:val="22"/>
                <w:szCs w:val="22"/>
                <w:lang w:val="en-US" w:eastAsia="zh-CN"/>
              </w:rPr>
              <w:t>/</w:t>
            </w:r>
          </w:p>
        </w:tc>
      </w:tr>
      <w:tr w14:paraId="258D7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902" w:type="dxa"/>
            <w:vAlign w:val="center"/>
          </w:tcPr>
          <w:p w14:paraId="1A7D404E">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33.6</w:t>
            </w:r>
          </w:p>
        </w:tc>
        <w:tc>
          <w:tcPr>
            <w:tcW w:w="1692" w:type="dxa"/>
            <w:vAlign w:val="center"/>
          </w:tcPr>
          <w:p w14:paraId="0D74E41E">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所属行业</w:t>
            </w:r>
          </w:p>
        </w:tc>
        <w:tc>
          <w:tcPr>
            <w:tcW w:w="5709" w:type="dxa"/>
            <w:vAlign w:val="center"/>
          </w:tcPr>
          <w:p w14:paraId="3226968B">
            <w:pPr>
              <w:keepNext w:val="0"/>
              <w:keepLines w:val="0"/>
              <w:pageBreakBefore w:val="0"/>
              <w:widowControl w:val="0"/>
              <w:kinsoku/>
              <w:wordWrap/>
              <w:overflowPunct/>
              <w:topLinePunct w:val="0"/>
              <w:bidi w:val="0"/>
              <w:snapToGrid w:val="0"/>
              <w:spacing w:line="240" w:lineRule="auto"/>
              <w:ind w:left="0" w:leftChars="0" w:right="0" w:rightChars="0" w:firstLine="0" w:firstLineChars="0"/>
              <w:textAlignment w:val="auto"/>
              <w:rPr>
                <w:rFonts w:hint="eastAsia" w:ascii="宋体" w:hAnsi="宋体" w:eastAsia="宋体" w:cs="宋体"/>
                <w:sz w:val="22"/>
                <w:szCs w:val="22"/>
                <w:u w:val="single"/>
                <w:lang w:val="zh-CN"/>
              </w:rPr>
            </w:pPr>
            <w:r>
              <w:rPr>
                <w:rFonts w:hint="eastAsia" w:ascii="宋体" w:hAnsi="宋体" w:eastAsia="宋体" w:cs="宋体"/>
                <w:sz w:val="22"/>
                <w:szCs w:val="22"/>
              </w:rPr>
              <w:t>根据工信部 统计局 发改委 财政部《中小企业划型标准规定》（工信部联企业〔2011〕300号），本项目采购标的的对应的中小企业划分标准所属行业为：</w:t>
            </w:r>
            <w:r>
              <w:rPr>
                <w:rFonts w:hint="eastAsia" w:ascii="宋体" w:hAnsi="宋体" w:cs="Times New Roman"/>
                <w:sz w:val="24"/>
                <w:szCs w:val="24"/>
                <w:highlight w:val="none"/>
              </w:rPr>
              <w:t>软件和信息技术服务业</w:t>
            </w:r>
          </w:p>
        </w:tc>
      </w:tr>
      <w:tr w14:paraId="53C23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902" w:type="dxa"/>
            <w:vAlign w:val="center"/>
          </w:tcPr>
          <w:p w14:paraId="2E3A42DA">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34.1</w:t>
            </w:r>
          </w:p>
        </w:tc>
        <w:tc>
          <w:tcPr>
            <w:tcW w:w="1692" w:type="dxa"/>
            <w:vAlign w:val="center"/>
          </w:tcPr>
          <w:p w14:paraId="1A112DFC">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采购节能产品政策（</w:t>
            </w:r>
            <w:r>
              <w:rPr>
                <w:rFonts w:hint="eastAsia" w:ascii="宋体" w:hAnsi="宋体" w:eastAsia="宋体" w:cs="宋体"/>
                <w:sz w:val="22"/>
                <w:szCs w:val="22"/>
                <w:lang w:val="en-US" w:eastAsia="zh-CN"/>
              </w:rPr>
              <w:t>本项目不适用</w:t>
            </w:r>
            <w:r>
              <w:rPr>
                <w:rFonts w:hint="eastAsia" w:ascii="宋体" w:hAnsi="宋体" w:eastAsia="宋体" w:cs="宋体"/>
                <w:sz w:val="22"/>
                <w:szCs w:val="22"/>
                <w:lang w:val="zh-CN"/>
              </w:rPr>
              <w:t>）</w:t>
            </w:r>
          </w:p>
        </w:tc>
        <w:tc>
          <w:tcPr>
            <w:tcW w:w="5709" w:type="dxa"/>
            <w:vAlign w:val="center"/>
          </w:tcPr>
          <w:p w14:paraId="0AB2711E">
            <w:pPr>
              <w:keepNext w:val="0"/>
              <w:keepLines w:val="0"/>
              <w:pageBreakBefore w:val="0"/>
              <w:widowControl w:val="0"/>
              <w:kinsoku/>
              <w:wordWrap/>
              <w:overflowPunct/>
              <w:topLinePunct w:val="0"/>
              <w:bidi w:val="0"/>
              <w:spacing w:line="240" w:lineRule="auto"/>
              <w:ind w:left="0" w:leftChars="0" w:right="0" w:rightChars="0" w:firstLine="0" w:firstLineChars="0"/>
              <w:textAlignment w:val="auto"/>
              <w:rPr>
                <w:rFonts w:hint="eastAsia" w:ascii="宋体" w:hAnsi="宋体" w:eastAsia="宋体" w:cs="宋体"/>
                <w:sz w:val="22"/>
                <w:szCs w:val="22"/>
              </w:rPr>
            </w:pPr>
            <w:r>
              <w:rPr>
                <w:rFonts w:hint="eastAsia" w:ascii="宋体" w:hAnsi="宋体" w:eastAsia="宋体" w:cs="宋体"/>
                <w:sz w:val="22"/>
                <w:szCs w:val="22"/>
                <w:highlight w:val="none"/>
              </w:rPr>
              <w:t>依据财库[2019]19号文的规定，投标产品为《</w:t>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HYPERLINK "http://gks.mof.gov.cn/zhengfucaigouguanli/201904/P020190404409422168443.pdf"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节能产品政府采购品目清单</w:t>
            </w:r>
            <w:r>
              <w:rPr>
                <w:rFonts w:hint="eastAsia" w:ascii="宋体" w:hAnsi="宋体" w:eastAsia="宋体" w:cs="宋体"/>
                <w:sz w:val="22"/>
                <w:szCs w:val="22"/>
                <w:highlight w:val="none"/>
              </w:rPr>
              <w:fldChar w:fldCharType="end"/>
            </w:r>
            <w:r>
              <w:rPr>
                <w:rFonts w:hint="eastAsia" w:ascii="宋体" w:hAnsi="宋体" w:eastAsia="宋体" w:cs="宋体"/>
                <w:sz w:val="22"/>
                <w:szCs w:val="22"/>
                <w:highlight w:val="none"/>
              </w:rPr>
              <w:t>》强制性采购内容的，</w:t>
            </w:r>
            <w:r>
              <w:rPr>
                <w:rFonts w:hint="eastAsia" w:ascii="宋体" w:hAnsi="宋体" w:eastAsia="宋体" w:cs="宋体"/>
                <w:b/>
                <w:bCs/>
                <w:sz w:val="22"/>
                <w:szCs w:val="22"/>
                <w:highlight w:val="none"/>
              </w:rPr>
              <w:t>须提供国家确定的认证机构出具的、处于有效期内的节能产品认证证书或中国政府采购网节能产品查询截图，未提供的视为无效响应（认证证书或查询截图的产品型号与所投产品不一致的，视为未提供）；</w:t>
            </w:r>
            <w:r>
              <w:rPr>
                <w:rFonts w:hint="eastAsia" w:ascii="宋体" w:hAnsi="宋体" w:eastAsia="宋体" w:cs="宋体"/>
                <w:sz w:val="22"/>
                <w:szCs w:val="22"/>
                <w:highlight w:val="none"/>
              </w:rPr>
              <w:t>投标产品为《节能产品政府采购品目清单》非强制性采购内容的，</w:t>
            </w:r>
            <w:r>
              <w:rPr>
                <w:rFonts w:hint="eastAsia" w:ascii="宋体" w:hAnsi="宋体" w:eastAsia="宋体" w:cs="宋体"/>
                <w:b/>
                <w:bCs/>
                <w:sz w:val="22"/>
                <w:szCs w:val="22"/>
                <w:highlight w:val="none"/>
              </w:rPr>
              <w:t>提供国家确定的认证机构出具的节能产品认证证书或中国政府采购网节能产品查询截图（认证证书或查询截图的产品型号与所投产品不一致的，视为未提供）</w:t>
            </w:r>
            <w:r>
              <w:rPr>
                <w:rFonts w:hint="eastAsia" w:ascii="宋体" w:hAnsi="宋体" w:eastAsia="宋体" w:cs="宋体"/>
                <w:sz w:val="22"/>
                <w:szCs w:val="22"/>
                <w:highlight w:val="none"/>
              </w:rPr>
              <w:t>。</w:t>
            </w:r>
          </w:p>
        </w:tc>
      </w:tr>
      <w:tr w14:paraId="631A6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902" w:type="dxa"/>
            <w:vAlign w:val="center"/>
          </w:tcPr>
          <w:p w14:paraId="5134B5C5">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34.2</w:t>
            </w:r>
          </w:p>
        </w:tc>
        <w:tc>
          <w:tcPr>
            <w:tcW w:w="1692" w:type="dxa"/>
            <w:vAlign w:val="center"/>
          </w:tcPr>
          <w:p w14:paraId="27250392">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采购环保产品政策（</w:t>
            </w:r>
            <w:r>
              <w:rPr>
                <w:rFonts w:hint="eastAsia" w:ascii="宋体" w:hAnsi="宋体" w:eastAsia="宋体" w:cs="宋体"/>
                <w:sz w:val="22"/>
                <w:szCs w:val="22"/>
                <w:lang w:val="en-US" w:eastAsia="zh-CN"/>
              </w:rPr>
              <w:t>本项目不适用</w:t>
            </w:r>
            <w:r>
              <w:rPr>
                <w:rFonts w:hint="eastAsia" w:ascii="宋体" w:hAnsi="宋体" w:eastAsia="宋体" w:cs="宋体"/>
                <w:sz w:val="22"/>
                <w:szCs w:val="22"/>
                <w:lang w:val="zh-CN"/>
              </w:rPr>
              <w:t>）</w:t>
            </w:r>
          </w:p>
        </w:tc>
        <w:tc>
          <w:tcPr>
            <w:tcW w:w="5709" w:type="dxa"/>
            <w:vAlign w:val="center"/>
          </w:tcPr>
          <w:p w14:paraId="076343BF">
            <w:pPr>
              <w:keepNext w:val="0"/>
              <w:keepLines w:val="0"/>
              <w:pageBreakBefore w:val="0"/>
              <w:widowControl w:val="0"/>
              <w:kinsoku/>
              <w:wordWrap/>
              <w:overflowPunct/>
              <w:topLinePunct w:val="0"/>
              <w:bidi w:val="0"/>
              <w:spacing w:line="240" w:lineRule="auto"/>
              <w:ind w:left="0" w:leftChars="0" w:right="0" w:rightChars="0" w:firstLine="0" w:firstLineChars="0"/>
              <w:textAlignment w:val="auto"/>
              <w:rPr>
                <w:rFonts w:hint="eastAsia" w:ascii="宋体" w:hAnsi="宋体" w:eastAsia="宋体" w:cs="宋体"/>
                <w:sz w:val="22"/>
                <w:szCs w:val="22"/>
              </w:rPr>
            </w:pPr>
            <w:r>
              <w:rPr>
                <w:rFonts w:hint="eastAsia" w:ascii="宋体" w:hAnsi="宋体" w:eastAsia="宋体" w:cs="宋体"/>
                <w:sz w:val="22"/>
                <w:szCs w:val="22"/>
                <w:highlight w:val="none"/>
              </w:rPr>
              <w:t>依据财库[2019]18号文的规定，投标产品为《环保标志产品政府采购品目清单》内容的，须提供国家确定的认证机构出具的</w:t>
            </w:r>
            <w:r>
              <w:rPr>
                <w:rFonts w:hint="eastAsia" w:ascii="宋体" w:hAnsi="宋体" w:eastAsia="宋体" w:cs="宋体"/>
                <w:b/>
                <w:bCs/>
                <w:sz w:val="22"/>
                <w:szCs w:val="22"/>
                <w:highlight w:val="none"/>
              </w:rPr>
              <w:t>环境标志产品认证证书或中国政府采购网环境标志产品查询截图（认证证书或查询截图的产品型号与所投产品不一致的，视为未提供）</w:t>
            </w:r>
            <w:r>
              <w:rPr>
                <w:rFonts w:hint="eastAsia" w:ascii="宋体" w:hAnsi="宋体" w:eastAsia="宋体" w:cs="宋体"/>
                <w:sz w:val="22"/>
                <w:szCs w:val="22"/>
                <w:highlight w:val="none"/>
              </w:rPr>
              <w:t>。</w:t>
            </w:r>
          </w:p>
        </w:tc>
      </w:tr>
      <w:tr w14:paraId="64020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902" w:type="dxa"/>
            <w:vAlign w:val="center"/>
          </w:tcPr>
          <w:p w14:paraId="0D2DC1DF">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bookmarkStart w:id="78" w:name="_Hlk109896740"/>
            <w:r>
              <w:rPr>
                <w:rFonts w:hint="eastAsia" w:ascii="宋体" w:hAnsi="宋体" w:eastAsia="宋体" w:cs="宋体"/>
                <w:sz w:val="22"/>
                <w:szCs w:val="22"/>
                <w:lang w:val="zh-CN"/>
              </w:rPr>
              <w:t>九</w:t>
            </w:r>
          </w:p>
        </w:tc>
        <w:tc>
          <w:tcPr>
            <w:tcW w:w="1692" w:type="dxa"/>
            <w:vAlign w:val="center"/>
          </w:tcPr>
          <w:p w14:paraId="440B0A87">
            <w:pPr>
              <w:keepNext w:val="0"/>
              <w:keepLines w:val="0"/>
              <w:pageBreakBefore w:val="0"/>
              <w:widowControl w:val="0"/>
              <w:kinsoku/>
              <w:wordWrap/>
              <w:overflowPunct/>
              <w:topLinePunct w:val="0"/>
              <w:bidi w:val="0"/>
              <w:spacing w:line="240" w:lineRule="auto"/>
              <w:ind w:left="0" w:leftChars="0" w:right="0" w:rightChars="0" w:firstLine="0" w:firstLineChars="0"/>
              <w:jc w:val="center"/>
              <w:textAlignment w:val="auto"/>
              <w:rPr>
                <w:rFonts w:hint="eastAsia" w:ascii="宋体" w:hAnsi="宋体" w:eastAsia="宋体" w:cs="宋体"/>
                <w:sz w:val="22"/>
                <w:szCs w:val="22"/>
              </w:rPr>
            </w:pPr>
            <w:r>
              <w:rPr>
                <w:rFonts w:hint="eastAsia" w:ascii="宋体" w:hAnsi="宋体" w:eastAsia="宋体" w:cs="宋体"/>
                <w:sz w:val="22"/>
                <w:szCs w:val="22"/>
              </w:rPr>
              <w:t>政府采购</w:t>
            </w:r>
          </w:p>
          <w:p w14:paraId="590F8C50">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rPr>
              <w:t>合同融资政策</w:t>
            </w:r>
          </w:p>
        </w:tc>
        <w:tc>
          <w:tcPr>
            <w:tcW w:w="5709" w:type="dxa"/>
            <w:vAlign w:val="center"/>
          </w:tcPr>
          <w:p w14:paraId="0B3C38F5">
            <w:pPr>
              <w:keepNext w:val="0"/>
              <w:keepLines w:val="0"/>
              <w:pageBreakBefore w:val="0"/>
              <w:widowControl w:val="0"/>
              <w:kinsoku/>
              <w:wordWrap/>
              <w:overflowPunct/>
              <w:topLinePunct w:val="0"/>
              <w:bidi w:val="0"/>
              <w:spacing w:line="240" w:lineRule="auto"/>
              <w:ind w:left="0" w:leftChars="0" w:right="0" w:rightChars="0" w:firstLine="0" w:firstLineChars="0"/>
              <w:textAlignment w:val="auto"/>
              <w:rPr>
                <w:rFonts w:hint="eastAsia" w:ascii="宋体" w:hAnsi="宋体" w:eastAsia="宋体" w:cs="宋体"/>
                <w:sz w:val="22"/>
                <w:szCs w:val="22"/>
              </w:rPr>
            </w:pPr>
            <w:r>
              <w:rPr>
                <w:rFonts w:hint="eastAsia" w:ascii="宋体" w:hAnsi="宋体" w:eastAsia="宋体" w:cs="宋体"/>
                <w:sz w:val="22"/>
                <w:szCs w:val="22"/>
              </w:rPr>
              <w:t>政府采购合同融资（以下简称“政采贷”）指参与政府采购活动的中小微企业，在获得政府采购中标（成交）通知书后，即可向开展“政采贷”业务的金融机构提出申请，金融机构依据政府采购中标（成交）通知书和政府采购合同，为中小微企业提供融资服务。</w:t>
            </w:r>
          </w:p>
        </w:tc>
      </w:tr>
      <w:bookmarkEnd w:id="78"/>
      <w:tr w14:paraId="27EA9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902" w:type="dxa"/>
            <w:vAlign w:val="center"/>
          </w:tcPr>
          <w:p w14:paraId="27CBCAE6">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rPr>
              <w:t xml:space="preserve"> </w:t>
            </w:r>
            <w:r>
              <w:rPr>
                <w:rFonts w:hint="eastAsia" w:ascii="宋体" w:hAnsi="宋体" w:eastAsia="宋体" w:cs="宋体"/>
                <w:sz w:val="22"/>
                <w:szCs w:val="22"/>
                <w:lang w:val="zh-CN"/>
              </w:rPr>
              <w:t>十</w:t>
            </w:r>
          </w:p>
        </w:tc>
        <w:tc>
          <w:tcPr>
            <w:tcW w:w="1692" w:type="dxa"/>
            <w:vAlign w:val="center"/>
          </w:tcPr>
          <w:p w14:paraId="1D01E99A">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其他要求</w:t>
            </w:r>
          </w:p>
        </w:tc>
        <w:tc>
          <w:tcPr>
            <w:tcW w:w="5709" w:type="dxa"/>
            <w:vAlign w:val="center"/>
          </w:tcPr>
          <w:p w14:paraId="4F4EE78D">
            <w:pPr>
              <w:keepNext w:val="0"/>
              <w:keepLines w:val="0"/>
              <w:pageBreakBefore w:val="0"/>
              <w:widowControl w:val="0"/>
              <w:numPr>
                <w:ilvl w:val="0"/>
                <w:numId w:val="8"/>
              </w:numPr>
              <w:kinsoku/>
              <w:wordWrap/>
              <w:overflowPunct/>
              <w:topLinePunct w:val="0"/>
              <w:bidi w:val="0"/>
              <w:adjustRightInd w:val="0"/>
              <w:snapToGrid w:val="0"/>
              <w:spacing w:line="240" w:lineRule="auto"/>
              <w:ind w:left="0" w:leftChars="0" w:right="0" w:rightChars="0" w:firstLine="0" w:firstLineChars="0"/>
              <w:textAlignment w:val="auto"/>
              <w:rPr>
                <w:rFonts w:hint="eastAsia" w:ascii="宋体" w:hAnsi="宋体" w:eastAsia="宋体" w:cs="宋体"/>
                <w:b w:val="0"/>
                <w:bCs w:val="0"/>
                <w:snapToGrid/>
                <w:kern w:val="0"/>
                <w:sz w:val="22"/>
                <w:szCs w:val="22"/>
                <w:highlight w:val="none"/>
                <w:lang w:val="zh-CN" w:eastAsia="zh-CN" w:bidi="ar-SA"/>
              </w:rPr>
            </w:pPr>
            <w:r>
              <w:rPr>
                <w:rFonts w:hint="eastAsia" w:ascii="宋体" w:hAnsi="宋体" w:eastAsia="宋体" w:cs="宋体"/>
                <w:b w:val="0"/>
                <w:bCs w:val="0"/>
                <w:snapToGrid/>
                <w:kern w:val="0"/>
                <w:sz w:val="22"/>
                <w:szCs w:val="22"/>
                <w:highlight w:val="none"/>
                <w:lang w:val="zh-CN" w:eastAsia="zh-CN" w:bidi="ar-SA"/>
              </w:rPr>
              <w:t>要求“盖单位章”</w:t>
            </w:r>
            <w:r>
              <w:rPr>
                <w:rFonts w:hint="eastAsia" w:ascii="宋体" w:hAnsi="宋体" w:eastAsia="宋体" w:cs="宋体"/>
                <w:b w:val="0"/>
                <w:bCs w:val="0"/>
                <w:snapToGrid/>
                <w:kern w:val="0"/>
                <w:sz w:val="22"/>
                <w:szCs w:val="22"/>
                <w:highlight w:val="none"/>
                <w:lang w:val="en-US" w:eastAsia="zh-CN" w:bidi="ar-SA"/>
              </w:rPr>
              <w:t>或“</w:t>
            </w:r>
            <w:r>
              <w:rPr>
                <w:rFonts w:hint="eastAsia" w:ascii="宋体" w:hAnsi="宋体" w:eastAsia="宋体" w:cs="宋体"/>
                <w:b w:val="0"/>
                <w:bCs w:val="0"/>
                <w:snapToGrid/>
                <w:kern w:val="0"/>
                <w:sz w:val="22"/>
                <w:szCs w:val="22"/>
                <w:highlight w:val="none"/>
                <w:lang w:val="zh-CN" w:eastAsia="zh-CN" w:bidi="ar-SA"/>
              </w:rPr>
              <w:t>盖章</w:t>
            </w:r>
            <w:r>
              <w:rPr>
                <w:rFonts w:hint="eastAsia" w:ascii="宋体" w:hAnsi="宋体" w:eastAsia="宋体" w:cs="宋体"/>
                <w:b w:val="0"/>
                <w:bCs w:val="0"/>
                <w:snapToGrid/>
                <w:kern w:val="0"/>
                <w:sz w:val="22"/>
                <w:szCs w:val="22"/>
                <w:highlight w:val="none"/>
                <w:lang w:val="en-US" w:eastAsia="zh-CN" w:bidi="ar-SA"/>
              </w:rPr>
              <w:t>”</w:t>
            </w:r>
            <w:r>
              <w:rPr>
                <w:rFonts w:hint="eastAsia" w:ascii="宋体" w:hAnsi="宋体" w:eastAsia="宋体" w:cs="宋体"/>
                <w:b w:val="0"/>
                <w:bCs w:val="0"/>
                <w:snapToGrid/>
                <w:kern w:val="0"/>
                <w:sz w:val="22"/>
                <w:szCs w:val="22"/>
                <w:highlight w:val="none"/>
                <w:lang w:val="zh-CN" w:eastAsia="zh-CN" w:bidi="ar-SA"/>
              </w:rPr>
              <w:t>的地方，供应商应加盖单位公章；要求“签字”的地方，供应商应盖法定代表人的个人签名章或法人章。</w:t>
            </w:r>
          </w:p>
          <w:p w14:paraId="1151C90F">
            <w:pPr>
              <w:keepNext w:val="0"/>
              <w:keepLines w:val="0"/>
              <w:pageBreakBefore w:val="0"/>
              <w:widowControl w:val="0"/>
              <w:numPr>
                <w:ilvl w:val="0"/>
                <w:numId w:val="8"/>
              </w:numPr>
              <w:kinsoku/>
              <w:wordWrap/>
              <w:overflowPunct/>
              <w:topLinePunct w:val="0"/>
              <w:bidi w:val="0"/>
              <w:adjustRightInd w:val="0"/>
              <w:snapToGrid w:val="0"/>
              <w:spacing w:line="240" w:lineRule="auto"/>
              <w:ind w:left="0" w:leftChars="0" w:right="0" w:rightChars="0" w:firstLine="0" w:firstLineChars="0"/>
              <w:textAlignment w:val="auto"/>
              <w:rPr>
                <w:rFonts w:hint="eastAsia" w:ascii="宋体" w:hAnsi="宋体" w:eastAsia="宋体" w:cs="宋体"/>
                <w:b w:val="0"/>
                <w:bCs w:val="0"/>
                <w:snapToGrid/>
                <w:kern w:val="0"/>
                <w:sz w:val="22"/>
                <w:szCs w:val="22"/>
                <w:highlight w:val="none"/>
                <w:lang w:val="zh-CN" w:eastAsia="zh-CN" w:bidi="ar-SA"/>
              </w:rPr>
            </w:pPr>
            <w:r>
              <w:rPr>
                <w:rFonts w:hint="eastAsia" w:ascii="宋体" w:hAnsi="宋体" w:eastAsia="宋体" w:cs="宋体"/>
                <w:b w:val="0"/>
                <w:bCs w:val="0"/>
                <w:snapToGrid/>
                <w:kern w:val="0"/>
                <w:sz w:val="22"/>
                <w:szCs w:val="22"/>
                <w:highlight w:val="none"/>
                <w:lang w:val="zh-CN" w:eastAsia="zh-CN" w:bidi="ar-SA"/>
              </w:rPr>
              <w:t>校外单位入校投标申请表</w:t>
            </w:r>
            <w:r>
              <w:rPr>
                <w:rFonts w:hint="eastAsia" w:ascii="宋体" w:hAnsi="宋体" w:eastAsia="宋体" w:cs="宋体"/>
                <w:b w:val="0"/>
                <w:bCs w:val="0"/>
                <w:snapToGrid/>
                <w:kern w:val="0"/>
                <w:sz w:val="22"/>
                <w:szCs w:val="22"/>
                <w:highlight w:val="none"/>
                <w:lang w:val="en-US" w:eastAsia="zh-CN" w:bidi="ar-SA"/>
              </w:rPr>
              <w:t>是供应商入校的唯一凭证，请参加磋商会的供应商按校外单位入校投标须知的要求填写及盖章。</w:t>
            </w:r>
          </w:p>
        </w:tc>
      </w:tr>
      <w:tr w14:paraId="37645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8303" w:type="dxa"/>
            <w:gridSpan w:val="3"/>
            <w:vAlign w:val="center"/>
          </w:tcPr>
          <w:p w14:paraId="40B9A0EA">
            <w:pPr>
              <w:keepNext w:val="0"/>
              <w:keepLines w:val="0"/>
              <w:pageBreakBefore w:val="0"/>
              <w:widowControl w:val="0"/>
              <w:kinsoku/>
              <w:wordWrap/>
              <w:overflowPunct/>
              <w:topLinePunct w:val="0"/>
              <w:bidi w:val="0"/>
              <w:adjustRightInd w:val="0"/>
              <w:snapToGrid w:val="0"/>
              <w:spacing w:line="240" w:lineRule="auto"/>
              <w:ind w:left="0" w:leftChars="0" w:right="0" w:rightChars="0" w:firstLine="0" w:firstLineChars="0"/>
              <w:jc w:val="center"/>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其他补充事项</w:t>
            </w:r>
          </w:p>
        </w:tc>
      </w:tr>
      <w:tr w14:paraId="212B6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8303" w:type="dxa"/>
            <w:gridSpan w:val="3"/>
            <w:vAlign w:val="center"/>
          </w:tcPr>
          <w:p w14:paraId="0C611965">
            <w:pPr>
              <w:keepNext w:val="0"/>
              <w:keepLines w:val="0"/>
              <w:pageBreakBefore w:val="0"/>
              <w:widowControl w:val="0"/>
              <w:kinsoku/>
              <w:wordWrap/>
              <w:overflowPunct/>
              <w:topLinePunct w:val="0"/>
              <w:bidi w:val="0"/>
              <w:spacing w:line="240" w:lineRule="auto"/>
              <w:ind w:left="0" w:leftChars="0" w:right="0" w:rightChars="0" w:firstLine="0" w:firstLineChars="0"/>
              <w:textAlignment w:val="auto"/>
              <w:rPr>
                <w:rFonts w:hint="eastAsia" w:ascii="宋体" w:hAnsi="宋体" w:eastAsia="宋体" w:cs="宋体"/>
                <w:sz w:val="22"/>
                <w:szCs w:val="22"/>
              </w:rPr>
            </w:pPr>
            <w:r>
              <w:rPr>
                <w:rFonts w:hint="eastAsia" w:ascii="宋体" w:hAnsi="宋体" w:eastAsia="宋体" w:cs="宋体"/>
                <w:sz w:val="22"/>
                <w:szCs w:val="22"/>
              </w:rPr>
              <w:t>1.除本磋商文件另有规定外，磋商文件中出现的类似于“近三年”或“前三年”、“近五年”或“前五年”均指递交响应文件时间以前3年或前5年，以此类推。如：递交响应文件时间为2020年3月1日，则“近三年”是指2017年3月1日至2020年2月29日。</w:t>
            </w:r>
          </w:p>
          <w:p w14:paraId="03470139">
            <w:pPr>
              <w:keepNext w:val="0"/>
              <w:keepLines w:val="0"/>
              <w:pageBreakBefore w:val="0"/>
              <w:widowControl w:val="0"/>
              <w:kinsoku/>
              <w:wordWrap/>
              <w:overflowPunct/>
              <w:topLinePunct w:val="0"/>
              <w:bidi w:val="0"/>
              <w:spacing w:line="240" w:lineRule="auto"/>
              <w:ind w:left="0" w:leftChars="0" w:right="0" w:rightChars="0" w:firstLine="0" w:firstLineChars="0"/>
              <w:textAlignment w:val="auto"/>
              <w:rPr>
                <w:rFonts w:hint="eastAsia" w:ascii="宋体" w:hAnsi="宋体" w:eastAsia="宋体" w:cs="宋体"/>
                <w:sz w:val="22"/>
                <w:szCs w:val="22"/>
              </w:rPr>
            </w:pPr>
            <w:r>
              <w:rPr>
                <w:rFonts w:hint="eastAsia" w:ascii="宋体" w:hAnsi="宋体" w:eastAsia="宋体" w:cs="宋体"/>
                <w:sz w:val="22"/>
                <w:szCs w:val="22"/>
              </w:rPr>
              <w:t>2.本磋商文件所称的“以上”、“以下”、“内”、“以内”，包括本数；所称的“不足”，不包括本数。</w:t>
            </w:r>
          </w:p>
          <w:p w14:paraId="565A9AC2">
            <w:pPr>
              <w:keepNext w:val="0"/>
              <w:keepLines w:val="0"/>
              <w:pageBreakBefore w:val="0"/>
              <w:widowControl w:val="0"/>
              <w:kinsoku/>
              <w:wordWrap/>
              <w:overflowPunct/>
              <w:topLinePunct w:val="0"/>
              <w:bidi w:val="0"/>
              <w:adjustRightInd w:val="0"/>
              <w:snapToGrid w:val="0"/>
              <w:spacing w:line="240" w:lineRule="auto"/>
              <w:ind w:left="0" w:leftChars="0" w:right="0" w:rightChars="0" w:firstLine="0" w:firstLineChars="0"/>
              <w:textAlignment w:val="auto"/>
              <w:rPr>
                <w:rFonts w:hint="eastAsia" w:ascii="宋体" w:hAnsi="宋体" w:eastAsia="宋体" w:cs="宋体"/>
                <w:sz w:val="22"/>
                <w:szCs w:val="22"/>
                <w:lang w:val="zh-CN"/>
              </w:rPr>
            </w:pPr>
            <w:r>
              <w:rPr>
                <w:rFonts w:hint="eastAsia" w:ascii="宋体" w:hAnsi="宋体" w:eastAsia="宋体" w:cs="宋体"/>
                <w:sz w:val="22"/>
                <w:szCs w:val="22"/>
              </w:rPr>
              <w:t>3.供应商须知前附表中，“</w:t>
            </w:r>
            <w:r>
              <w:rPr>
                <w:rFonts w:hint="eastAsia" w:ascii="宋体" w:hAnsi="宋体" w:eastAsia="宋体" w:cs="宋体"/>
                <w:sz w:val="22"/>
                <w:szCs w:val="22"/>
              </w:rPr>
              <w:sym w:font="Wingdings" w:char="00FE"/>
            </w:r>
            <w:r>
              <w:rPr>
                <w:rFonts w:hint="eastAsia" w:ascii="宋体" w:hAnsi="宋体" w:eastAsia="宋体" w:cs="宋体"/>
                <w:sz w:val="22"/>
                <w:szCs w:val="22"/>
              </w:rPr>
              <w:t>”代表选中，“</w:t>
            </w:r>
            <w:r>
              <w:rPr>
                <w:rFonts w:hint="eastAsia" w:ascii="宋体" w:hAnsi="宋体" w:eastAsia="宋体" w:cs="宋体"/>
                <w:sz w:val="22"/>
                <w:szCs w:val="22"/>
              </w:rPr>
              <w:sym w:font="Wingdings" w:char="00A8"/>
            </w:r>
            <w:r>
              <w:rPr>
                <w:rFonts w:hint="eastAsia" w:ascii="宋体" w:hAnsi="宋体" w:eastAsia="宋体" w:cs="宋体"/>
                <w:sz w:val="22"/>
                <w:szCs w:val="22"/>
              </w:rPr>
              <w:t>”代表未选中。</w:t>
            </w:r>
          </w:p>
        </w:tc>
      </w:tr>
    </w:tbl>
    <w:p w14:paraId="1F3B2925">
      <w:pPr>
        <w:pStyle w:val="81"/>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b/>
          <w:bCs/>
          <w:sz w:val="24"/>
          <w:szCs w:val="24"/>
        </w:rPr>
      </w:pPr>
      <w:r>
        <w:rPr>
          <w:rFonts w:hint="eastAsia" w:ascii="宋体" w:hAnsi="宋体" w:eastAsia="宋体" w:cs="宋体"/>
          <w:b/>
          <w:sz w:val="24"/>
          <w:szCs w:val="21"/>
        </w:rPr>
        <w:br w:type="page"/>
      </w:r>
      <w:bookmarkStart w:id="79" w:name="_Toc470172662"/>
      <w:bookmarkStart w:id="80" w:name="_Toc109900369"/>
      <w:bookmarkStart w:id="81" w:name="_Toc109899950"/>
      <w:bookmarkStart w:id="82" w:name="_Toc109897432"/>
      <w:r>
        <w:rPr>
          <w:rFonts w:hint="eastAsia" w:ascii="宋体" w:hAnsi="宋体" w:eastAsia="宋体" w:cs="宋体"/>
          <w:b/>
          <w:bCs/>
          <w:sz w:val="24"/>
          <w:szCs w:val="24"/>
        </w:rPr>
        <w:t>校外单位入校投标申请表</w:t>
      </w:r>
    </w:p>
    <w:tbl>
      <w:tblPr>
        <w:tblStyle w:val="88"/>
        <w:tblW w:w="8478" w:type="dxa"/>
        <w:jc w:val="center"/>
        <w:tblBorders>
          <w:top w:val="single" w:color="666666" w:sz="6" w:space="0"/>
          <w:left w:val="single" w:color="666666" w:sz="6" w:space="0"/>
          <w:bottom w:val="single" w:color="666666" w:sz="6" w:space="0"/>
          <w:right w:val="single" w:color="666666" w:sz="6" w:space="0"/>
          <w:insideH w:val="none" w:color="auto" w:sz="0" w:space="0"/>
          <w:insideV w:val="none" w:color="auto" w:sz="0" w:space="0"/>
        </w:tblBorders>
        <w:tblLayout w:type="autofit"/>
        <w:tblCellMar>
          <w:top w:w="120" w:type="dxa"/>
          <w:left w:w="120" w:type="dxa"/>
          <w:bottom w:w="120" w:type="dxa"/>
          <w:right w:w="120" w:type="dxa"/>
        </w:tblCellMar>
      </w:tblPr>
      <w:tblGrid>
        <w:gridCol w:w="1362"/>
        <w:gridCol w:w="2539"/>
        <w:gridCol w:w="1714"/>
        <w:gridCol w:w="2863"/>
      </w:tblGrid>
      <w:tr w14:paraId="427809B5">
        <w:tblPrEx>
          <w:tblBorders>
            <w:top w:val="single" w:color="666666" w:sz="6" w:space="0"/>
            <w:left w:val="single" w:color="666666" w:sz="6" w:space="0"/>
            <w:bottom w:val="single" w:color="666666" w:sz="6" w:space="0"/>
            <w:right w:val="single" w:color="666666" w:sz="6" w:space="0"/>
            <w:insideH w:val="none" w:color="auto" w:sz="0" w:space="0"/>
            <w:insideV w:val="none" w:color="auto" w:sz="0" w:space="0"/>
          </w:tblBorders>
          <w:tblCellMar>
            <w:top w:w="120" w:type="dxa"/>
            <w:left w:w="120" w:type="dxa"/>
            <w:bottom w:w="120" w:type="dxa"/>
            <w:right w:w="120" w:type="dxa"/>
          </w:tblCellMar>
        </w:tblPrEx>
        <w:trPr>
          <w:trHeight w:val="464" w:hRule="atLeast"/>
          <w:jc w:val="center"/>
        </w:trPr>
        <w:tc>
          <w:tcPr>
            <w:tcW w:w="1362" w:type="dxa"/>
            <w:tcBorders>
              <w:top w:val="single" w:color="auto" w:sz="6" w:space="0"/>
              <w:left w:val="single" w:color="auto" w:sz="6" w:space="0"/>
              <w:bottom w:val="single" w:color="auto" w:sz="6" w:space="0"/>
              <w:right w:val="single" w:color="auto" w:sz="6" w:space="0"/>
            </w:tcBorders>
            <w:shd w:val="clear" w:color="auto" w:fill="FFFFFF"/>
            <w:tcMar>
              <w:left w:w="105" w:type="dxa"/>
              <w:right w:w="105" w:type="dxa"/>
            </w:tcMar>
            <w:vAlign w:val="center"/>
          </w:tcPr>
          <w:p w14:paraId="70195D6A">
            <w:pPr>
              <w:pStyle w:val="81"/>
              <w:spacing w:beforeAutospacing="0" w:afterAutospacing="0"/>
              <w:jc w:val="center"/>
              <w:rPr>
                <w:rFonts w:hint="eastAsia" w:ascii="宋体" w:hAnsi="宋体" w:eastAsia="宋体" w:cs="宋体"/>
                <w:sz w:val="24"/>
                <w:szCs w:val="24"/>
              </w:rPr>
            </w:pPr>
            <w:r>
              <w:rPr>
                <w:rFonts w:hint="eastAsia" w:ascii="宋体" w:hAnsi="宋体" w:eastAsia="宋体" w:cs="宋体"/>
                <w:sz w:val="24"/>
                <w:szCs w:val="24"/>
              </w:rPr>
              <w:t>单位名称</w:t>
            </w:r>
          </w:p>
        </w:tc>
        <w:tc>
          <w:tcPr>
            <w:tcW w:w="2539" w:type="dxa"/>
            <w:tcBorders>
              <w:top w:val="single" w:color="666666" w:sz="6" w:space="0"/>
              <w:left w:val="nil"/>
              <w:bottom w:val="single" w:color="666666" w:sz="6" w:space="0"/>
              <w:right w:val="single" w:color="666666" w:sz="6" w:space="0"/>
            </w:tcBorders>
            <w:shd w:val="clear" w:color="auto" w:fill="FFFFFF"/>
            <w:tcMar>
              <w:left w:w="105" w:type="dxa"/>
              <w:right w:w="105" w:type="dxa"/>
            </w:tcMar>
            <w:vAlign w:val="center"/>
          </w:tcPr>
          <w:p w14:paraId="06C06B7C">
            <w:pPr>
              <w:pStyle w:val="81"/>
              <w:spacing w:beforeAutospacing="0" w:afterAutospacing="0"/>
              <w:jc w:val="center"/>
              <w:rPr>
                <w:rFonts w:hint="eastAsia" w:ascii="宋体" w:hAnsi="宋体" w:eastAsia="宋体" w:cs="宋体"/>
                <w:sz w:val="24"/>
                <w:szCs w:val="24"/>
              </w:rPr>
            </w:pPr>
          </w:p>
        </w:tc>
        <w:tc>
          <w:tcPr>
            <w:tcW w:w="1714" w:type="dxa"/>
            <w:tcBorders>
              <w:top w:val="single" w:color="666666" w:sz="6" w:space="0"/>
              <w:left w:val="nil"/>
              <w:bottom w:val="single" w:color="666666" w:sz="6" w:space="0"/>
              <w:right w:val="single" w:color="666666" w:sz="6" w:space="0"/>
            </w:tcBorders>
            <w:shd w:val="clear" w:color="auto" w:fill="FFFFFF"/>
            <w:tcMar>
              <w:left w:w="105" w:type="dxa"/>
              <w:right w:w="105" w:type="dxa"/>
            </w:tcMar>
            <w:vAlign w:val="center"/>
          </w:tcPr>
          <w:p w14:paraId="47D45F75">
            <w:pPr>
              <w:pStyle w:val="81"/>
              <w:spacing w:beforeAutospacing="0" w:afterAutospacing="0"/>
              <w:jc w:val="center"/>
              <w:rPr>
                <w:rFonts w:hint="eastAsia" w:ascii="宋体" w:hAnsi="宋体" w:eastAsia="宋体" w:cs="宋体"/>
                <w:sz w:val="24"/>
                <w:szCs w:val="24"/>
              </w:rPr>
            </w:pPr>
            <w:r>
              <w:rPr>
                <w:rFonts w:hint="eastAsia" w:ascii="宋体" w:hAnsi="宋体" w:eastAsia="宋体" w:cs="宋体"/>
                <w:sz w:val="24"/>
                <w:szCs w:val="24"/>
              </w:rPr>
              <w:t>法人代表/授权代表姓名</w:t>
            </w:r>
          </w:p>
        </w:tc>
        <w:tc>
          <w:tcPr>
            <w:tcW w:w="2863" w:type="dxa"/>
            <w:tcBorders>
              <w:top w:val="single" w:color="666666" w:sz="6" w:space="0"/>
              <w:left w:val="nil"/>
              <w:bottom w:val="single" w:color="666666" w:sz="6" w:space="0"/>
              <w:right w:val="single" w:color="666666" w:sz="6" w:space="0"/>
            </w:tcBorders>
            <w:shd w:val="clear" w:color="auto" w:fill="FFFFFF"/>
            <w:tcMar>
              <w:left w:w="105" w:type="dxa"/>
              <w:right w:w="105" w:type="dxa"/>
            </w:tcMar>
            <w:vAlign w:val="center"/>
          </w:tcPr>
          <w:p w14:paraId="4C95A186">
            <w:pPr>
              <w:pStyle w:val="81"/>
              <w:spacing w:beforeAutospacing="0" w:afterAutospacing="0"/>
              <w:jc w:val="center"/>
              <w:rPr>
                <w:rFonts w:hint="eastAsia" w:ascii="宋体" w:hAnsi="宋体" w:eastAsia="宋体" w:cs="宋体"/>
                <w:sz w:val="24"/>
                <w:szCs w:val="24"/>
              </w:rPr>
            </w:pPr>
          </w:p>
        </w:tc>
      </w:tr>
      <w:tr w14:paraId="22E88096">
        <w:tblPrEx>
          <w:tblBorders>
            <w:top w:val="single" w:color="666666" w:sz="6" w:space="0"/>
            <w:left w:val="single" w:color="666666" w:sz="6" w:space="0"/>
            <w:bottom w:val="single" w:color="666666" w:sz="6" w:space="0"/>
            <w:right w:val="single" w:color="666666" w:sz="6" w:space="0"/>
            <w:insideH w:val="none" w:color="auto" w:sz="0" w:space="0"/>
            <w:insideV w:val="none" w:color="auto" w:sz="0" w:space="0"/>
          </w:tblBorders>
          <w:tblCellMar>
            <w:top w:w="120" w:type="dxa"/>
            <w:left w:w="120" w:type="dxa"/>
            <w:bottom w:w="120" w:type="dxa"/>
            <w:right w:w="120" w:type="dxa"/>
          </w:tblCellMar>
        </w:tblPrEx>
        <w:trPr>
          <w:trHeight w:val="732" w:hRule="atLeast"/>
          <w:jc w:val="center"/>
        </w:trPr>
        <w:tc>
          <w:tcPr>
            <w:tcW w:w="1362" w:type="dxa"/>
            <w:tcBorders>
              <w:top w:val="nil"/>
              <w:left w:val="single" w:color="666666" w:sz="6" w:space="0"/>
              <w:bottom w:val="single" w:color="666666" w:sz="6" w:space="0"/>
              <w:right w:val="single" w:color="666666" w:sz="6" w:space="0"/>
            </w:tcBorders>
            <w:shd w:val="clear" w:color="auto" w:fill="FFFFFF"/>
            <w:tcMar>
              <w:left w:w="105" w:type="dxa"/>
              <w:right w:w="105" w:type="dxa"/>
            </w:tcMar>
            <w:vAlign w:val="center"/>
          </w:tcPr>
          <w:p w14:paraId="5062391E">
            <w:pPr>
              <w:pStyle w:val="81"/>
              <w:spacing w:beforeAutospacing="0" w:afterAutospacing="0"/>
              <w:jc w:val="center"/>
              <w:rPr>
                <w:rFonts w:hint="eastAsia" w:ascii="宋体" w:hAnsi="宋体" w:eastAsia="宋体" w:cs="宋体"/>
                <w:sz w:val="24"/>
                <w:szCs w:val="24"/>
              </w:rPr>
            </w:pPr>
            <w:r>
              <w:rPr>
                <w:rFonts w:hint="eastAsia" w:ascii="宋体" w:hAnsi="宋体" w:eastAsia="宋体" w:cs="宋体"/>
                <w:sz w:val="24"/>
                <w:szCs w:val="24"/>
              </w:rPr>
              <w:t>身份证号</w:t>
            </w:r>
          </w:p>
        </w:tc>
        <w:tc>
          <w:tcPr>
            <w:tcW w:w="2539" w:type="dxa"/>
            <w:tcBorders>
              <w:top w:val="nil"/>
              <w:left w:val="nil"/>
              <w:bottom w:val="single" w:color="666666" w:sz="6" w:space="0"/>
              <w:right w:val="single" w:color="666666" w:sz="6" w:space="0"/>
            </w:tcBorders>
            <w:shd w:val="clear" w:color="auto" w:fill="FFFFFF"/>
            <w:tcMar>
              <w:left w:w="105" w:type="dxa"/>
              <w:right w:w="105" w:type="dxa"/>
            </w:tcMar>
            <w:vAlign w:val="center"/>
          </w:tcPr>
          <w:p w14:paraId="66851097">
            <w:pPr>
              <w:pStyle w:val="81"/>
              <w:spacing w:beforeAutospacing="0" w:afterAutospacing="0"/>
              <w:jc w:val="center"/>
              <w:rPr>
                <w:rFonts w:hint="eastAsia" w:ascii="宋体" w:hAnsi="宋体" w:eastAsia="宋体" w:cs="宋体"/>
                <w:sz w:val="24"/>
                <w:szCs w:val="24"/>
              </w:rPr>
            </w:pPr>
          </w:p>
        </w:tc>
        <w:tc>
          <w:tcPr>
            <w:tcW w:w="1714" w:type="dxa"/>
            <w:tcBorders>
              <w:top w:val="nil"/>
              <w:left w:val="nil"/>
              <w:bottom w:val="single" w:color="666666" w:sz="6" w:space="0"/>
              <w:right w:val="single" w:color="666666" w:sz="6" w:space="0"/>
            </w:tcBorders>
            <w:shd w:val="clear" w:color="auto" w:fill="FFFFFF"/>
            <w:tcMar>
              <w:left w:w="105" w:type="dxa"/>
              <w:right w:w="105" w:type="dxa"/>
            </w:tcMar>
            <w:vAlign w:val="center"/>
          </w:tcPr>
          <w:p w14:paraId="716F03E9">
            <w:pPr>
              <w:pStyle w:val="81"/>
              <w:spacing w:beforeAutospacing="0" w:afterAutospacing="0"/>
              <w:jc w:val="center"/>
              <w:rPr>
                <w:rFonts w:hint="eastAsia" w:ascii="宋体" w:hAnsi="宋体" w:eastAsia="宋体" w:cs="宋体"/>
                <w:sz w:val="24"/>
                <w:szCs w:val="24"/>
              </w:rPr>
            </w:pPr>
            <w:r>
              <w:rPr>
                <w:rFonts w:hint="eastAsia" w:ascii="宋体" w:hAnsi="宋体" w:eastAsia="宋体" w:cs="宋体"/>
                <w:sz w:val="24"/>
                <w:szCs w:val="24"/>
              </w:rPr>
              <w:t>手机号</w:t>
            </w:r>
          </w:p>
        </w:tc>
        <w:tc>
          <w:tcPr>
            <w:tcW w:w="2863" w:type="dxa"/>
            <w:tcBorders>
              <w:top w:val="nil"/>
              <w:left w:val="nil"/>
              <w:bottom w:val="single" w:color="666666" w:sz="6" w:space="0"/>
              <w:right w:val="single" w:color="666666" w:sz="6" w:space="0"/>
            </w:tcBorders>
            <w:shd w:val="clear" w:color="auto" w:fill="FFFFFF"/>
            <w:tcMar>
              <w:left w:w="105" w:type="dxa"/>
              <w:right w:w="105" w:type="dxa"/>
            </w:tcMar>
            <w:vAlign w:val="center"/>
          </w:tcPr>
          <w:p w14:paraId="7792E4DC">
            <w:pPr>
              <w:pStyle w:val="81"/>
              <w:spacing w:beforeAutospacing="0" w:afterAutospacing="0"/>
              <w:jc w:val="center"/>
              <w:rPr>
                <w:rFonts w:hint="eastAsia" w:ascii="宋体" w:hAnsi="宋体" w:eastAsia="宋体" w:cs="宋体"/>
                <w:sz w:val="24"/>
                <w:szCs w:val="24"/>
              </w:rPr>
            </w:pPr>
          </w:p>
        </w:tc>
      </w:tr>
      <w:tr w14:paraId="768714C6">
        <w:tblPrEx>
          <w:tblBorders>
            <w:top w:val="single" w:color="666666" w:sz="6" w:space="0"/>
            <w:left w:val="single" w:color="666666" w:sz="6" w:space="0"/>
            <w:bottom w:val="single" w:color="666666" w:sz="6" w:space="0"/>
            <w:right w:val="single" w:color="666666" w:sz="6" w:space="0"/>
            <w:insideH w:val="none" w:color="auto" w:sz="0" w:space="0"/>
            <w:insideV w:val="none" w:color="auto" w:sz="0" w:space="0"/>
          </w:tblBorders>
          <w:tblCellMar>
            <w:top w:w="120" w:type="dxa"/>
            <w:left w:w="120" w:type="dxa"/>
            <w:bottom w:w="120" w:type="dxa"/>
            <w:right w:w="120" w:type="dxa"/>
          </w:tblCellMar>
        </w:tblPrEx>
        <w:trPr>
          <w:trHeight w:val="760" w:hRule="atLeast"/>
          <w:jc w:val="center"/>
        </w:trPr>
        <w:tc>
          <w:tcPr>
            <w:tcW w:w="1362" w:type="dxa"/>
            <w:tcBorders>
              <w:top w:val="nil"/>
              <w:left w:val="single" w:color="666666" w:sz="6" w:space="0"/>
              <w:bottom w:val="single" w:color="666666" w:sz="6" w:space="0"/>
              <w:right w:val="single" w:color="666666" w:sz="6" w:space="0"/>
            </w:tcBorders>
            <w:shd w:val="clear" w:color="auto" w:fill="FFFFFF"/>
            <w:tcMar>
              <w:left w:w="105" w:type="dxa"/>
              <w:right w:w="105" w:type="dxa"/>
            </w:tcMar>
            <w:vAlign w:val="center"/>
          </w:tcPr>
          <w:p w14:paraId="67F5D0A0">
            <w:pPr>
              <w:pStyle w:val="81"/>
              <w:spacing w:beforeAutospacing="0" w:afterAutospacing="0"/>
              <w:jc w:val="center"/>
              <w:rPr>
                <w:rFonts w:hint="eastAsia" w:ascii="宋体" w:hAnsi="宋体" w:eastAsia="宋体" w:cs="宋体"/>
                <w:sz w:val="24"/>
                <w:szCs w:val="24"/>
              </w:rPr>
            </w:pPr>
            <w:r>
              <w:rPr>
                <w:rFonts w:hint="eastAsia" w:ascii="宋体" w:hAnsi="宋体" w:eastAsia="宋体" w:cs="宋体"/>
                <w:sz w:val="24"/>
                <w:szCs w:val="24"/>
              </w:rPr>
              <w:t>申请入校时间</w:t>
            </w:r>
          </w:p>
        </w:tc>
        <w:tc>
          <w:tcPr>
            <w:tcW w:w="2539" w:type="dxa"/>
            <w:tcBorders>
              <w:top w:val="nil"/>
              <w:left w:val="nil"/>
              <w:bottom w:val="single" w:color="666666" w:sz="6" w:space="0"/>
              <w:right w:val="single" w:color="666666" w:sz="6" w:space="0"/>
            </w:tcBorders>
            <w:shd w:val="clear" w:color="auto" w:fill="FFFFFF"/>
            <w:tcMar>
              <w:left w:w="105" w:type="dxa"/>
              <w:right w:w="105" w:type="dxa"/>
            </w:tcMar>
            <w:vAlign w:val="center"/>
          </w:tcPr>
          <w:p w14:paraId="3D663663">
            <w:pPr>
              <w:pStyle w:val="81"/>
              <w:spacing w:beforeAutospacing="0" w:afterAutospacing="0"/>
              <w:jc w:val="center"/>
              <w:rPr>
                <w:rFonts w:hint="eastAsia" w:ascii="宋体" w:hAnsi="宋体" w:eastAsia="宋体" w:cs="宋体"/>
                <w:sz w:val="24"/>
                <w:szCs w:val="24"/>
              </w:rPr>
            </w:pPr>
            <w:r>
              <w:rPr>
                <w:rFonts w:hint="eastAsia" w:ascii="宋体" w:hAnsi="宋体" w:eastAsia="宋体" w:cs="宋体"/>
                <w:sz w:val="24"/>
                <w:szCs w:val="24"/>
              </w:rPr>
              <w:t xml:space="preserve"> 年  月  日   时</w:t>
            </w:r>
          </w:p>
        </w:tc>
        <w:tc>
          <w:tcPr>
            <w:tcW w:w="1714" w:type="dxa"/>
            <w:tcBorders>
              <w:top w:val="nil"/>
              <w:left w:val="nil"/>
              <w:bottom w:val="single" w:color="666666" w:sz="6" w:space="0"/>
              <w:right w:val="single" w:color="666666" w:sz="6" w:space="0"/>
            </w:tcBorders>
            <w:shd w:val="clear" w:color="auto" w:fill="FFFFFF"/>
            <w:tcMar>
              <w:left w:w="105" w:type="dxa"/>
              <w:right w:w="105" w:type="dxa"/>
            </w:tcMar>
            <w:vAlign w:val="center"/>
          </w:tcPr>
          <w:p w14:paraId="396D0A6F">
            <w:pPr>
              <w:pStyle w:val="81"/>
              <w:spacing w:beforeAutospacing="0" w:afterAutospacing="0"/>
              <w:jc w:val="center"/>
              <w:rPr>
                <w:rFonts w:hint="eastAsia" w:ascii="宋体" w:hAnsi="宋体" w:eastAsia="宋体" w:cs="宋体"/>
                <w:sz w:val="24"/>
                <w:szCs w:val="24"/>
              </w:rPr>
            </w:pPr>
            <w:r>
              <w:rPr>
                <w:rFonts w:hint="eastAsia" w:ascii="宋体" w:hAnsi="宋体" w:eastAsia="宋体" w:cs="宋体"/>
                <w:sz w:val="24"/>
                <w:szCs w:val="24"/>
              </w:rPr>
              <w:t>投标项目名称</w:t>
            </w:r>
          </w:p>
        </w:tc>
        <w:tc>
          <w:tcPr>
            <w:tcW w:w="2863" w:type="dxa"/>
            <w:tcBorders>
              <w:top w:val="nil"/>
              <w:left w:val="nil"/>
              <w:bottom w:val="single" w:color="666666" w:sz="6" w:space="0"/>
              <w:right w:val="single" w:color="666666" w:sz="6" w:space="0"/>
            </w:tcBorders>
            <w:shd w:val="clear" w:color="auto" w:fill="FFFFFF"/>
            <w:tcMar>
              <w:left w:w="105" w:type="dxa"/>
              <w:right w:w="105" w:type="dxa"/>
            </w:tcMar>
            <w:vAlign w:val="center"/>
          </w:tcPr>
          <w:p w14:paraId="5518E374">
            <w:pPr>
              <w:pStyle w:val="81"/>
              <w:spacing w:beforeAutospacing="0" w:afterAutospacing="0"/>
              <w:jc w:val="center"/>
              <w:rPr>
                <w:rFonts w:hint="eastAsia" w:ascii="宋体" w:hAnsi="宋体" w:eastAsia="宋体" w:cs="宋体"/>
                <w:sz w:val="24"/>
                <w:szCs w:val="24"/>
              </w:rPr>
            </w:pPr>
          </w:p>
        </w:tc>
      </w:tr>
      <w:tr w14:paraId="57EF0CE2">
        <w:tblPrEx>
          <w:tblBorders>
            <w:top w:val="single" w:color="666666" w:sz="6" w:space="0"/>
            <w:left w:val="single" w:color="666666" w:sz="6" w:space="0"/>
            <w:bottom w:val="single" w:color="666666" w:sz="6" w:space="0"/>
            <w:right w:val="single" w:color="666666" w:sz="6" w:space="0"/>
            <w:insideH w:val="none" w:color="auto" w:sz="0" w:space="0"/>
            <w:insideV w:val="none" w:color="auto" w:sz="0" w:space="0"/>
          </w:tblBorders>
          <w:tblCellMar>
            <w:top w:w="120" w:type="dxa"/>
            <w:left w:w="120" w:type="dxa"/>
            <w:bottom w:w="120" w:type="dxa"/>
            <w:right w:w="120" w:type="dxa"/>
          </w:tblCellMar>
        </w:tblPrEx>
        <w:trPr>
          <w:trHeight w:val="732" w:hRule="atLeast"/>
          <w:jc w:val="center"/>
        </w:trPr>
        <w:tc>
          <w:tcPr>
            <w:tcW w:w="1362" w:type="dxa"/>
            <w:tcBorders>
              <w:top w:val="nil"/>
              <w:left w:val="single" w:color="666666" w:sz="6" w:space="0"/>
              <w:bottom w:val="single" w:color="666666" w:sz="6" w:space="0"/>
              <w:right w:val="single" w:color="666666" w:sz="6" w:space="0"/>
            </w:tcBorders>
            <w:shd w:val="clear" w:color="auto" w:fill="FFFFFF"/>
            <w:tcMar>
              <w:left w:w="105" w:type="dxa"/>
              <w:right w:w="105" w:type="dxa"/>
            </w:tcMar>
            <w:vAlign w:val="center"/>
          </w:tcPr>
          <w:p w14:paraId="6863022C">
            <w:pPr>
              <w:pStyle w:val="81"/>
              <w:spacing w:beforeAutospacing="0" w:afterAutospacing="0"/>
              <w:jc w:val="center"/>
              <w:rPr>
                <w:rFonts w:hint="eastAsia" w:ascii="宋体" w:hAnsi="宋体" w:eastAsia="宋体" w:cs="宋体"/>
                <w:sz w:val="24"/>
                <w:szCs w:val="24"/>
              </w:rPr>
            </w:pPr>
            <w:r>
              <w:rPr>
                <w:rFonts w:hint="eastAsia" w:ascii="宋体" w:hAnsi="宋体" w:eastAsia="宋体" w:cs="宋体"/>
                <w:sz w:val="24"/>
                <w:szCs w:val="24"/>
              </w:rPr>
              <w:t>投标地点</w:t>
            </w:r>
          </w:p>
        </w:tc>
        <w:tc>
          <w:tcPr>
            <w:tcW w:w="2539" w:type="dxa"/>
            <w:tcBorders>
              <w:top w:val="nil"/>
              <w:left w:val="nil"/>
              <w:bottom w:val="single" w:color="666666" w:sz="6" w:space="0"/>
              <w:right w:val="single" w:color="666666" w:sz="6" w:space="0"/>
            </w:tcBorders>
            <w:shd w:val="clear" w:color="auto" w:fill="FFFFFF"/>
            <w:tcMar>
              <w:left w:w="105" w:type="dxa"/>
              <w:right w:w="105" w:type="dxa"/>
            </w:tcMar>
            <w:vAlign w:val="center"/>
          </w:tcPr>
          <w:p w14:paraId="7201447E">
            <w:pPr>
              <w:pStyle w:val="81"/>
              <w:spacing w:beforeAutospacing="0" w:afterAutospacing="0"/>
              <w:jc w:val="center"/>
              <w:rPr>
                <w:rFonts w:hint="eastAsia" w:ascii="宋体" w:hAnsi="宋体" w:eastAsia="宋体" w:cs="宋体"/>
                <w:sz w:val="24"/>
                <w:szCs w:val="24"/>
              </w:rPr>
            </w:pPr>
          </w:p>
        </w:tc>
        <w:tc>
          <w:tcPr>
            <w:tcW w:w="1714" w:type="dxa"/>
            <w:tcBorders>
              <w:top w:val="nil"/>
              <w:left w:val="nil"/>
              <w:bottom w:val="single" w:color="666666" w:sz="6" w:space="0"/>
              <w:right w:val="single" w:color="666666" w:sz="6" w:space="0"/>
            </w:tcBorders>
            <w:shd w:val="clear" w:color="auto" w:fill="FFFFFF"/>
            <w:tcMar>
              <w:left w:w="105" w:type="dxa"/>
              <w:right w:w="105" w:type="dxa"/>
            </w:tcMar>
            <w:vAlign w:val="center"/>
          </w:tcPr>
          <w:p w14:paraId="3D550D60">
            <w:pPr>
              <w:pStyle w:val="81"/>
              <w:spacing w:beforeAutospacing="0" w:afterAutospacing="0"/>
              <w:jc w:val="center"/>
              <w:rPr>
                <w:rFonts w:hint="eastAsia" w:ascii="宋体" w:hAnsi="宋体" w:eastAsia="宋体" w:cs="宋体"/>
                <w:sz w:val="24"/>
                <w:szCs w:val="24"/>
              </w:rPr>
            </w:pPr>
            <w:r>
              <w:rPr>
                <w:rFonts w:hint="eastAsia" w:ascii="宋体" w:hAnsi="宋体" w:eastAsia="宋体" w:cs="宋体"/>
                <w:sz w:val="24"/>
                <w:szCs w:val="24"/>
              </w:rPr>
              <w:t>车牌号</w:t>
            </w:r>
          </w:p>
        </w:tc>
        <w:tc>
          <w:tcPr>
            <w:tcW w:w="2863" w:type="dxa"/>
            <w:tcBorders>
              <w:top w:val="nil"/>
              <w:left w:val="nil"/>
              <w:bottom w:val="single" w:color="666666" w:sz="6" w:space="0"/>
              <w:right w:val="single" w:color="666666" w:sz="6" w:space="0"/>
            </w:tcBorders>
            <w:shd w:val="clear" w:color="auto" w:fill="FFFFFF"/>
            <w:tcMar>
              <w:left w:w="105" w:type="dxa"/>
              <w:right w:w="105" w:type="dxa"/>
            </w:tcMar>
            <w:vAlign w:val="center"/>
          </w:tcPr>
          <w:p w14:paraId="2AB0C738">
            <w:pPr>
              <w:pStyle w:val="81"/>
              <w:spacing w:beforeAutospacing="0" w:afterAutospacing="0"/>
              <w:jc w:val="center"/>
              <w:rPr>
                <w:rFonts w:hint="eastAsia" w:ascii="宋体" w:hAnsi="宋体" w:eastAsia="宋体" w:cs="宋体"/>
                <w:sz w:val="24"/>
                <w:szCs w:val="24"/>
              </w:rPr>
            </w:pPr>
          </w:p>
        </w:tc>
      </w:tr>
      <w:tr w14:paraId="39AEB985">
        <w:tblPrEx>
          <w:tblBorders>
            <w:top w:val="single" w:color="666666" w:sz="6" w:space="0"/>
            <w:left w:val="single" w:color="666666" w:sz="6" w:space="0"/>
            <w:bottom w:val="single" w:color="666666" w:sz="6" w:space="0"/>
            <w:right w:val="single" w:color="666666" w:sz="6" w:space="0"/>
            <w:insideH w:val="none" w:color="auto" w:sz="0" w:space="0"/>
            <w:insideV w:val="none" w:color="auto" w:sz="0" w:space="0"/>
          </w:tblBorders>
          <w:tblCellMar>
            <w:top w:w="120" w:type="dxa"/>
            <w:left w:w="120" w:type="dxa"/>
            <w:bottom w:w="120" w:type="dxa"/>
            <w:right w:w="120" w:type="dxa"/>
          </w:tblCellMar>
        </w:tblPrEx>
        <w:trPr>
          <w:trHeight w:val="4809" w:hRule="atLeast"/>
          <w:jc w:val="center"/>
        </w:trPr>
        <w:tc>
          <w:tcPr>
            <w:tcW w:w="1362" w:type="dxa"/>
            <w:tcBorders>
              <w:top w:val="nil"/>
              <w:left w:val="single" w:color="666666" w:sz="6" w:space="0"/>
              <w:right w:val="single" w:color="666666" w:sz="6" w:space="0"/>
            </w:tcBorders>
            <w:shd w:val="clear" w:color="auto" w:fill="FFFFFF"/>
            <w:tcMar>
              <w:left w:w="105" w:type="dxa"/>
              <w:right w:w="105" w:type="dxa"/>
            </w:tcMar>
            <w:vAlign w:val="center"/>
          </w:tcPr>
          <w:p w14:paraId="34FBD596">
            <w:pPr>
              <w:pStyle w:val="81"/>
              <w:spacing w:beforeAutospacing="0" w:afterAutospacing="0" w:line="800" w:lineRule="exact"/>
              <w:jc w:val="center"/>
              <w:rPr>
                <w:rFonts w:hint="eastAsia" w:ascii="宋体" w:hAnsi="宋体" w:eastAsia="宋体" w:cs="宋体"/>
                <w:sz w:val="24"/>
                <w:szCs w:val="24"/>
              </w:rPr>
            </w:pPr>
            <w:r>
              <w:rPr>
                <w:rFonts w:hint="eastAsia" w:ascii="宋体" w:hAnsi="宋体" w:eastAsia="宋体" w:cs="宋体"/>
                <w:sz w:val="24"/>
                <w:szCs w:val="24"/>
              </w:rPr>
              <w:t>校外单位入校投标须知</w:t>
            </w:r>
          </w:p>
          <w:p w14:paraId="708E9A1A">
            <w:pPr>
              <w:pStyle w:val="81"/>
              <w:jc w:val="center"/>
              <w:rPr>
                <w:rFonts w:hint="eastAsia" w:ascii="宋体" w:hAnsi="宋体" w:eastAsia="宋体" w:cs="宋体"/>
                <w:sz w:val="24"/>
                <w:szCs w:val="24"/>
              </w:rPr>
            </w:pPr>
          </w:p>
        </w:tc>
        <w:tc>
          <w:tcPr>
            <w:tcW w:w="7116" w:type="dxa"/>
            <w:gridSpan w:val="3"/>
            <w:tcBorders>
              <w:top w:val="nil"/>
              <w:left w:val="nil"/>
              <w:right w:val="single" w:color="666666" w:sz="6" w:space="0"/>
            </w:tcBorders>
            <w:shd w:val="clear" w:color="auto" w:fill="FFFFFF"/>
            <w:tcMar>
              <w:left w:w="105" w:type="dxa"/>
              <w:right w:w="105" w:type="dxa"/>
            </w:tcMar>
          </w:tcPr>
          <w:p w14:paraId="062F668E">
            <w:pPr>
              <w:pStyle w:val="81"/>
              <w:spacing w:beforeAutospacing="0" w:afterAutospacing="0" w:line="400" w:lineRule="exact"/>
              <w:rPr>
                <w:rFonts w:hint="eastAsia" w:ascii="宋体" w:hAnsi="宋体" w:eastAsia="宋体" w:cs="宋体"/>
                <w:sz w:val="24"/>
                <w:szCs w:val="24"/>
              </w:rPr>
            </w:pPr>
            <w:r>
              <w:rPr>
                <w:rFonts w:hint="eastAsia" w:ascii="宋体" w:hAnsi="宋体" w:eastAsia="宋体" w:cs="宋体"/>
                <w:sz w:val="24"/>
                <w:szCs w:val="24"/>
              </w:rPr>
              <w:t>1.遵守中南民族大学校园通行规章制度，配合门岗检查；</w:t>
            </w:r>
          </w:p>
          <w:p w14:paraId="347E08AB">
            <w:pPr>
              <w:pStyle w:val="81"/>
              <w:spacing w:beforeAutospacing="0" w:afterAutospacing="0" w:line="400" w:lineRule="exact"/>
              <w:rPr>
                <w:rFonts w:hint="eastAsia" w:ascii="宋体" w:hAnsi="宋体" w:eastAsia="宋体" w:cs="宋体"/>
                <w:sz w:val="24"/>
                <w:szCs w:val="24"/>
              </w:rPr>
            </w:pPr>
            <w:r>
              <w:rPr>
                <w:rFonts w:hint="eastAsia" w:ascii="宋体" w:hAnsi="宋体" w:eastAsia="宋体" w:cs="宋体"/>
                <w:sz w:val="24"/>
                <w:szCs w:val="24"/>
              </w:rPr>
              <w:t>2.遵守中南民族大学校园秩序，不做与投标无关的其他事情；</w:t>
            </w:r>
          </w:p>
          <w:p w14:paraId="22FDB9A7">
            <w:pPr>
              <w:pStyle w:val="81"/>
              <w:spacing w:beforeAutospacing="0" w:afterAutospacing="0" w:line="400" w:lineRule="exact"/>
              <w:rPr>
                <w:rFonts w:hint="eastAsia" w:ascii="宋体" w:hAnsi="宋体" w:eastAsia="宋体" w:cs="宋体"/>
                <w:sz w:val="24"/>
                <w:szCs w:val="24"/>
              </w:rPr>
            </w:pPr>
            <w:r>
              <w:rPr>
                <w:rFonts w:hint="eastAsia" w:ascii="宋体" w:hAnsi="宋体" w:eastAsia="宋体" w:cs="宋体"/>
                <w:sz w:val="24"/>
                <w:szCs w:val="24"/>
              </w:rPr>
              <w:t>3.申请表仅用于投标人到指定投标地点，参加中南民族大学当日投标项目使用；</w:t>
            </w:r>
          </w:p>
          <w:p w14:paraId="321143A8">
            <w:pPr>
              <w:pStyle w:val="81"/>
              <w:spacing w:beforeAutospacing="0" w:afterAutospacing="0" w:line="400" w:lineRule="exact"/>
              <w:rPr>
                <w:rFonts w:hint="eastAsia" w:ascii="宋体" w:hAnsi="宋体" w:eastAsia="宋体" w:cs="宋体"/>
                <w:sz w:val="24"/>
                <w:szCs w:val="24"/>
              </w:rPr>
            </w:pPr>
            <w:r>
              <w:rPr>
                <w:rFonts w:hint="eastAsia" w:ascii="宋体" w:hAnsi="宋体" w:eastAsia="宋体" w:cs="宋体"/>
                <w:sz w:val="24"/>
                <w:szCs w:val="24"/>
              </w:rPr>
              <w:t>4.申请表仅在投标人参加中南民族大学当日的投标项目时有效，其他时间无效；</w:t>
            </w:r>
          </w:p>
          <w:p w14:paraId="0EC0DCDB">
            <w:pPr>
              <w:pStyle w:val="81"/>
              <w:spacing w:beforeAutospacing="0" w:afterAutospacing="0" w:line="400" w:lineRule="exact"/>
              <w:rPr>
                <w:rFonts w:hint="eastAsia" w:ascii="宋体" w:hAnsi="宋体" w:eastAsia="宋体" w:cs="宋体"/>
                <w:sz w:val="24"/>
                <w:szCs w:val="24"/>
              </w:rPr>
            </w:pPr>
            <w:r>
              <w:rPr>
                <w:rFonts w:hint="eastAsia" w:ascii="宋体" w:hAnsi="宋体" w:eastAsia="宋体" w:cs="宋体"/>
                <w:sz w:val="24"/>
                <w:szCs w:val="24"/>
              </w:rPr>
              <w:t>5.申请表须加盖与</w:t>
            </w:r>
            <w:r>
              <w:rPr>
                <w:rFonts w:hint="eastAsia" w:cs="宋体"/>
                <w:sz w:val="24"/>
                <w:szCs w:val="24"/>
                <w:lang w:eastAsia="zh-CN"/>
              </w:rPr>
              <w:t>响应文件</w:t>
            </w:r>
            <w:r>
              <w:rPr>
                <w:rFonts w:hint="eastAsia" w:ascii="宋体" w:hAnsi="宋体" w:eastAsia="宋体" w:cs="宋体"/>
                <w:sz w:val="24"/>
                <w:szCs w:val="24"/>
              </w:rPr>
              <w:t>完全一致的鲜章；</w:t>
            </w:r>
          </w:p>
          <w:p w14:paraId="2624513D">
            <w:pPr>
              <w:pStyle w:val="81"/>
              <w:spacing w:beforeAutospacing="0" w:afterAutospacing="0" w:line="400" w:lineRule="exact"/>
              <w:rPr>
                <w:rFonts w:hint="eastAsia" w:ascii="宋体" w:hAnsi="宋体" w:eastAsia="宋体" w:cs="宋体"/>
                <w:sz w:val="24"/>
                <w:szCs w:val="24"/>
              </w:rPr>
            </w:pPr>
            <w:r>
              <w:rPr>
                <w:rFonts w:hint="eastAsia" w:ascii="宋体" w:hAnsi="宋体" w:eastAsia="宋体" w:cs="宋体"/>
                <w:sz w:val="24"/>
                <w:szCs w:val="24"/>
              </w:rPr>
              <w:t>6.申请入校的投标人须同时携带申请表及参加中南民族大学当日投标项目的</w:t>
            </w:r>
            <w:r>
              <w:rPr>
                <w:rFonts w:hint="eastAsia" w:cs="宋体"/>
                <w:sz w:val="24"/>
                <w:szCs w:val="24"/>
                <w:lang w:eastAsia="zh-CN"/>
              </w:rPr>
              <w:t>响应文件</w:t>
            </w:r>
            <w:r>
              <w:rPr>
                <w:rFonts w:hint="eastAsia" w:ascii="宋体" w:hAnsi="宋体" w:eastAsia="宋体" w:cs="宋体"/>
                <w:sz w:val="24"/>
                <w:szCs w:val="24"/>
              </w:rPr>
              <w:t xml:space="preserve">方可入校，仅携带申请表不得入校；  </w:t>
            </w:r>
          </w:p>
          <w:p w14:paraId="7A7A06B3">
            <w:pPr>
              <w:pStyle w:val="81"/>
              <w:spacing w:beforeAutospacing="0" w:afterAutospacing="0" w:line="400" w:lineRule="exact"/>
              <w:rPr>
                <w:rFonts w:hint="eastAsia" w:ascii="宋体" w:hAnsi="宋体" w:eastAsia="宋体" w:cs="宋体"/>
                <w:sz w:val="24"/>
                <w:szCs w:val="24"/>
              </w:rPr>
            </w:pPr>
            <w:r>
              <w:rPr>
                <w:rFonts w:hint="eastAsia" w:ascii="宋体" w:hAnsi="宋体" w:eastAsia="宋体" w:cs="宋体"/>
                <w:sz w:val="24"/>
                <w:szCs w:val="24"/>
              </w:rPr>
              <w:t xml:space="preserve">7.申请入校的投标人不得有与投标无关的人员随行，不得携带与投标无关的其他物品； </w:t>
            </w:r>
          </w:p>
          <w:p w14:paraId="567D5667">
            <w:pPr>
              <w:pStyle w:val="81"/>
              <w:spacing w:beforeAutospacing="0" w:afterAutospacing="0" w:line="400" w:lineRule="exact"/>
              <w:rPr>
                <w:rFonts w:hint="eastAsia" w:ascii="宋体" w:hAnsi="宋体" w:eastAsia="宋体" w:cs="宋体"/>
                <w:sz w:val="24"/>
                <w:szCs w:val="24"/>
              </w:rPr>
            </w:pPr>
            <w:r>
              <w:rPr>
                <w:rFonts w:hint="eastAsia" w:ascii="宋体" w:hAnsi="宋体" w:eastAsia="宋体" w:cs="宋体"/>
                <w:sz w:val="24"/>
                <w:szCs w:val="24"/>
              </w:rPr>
              <w:t>8.投标结束后，投标人离开校园，不进入其他场所，不在校内逗留。</w:t>
            </w:r>
          </w:p>
          <w:p w14:paraId="089D599B">
            <w:pPr>
              <w:pStyle w:val="81"/>
              <w:spacing w:beforeAutospacing="0" w:afterAutospacing="0" w:line="400" w:lineRule="exact"/>
              <w:rPr>
                <w:rFonts w:hint="eastAsia" w:ascii="宋体" w:hAnsi="宋体" w:eastAsia="宋体" w:cs="宋体"/>
                <w:sz w:val="24"/>
                <w:szCs w:val="24"/>
              </w:rPr>
            </w:pPr>
            <w:r>
              <w:rPr>
                <w:rFonts w:hint="eastAsia" w:ascii="宋体" w:hAnsi="宋体" w:eastAsia="宋体" w:cs="宋体"/>
                <w:sz w:val="24"/>
                <w:szCs w:val="24"/>
              </w:rPr>
              <w:t xml:space="preserve">           </w:t>
            </w:r>
          </w:p>
          <w:p w14:paraId="33ED314A">
            <w:pPr>
              <w:pStyle w:val="81"/>
              <w:spacing w:beforeAutospacing="0" w:afterAutospacing="0" w:line="500" w:lineRule="exact"/>
              <w:jc w:val="center"/>
              <w:rPr>
                <w:rFonts w:hint="eastAsia" w:ascii="宋体" w:hAnsi="宋体" w:eastAsia="宋体" w:cs="宋体"/>
                <w:sz w:val="24"/>
                <w:szCs w:val="24"/>
              </w:rPr>
            </w:pPr>
            <w:r>
              <w:rPr>
                <w:rFonts w:hint="eastAsia" w:ascii="宋体" w:hAnsi="宋体" w:eastAsia="宋体" w:cs="宋体"/>
                <w:sz w:val="24"/>
                <w:szCs w:val="24"/>
              </w:rPr>
              <w:t xml:space="preserve">   </w:t>
            </w:r>
          </w:p>
          <w:p w14:paraId="280E5FB9">
            <w:pPr>
              <w:pStyle w:val="81"/>
              <w:spacing w:beforeAutospacing="0" w:afterAutospacing="0" w:line="500" w:lineRule="exact"/>
              <w:jc w:val="center"/>
              <w:rPr>
                <w:rFonts w:hint="eastAsia" w:ascii="宋体" w:hAnsi="宋体" w:eastAsia="宋体" w:cs="宋体"/>
                <w:sz w:val="24"/>
                <w:szCs w:val="24"/>
              </w:rPr>
            </w:pPr>
            <w:r>
              <w:rPr>
                <w:rFonts w:hint="eastAsia" w:ascii="宋体" w:hAnsi="宋体" w:eastAsia="宋体" w:cs="宋体"/>
                <w:sz w:val="24"/>
                <w:szCs w:val="24"/>
              </w:rPr>
              <w:t xml:space="preserve"> 申请入校投标人签字：</w:t>
            </w:r>
          </w:p>
          <w:p w14:paraId="75D70AFC">
            <w:pPr>
              <w:pStyle w:val="81"/>
              <w:spacing w:beforeAutospacing="0" w:afterAutospacing="0" w:line="500" w:lineRule="exact"/>
              <w:rPr>
                <w:rFonts w:hint="eastAsia" w:ascii="宋体" w:hAnsi="宋体" w:eastAsia="宋体" w:cs="宋体"/>
                <w:sz w:val="24"/>
                <w:szCs w:val="24"/>
              </w:rPr>
            </w:pPr>
            <w:r>
              <w:rPr>
                <w:rFonts w:hint="eastAsia" w:ascii="宋体" w:hAnsi="宋体" w:eastAsia="宋体" w:cs="宋体"/>
                <w:sz w:val="24"/>
                <w:szCs w:val="24"/>
              </w:rPr>
              <w:t xml:space="preserve">                        单位盖章：</w:t>
            </w:r>
          </w:p>
          <w:p w14:paraId="71C8FD08">
            <w:pPr>
              <w:pStyle w:val="81"/>
              <w:spacing w:beforeAutospacing="0" w:afterAutospacing="0" w:line="500" w:lineRule="exact"/>
              <w:jc w:val="center"/>
              <w:rPr>
                <w:rFonts w:hint="eastAsia" w:ascii="宋体" w:hAnsi="宋体" w:eastAsia="宋体" w:cs="宋体"/>
                <w:sz w:val="24"/>
                <w:szCs w:val="24"/>
              </w:rPr>
            </w:pPr>
          </w:p>
        </w:tc>
      </w:tr>
    </w:tbl>
    <w:p w14:paraId="100D6814">
      <w:pPr>
        <w:keepNext w:val="0"/>
        <w:keepLines w:val="0"/>
        <w:pageBreakBefore/>
        <w:widowControl w:val="0"/>
        <w:kinsoku/>
        <w:wordWrap/>
        <w:overflowPunct/>
        <w:topLinePunct w:val="0"/>
        <w:autoSpaceDE w:val="0"/>
        <w:autoSpaceDN w:val="0"/>
        <w:bidi w:val="0"/>
        <w:adjustRightInd w:val="0"/>
        <w:snapToGrid/>
        <w:spacing w:beforeAutospacing="0" w:afterAutospacing="0" w:line="360" w:lineRule="auto"/>
        <w:ind w:left="0" w:leftChars="0" w:right="0" w:rightChars="0" w:firstLine="482" w:firstLineChars="200"/>
        <w:jc w:val="left"/>
        <w:textAlignment w:val="auto"/>
        <w:outlineLvl w:val="1"/>
        <w:rPr>
          <w:rFonts w:hint="eastAsia" w:ascii="宋体" w:hAnsi="宋体" w:eastAsia="宋体" w:cs="宋体"/>
          <w:b/>
          <w:sz w:val="24"/>
          <w:szCs w:val="24"/>
        </w:rPr>
      </w:pPr>
      <w:bookmarkStart w:id="83" w:name="_Toc18391"/>
      <w:r>
        <w:rPr>
          <w:rFonts w:hint="eastAsia" w:ascii="宋体" w:hAnsi="宋体" w:eastAsia="宋体" w:cs="宋体"/>
          <w:b/>
          <w:sz w:val="24"/>
          <w:szCs w:val="24"/>
        </w:rPr>
        <w:t>二、供应商须知</w:t>
      </w:r>
      <w:bookmarkEnd w:id="79"/>
      <w:bookmarkEnd w:id="80"/>
      <w:bookmarkEnd w:id="81"/>
      <w:bookmarkEnd w:id="82"/>
      <w:bookmarkEnd w:id="83"/>
    </w:p>
    <w:p w14:paraId="36415AFD">
      <w:pPr>
        <w:keepNext w:val="0"/>
        <w:keepLines w:val="0"/>
        <w:widowControl w:val="0"/>
        <w:tabs>
          <w:tab w:val="left" w:pos="425"/>
          <w:tab w:val="left" w:pos="540"/>
        </w:tabs>
        <w:kinsoku/>
        <w:wordWrap/>
        <w:overflowPunct/>
        <w:topLinePunct w:val="0"/>
        <w:bidi w:val="0"/>
        <w:snapToGrid/>
        <w:spacing w:beforeAutospacing="0" w:afterAutospacing="0" w:line="360" w:lineRule="auto"/>
        <w:ind w:left="0" w:leftChars="0" w:right="0" w:rightChars="0" w:firstLine="482" w:firstLineChars="200"/>
        <w:jc w:val="left"/>
        <w:textAlignment w:val="auto"/>
        <w:outlineLvl w:val="1"/>
        <w:rPr>
          <w:rFonts w:hint="eastAsia" w:ascii="宋体" w:hAnsi="宋体" w:eastAsia="宋体" w:cs="宋体"/>
          <w:b/>
          <w:sz w:val="24"/>
          <w:szCs w:val="24"/>
        </w:rPr>
      </w:pPr>
      <w:bookmarkStart w:id="84" w:name="_Toc25634"/>
      <w:bookmarkStart w:id="85" w:name="_Toc109900370"/>
      <w:bookmarkStart w:id="86" w:name="_Toc109899951"/>
      <w:bookmarkStart w:id="87" w:name="_Toc46771638"/>
      <w:bookmarkStart w:id="88" w:name="_Toc109897433"/>
      <w:bookmarkStart w:id="89" w:name="_Toc470172694"/>
      <w:r>
        <w:rPr>
          <w:rFonts w:hint="eastAsia" w:ascii="宋体" w:hAnsi="宋体" w:eastAsia="宋体" w:cs="宋体"/>
          <w:b/>
          <w:sz w:val="24"/>
          <w:szCs w:val="24"/>
        </w:rPr>
        <w:t>（一）总则</w:t>
      </w:r>
      <w:bookmarkEnd w:id="84"/>
      <w:bookmarkEnd w:id="85"/>
      <w:bookmarkEnd w:id="86"/>
      <w:bookmarkEnd w:id="87"/>
      <w:bookmarkEnd w:id="88"/>
    </w:p>
    <w:p w14:paraId="16D8F614">
      <w:pPr>
        <w:keepNext w:val="0"/>
        <w:keepLines w:val="0"/>
        <w:pageBreakBefore w:val="0"/>
        <w:widowControl w:val="0"/>
        <w:tabs>
          <w:tab w:val="left" w:pos="540"/>
        </w:tabs>
        <w:kinsoku/>
        <w:wordWrap/>
        <w:overflowPunct/>
        <w:topLinePunct w:val="0"/>
        <w:bidi w:val="0"/>
        <w:snapToGrid/>
        <w:spacing w:beforeAutospacing="0" w:afterAutospacing="0" w:line="360" w:lineRule="auto"/>
        <w:ind w:left="0" w:leftChars="0" w:right="0" w:rightChars="0" w:firstLine="480" w:firstLineChars="200"/>
        <w:jc w:val="left"/>
        <w:textAlignment w:val="auto"/>
        <w:outlineLvl w:val="2"/>
        <w:rPr>
          <w:rFonts w:hint="eastAsia" w:ascii="宋体" w:hAnsi="宋体" w:eastAsia="宋体" w:cs="宋体"/>
          <w:b w:val="0"/>
          <w:sz w:val="24"/>
          <w:szCs w:val="24"/>
        </w:rPr>
      </w:pPr>
      <w:bookmarkStart w:id="90" w:name="_Toc48688788"/>
      <w:bookmarkStart w:id="91" w:name="_Toc470172664"/>
      <w:bookmarkStart w:id="92" w:name="_Toc46771639"/>
      <w:bookmarkStart w:id="93" w:name="_Toc48846108"/>
      <w:bookmarkStart w:id="94" w:name="_Toc46772240"/>
      <w:bookmarkStart w:id="95" w:name="_Toc109897434"/>
      <w:bookmarkStart w:id="96" w:name="_Toc109899533"/>
      <w:bookmarkStart w:id="97" w:name="_Toc109900371"/>
      <w:bookmarkStart w:id="98" w:name="_Toc52962726"/>
      <w:bookmarkStart w:id="99" w:name="_Toc109899952"/>
      <w:bookmarkStart w:id="100" w:name="_Toc14860"/>
      <w:bookmarkStart w:id="101" w:name="_Toc23709"/>
      <w:bookmarkStart w:id="102" w:name="_Toc27243"/>
      <w:bookmarkStart w:id="103" w:name="_Toc52960552"/>
      <w:bookmarkStart w:id="104" w:name="_Toc51674210"/>
      <w:r>
        <w:rPr>
          <w:rFonts w:hint="eastAsia" w:ascii="宋体" w:hAnsi="宋体" w:eastAsia="宋体" w:cs="宋体"/>
          <w:b w:val="0"/>
          <w:sz w:val="24"/>
          <w:szCs w:val="24"/>
        </w:rPr>
        <w:t>1.适用范围</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14:paraId="313F4B99">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rPr>
      </w:pPr>
      <w:r>
        <w:rPr>
          <w:rFonts w:hint="eastAsia" w:ascii="宋体" w:hAnsi="宋体" w:eastAsia="宋体" w:cs="宋体"/>
          <w:snapToGrid w:val="0"/>
          <w:sz w:val="24"/>
          <w:szCs w:val="24"/>
        </w:rPr>
        <w:t>1.1本竞争性磋商文件仅适用于本次竞争性磋商中所述项目的采购活动。</w:t>
      </w:r>
    </w:p>
    <w:p w14:paraId="093ADDEA">
      <w:pPr>
        <w:keepNext w:val="0"/>
        <w:keepLines w:val="0"/>
        <w:pageBreakBefore w:val="0"/>
        <w:widowControl w:val="0"/>
        <w:tabs>
          <w:tab w:val="left" w:pos="540"/>
        </w:tabs>
        <w:kinsoku/>
        <w:wordWrap/>
        <w:overflowPunct/>
        <w:topLinePunct w:val="0"/>
        <w:bidi w:val="0"/>
        <w:snapToGrid/>
        <w:spacing w:beforeAutospacing="0" w:afterAutospacing="0" w:line="360" w:lineRule="auto"/>
        <w:ind w:left="0" w:leftChars="0" w:right="0" w:rightChars="0" w:firstLine="480" w:firstLineChars="200"/>
        <w:jc w:val="left"/>
        <w:textAlignment w:val="auto"/>
        <w:outlineLvl w:val="2"/>
        <w:rPr>
          <w:rFonts w:hint="eastAsia" w:ascii="宋体" w:hAnsi="宋体" w:eastAsia="宋体" w:cs="宋体"/>
          <w:b w:val="0"/>
          <w:sz w:val="24"/>
          <w:szCs w:val="24"/>
        </w:rPr>
      </w:pPr>
      <w:bookmarkStart w:id="105" w:name="_Toc48846109"/>
      <w:bookmarkStart w:id="106" w:name="_Toc52962727"/>
      <w:bookmarkStart w:id="107" w:name="_Toc46771640"/>
      <w:bookmarkStart w:id="108" w:name="_Toc109897435"/>
      <w:bookmarkStart w:id="109" w:name="_Toc48688789"/>
      <w:bookmarkStart w:id="110" w:name="_Toc46772241"/>
      <w:bookmarkStart w:id="111" w:name="_Toc16778"/>
      <w:bookmarkStart w:id="112" w:name="_Toc52960553"/>
      <w:bookmarkStart w:id="113" w:name="_Toc109899953"/>
      <w:bookmarkStart w:id="114" w:name="_Toc51674211"/>
      <w:bookmarkStart w:id="115" w:name="_Toc17551"/>
      <w:bookmarkStart w:id="116" w:name="_Toc30547"/>
      <w:bookmarkStart w:id="117" w:name="_Toc470172665"/>
      <w:bookmarkStart w:id="118" w:name="_Toc109899534"/>
      <w:bookmarkStart w:id="119" w:name="_Toc109900372"/>
      <w:r>
        <w:rPr>
          <w:rFonts w:hint="eastAsia" w:ascii="宋体" w:hAnsi="宋体" w:eastAsia="宋体" w:cs="宋体"/>
          <w:b w:val="0"/>
          <w:sz w:val="24"/>
          <w:szCs w:val="24"/>
        </w:rPr>
        <w:t>2.定义</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p>
    <w:p w14:paraId="74C0C6DC">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rPr>
      </w:pPr>
      <w:r>
        <w:rPr>
          <w:rFonts w:hint="eastAsia" w:ascii="宋体" w:hAnsi="宋体" w:eastAsia="宋体" w:cs="宋体"/>
          <w:snapToGrid w:val="0"/>
          <w:sz w:val="24"/>
          <w:szCs w:val="24"/>
        </w:rPr>
        <w:t>2.1“采购人”：本次磋商的采购人见《供应商须知前附表》。</w:t>
      </w:r>
    </w:p>
    <w:p w14:paraId="7BD2AB7B">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rPr>
      </w:pPr>
      <w:r>
        <w:rPr>
          <w:rFonts w:hint="eastAsia" w:ascii="宋体" w:hAnsi="宋体" w:eastAsia="宋体" w:cs="宋体"/>
          <w:snapToGrid w:val="0"/>
          <w:sz w:val="24"/>
          <w:szCs w:val="24"/>
        </w:rPr>
        <w:t>2.2“监管部门”：本次磋商的监管部门见《供应商须知前附表》。</w:t>
      </w:r>
    </w:p>
    <w:p w14:paraId="238B3618">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rPr>
      </w:pPr>
      <w:r>
        <w:rPr>
          <w:rFonts w:hint="eastAsia" w:ascii="宋体" w:hAnsi="宋体" w:eastAsia="宋体" w:cs="宋体"/>
          <w:snapToGrid w:val="0"/>
          <w:sz w:val="24"/>
          <w:szCs w:val="24"/>
        </w:rPr>
        <w:t>2.3“采购代理机构”：本次磋商的采购代理机构见《供应商须知前附表》。</w:t>
      </w:r>
    </w:p>
    <w:p w14:paraId="7EACB2FA">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rPr>
      </w:pPr>
      <w:r>
        <w:rPr>
          <w:rFonts w:hint="eastAsia" w:ascii="宋体" w:hAnsi="宋体" w:eastAsia="宋体" w:cs="宋体"/>
          <w:snapToGrid w:val="0"/>
          <w:sz w:val="24"/>
          <w:szCs w:val="24"/>
        </w:rPr>
        <w:t>2.4“供应商”是指获取本磋商文件的法人、其他组织或者自然人。</w:t>
      </w:r>
    </w:p>
    <w:p w14:paraId="58552484">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rPr>
      </w:pPr>
      <w:r>
        <w:rPr>
          <w:rFonts w:hint="eastAsia" w:ascii="宋体" w:hAnsi="宋体" w:eastAsia="宋体" w:cs="宋体"/>
          <w:snapToGrid w:val="0"/>
          <w:sz w:val="24"/>
          <w:szCs w:val="24"/>
        </w:rPr>
        <w:t>2.5“磋商供应商”是指</w:t>
      </w:r>
    </w:p>
    <w:p w14:paraId="2473CCF0">
      <w:pPr>
        <w:keepNext w:val="0"/>
        <w:keepLines w:val="0"/>
        <w:pageBreakBefore w:val="0"/>
        <w:widowControl w:val="0"/>
        <w:tabs>
          <w:tab w:val="left" w:pos="525"/>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（1）符合具备《中华人民共和国政府采购法》第二十二条规定的条件。</w:t>
      </w:r>
    </w:p>
    <w:p w14:paraId="4EE68C02">
      <w:pPr>
        <w:keepNext w:val="0"/>
        <w:keepLines w:val="0"/>
        <w:pageBreakBefore w:val="0"/>
        <w:widowControl w:val="0"/>
        <w:tabs>
          <w:tab w:val="left" w:pos="525"/>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（2）符合《供应商须知前附表》的相应条件。</w:t>
      </w:r>
    </w:p>
    <w:p w14:paraId="20E20DDE">
      <w:pPr>
        <w:keepNext w:val="0"/>
        <w:keepLines w:val="0"/>
        <w:pageBreakBefore w:val="0"/>
        <w:widowControl w:val="0"/>
        <w:tabs>
          <w:tab w:val="left" w:pos="525"/>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（3）通过竞争性磋商采购评定办法中初步审核的供应商。</w:t>
      </w:r>
    </w:p>
    <w:p w14:paraId="41E353D3">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rPr>
      </w:pPr>
      <w:r>
        <w:rPr>
          <w:rFonts w:hint="eastAsia" w:ascii="宋体" w:hAnsi="宋体" w:eastAsia="宋体" w:cs="宋体"/>
          <w:snapToGrid w:val="0"/>
          <w:sz w:val="24"/>
          <w:szCs w:val="24"/>
        </w:rPr>
        <w:t>2.6“成交供应商”是指经磋商小组评审推荐，采购人授予合同的供应商。</w:t>
      </w:r>
    </w:p>
    <w:p w14:paraId="340F6250">
      <w:pPr>
        <w:keepNext w:val="0"/>
        <w:keepLines w:val="0"/>
        <w:pageBreakBefore w:val="0"/>
        <w:widowControl w:val="0"/>
        <w:tabs>
          <w:tab w:val="left" w:pos="540"/>
        </w:tabs>
        <w:kinsoku/>
        <w:wordWrap/>
        <w:overflowPunct/>
        <w:topLinePunct w:val="0"/>
        <w:bidi w:val="0"/>
        <w:snapToGrid/>
        <w:spacing w:beforeAutospacing="0" w:afterAutospacing="0" w:line="360" w:lineRule="auto"/>
        <w:ind w:left="0" w:leftChars="0" w:right="0" w:rightChars="0" w:firstLine="480" w:firstLineChars="200"/>
        <w:jc w:val="left"/>
        <w:textAlignment w:val="auto"/>
        <w:outlineLvl w:val="2"/>
        <w:rPr>
          <w:rFonts w:hint="eastAsia" w:ascii="宋体" w:hAnsi="宋体" w:eastAsia="宋体" w:cs="宋体"/>
          <w:b w:val="0"/>
          <w:sz w:val="24"/>
          <w:szCs w:val="24"/>
        </w:rPr>
      </w:pPr>
      <w:bookmarkStart w:id="120" w:name="_Toc46772242"/>
      <w:bookmarkStart w:id="121" w:name="_Toc48688790"/>
      <w:bookmarkStart w:id="122" w:name="_Toc46771641"/>
      <w:bookmarkStart w:id="123" w:name="_Toc109900373"/>
      <w:bookmarkStart w:id="124" w:name="_Toc109899535"/>
      <w:bookmarkStart w:id="125" w:name="_Toc30503"/>
      <w:bookmarkStart w:id="126" w:name="_Toc10583"/>
      <w:bookmarkStart w:id="127" w:name="_Toc470172666"/>
      <w:bookmarkStart w:id="128" w:name="_Toc4402"/>
      <w:bookmarkStart w:id="129" w:name="_Toc109897436"/>
      <w:bookmarkStart w:id="130" w:name="_Toc52962728"/>
      <w:bookmarkStart w:id="131" w:name="_Toc51674212"/>
      <w:bookmarkStart w:id="132" w:name="_Toc109899954"/>
      <w:bookmarkStart w:id="133" w:name="_Toc52960554"/>
      <w:bookmarkStart w:id="134" w:name="_Toc48846110"/>
      <w:r>
        <w:rPr>
          <w:rFonts w:hint="eastAsia" w:ascii="宋体" w:hAnsi="宋体" w:eastAsia="宋体" w:cs="宋体"/>
          <w:b w:val="0"/>
          <w:sz w:val="24"/>
          <w:szCs w:val="24"/>
        </w:rPr>
        <w:t>3.工程、货物及服务</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14:paraId="549AA696">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rPr>
        <w:t>3.1</w:t>
      </w:r>
      <w:r>
        <w:rPr>
          <w:rFonts w:hint="eastAsia" w:ascii="宋体" w:hAnsi="宋体" w:eastAsia="宋体" w:cs="宋体"/>
          <w:snapToGrid w:val="0"/>
          <w:sz w:val="24"/>
          <w:szCs w:val="24"/>
          <w:lang w:val="zh-CN"/>
        </w:rPr>
        <w:t>“工程”是指建设工程，包括建筑物和构筑物的新建、改建、扩建及其相关的装修、拆除、修缮等。</w:t>
      </w:r>
    </w:p>
    <w:p w14:paraId="303E689E">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3.2“货物”是指各种形态和种类的物品，包括原材料、燃料、设备、产品等。</w:t>
      </w:r>
    </w:p>
    <w:p w14:paraId="00C61F8A">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3.3“服务”是指除货物（指各种形态和种类的物品，包括原材料、燃料、设备、产品等）和工程（指建设工程，包括建筑物和构筑物的新建、改建、扩建及其相关的装修、拆除、修缮等）以外的其他政府采购对象。</w:t>
      </w:r>
    </w:p>
    <w:p w14:paraId="50244601">
      <w:pPr>
        <w:keepNext w:val="0"/>
        <w:keepLines w:val="0"/>
        <w:pageBreakBefore w:val="0"/>
        <w:widowControl w:val="0"/>
        <w:tabs>
          <w:tab w:val="left" w:pos="540"/>
        </w:tabs>
        <w:kinsoku/>
        <w:wordWrap/>
        <w:overflowPunct/>
        <w:topLinePunct w:val="0"/>
        <w:bidi w:val="0"/>
        <w:snapToGrid/>
        <w:spacing w:beforeAutospacing="0" w:afterAutospacing="0" w:line="360" w:lineRule="auto"/>
        <w:ind w:left="0" w:leftChars="0" w:right="0" w:rightChars="0" w:firstLine="480" w:firstLineChars="200"/>
        <w:jc w:val="left"/>
        <w:textAlignment w:val="auto"/>
        <w:outlineLvl w:val="2"/>
        <w:rPr>
          <w:rFonts w:hint="eastAsia" w:ascii="宋体" w:hAnsi="宋体" w:eastAsia="宋体" w:cs="宋体"/>
          <w:b w:val="0"/>
          <w:sz w:val="24"/>
          <w:szCs w:val="24"/>
        </w:rPr>
      </w:pPr>
      <w:bookmarkStart w:id="135" w:name="_Toc9974"/>
      <w:bookmarkStart w:id="136" w:name="_Toc109900374"/>
      <w:bookmarkStart w:id="137" w:name="_Toc48846111"/>
      <w:bookmarkStart w:id="138" w:name="_Toc109897437"/>
      <w:bookmarkStart w:id="139" w:name="_Toc52962729"/>
      <w:bookmarkStart w:id="140" w:name="_Toc470172667"/>
      <w:bookmarkStart w:id="141" w:name="_Toc52960555"/>
      <w:bookmarkStart w:id="142" w:name="_Toc109899536"/>
      <w:bookmarkStart w:id="143" w:name="_Toc11544"/>
      <w:bookmarkStart w:id="144" w:name="_Toc48688791"/>
      <w:bookmarkStart w:id="145" w:name="_Toc109899955"/>
      <w:bookmarkStart w:id="146" w:name="_Toc51674213"/>
      <w:bookmarkStart w:id="147" w:name="_Toc46771642"/>
      <w:bookmarkStart w:id="148" w:name="_Toc22520"/>
      <w:bookmarkStart w:id="149" w:name="_Toc46772243"/>
      <w:r>
        <w:rPr>
          <w:rFonts w:hint="eastAsia" w:ascii="宋体" w:hAnsi="宋体" w:eastAsia="宋体" w:cs="宋体"/>
          <w:b w:val="0"/>
          <w:sz w:val="24"/>
          <w:szCs w:val="24"/>
        </w:rPr>
        <w:t>4.费用</w:t>
      </w:r>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14:paraId="4AA903F3">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4.1供应商应承担所有与准备和参加磋商有关的费用，不论磋商的结果如何，采购人和采购代理机构均无义务和责任承担这些费用。</w:t>
      </w:r>
    </w:p>
    <w:p w14:paraId="6FB1B3B2">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4.2成交服务费：服务费支付标准和方法详见《供应商须知前附表》。</w:t>
      </w:r>
    </w:p>
    <w:p w14:paraId="3EC07F8E">
      <w:pPr>
        <w:keepNext w:val="0"/>
        <w:keepLines w:val="0"/>
        <w:widowControl w:val="0"/>
        <w:tabs>
          <w:tab w:val="left" w:pos="425"/>
          <w:tab w:val="left" w:pos="540"/>
        </w:tabs>
        <w:kinsoku/>
        <w:wordWrap/>
        <w:overflowPunct/>
        <w:topLinePunct w:val="0"/>
        <w:bidi w:val="0"/>
        <w:snapToGrid/>
        <w:spacing w:beforeAutospacing="0" w:afterAutospacing="0" w:line="360" w:lineRule="auto"/>
        <w:ind w:left="0" w:leftChars="0" w:right="0" w:rightChars="0" w:firstLine="482" w:firstLineChars="200"/>
        <w:jc w:val="left"/>
        <w:textAlignment w:val="auto"/>
        <w:outlineLvl w:val="1"/>
        <w:rPr>
          <w:rFonts w:hint="eastAsia" w:ascii="宋体" w:hAnsi="宋体" w:eastAsia="宋体" w:cs="宋体"/>
          <w:b/>
          <w:sz w:val="24"/>
          <w:szCs w:val="24"/>
        </w:rPr>
      </w:pPr>
      <w:bookmarkStart w:id="150" w:name="_Toc109897438"/>
      <w:bookmarkStart w:id="151" w:name="_Toc2904"/>
      <w:bookmarkStart w:id="152" w:name="_Toc470172668"/>
      <w:bookmarkStart w:id="153" w:name="_Toc109900375"/>
      <w:bookmarkStart w:id="154" w:name="_Toc46771643"/>
      <w:bookmarkStart w:id="155" w:name="_Toc109899956"/>
      <w:r>
        <w:rPr>
          <w:rFonts w:hint="eastAsia" w:ascii="宋体" w:hAnsi="宋体" w:eastAsia="宋体" w:cs="宋体"/>
          <w:b/>
          <w:sz w:val="24"/>
          <w:szCs w:val="24"/>
        </w:rPr>
        <w:t>（二）磋商文件</w:t>
      </w:r>
      <w:bookmarkEnd w:id="150"/>
      <w:bookmarkEnd w:id="151"/>
      <w:bookmarkEnd w:id="152"/>
      <w:bookmarkEnd w:id="153"/>
      <w:bookmarkEnd w:id="154"/>
      <w:bookmarkEnd w:id="155"/>
    </w:p>
    <w:p w14:paraId="3326650C">
      <w:pPr>
        <w:keepNext w:val="0"/>
        <w:keepLines w:val="0"/>
        <w:pageBreakBefore w:val="0"/>
        <w:widowControl w:val="0"/>
        <w:tabs>
          <w:tab w:val="left" w:pos="540"/>
        </w:tabs>
        <w:kinsoku/>
        <w:wordWrap/>
        <w:overflowPunct/>
        <w:topLinePunct w:val="0"/>
        <w:bidi w:val="0"/>
        <w:snapToGrid/>
        <w:spacing w:beforeAutospacing="0" w:afterAutospacing="0" w:line="360" w:lineRule="auto"/>
        <w:ind w:left="0" w:leftChars="0" w:right="0" w:rightChars="0" w:firstLine="480" w:firstLineChars="200"/>
        <w:jc w:val="left"/>
        <w:textAlignment w:val="auto"/>
        <w:outlineLvl w:val="2"/>
        <w:rPr>
          <w:rFonts w:hint="eastAsia" w:ascii="宋体" w:hAnsi="宋体" w:eastAsia="宋体" w:cs="宋体"/>
          <w:b w:val="0"/>
          <w:sz w:val="24"/>
          <w:szCs w:val="24"/>
        </w:rPr>
      </w:pPr>
      <w:bookmarkStart w:id="156" w:name="_Toc46771644"/>
      <w:bookmarkStart w:id="157" w:name="_Toc109897439"/>
      <w:bookmarkStart w:id="158" w:name="_Toc46772245"/>
      <w:bookmarkStart w:id="159" w:name="_Toc109900376"/>
      <w:bookmarkStart w:id="160" w:name="_Toc51674215"/>
      <w:bookmarkStart w:id="161" w:name="_Toc109899538"/>
      <w:bookmarkStart w:id="162" w:name="_Toc48688793"/>
      <w:bookmarkStart w:id="163" w:name="_Toc52960557"/>
      <w:bookmarkStart w:id="164" w:name="_Toc48846113"/>
      <w:bookmarkStart w:id="165" w:name="_Toc28275"/>
      <w:bookmarkStart w:id="166" w:name="_Toc4547"/>
      <w:bookmarkStart w:id="167" w:name="_Toc109899957"/>
      <w:bookmarkStart w:id="168" w:name="_Toc470172669"/>
      <w:bookmarkStart w:id="169" w:name="_Toc52962731"/>
      <w:bookmarkStart w:id="170" w:name="_Toc4338"/>
      <w:r>
        <w:rPr>
          <w:rFonts w:hint="eastAsia" w:ascii="宋体" w:hAnsi="宋体" w:eastAsia="宋体" w:cs="宋体"/>
          <w:b w:val="0"/>
          <w:sz w:val="24"/>
          <w:szCs w:val="24"/>
        </w:rPr>
        <w:t>5.磋商文件的构成</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p>
    <w:p w14:paraId="3F65883C">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rPr>
      </w:pPr>
      <w:r>
        <w:rPr>
          <w:rFonts w:hint="eastAsia" w:ascii="宋体" w:hAnsi="宋体" w:eastAsia="宋体" w:cs="宋体"/>
          <w:snapToGrid w:val="0"/>
          <w:sz w:val="24"/>
          <w:szCs w:val="24"/>
        </w:rPr>
        <w:t>5.1</w:t>
      </w:r>
      <w:r>
        <w:rPr>
          <w:rFonts w:hint="eastAsia" w:ascii="宋体" w:hAnsi="宋体" w:eastAsia="宋体" w:cs="宋体"/>
          <w:snapToGrid w:val="0"/>
          <w:sz w:val="24"/>
          <w:szCs w:val="24"/>
          <w:lang w:val="zh-CN"/>
        </w:rPr>
        <w:t>本磋商文件包括</w:t>
      </w:r>
      <w:r>
        <w:rPr>
          <w:rFonts w:hint="eastAsia" w:ascii="宋体" w:hAnsi="宋体" w:eastAsia="宋体" w:cs="宋体"/>
          <w:snapToGrid w:val="0"/>
          <w:sz w:val="24"/>
          <w:szCs w:val="24"/>
        </w:rPr>
        <w:t>：</w:t>
      </w:r>
    </w:p>
    <w:p w14:paraId="6B416FBA">
      <w:pPr>
        <w:keepNext w:val="0"/>
        <w:keepLines w:val="0"/>
        <w:pageBreakBefore w:val="0"/>
        <w:widowControl w:val="0"/>
        <w:tabs>
          <w:tab w:val="left" w:pos="525"/>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（1）磋商公告（代磋商邀请函）</w:t>
      </w:r>
    </w:p>
    <w:p w14:paraId="566D083E">
      <w:pPr>
        <w:keepNext w:val="0"/>
        <w:keepLines w:val="0"/>
        <w:pageBreakBefore w:val="0"/>
        <w:widowControl w:val="0"/>
        <w:tabs>
          <w:tab w:val="left" w:pos="525"/>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（2）供应商须知</w:t>
      </w:r>
    </w:p>
    <w:p w14:paraId="62B525C5">
      <w:pPr>
        <w:keepNext w:val="0"/>
        <w:keepLines w:val="0"/>
        <w:pageBreakBefore w:val="0"/>
        <w:widowControl w:val="0"/>
        <w:tabs>
          <w:tab w:val="left" w:pos="525"/>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（3）项目采购需求</w:t>
      </w:r>
    </w:p>
    <w:p w14:paraId="061442D6">
      <w:pPr>
        <w:keepNext w:val="0"/>
        <w:keepLines w:val="0"/>
        <w:pageBreakBefore w:val="0"/>
        <w:widowControl w:val="0"/>
        <w:tabs>
          <w:tab w:val="left" w:pos="525"/>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（4）合同草案</w:t>
      </w:r>
    </w:p>
    <w:p w14:paraId="75A9AE34">
      <w:pPr>
        <w:keepNext w:val="0"/>
        <w:keepLines w:val="0"/>
        <w:pageBreakBefore w:val="0"/>
        <w:widowControl w:val="0"/>
        <w:tabs>
          <w:tab w:val="left" w:pos="525"/>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（5）评审程序、方法及标准</w:t>
      </w:r>
    </w:p>
    <w:p w14:paraId="7C4BA166">
      <w:pPr>
        <w:keepNext w:val="0"/>
        <w:keepLines w:val="0"/>
        <w:pageBreakBefore w:val="0"/>
        <w:widowControl w:val="0"/>
        <w:tabs>
          <w:tab w:val="left" w:pos="525"/>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（6）响应文件的格式</w:t>
      </w:r>
    </w:p>
    <w:p w14:paraId="09773101">
      <w:pPr>
        <w:keepNext w:val="0"/>
        <w:keepLines w:val="0"/>
        <w:pageBreakBefore w:val="0"/>
        <w:widowControl w:val="0"/>
        <w:tabs>
          <w:tab w:val="left" w:pos="525"/>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（7）采购过程中由采购代理机构发出的澄清和修正文件</w:t>
      </w:r>
    </w:p>
    <w:p w14:paraId="6D247C55">
      <w:pPr>
        <w:keepNext w:val="0"/>
        <w:keepLines w:val="0"/>
        <w:pageBreakBefore w:val="0"/>
        <w:widowControl w:val="0"/>
        <w:tabs>
          <w:tab w:val="left" w:pos="525"/>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（8）磋商小组在磋商过程中发出的对本磋商文件的实质性变动</w:t>
      </w:r>
    </w:p>
    <w:p w14:paraId="16A095A0">
      <w:pPr>
        <w:keepNext w:val="0"/>
        <w:keepLines w:val="0"/>
        <w:pageBreakBefore w:val="0"/>
        <w:widowControl w:val="0"/>
        <w:tabs>
          <w:tab w:val="left" w:pos="540"/>
        </w:tabs>
        <w:kinsoku/>
        <w:wordWrap/>
        <w:overflowPunct/>
        <w:topLinePunct w:val="0"/>
        <w:bidi w:val="0"/>
        <w:snapToGrid/>
        <w:spacing w:beforeAutospacing="0" w:afterAutospacing="0" w:line="360" w:lineRule="auto"/>
        <w:ind w:left="0" w:leftChars="0" w:right="0" w:rightChars="0" w:firstLine="480" w:firstLineChars="200"/>
        <w:jc w:val="left"/>
        <w:textAlignment w:val="auto"/>
        <w:outlineLvl w:val="2"/>
        <w:rPr>
          <w:rFonts w:hint="eastAsia" w:ascii="宋体" w:hAnsi="宋体" w:eastAsia="宋体" w:cs="宋体"/>
          <w:b w:val="0"/>
          <w:sz w:val="24"/>
          <w:szCs w:val="24"/>
        </w:rPr>
      </w:pPr>
      <w:bookmarkStart w:id="171" w:name="_Toc48688794"/>
      <w:bookmarkStart w:id="172" w:name="_Toc52962732"/>
      <w:bookmarkStart w:id="173" w:name="_Toc109899958"/>
      <w:bookmarkStart w:id="174" w:name="_Toc12471"/>
      <w:bookmarkStart w:id="175" w:name="_Toc109899539"/>
      <w:bookmarkStart w:id="176" w:name="_Toc46772246"/>
      <w:bookmarkStart w:id="177" w:name="_Toc52960558"/>
      <w:bookmarkStart w:id="178" w:name="_Toc48846114"/>
      <w:bookmarkStart w:id="179" w:name="_Toc109897440"/>
      <w:bookmarkStart w:id="180" w:name="_Toc109900377"/>
      <w:bookmarkStart w:id="181" w:name="_Toc478415174"/>
      <w:bookmarkStart w:id="182" w:name="_Toc51674216"/>
      <w:bookmarkStart w:id="183" w:name="_Toc46771645"/>
      <w:bookmarkStart w:id="184" w:name="_Toc20604"/>
      <w:r>
        <w:rPr>
          <w:rFonts w:hint="eastAsia" w:ascii="宋体" w:hAnsi="宋体" w:eastAsia="宋体" w:cs="宋体"/>
          <w:b w:val="0"/>
          <w:sz w:val="24"/>
          <w:szCs w:val="24"/>
        </w:rPr>
        <w:t>6.磋商文件的澄清或修改</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14:paraId="4381E7CB">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6.1提交响应文件截止之日前，采购人、采购代理机构或者磋商小组可以对已发出的磋商文件进行必要的澄清或者修改，澄清或者修改的内容作为磋商文件的组成部分。</w:t>
      </w:r>
    </w:p>
    <w:p w14:paraId="5E5D278C">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6.2对磋商文件澄清或者修改的内容可能影响响应文件编制的，采购人、采购代理机构或者磋商小组应当在提交响应文件截止之日5日前，以书面形式通知所有接收磋商文件的供应商，不足5日的，应当顺延提交首次响应文件截止时间。</w:t>
      </w:r>
    </w:p>
    <w:p w14:paraId="343A0D9F">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6.3供应商在收到澄清或者修改通知后，应在供应商须知前附表规定的时间内以书面形式通知采购人或采购代理机构，确认已收到该澄清或者修改通知。</w:t>
      </w:r>
    </w:p>
    <w:p w14:paraId="2135E54C">
      <w:pPr>
        <w:keepNext w:val="0"/>
        <w:keepLines w:val="0"/>
        <w:pageBreakBefore w:val="0"/>
        <w:widowControl w:val="0"/>
        <w:tabs>
          <w:tab w:val="left" w:pos="540"/>
        </w:tabs>
        <w:kinsoku/>
        <w:wordWrap/>
        <w:overflowPunct/>
        <w:topLinePunct w:val="0"/>
        <w:bidi w:val="0"/>
        <w:snapToGrid/>
        <w:spacing w:beforeAutospacing="0" w:afterAutospacing="0" w:line="360" w:lineRule="auto"/>
        <w:ind w:left="0" w:leftChars="0" w:right="0" w:rightChars="0" w:firstLine="480" w:firstLineChars="200"/>
        <w:jc w:val="left"/>
        <w:textAlignment w:val="auto"/>
        <w:outlineLvl w:val="2"/>
        <w:rPr>
          <w:rFonts w:hint="eastAsia" w:ascii="宋体" w:hAnsi="宋体" w:eastAsia="宋体" w:cs="宋体"/>
          <w:b w:val="0"/>
          <w:sz w:val="24"/>
          <w:szCs w:val="24"/>
        </w:rPr>
      </w:pPr>
      <w:bookmarkStart w:id="185" w:name="_Toc52962733"/>
      <w:bookmarkStart w:id="186" w:name="_Toc109899540"/>
      <w:bookmarkStart w:id="187" w:name="_Toc109900378"/>
      <w:bookmarkStart w:id="188" w:name="_Toc46771646"/>
      <w:bookmarkStart w:id="189" w:name="_Toc109899959"/>
      <w:bookmarkStart w:id="190" w:name="_Toc478415175"/>
      <w:bookmarkStart w:id="191" w:name="_Toc48688795"/>
      <w:bookmarkStart w:id="192" w:name="_Toc14721"/>
      <w:bookmarkStart w:id="193" w:name="_Toc52960559"/>
      <w:bookmarkStart w:id="194" w:name="_Toc109897441"/>
      <w:bookmarkStart w:id="195" w:name="_Toc48846115"/>
      <w:bookmarkStart w:id="196" w:name="_Toc46772247"/>
      <w:bookmarkStart w:id="197" w:name="_Toc20610"/>
      <w:bookmarkStart w:id="198" w:name="_Toc51674217"/>
      <w:r>
        <w:rPr>
          <w:rFonts w:hint="eastAsia" w:ascii="宋体" w:hAnsi="宋体" w:eastAsia="宋体" w:cs="宋体"/>
          <w:b w:val="0"/>
          <w:sz w:val="24"/>
          <w:szCs w:val="24"/>
        </w:rPr>
        <w:t>7.现场踏勘</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14:paraId="5F390A5B">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7.1供应商须知前附表规定组织踏勘现场的，采购代理机构按供应商须知前附表规定的时间、地点组织供应商踏勘项目现场。</w:t>
      </w:r>
    </w:p>
    <w:p w14:paraId="32C43823">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7.2供应商踏勘现场发生的费用自理。</w:t>
      </w:r>
    </w:p>
    <w:p w14:paraId="2C1733DF">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7.3除采购人和采购代理机构的原因外，供应商自行负责在踏勘现场中所发生的人员伤亡和财产损失。</w:t>
      </w:r>
    </w:p>
    <w:p w14:paraId="492D7F44">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7.4采购人在踏勘现场中介绍的项目场地和相关的周边环境情况，供应商在编制响应文件时参考，采购人和采购代理机构不对供应商据此作出的判断和决策负责。</w:t>
      </w:r>
    </w:p>
    <w:p w14:paraId="592A7EC5">
      <w:pPr>
        <w:keepNext w:val="0"/>
        <w:keepLines w:val="0"/>
        <w:pageBreakBefore w:val="0"/>
        <w:widowControl w:val="0"/>
        <w:tabs>
          <w:tab w:val="left" w:pos="425"/>
          <w:tab w:val="left" w:pos="540"/>
        </w:tabs>
        <w:kinsoku/>
        <w:wordWrap/>
        <w:overflowPunct/>
        <w:topLinePunct w:val="0"/>
        <w:bidi w:val="0"/>
        <w:snapToGrid/>
        <w:spacing w:beforeAutospacing="0" w:afterAutospacing="0" w:line="360" w:lineRule="auto"/>
        <w:ind w:left="0" w:leftChars="0" w:right="0" w:rightChars="0" w:firstLine="482" w:firstLineChars="200"/>
        <w:jc w:val="left"/>
        <w:textAlignment w:val="auto"/>
        <w:outlineLvl w:val="1"/>
        <w:rPr>
          <w:rFonts w:hint="eastAsia" w:ascii="宋体" w:hAnsi="宋体" w:eastAsia="宋体" w:cs="宋体"/>
          <w:b/>
          <w:sz w:val="24"/>
          <w:szCs w:val="24"/>
        </w:rPr>
      </w:pPr>
      <w:bookmarkStart w:id="199" w:name="_Toc109900379"/>
      <w:bookmarkStart w:id="200" w:name="_Toc109897442"/>
      <w:bookmarkStart w:id="201" w:name="_Toc109899960"/>
      <w:bookmarkStart w:id="202" w:name="_Toc32130"/>
      <w:bookmarkStart w:id="203" w:name="_Toc470172672"/>
      <w:bookmarkStart w:id="204" w:name="_Toc46771647"/>
      <w:r>
        <w:rPr>
          <w:rFonts w:hint="eastAsia" w:ascii="宋体" w:hAnsi="宋体" w:eastAsia="宋体" w:cs="宋体"/>
          <w:b/>
          <w:sz w:val="24"/>
          <w:szCs w:val="24"/>
        </w:rPr>
        <w:t>（三）竞争性磋商响应文件</w:t>
      </w:r>
      <w:bookmarkEnd w:id="199"/>
      <w:bookmarkEnd w:id="200"/>
      <w:bookmarkEnd w:id="201"/>
      <w:bookmarkEnd w:id="202"/>
      <w:bookmarkEnd w:id="203"/>
      <w:bookmarkEnd w:id="204"/>
    </w:p>
    <w:p w14:paraId="07832C1C">
      <w:pPr>
        <w:keepNext w:val="0"/>
        <w:keepLines w:val="0"/>
        <w:pageBreakBefore w:val="0"/>
        <w:widowControl w:val="0"/>
        <w:tabs>
          <w:tab w:val="left" w:pos="540"/>
        </w:tabs>
        <w:kinsoku/>
        <w:wordWrap/>
        <w:overflowPunct/>
        <w:topLinePunct w:val="0"/>
        <w:bidi w:val="0"/>
        <w:snapToGrid/>
        <w:spacing w:beforeAutospacing="0" w:afterAutospacing="0" w:line="360" w:lineRule="auto"/>
        <w:ind w:left="0" w:leftChars="0" w:right="0" w:rightChars="0" w:firstLine="480" w:firstLineChars="200"/>
        <w:jc w:val="left"/>
        <w:textAlignment w:val="auto"/>
        <w:outlineLvl w:val="2"/>
        <w:rPr>
          <w:rFonts w:hint="eastAsia" w:ascii="宋体" w:hAnsi="宋体" w:eastAsia="宋体" w:cs="宋体"/>
          <w:b w:val="0"/>
          <w:sz w:val="24"/>
          <w:szCs w:val="24"/>
        </w:rPr>
      </w:pPr>
      <w:bookmarkStart w:id="205" w:name="_Toc46772249"/>
      <w:bookmarkStart w:id="206" w:name="_Toc52960561"/>
      <w:bookmarkStart w:id="207" w:name="_Toc51674219"/>
      <w:bookmarkStart w:id="208" w:name="_Toc14421"/>
      <w:bookmarkStart w:id="209" w:name="_Toc109900380"/>
      <w:bookmarkStart w:id="210" w:name="_Toc470172673"/>
      <w:bookmarkStart w:id="211" w:name="_Toc30987"/>
      <w:bookmarkStart w:id="212" w:name="_Toc48688797"/>
      <w:bookmarkStart w:id="213" w:name="_Toc46771648"/>
      <w:bookmarkStart w:id="214" w:name="_Toc109899961"/>
      <w:bookmarkStart w:id="215" w:name="_Toc52962735"/>
      <w:bookmarkStart w:id="216" w:name="_Toc28419"/>
      <w:bookmarkStart w:id="217" w:name="_Toc109899542"/>
      <w:bookmarkStart w:id="218" w:name="_Toc109897443"/>
      <w:bookmarkStart w:id="219" w:name="_Toc48846117"/>
      <w:r>
        <w:rPr>
          <w:rFonts w:hint="eastAsia" w:ascii="宋体" w:hAnsi="宋体" w:eastAsia="宋体" w:cs="宋体"/>
          <w:b w:val="0"/>
          <w:sz w:val="24"/>
          <w:szCs w:val="24"/>
        </w:rPr>
        <w:t>8.语言和计量单位</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6E341E88">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8.1供应商提交的竞争性磋商响应文件以及供应商与采购代理机构或采购人就有关磋商的所有来往函电均应使用中文。供应商提交的支持文件或印刷的文献可以用另一种语言，但相应内容应附有中文翻译本，在解释竞争性磋商响应文件时以中文翻译本为准。</w:t>
      </w:r>
    </w:p>
    <w:p w14:paraId="04C7AB13">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8.2除非磋商文件中另有规定，计量单位均采用中华人民共和国法定的计量单位。</w:t>
      </w:r>
    </w:p>
    <w:p w14:paraId="2DAD4E09">
      <w:pPr>
        <w:keepNext w:val="0"/>
        <w:keepLines w:val="0"/>
        <w:pageBreakBefore w:val="0"/>
        <w:widowControl w:val="0"/>
        <w:tabs>
          <w:tab w:val="left" w:pos="540"/>
        </w:tabs>
        <w:kinsoku/>
        <w:wordWrap/>
        <w:overflowPunct/>
        <w:topLinePunct w:val="0"/>
        <w:bidi w:val="0"/>
        <w:snapToGrid/>
        <w:spacing w:beforeAutospacing="0" w:afterAutospacing="0" w:line="360" w:lineRule="auto"/>
        <w:ind w:left="0" w:leftChars="0" w:right="0" w:rightChars="0" w:firstLine="480" w:firstLineChars="200"/>
        <w:jc w:val="left"/>
        <w:textAlignment w:val="auto"/>
        <w:outlineLvl w:val="2"/>
        <w:rPr>
          <w:rFonts w:hint="eastAsia" w:ascii="宋体" w:hAnsi="宋体" w:eastAsia="宋体" w:cs="宋体"/>
          <w:b w:val="0"/>
          <w:sz w:val="24"/>
          <w:szCs w:val="24"/>
        </w:rPr>
      </w:pPr>
      <w:bookmarkStart w:id="220" w:name="_Toc32272"/>
      <w:bookmarkStart w:id="221" w:name="_Toc29158"/>
      <w:bookmarkStart w:id="222" w:name="_Toc52962736"/>
      <w:bookmarkStart w:id="223" w:name="_Toc109900381"/>
      <w:bookmarkStart w:id="224" w:name="_Toc109899962"/>
      <w:bookmarkStart w:id="225" w:name="_Toc46771649"/>
      <w:bookmarkStart w:id="226" w:name="_Toc46772250"/>
      <w:bookmarkStart w:id="227" w:name="_Toc48688798"/>
      <w:bookmarkStart w:id="228" w:name="_Toc48846118"/>
      <w:bookmarkStart w:id="229" w:name="_Toc470172674"/>
      <w:bookmarkStart w:id="230" w:name="_Toc109897444"/>
      <w:bookmarkStart w:id="231" w:name="_Toc109899543"/>
      <w:bookmarkStart w:id="232" w:name="_Toc1691"/>
      <w:bookmarkStart w:id="233" w:name="_Toc52960562"/>
      <w:bookmarkStart w:id="234" w:name="_Toc51674220"/>
      <w:r>
        <w:rPr>
          <w:rFonts w:hint="eastAsia" w:ascii="宋体" w:hAnsi="宋体" w:eastAsia="宋体" w:cs="宋体"/>
          <w:b w:val="0"/>
          <w:sz w:val="24"/>
          <w:szCs w:val="24"/>
        </w:rPr>
        <w:t>9.竞争性磋商响应文件的构成</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p>
    <w:p w14:paraId="2097241C">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9.1供应商编制的竞争性磋商响应件应包括的内容详见本文件第六章要求。</w:t>
      </w:r>
    </w:p>
    <w:p w14:paraId="38EC6F27">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注：响应文件目录及内容每页须顺序编写页码。</w:t>
      </w:r>
    </w:p>
    <w:p w14:paraId="0858EB49">
      <w:pPr>
        <w:keepNext w:val="0"/>
        <w:keepLines w:val="0"/>
        <w:pageBreakBefore w:val="0"/>
        <w:widowControl w:val="0"/>
        <w:tabs>
          <w:tab w:val="left" w:pos="540"/>
        </w:tabs>
        <w:kinsoku/>
        <w:wordWrap/>
        <w:overflowPunct/>
        <w:topLinePunct w:val="0"/>
        <w:bidi w:val="0"/>
        <w:snapToGrid/>
        <w:spacing w:beforeAutospacing="0" w:afterAutospacing="0" w:line="360" w:lineRule="auto"/>
        <w:ind w:left="0" w:leftChars="0" w:right="0" w:rightChars="0" w:firstLine="480" w:firstLineChars="200"/>
        <w:jc w:val="left"/>
        <w:textAlignment w:val="auto"/>
        <w:outlineLvl w:val="2"/>
        <w:rPr>
          <w:rFonts w:hint="eastAsia" w:ascii="宋体" w:hAnsi="宋体" w:eastAsia="宋体" w:cs="宋体"/>
          <w:b w:val="0"/>
          <w:sz w:val="24"/>
          <w:szCs w:val="24"/>
        </w:rPr>
      </w:pPr>
      <w:bookmarkStart w:id="235" w:name="_Toc29499"/>
      <w:bookmarkStart w:id="236" w:name="_Toc46771650"/>
      <w:bookmarkStart w:id="237" w:name="_Toc109899963"/>
      <w:bookmarkStart w:id="238" w:name="_Toc109900382"/>
      <w:bookmarkStart w:id="239" w:name="_Toc25217"/>
      <w:bookmarkStart w:id="240" w:name="_Toc52962737"/>
      <w:bookmarkStart w:id="241" w:name="_Toc4847"/>
      <w:bookmarkStart w:id="242" w:name="_Toc46772251"/>
      <w:bookmarkStart w:id="243" w:name="_Toc48688799"/>
      <w:bookmarkStart w:id="244" w:name="_Toc52960563"/>
      <w:bookmarkStart w:id="245" w:name="_Toc470172675"/>
      <w:bookmarkStart w:id="246" w:name="_Toc109897445"/>
      <w:bookmarkStart w:id="247" w:name="_Toc109899544"/>
      <w:bookmarkStart w:id="248" w:name="_Toc48846119"/>
      <w:bookmarkStart w:id="249" w:name="_Toc51674221"/>
      <w:r>
        <w:rPr>
          <w:rFonts w:hint="eastAsia" w:ascii="宋体" w:hAnsi="宋体" w:eastAsia="宋体" w:cs="宋体"/>
          <w:b w:val="0"/>
          <w:sz w:val="24"/>
          <w:szCs w:val="24"/>
        </w:rPr>
        <w:t>10.竞争性磋商响应文件的编制</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p>
    <w:p w14:paraId="1305A922">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10.1供应商应当按照本磋商文件的要求编制响应文件，并对其提交的响应文件及全部资料的真实性、合法性承担法律责任，并接受采购代理机构对其中任何资料进一步核实的要求。</w:t>
      </w:r>
    </w:p>
    <w:p w14:paraId="3B056ADE">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 xml:space="preserve">10.2供应商应认真阅读本磋商文件中的所有内容，并对本磋商文件提出的要求和条件作出实质性响应。如供应商没有按照本磋商文件的要求提交全部资料，或者没有对本磋商文件在各方面都做出实质性响应的，其响应文件将被视为无效文件。 </w:t>
      </w:r>
    </w:p>
    <w:p w14:paraId="75CB0A3E">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10.3供应商应完整地按本磋商文件的要求提交所有资料并按要求的格式填写规定的所有内容，无相应内容可填项的，应填写“无”、“未测试”、“没有相应指标”等明确的回答文字。如未规定格式的，相关格式由供应商自定。</w:t>
      </w:r>
    </w:p>
    <w:p w14:paraId="6B497B02">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10.4供应商在编制响应文件时应注意本次采购对多包采购的规定，多包采购的规定见《供应商须知前附表》。</w:t>
      </w:r>
    </w:p>
    <w:p w14:paraId="4EBCA77D">
      <w:pPr>
        <w:keepNext w:val="0"/>
        <w:keepLines w:val="0"/>
        <w:pageBreakBefore w:val="0"/>
        <w:widowControl w:val="0"/>
        <w:tabs>
          <w:tab w:val="left" w:pos="540"/>
        </w:tabs>
        <w:kinsoku/>
        <w:wordWrap/>
        <w:overflowPunct/>
        <w:topLinePunct w:val="0"/>
        <w:bidi w:val="0"/>
        <w:snapToGrid/>
        <w:spacing w:beforeAutospacing="0" w:afterAutospacing="0" w:line="360" w:lineRule="auto"/>
        <w:ind w:left="0" w:leftChars="0" w:right="0" w:rightChars="0" w:firstLine="480" w:firstLineChars="200"/>
        <w:jc w:val="left"/>
        <w:textAlignment w:val="auto"/>
        <w:outlineLvl w:val="2"/>
        <w:rPr>
          <w:rFonts w:hint="eastAsia" w:ascii="宋体" w:hAnsi="宋体" w:eastAsia="宋体" w:cs="宋体"/>
          <w:b w:val="0"/>
          <w:sz w:val="24"/>
          <w:szCs w:val="24"/>
        </w:rPr>
      </w:pPr>
      <w:bookmarkStart w:id="250" w:name="_Toc24757"/>
      <w:bookmarkStart w:id="251" w:name="_Toc109897446"/>
      <w:bookmarkStart w:id="252" w:name="_Toc109900383"/>
      <w:bookmarkStart w:id="253" w:name="_Toc46772252"/>
      <w:bookmarkStart w:id="254" w:name="_Toc6320"/>
      <w:bookmarkStart w:id="255" w:name="_Toc24544"/>
      <w:bookmarkStart w:id="256" w:name="_Toc51674222"/>
      <w:bookmarkStart w:id="257" w:name="_Toc109899545"/>
      <w:bookmarkStart w:id="258" w:name="_Toc52962738"/>
      <w:bookmarkStart w:id="259" w:name="_Toc109899964"/>
      <w:bookmarkStart w:id="260" w:name="_Toc48688800"/>
      <w:bookmarkStart w:id="261" w:name="_Toc48846120"/>
      <w:bookmarkStart w:id="262" w:name="_Toc46771651"/>
      <w:bookmarkStart w:id="263" w:name="_Toc52960564"/>
      <w:bookmarkStart w:id="264" w:name="_Toc470172676"/>
      <w:r>
        <w:rPr>
          <w:rFonts w:hint="eastAsia" w:ascii="宋体" w:hAnsi="宋体" w:eastAsia="宋体" w:cs="宋体"/>
          <w:b w:val="0"/>
          <w:sz w:val="24"/>
          <w:szCs w:val="24"/>
        </w:rPr>
        <w:t>11.磋商报价</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14:paraId="5925F6C2">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11.1磋商报价包括磋商供应商在首次提交的响应文件中的报价、磋商过程中的报价和最后报价。磋商供应商的报价均应以人民币报价。</w:t>
      </w:r>
    </w:p>
    <w:p w14:paraId="64A8B262">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11.2供应商应按照本磋商文件规定的采购需求及合同条款进行报价，并按磋商文件确定的格式报出。报价中不得包含磋商文件要求以外的内容，否则，在评审时不予核减。报价中也不得缺漏磋商文件所要求的内容，否则，其响应文件将被视为无效文件。</w:t>
      </w:r>
    </w:p>
    <w:p w14:paraId="27B5F134">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11.3供应商应根据本磋商文件的规定和要求、市场价格水平及其走势、磋商供应商的管理水平、磋商供应商的方案和由这些因素决定的磋商供应商之于本项目的成本水平等提出自己的报价。报价应包含完成本磋商文件采购需求全部内容的所有费用，所有根据本磋商文件或其它原因应由磋商供应商支付的税款和其他应交纳的费用都应包括在报价中。</w:t>
      </w:r>
    </w:p>
    <w:p w14:paraId="1739477B">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11.4供应商在响应文件中注明免费的项目将视为包含在报价中。</w:t>
      </w:r>
    </w:p>
    <w:p w14:paraId="329F0EDF">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11.5每一种采购内容只允许有一个报价，否则其响应文件将被视为无效文件。</w:t>
      </w:r>
    </w:p>
    <w:p w14:paraId="2A08F13A">
      <w:pPr>
        <w:keepNext w:val="0"/>
        <w:keepLines w:val="0"/>
        <w:pageBreakBefore w:val="0"/>
        <w:widowControl w:val="0"/>
        <w:tabs>
          <w:tab w:val="left" w:pos="540"/>
        </w:tabs>
        <w:kinsoku/>
        <w:wordWrap/>
        <w:overflowPunct/>
        <w:topLinePunct w:val="0"/>
        <w:bidi w:val="0"/>
        <w:snapToGrid/>
        <w:spacing w:beforeAutospacing="0" w:afterAutospacing="0" w:line="360" w:lineRule="auto"/>
        <w:ind w:left="0" w:leftChars="0" w:right="0" w:rightChars="0" w:firstLine="480" w:firstLineChars="200"/>
        <w:jc w:val="left"/>
        <w:textAlignment w:val="auto"/>
        <w:outlineLvl w:val="2"/>
        <w:rPr>
          <w:rFonts w:hint="eastAsia" w:ascii="宋体" w:hAnsi="宋体" w:eastAsia="宋体" w:cs="宋体"/>
          <w:b w:val="0"/>
          <w:sz w:val="24"/>
          <w:szCs w:val="24"/>
        </w:rPr>
      </w:pPr>
      <w:bookmarkStart w:id="265" w:name="_Toc109900384"/>
      <w:bookmarkStart w:id="266" w:name="_Toc6176"/>
      <w:bookmarkStart w:id="267" w:name="_Toc109899546"/>
      <w:bookmarkStart w:id="268" w:name="_Toc48688801"/>
      <w:bookmarkStart w:id="269" w:name="_Toc46771652"/>
      <w:bookmarkStart w:id="270" w:name="_Toc5797"/>
      <w:bookmarkStart w:id="271" w:name="_Toc52960565"/>
      <w:bookmarkStart w:id="272" w:name="_Toc470172677"/>
      <w:bookmarkStart w:id="273" w:name="_Toc21900"/>
      <w:bookmarkStart w:id="274" w:name="_Toc48846121"/>
      <w:bookmarkStart w:id="275" w:name="_Toc52962739"/>
      <w:bookmarkStart w:id="276" w:name="_Toc109897447"/>
      <w:bookmarkStart w:id="277" w:name="_Toc51674223"/>
      <w:bookmarkStart w:id="278" w:name="_Toc109899965"/>
      <w:bookmarkStart w:id="279" w:name="_Toc46772253"/>
      <w:r>
        <w:rPr>
          <w:rFonts w:hint="eastAsia" w:ascii="宋体" w:hAnsi="宋体" w:eastAsia="宋体" w:cs="宋体"/>
          <w:b w:val="0"/>
          <w:sz w:val="24"/>
          <w:szCs w:val="24"/>
        </w:rPr>
        <w:t>12.备选方案</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14:paraId="5AC21763">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12.1是否允许备选方案见《供应商须知前附表》。不允许有备选方案的，若在响应文件中提交了备选方案，其响应文件将被视为无效文件。</w:t>
      </w:r>
    </w:p>
    <w:p w14:paraId="6D6B78D2">
      <w:pPr>
        <w:keepNext w:val="0"/>
        <w:keepLines w:val="0"/>
        <w:pageBreakBefore w:val="0"/>
        <w:widowControl w:val="0"/>
        <w:tabs>
          <w:tab w:val="left" w:pos="540"/>
        </w:tabs>
        <w:kinsoku/>
        <w:wordWrap/>
        <w:overflowPunct/>
        <w:topLinePunct w:val="0"/>
        <w:bidi w:val="0"/>
        <w:snapToGrid/>
        <w:spacing w:beforeAutospacing="0" w:afterAutospacing="0" w:line="360" w:lineRule="auto"/>
        <w:ind w:left="0" w:leftChars="0" w:right="0" w:rightChars="0" w:firstLine="480" w:firstLineChars="200"/>
        <w:jc w:val="left"/>
        <w:textAlignment w:val="auto"/>
        <w:outlineLvl w:val="2"/>
        <w:rPr>
          <w:rFonts w:hint="eastAsia" w:ascii="宋体" w:hAnsi="宋体" w:eastAsia="宋体" w:cs="宋体"/>
          <w:b w:val="0"/>
          <w:sz w:val="24"/>
          <w:szCs w:val="24"/>
        </w:rPr>
      </w:pPr>
      <w:bookmarkStart w:id="280" w:name="_Toc109899966"/>
      <w:bookmarkStart w:id="281" w:name="_Toc470172678"/>
      <w:bookmarkStart w:id="282" w:name="_Toc52960566"/>
      <w:bookmarkStart w:id="283" w:name="_Toc46772254"/>
      <w:bookmarkStart w:id="284" w:name="_Toc18980"/>
      <w:bookmarkStart w:id="285" w:name="_Toc109899547"/>
      <w:bookmarkStart w:id="286" w:name="_Toc51674224"/>
      <w:bookmarkStart w:id="287" w:name="_Toc3324"/>
      <w:bookmarkStart w:id="288" w:name="_Toc46771653"/>
      <w:bookmarkStart w:id="289" w:name="_Toc52962740"/>
      <w:bookmarkStart w:id="290" w:name="_Toc109897448"/>
      <w:bookmarkStart w:id="291" w:name="_Toc109900385"/>
      <w:bookmarkStart w:id="292" w:name="_Toc48846122"/>
      <w:bookmarkStart w:id="293" w:name="_Toc48688802"/>
      <w:bookmarkStart w:id="294" w:name="_Toc204"/>
      <w:r>
        <w:rPr>
          <w:rFonts w:hint="eastAsia" w:ascii="宋体" w:hAnsi="宋体" w:eastAsia="宋体" w:cs="宋体"/>
          <w:b w:val="0"/>
          <w:sz w:val="24"/>
          <w:szCs w:val="24"/>
        </w:rPr>
        <w:t>13.联合体</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14:paraId="4C36F211">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13.1本次采购是否允许联合体参加详见《供应商须知前附表》。</w:t>
      </w:r>
    </w:p>
    <w:p w14:paraId="02403825">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13.2本次采购允许联合体参与磋商的，联合体各方不得再单独或者与其他供应商另外组成联合体参加本项目的磋商，否则相关响应文件均告无效。</w:t>
      </w:r>
    </w:p>
    <w:p w14:paraId="0C761A4E">
      <w:pPr>
        <w:keepNext w:val="0"/>
        <w:keepLines w:val="0"/>
        <w:pageBreakBefore w:val="0"/>
        <w:widowControl w:val="0"/>
        <w:tabs>
          <w:tab w:val="left" w:pos="540"/>
        </w:tabs>
        <w:kinsoku/>
        <w:wordWrap/>
        <w:overflowPunct/>
        <w:topLinePunct w:val="0"/>
        <w:bidi w:val="0"/>
        <w:snapToGrid/>
        <w:spacing w:beforeAutospacing="0" w:afterAutospacing="0" w:line="360" w:lineRule="auto"/>
        <w:ind w:left="0" w:leftChars="0" w:right="0" w:rightChars="0" w:firstLine="480" w:firstLineChars="200"/>
        <w:jc w:val="left"/>
        <w:textAlignment w:val="auto"/>
        <w:outlineLvl w:val="2"/>
        <w:rPr>
          <w:rFonts w:hint="eastAsia" w:ascii="宋体" w:hAnsi="宋体" w:eastAsia="宋体" w:cs="宋体"/>
          <w:b w:val="0"/>
          <w:sz w:val="24"/>
          <w:szCs w:val="24"/>
        </w:rPr>
      </w:pPr>
      <w:bookmarkStart w:id="295" w:name="_Toc46771654"/>
      <w:bookmarkStart w:id="296" w:name="_Toc52962741"/>
      <w:bookmarkStart w:id="297" w:name="_Toc109897449"/>
      <w:bookmarkStart w:id="298" w:name="_Toc109900386"/>
      <w:bookmarkStart w:id="299" w:name="_Toc48688803"/>
      <w:bookmarkStart w:id="300" w:name="_Toc2434"/>
      <w:bookmarkStart w:id="301" w:name="_Toc46772255"/>
      <w:bookmarkStart w:id="302" w:name="_Toc51674225"/>
      <w:bookmarkStart w:id="303" w:name="_Toc48846123"/>
      <w:bookmarkStart w:id="304" w:name="_Toc470172679"/>
      <w:bookmarkStart w:id="305" w:name="_Toc109899548"/>
      <w:bookmarkStart w:id="306" w:name="_Toc109899967"/>
      <w:bookmarkStart w:id="307" w:name="_Toc4657"/>
      <w:bookmarkStart w:id="308" w:name="_Toc8501"/>
      <w:bookmarkStart w:id="309" w:name="_Toc52960567"/>
      <w:r>
        <w:rPr>
          <w:rFonts w:hint="eastAsia" w:ascii="宋体" w:hAnsi="宋体" w:eastAsia="宋体" w:cs="宋体"/>
          <w:b w:val="0"/>
          <w:sz w:val="24"/>
          <w:szCs w:val="24"/>
        </w:rPr>
        <w:t>14.供应商资格证明文件</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14:paraId="6031D216">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14.1供应商应在响应文件提交证明其有资格参加磋商的证明文件，证明文件应包括：详见第六章“资格证明文件”。</w:t>
      </w:r>
    </w:p>
    <w:p w14:paraId="355DD565">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14.2磋商文件要求供应商应提交的其它资格证明文件，应提交的其它资格证明文件见《供应商须知前附表》。</w:t>
      </w:r>
    </w:p>
    <w:p w14:paraId="1C9EB039">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14.3除本须知14.1要求的资格证明文件外，如国家法律法规对市场准入有要求的还应提交相关资格证明文件。</w:t>
      </w:r>
    </w:p>
    <w:p w14:paraId="7D8B8231">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szCs w:val="24"/>
        </w:rPr>
      </w:pPr>
      <w:r>
        <w:rPr>
          <w:rFonts w:hint="eastAsia" w:ascii="宋体" w:hAnsi="宋体" w:eastAsia="宋体" w:cs="宋体"/>
          <w:snapToGrid w:val="0"/>
          <w:sz w:val="24"/>
          <w:szCs w:val="24"/>
          <w:lang w:val="zh-CN"/>
        </w:rPr>
        <w:t>14.4</w:t>
      </w:r>
      <w:r>
        <w:rPr>
          <w:rFonts w:hint="eastAsia" w:ascii="宋体" w:hAnsi="宋体" w:eastAsia="宋体" w:cs="宋体"/>
          <w:sz w:val="24"/>
          <w:szCs w:val="24"/>
          <w:lang w:val="zh-CN"/>
        </w:rPr>
        <w:t>所有证书、证明文件包括按要求提供的官网截图必须是真实可查证的。资格证明文件应为原件的扫描件，响应文件中须编入清晰的扫描件或复印件。所有证明材料须清晰可辨认，如因证明材料模糊无法辨认，缺页、漏页导致无法进行评审认定的责任由供应商自负。如发现弄虚作假将按照有关规定严肃处理。证明材料仅限于供应商本身，参股或控股单位及独立法人子公司的材料不能作为证明材料，但供应商兼并的企业的材料可作为证明材料。</w:t>
      </w:r>
    </w:p>
    <w:p w14:paraId="7E35A538">
      <w:pPr>
        <w:keepNext w:val="0"/>
        <w:keepLines w:val="0"/>
        <w:pageBreakBefore w:val="0"/>
        <w:widowControl w:val="0"/>
        <w:tabs>
          <w:tab w:val="left" w:pos="540"/>
        </w:tabs>
        <w:kinsoku/>
        <w:wordWrap/>
        <w:overflowPunct/>
        <w:topLinePunct w:val="0"/>
        <w:bidi w:val="0"/>
        <w:snapToGrid/>
        <w:spacing w:beforeAutospacing="0" w:afterAutospacing="0" w:line="360" w:lineRule="auto"/>
        <w:ind w:left="0" w:leftChars="0" w:right="0" w:rightChars="0" w:firstLine="480" w:firstLineChars="200"/>
        <w:jc w:val="left"/>
        <w:textAlignment w:val="auto"/>
        <w:outlineLvl w:val="2"/>
        <w:rPr>
          <w:rFonts w:hint="eastAsia" w:ascii="宋体" w:hAnsi="宋体" w:eastAsia="宋体" w:cs="宋体"/>
          <w:b w:val="0"/>
          <w:sz w:val="24"/>
          <w:szCs w:val="24"/>
        </w:rPr>
      </w:pPr>
      <w:bookmarkStart w:id="310" w:name="_Toc9935"/>
      <w:bookmarkStart w:id="311" w:name="_Toc46772256"/>
      <w:bookmarkStart w:id="312" w:name="_Toc109899549"/>
      <w:bookmarkStart w:id="313" w:name="_Toc52960568"/>
      <w:bookmarkStart w:id="314" w:name="_Toc470172680"/>
      <w:bookmarkStart w:id="315" w:name="_Toc11001"/>
      <w:bookmarkStart w:id="316" w:name="_Toc109900387"/>
      <w:bookmarkStart w:id="317" w:name="_Toc109899968"/>
      <w:bookmarkStart w:id="318" w:name="_Toc51674226"/>
      <w:bookmarkStart w:id="319" w:name="_Toc46771655"/>
      <w:bookmarkStart w:id="320" w:name="_Toc48846124"/>
      <w:bookmarkStart w:id="321" w:name="_Toc52962742"/>
      <w:bookmarkStart w:id="322" w:name="_Toc109897450"/>
      <w:bookmarkStart w:id="323" w:name="_Toc17041"/>
      <w:bookmarkStart w:id="324" w:name="_Toc48688804"/>
      <w:r>
        <w:rPr>
          <w:rFonts w:hint="eastAsia" w:ascii="宋体" w:hAnsi="宋体" w:eastAsia="宋体" w:cs="宋体"/>
          <w:b w:val="0"/>
          <w:sz w:val="24"/>
          <w:szCs w:val="24"/>
        </w:rPr>
        <w:t>15.证明报价内容、服务合格性和符合磋商文件规定的文件</w:t>
      </w:r>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14:paraId="5139BD42">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15.1证明报价内容符合磋商文件要求的文件和磋商文件规定的其他资料，具体要求见《供应商须知前附表》。</w:t>
      </w:r>
    </w:p>
    <w:p w14:paraId="2FF9BE9F">
      <w:pPr>
        <w:keepNext w:val="0"/>
        <w:keepLines w:val="0"/>
        <w:pageBreakBefore w:val="0"/>
        <w:widowControl w:val="0"/>
        <w:tabs>
          <w:tab w:val="left" w:pos="540"/>
        </w:tabs>
        <w:kinsoku/>
        <w:wordWrap/>
        <w:overflowPunct/>
        <w:topLinePunct w:val="0"/>
        <w:bidi w:val="0"/>
        <w:snapToGrid/>
        <w:spacing w:beforeAutospacing="0" w:afterAutospacing="0" w:line="360" w:lineRule="auto"/>
        <w:ind w:left="0" w:leftChars="0" w:right="0" w:rightChars="0" w:firstLine="480" w:firstLineChars="200"/>
        <w:jc w:val="left"/>
        <w:textAlignment w:val="auto"/>
        <w:outlineLvl w:val="2"/>
        <w:rPr>
          <w:rFonts w:hint="eastAsia" w:ascii="宋体" w:hAnsi="宋体" w:eastAsia="宋体" w:cs="宋体"/>
          <w:b w:val="0"/>
          <w:sz w:val="24"/>
          <w:szCs w:val="24"/>
        </w:rPr>
      </w:pPr>
      <w:bookmarkStart w:id="325" w:name="_Toc5668"/>
      <w:bookmarkStart w:id="326" w:name="_Toc9861"/>
      <w:bookmarkStart w:id="327" w:name="_Toc109899969"/>
      <w:bookmarkStart w:id="328" w:name="_Toc46771657"/>
      <w:bookmarkStart w:id="329" w:name="_Toc470172682"/>
      <w:bookmarkStart w:id="330" w:name="_Toc52962744"/>
      <w:bookmarkStart w:id="331" w:name="_Toc109900388"/>
      <w:bookmarkStart w:id="332" w:name="_Toc46772258"/>
      <w:bookmarkStart w:id="333" w:name="_Toc48688806"/>
      <w:bookmarkStart w:id="334" w:name="_Toc14635"/>
      <w:bookmarkStart w:id="335" w:name="_Toc109899550"/>
      <w:bookmarkStart w:id="336" w:name="_Toc51674228"/>
      <w:bookmarkStart w:id="337" w:name="_Toc109897451"/>
      <w:bookmarkStart w:id="338" w:name="_Toc52960570"/>
      <w:bookmarkStart w:id="339" w:name="_Toc48846126"/>
      <w:r>
        <w:rPr>
          <w:rFonts w:hint="eastAsia" w:ascii="宋体" w:hAnsi="宋体" w:eastAsia="宋体" w:cs="宋体"/>
          <w:b w:val="0"/>
          <w:sz w:val="24"/>
          <w:szCs w:val="24"/>
        </w:rPr>
        <w:t>16.响应文件有效期</w:t>
      </w:r>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14:paraId="0EC5E644">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16.1采购响应文件有效期见《供应商须知前附表》，磋商供应商承诺的响应文件有效期不足的，其响应文件将被视为无效文件。</w:t>
      </w:r>
    </w:p>
    <w:p w14:paraId="4BA01797">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16.2特殊情况下，在原响应文件有效期截止之前，采购代理机构或采购人可要求供应商延长响应文件有效期。需要延长响应文件有效期时，采购代理机构或采购人将以书面形式通知所有磋商供应商，供应商应以书面形式答复是否同意延长响应文件有效期。</w:t>
      </w:r>
    </w:p>
    <w:p w14:paraId="7EFE3DE7">
      <w:pPr>
        <w:keepNext w:val="0"/>
        <w:keepLines w:val="0"/>
        <w:pageBreakBefore w:val="0"/>
        <w:widowControl w:val="0"/>
        <w:tabs>
          <w:tab w:val="left" w:pos="540"/>
        </w:tabs>
        <w:kinsoku/>
        <w:wordWrap/>
        <w:overflowPunct/>
        <w:topLinePunct w:val="0"/>
        <w:bidi w:val="0"/>
        <w:snapToGrid/>
        <w:spacing w:beforeAutospacing="0" w:afterAutospacing="0" w:line="360" w:lineRule="auto"/>
        <w:ind w:left="0" w:leftChars="0" w:right="0" w:rightChars="0" w:firstLine="480" w:firstLineChars="200"/>
        <w:jc w:val="left"/>
        <w:textAlignment w:val="auto"/>
        <w:outlineLvl w:val="2"/>
        <w:rPr>
          <w:rFonts w:hint="eastAsia" w:ascii="宋体" w:hAnsi="宋体" w:eastAsia="宋体" w:cs="宋体"/>
          <w:b w:val="0"/>
          <w:sz w:val="24"/>
          <w:szCs w:val="24"/>
        </w:rPr>
      </w:pPr>
      <w:bookmarkStart w:id="340" w:name="_Toc48846127"/>
      <w:bookmarkStart w:id="341" w:name="_Toc51674229"/>
      <w:bookmarkStart w:id="342" w:name="_Toc52960571"/>
      <w:bookmarkStart w:id="343" w:name="_Toc109899970"/>
      <w:bookmarkStart w:id="344" w:name="_Toc46771658"/>
      <w:bookmarkStart w:id="345" w:name="_Toc8272"/>
      <w:bookmarkStart w:id="346" w:name="_Toc22564"/>
      <w:bookmarkStart w:id="347" w:name="_Toc48688807"/>
      <w:bookmarkStart w:id="348" w:name="_Toc52962745"/>
      <w:bookmarkStart w:id="349" w:name="_Toc109899551"/>
      <w:bookmarkStart w:id="350" w:name="_Toc46772259"/>
      <w:bookmarkStart w:id="351" w:name="_Toc109900389"/>
      <w:bookmarkStart w:id="352" w:name="_Toc24065"/>
      <w:bookmarkStart w:id="353" w:name="_Toc470172683"/>
      <w:bookmarkStart w:id="354" w:name="_Toc109897452"/>
      <w:r>
        <w:rPr>
          <w:rFonts w:hint="eastAsia" w:ascii="宋体" w:hAnsi="宋体" w:eastAsia="宋体" w:cs="宋体"/>
          <w:b w:val="0"/>
          <w:sz w:val="24"/>
          <w:szCs w:val="24"/>
        </w:rPr>
        <w:t>17.响应文件的装订、签署和数量</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14:paraId="3706925F">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17.1供应商提交的响应文件应包括正本、副本、完整的电子文档及单独提供的法定代表人授权委托书（或法定代表人身份证明书）、报价一览表、优惠声明（如有）。本次磋商供应商提交响应文件正、副本和电子文档的数量见《供应商须知前附表》。</w:t>
      </w:r>
    </w:p>
    <w:p w14:paraId="4508B61C">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每套响应文件须清楚地标明“正本”、“副本”，响应文件的副本可采用正本的复印件，若副本与正本不符，以正本为准；如单独提供的法定代表人授权委托书（或法定代表人身份证明书）、报价一览表、优惠声明（如有）与响应文件正本不符，以正本为准。电子文档与纸质文件不符，以纸质文件为准。</w:t>
      </w:r>
    </w:p>
    <w:p w14:paraId="04BC7DC2">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17.2正本应用不褪色的材料书写或打印，并由法定代表人或授权代表签字并加盖公章。由授权代表签字的，响应文件中应提交《法定代表人授权书》。供应商为自然人的，由供应商本人签字并附身份证明。</w:t>
      </w:r>
    </w:p>
    <w:p w14:paraId="7A00B1AB">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17.3竞争性磋商响应文件中的任何行间插字、涂改和增删，必须由法定代表人或授权代表在旁边签字才有效。</w:t>
      </w:r>
    </w:p>
    <w:p w14:paraId="089072B5">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17.4响应文件应当采用不可拆卸的方法的装订，对未经装订的竞争性磋商响应文件可能发生的文件散落或缺损及由此产生的后果由磋商供应商承担。</w:t>
      </w:r>
    </w:p>
    <w:p w14:paraId="6699D05A">
      <w:pPr>
        <w:keepNext w:val="0"/>
        <w:keepLines w:val="0"/>
        <w:pageBreakBefore w:val="0"/>
        <w:widowControl w:val="0"/>
        <w:tabs>
          <w:tab w:val="left" w:pos="425"/>
          <w:tab w:val="left" w:pos="540"/>
        </w:tabs>
        <w:kinsoku/>
        <w:wordWrap/>
        <w:overflowPunct/>
        <w:topLinePunct w:val="0"/>
        <w:bidi w:val="0"/>
        <w:snapToGrid/>
        <w:spacing w:beforeAutospacing="0" w:afterAutospacing="0" w:line="360" w:lineRule="auto"/>
        <w:ind w:left="0" w:leftChars="0" w:right="0" w:rightChars="0" w:firstLine="482" w:firstLineChars="200"/>
        <w:jc w:val="left"/>
        <w:textAlignment w:val="auto"/>
        <w:outlineLvl w:val="1"/>
        <w:rPr>
          <w:rFonts w:hint="eastAsia" w:ascii="宋体" w:hAnsi="宋体" w:eastAsia="宋体" w:cs="宋体"/>
          <w:b/>
          <w:sz w:val="24"/>
          <w:szCs w:val="24"/>
        </w:rPr>
      </w:pPr>
      <w:bookmarkStart w:id="355" w:name="_Toc109899971"/>
      <w:bookmarkStart w:id="356" w:name="_Toc109897453"/>
      <w:bookmarkStart w:id="357" w:name="_Toc470172684"/>
      <w:bookmarkStart w:id="358" w:name="_Toc13490"/>
      <w:bookmarkStart w:id="359" w:name="_Toc46771659"/>
      <w:bookmarkStart w:id="360" w:name="_Toc109900390"/>
      <w:r>
        <w:rPr>
          <w:rFonts w:hint="eastAsia" w:ascii="宋体" w:hAnsi="宋体" w:eastAsia="宋体" w:cs="宋体"/>
          <w:b/>
          <w:sz w:val="24"/>
          <w:szCs w:val="24"/>
        </w:rPr>
        <w:t>（四）响应文件的递交</w:t>
      </w:r>
      <w:bookmarkEnd w:id="355"/>
      <w:bookmarkEnd w:id="356"/>
      <w:bookmarkEnd w:id="357"/>
      <w:bookmarkEnd w:id="358"/>
      <w:bookmarkEnd w:id="359"/>
      <w:bookmarkEnd w:id="360"/>
    </w:p>
    <w:p w14:paraId="33F2EA6A">
      <w:pPr>
        <w:keepNext w:val="0"/>
        <w:keepLines w:val="0"/>
        <w:pageBreakBefore w:val="0"/>
        <w:widowControl w:val="0"/>
        <w:tabs>
          <w:tab w:val="left" w:pos="540"/>
        </w:tabs>
        <w:kinsoku/>
        <w:wordWrap/>
        <w:overflowPunct/>
        <w:topLinePunct w:val="0"/>
        <w:bidi w:val="0"/>
        <w:snapToGrid/>
        <w:spacing w:beforeAutospacing="0" w:afterAutospacing="0" w:line="360" w:lineRule="auto"/>
        <w:ind w:left="0" w:leftChars="0" w:right="0" w:rightChars="0" w:firstLine="480" w:firstLineChars="200"/>
        <w:jc w:val="left"/>
        <w:textAlignment w:val="auto"/>
        <w:outlineLvl w:val="2"/>
        <w:rPr>
          <w:rFonts w:hint="eastAsia" w:ascii="宋体" w:hAnsi="宋体" w:eastAsia="宋体" w:cs="宋体"/>
          <w:b w:val="0"/>
          <w:sz w:val="24"/>
          <w:szCs w:val="24"/>
        </w:rPr>
      </w:pPr>
      <w:bookmarkStart w:id="361" w:name="_Toc51674231"/>
      <w:bookmarkStart w:id="362" w:name="_Toc52962747"/>
      <w:bookmarkStart w:id="363" w:name="_Toc48846129"/>
      <w:bookmarkStart w:id="364" w:name="_Toc109897454"/>
      <w:bookmarkStart w:id="365" w:name="_Toc19760"/>
      <w:bookmarkStart w:id="366" w:name="_Toc109900391"/>
      <w:bookmarkStart w:id="367" w:name="_Toc46772261"/>
      <w:bookmarkStart w:id="368" w:name="_Toc109899972"/>
      <w:bookmarkStart w:id="369" w:name="_Toc109899553"/>
      <w:bookmarkStart w:id="370" w:name="_Toc48688809"/>
      <w:bookmarkStart w:id="371" w:name="_Toc46771660"/>
      <w:bookmarkStart w:id="372" w:name="_Toc52960573"/>
      <w:bookmarkStart w:id="373" w:name="_Toc27305"/>
      <w:bookmarkStart w:id="374" w:name="_Toc28727"/>
      <w:bookmarkStart w:id="375" w:name="_Toc470172685"/>
      <w:r>
        <w:rPr>
          <w:rFonts w:hint="eastAsia" w:ascii="宋体" w:hAnsi="宋体" w:eastAsia="宋体" w:cs="宋体"/>
          <w:b w:val="0"/>
          <w:sz w:val="24"/>
          <w:szCs w:val="24"/>
        </w:rPr>
        <w:t>18.响应文件的密封和标记</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14:paraId="3EC484BF">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18.1响应文件的正本、所有副本和电子文档必须密封和加盖供应商公章后递交，包装上应注明：项目编号、项目名称、供应商名称及“  （磋商时间）  前不得启封”的字样。</w:t>
      </w:r>
    </w:p>
    <w:p w14:paraId="3A9DADC6">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18.2为方便磋商记录，供应商还应将一份《报价一览表》（原件）与一份《法定代表人授权书》（或法定代表人身份证明书）（原件）及报价优惠声明（如果有的话）单独密封提交，除需按上款要求注明外还应在信封上标明“报价一览表”字样。</w:t>
      </w:r>
    </w:p>
    <w:p w14:paraId="3BA33C7C">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18.3未按要求密封和加写标记的响应文件为无效文件，采购人、采购代理机构将拒收。</w:t>
      </w:r>
    </w:p>
    <w:p w14:paraId="515709B1">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18.4要求在磋商时提交样品的，应在样品上标明磋商供应商名称。有关提交及退还样品的相关规定见《供应商须知前附表》。</w:t>
      </w:r>
    </w:p>
    <w:p w14:paraId="65EE2468">
      <w:pPr>
        <w:keepNext w:val="0"/>
        <w:keepLines w:val="0"/>
        <w:pageBreakBefore w:val="0"/>
        <w:widowControl w:val="0"/>
        <w:tabs>
          <w:tab w:val="left" w:pos="540"/>
        </w:tabs>
        <w:kinsoku/>
        <w:wordWrap/>
        <w:overflowPunct/>
        <w:topLinePunct w:val="0"/>
        <w:bidi w:val="0"/>
        <w:snapToGrid/>
        <w:spacing w:beforeAutospacing="0" w:afterAutospacing="0" w:line="360" w:lineRule="auto"/>
        <w:ind w:left="0" w:leftChars="0" w:right="0" w:rightChars="0" w:firstLine="480" w:firstLineChars="200"/>
        <w:jc w:val="left"/>
        <w:textAlignment w:val="auto"/>
        <w:outlineLvl w:val="2"/>
        <w:rPr>
          <w:rFonts w:hint="eastAsia" w:ascii="宋体" w:hAnsi="宋体" w:eastAsia="宋体" w:cs="宋体"/>
          <w:b w:val="0"/>
          <w:sz w:val="24"/>
          <w:szCs w:val="24"/>
        </w:rPr>
      </w:pPr>
      <w:bookmarkStart w:id="376" w:name="_Toc6599"/>
      <w:bookmarkStart w:id="377" w:name="_Toc3854"/>
      <w:bookmarkStart w:id="378" w:name="_Toc109899554"/>
      <w:bookmarkStart w:id="379" w:name="_Toc109899973"/>
      <w:bookmarkStart w:id="380" w:name="_Toc46771661"/>
      <w:bookmarkStart w:id="381" w:name="_Toc46772262"/>
      <w:bookmarkStart w:id="382" w:name="_Toc48846130"/>
      <w:bookmarkStart w:id="383" w:name="_Toc52960574"/>
      <w:bookmarkStart w:id="384" w:name="_Toc52962748"/>
      <w:bookmarkStart w:id="385" w:name="_Toc48688810"/>
      <w:bookmarkStart w:id="386" w:name="_Toc109897455"/>
      <w:bookmarkStart w:id="387" w:name="_Toc109900392"/>
      <w:bookmarkStart w:id="388" w:name="_Toc470172686"/>
      <w:bookmarkStart w:id="389" w:name="_Toc51674232"/>
      <w:bookmarkStart w:id="390" w:name="_Toc17857"/>
      <w:r>
        <w:rPr>
          <w:rFonts w:hint="eastAsia" w:ascii="宋体" w:hAnsi="宋体" w:eastAsia="宋体" w:cs="宋体"/>
          <w:b w:val="0"/>
          <w:sz w:val="24"/>
          <w:szCs w:val="24"/>
        </w:rPr>
        <w:t>19.响应文件的送达地点及截止时间</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p w14:paraId="163402B6">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19.1截止时间是竞争性磋商文件中规定的首次送达、提交响应文件的最后时间。本次磋商响应文件的送达地点及截止时间见《供应商须知前附表》。</w:t>
      </w:r>
    </w:p>
    <w:p w14:paraId="53D7C7BF">
      <w:pPr>
        <w:keepNext w:val="0"/>
        <w:keepLines w:val="0"/>
        <w:pageBreakBefore w:val="0"/>
        <w:widowControl w:val="0"/>
        <w:tabs>
          <w:tab w:val="left" w:pos="540"/>
        </w:tabs>
        <w:kinsoku/>
        <w:wordWrap/>
        <w:overflowPunct/>
        <w:topLinePunct w:val="0"/>
        <w:bidi w:val="0"/>
        <w:snapToGrid/>
        <w:spacing w:beforeAutospacing="0" w:afterAutospacing="0" w:line="360" w:lineRule="auto"/>
        <w:ind w:left="0" w:leftChars="0" w:right="0" w:rightChars="0" w:firstLine="480" w:firstLineChars="200"/>
        <w:jc w:val="left"/>
        <w:textAlignment w:val="auto"/>
        <w:outlineLvl w:val="2"/>
        <w:rPr>
          <w:rFonts w:hint="eastAsia" w:ascii="宋体" w:hAnsi="宋体" w:eastAsia="宋体" w:cs="宋体"/>
          <w:b w:val="0"/>
          <w:sz w:val="24"/>
          <w:szCs w:val="24"/>
        </w:rPr>
      </w:pPr>
      <w:bookmarkStart w:id="391" w:name="_Toc109897456"/>
      <w:bookmarkStart w:id="392" w:name="_Toc51674233"/>
      <w:bookmarkStart w:id="393" w:name="_Toc109899974"/>
      <w:bookmarkStart w:id="394" w:name="_Toc52960575"/>
      <w:bookmarkStart w:id="395" w:name="_Toc31376"/>
      <w:bookmarkStart w:id="396" w:name="_Toc52962749"/>
      <w:bookmarkStart w:id="397" w:name="_Toc46772263"/>
      <w:bookmarkStart w:id="398" w:name="_Toc109899555"/>
      <w:bookmarkStart w:id="399" w:name="_Toc109900393"/>
      <w:bookmarkStart w:id="400" w:name="_Toc48688811"/>
      <w:bookmarkStart w:id="401" w:name="_Toc470172687"/>
      <w:bookmarkStart w:id="402" w:name="_Toc17492"/>
      <w:bookmarkStart w:id="403" w:name="_Toc22953"/>
      <w:bookmarkStart w:id="404" w:name="_Toc48846131"/>
      <w:bookmarkStart w:id="405" w:name="_Toc46771662"/>
      <w:r>
        <w:rPr>
          <w:rFonts w:hint="eastAsia" w:ascii="宋体" w:hAnsi="宋体" w:eastAsia="宋体" w:cs="宋体"/>
          <w:b w:val="0"/>
          <w:sz w:val="24"/>
          <w:szCs w:val="24"/>
        </w:rPr>
        <w:t>20.迟交的响应文件</w:t>
      </w:r>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p>
    <w:p w14:paraId="1D8C2210">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20.1在本次递交响应文件的截止时间以后送达的响应文件，不论何种原因，采购代理机构将拒收。</w:t>
      </w:r>
    </w:p>
    <w:p w14:paraId="2F877DD9">
      <w:pPr>
        <w:keepNext w:val="0"/>
        <w:keepLines w:val="0"/>
        <w:pageBreakBefore w:val="0"/>
        <w:widowControl w:val="0"/>
        <w:tabs>
          <w:tab w:val="left" w:pos="540"/>
        </w:tabs>
        <w:kinsoku/>
        <w:wordWrap/>
        <w:overflowPunct/>
        <w:topLinePunct w:val="0"/>
        <w:bidi w:val="0"/>
        <w:snapToGrid/>
        <w:spacing w:beforeAutospacing="0" w:afterAutospacing="0" w:line="360" w:lineRule="auto"/>
        <w:ind w:left="0" w:leftChars="0" w:right="0" w:rightChars="0" w:firstLine="480" w:firstLineChars="200"/>
        <w:jc w:val="left"/>
        <w:textAlignment w:val="auto"/>
        <w:outlineLvl w:val="2"/>
        <w:rPr>
          <w:rFonts w:hint="eastAsia" w:ascii="宋体" w:hAnsi="宋体" w:eastAsia="宋体" w:cs="宋体"/>
          <w:b w:val="0"/>
          <w:sz w:val="24"/>
          <w:szCs w:val="24"/>
        </w:rPr>
      </w:pPr>
      <w:bookmarkStart w:id="406" w:name="_Toc31760"/>
      <w:bookmarkStart w:id="407" w:name="_Toc46772264"/>
      <w:bookmarkStart w:id="408" w:name="_Toc48846132"/>
      <w:bookmarkStart w:id="409" w:name="_Toc1236"/>
      <w:bookmarkStart w:id="410" w:name="_Toc52962750"/>
      <w:bookmarkStart w:id="411" w:name="_Toc51674234"/>
      <w:bookmarkStart w:id="412" w:name="_Toc470172688"/>
      <w:bookmarkStart w:id="413" w:name="_Toc12672"/>
      <w:bookmarkStart w:id="414" w:name="_Toc109900394"/>
      <w:bookmarkStart w:id="415" w:name="_Toc109899556"/>
      <w:bookmarkStart w:id="416" w:name="_Toc48688812"/>
      <w:bookmarkStart w:id="417" w:name="_Toc109897457"/>
      <w:bookmarkStart w:id="418" w:name="_Toc52960576"/>
      <w:bookmarkStart w:id="419" w:name="_Toc46771663"/>
      <w:bookmarkStart w:id="420" w:name="_Toc109899975"/>
      <w:r>
        <w:rPr>
          <w:rFonts w:hint="eastAsia" w:ascii="宋体" w:hAnsi="宋体" w:eastAsia="宋体" w:cs="宋体"/>
          <w:b w:val="0"/>
          <w:sz w:val="24"/>
          <w:szCs w:val="24"/>
        </w:rPr>
        <w:t>21.响应文件的补充、修改或者撤回</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695A76AF">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21.1在提交响应文件截止时间前，供应商可以对已提交的响应文件进行补充、修改或者撤回。供应商需要补充、修改或者撤回响应文件时，应以书面形式通知采购人、采购代理机构。补充、修改的内容是响应文件的组成部分，补充、修改的内容与响应文件不一致的，以补充、修改的内容为准。</w:t>
      </w:r>
    </w:p>
    <w:p w14:paraId="18FE1733">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21.2从提交响应文件截止时间至磋商有效期期满这段时间，供应商不得修改或撤销其响应文件。</w:t>
      </w:r>
    </w:p>
    <w:p w14:paraId="39BD41CE">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21.3供应商所提交的响应文件在磋商结束后，无论成交与否都不退还。</w:t>
      </w:r>
    </w:p>
    <w:p w14:paraId="6E92279B">
      <w:pPr>
        <w:keepNext w:val="0"/>
        <w:keepLines w:val="0"/>
        <w:pageBreakBefore w:val="0"/>
        <w:widowControl w:val="0"/>
        <w:tabs>
          <w:tab w:val="left" w:pos="425"/>
          <w:tab w:val="left" w:pos="540"/>
        </w:tabs>
        <w:kinsoku/>
        <w:wordWrap/>
        <w:overflowPunct/>
        <w:topLinePunct w:val="0"/>
        <w:bidi w:val="0"/>
        <w:snapToGrid/>
        <w:spacing w:beforeAutospacing="0" w:afterAutospacing="0" w:line="360" w:lineRule="auto"/>
        <w:ind w:left="0" w:leftChars="0" w:right="0" w:rightChars="0" w:firstLine="482" w:firstLineChars="200"/>
        <w:jc w:val="left"/>
        <w:textAlignment w:val="auto"/>
        <w:outlineLvl w:val="1"/>
        <w:rPr>
          <w:rFonts w:hint="eastAsia" w:ascii="宋体" w:hAnsi="宋体" w:eastAsia="宋体" w:cs="宋体"/>
          <w:b/>
          <w:sz w:val="24"/>
          <w:szCs w:val="24"/>
        </w:rPr>
      </w:pPr>
      <w:bookmarkStart w:id="421" w:name="_Toc109899976"/>
      <w:bookmarkStart w:id="422" w:name="_Toc46771664"/>
      <w:bookmarkStart w:id="423" w:name="_Toc15353"/>
      <w:bookmarkStart w:id="424" w:name="_Toc470172689"/>
      <w:bookmarkStart w:id="425" w:name="_Toc109897458"/>
      <w:bookmarkStart w:id="426" w:name="_Toc109900395"/>
      <w:r>
        <w:rPr>
          <w:rFonts w:hint="eastAsia" w:ascii="宋体" w:hAnsi="宋体" w:eastAsia="宋体" w:cs="宋体"/>
          <w:b/>
          <w:sz w:val="24"/>
          <w:szCs w:val="24"/>
        </w:rPr>
        <w:t>（五）磋商程序</w:t>
      </w:r>
      <w:bookmarkEnd w:id="421"/>
      <w:bookmarkEnd w:id="422"/>
      <w:bookmarkEnd w:id="423"/>
      <w:bookmarkEnd w:id="424"/>
      <w:bookmarkEnd w:id="425"/>
      <w:bookmarkEnd w:id="426"/>
    </w:p>
    <w:p w14:paraId="647342A3">
      <w:pPr>
        <w:keepNext w:val="0"/>
        <w:keepLines w:val="0"/>
        <w:pageBreakBefore w:val="0"/>
        <w:widowControl w:val="0"/>
        <w:tabs>
          <w:tab w:val="left" w:pos="540"/>
        </w:tabs>
        <w:kinsoku/>
        <w:wordWrap/>
        <w:overflowPunct/>
        <w:topLinePunct w:val="0"/>
        <w:bidi w:val="0"/>
        <w:snapToGrid/>
        <w:spacing w:beforeAutospacing="0" w:afterAutospacing="0" w:line="360" w:lineRule="auto"/>
        <w:ind w:left="0" w:leftChars="0" w:right="0" w:rightChars="0" w:firstLine="480" w:firstLineChars="200"/>
        <w:jc w:val="left"/>
        <w:textAlignment w:val="auto"/>
        <w:outlineLvl w:val="2"/>
        <w:rPr>
          <w:rFonts w:hint="eastAsia" w:ascii="宋体" w:hAnsi="宋体" w:eastAsia="宋体" w:cs="宋体"/>
          <w:b w:val="0"/>
          <w:sz w:val="24"/>
          <w:szCs w:val="24"/>
        </w:rPr>
      </w:pPr>
      <w:bookmarkStart w:id="427" w:name="_Toc109899558"/>
      <w:bookmarkStart w:id="428" w:name="_Toc46771665"/>
      <w:bookmarkStart w:id="429" w:name="_Toc109900396"/>
      <w:bookmarkStart w:id="430" w:name="_Toc52960578"/>
      <w:bookmarkStart w:id="431" w:name="_Toc51674236"/>
      <w:bookmarkStart w:id="432" w:name="_Toc109897459"/>
      <w:bookmarkStart w:id="433" w:name="_Toc52962752"/>
      <w:bookmarkStart w:id="434" w:name="_Toc48688814"/>
      <w:bookmarkStart w:id="435" w:name="_Toc22624"/>
      <w:bookmarkStart w:id="436" w:name="_Toc109899977"/>
      <w:bookmarkStart w:id="437" w:name="_Toc7490"/>
      <w:bookmarkStart w:id="438" w:name="_Toc46772266"/>
      <w:bookmarkStart w:id="439" w:name="_Toc48846134"/>
      <w:bookmarkStart w:id="440" w:name="_Toc470172690"/>
      <w:bookmarkStart w:id="441" w:name="_Toc793"/>
      <w:r>
        <w:rPr>
          <w:rFonts w:hint="eastAsia" w:ascii="宋体" w:hAnsi="宋体" w:eastAsia="宋体" w:cs="宋体"/>
          <w:b w:val="0"/>
          <w:sz w:val="24"/>
          <w:szCs w:val="24"/>
        </w:rPr>
        <w:t>22.磋商小组</w:t>
      </w:r>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p>
    <w:p w14:paraId="4926E295">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22.1采购人依照《中华人民共和国政府采购法》《中华人民共和国政府采购法实施条例》《政府采购竞争性磋商采购方式管理暂行办法》及现行法律规定组建磋商小组，磋商小组由采购人代表和评审专家共3人以上单数组成。磋商小组人数详见《供应商须知前附表》。</w:t>
      </w:r>
    </w:p>
    <w:p w14:paraId="5BD67A9D">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22.2磋商小组中的评审专家人数不少于磋商小组成员总数的2/3，采购人代表不得以评审专家身份参加本项目的评审，采购代理机构人员不得参加本项目的评审。评审专家的产生详见《供应商须知前附表》。</w:t>
      </w:r>
    </w:p>
    <w:p w14:paraId="3F95F26E">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22.3磋商小组所有成员按事先抽取的磋商顺序，集中与单一供应商分别进行磋商，并给予所有参加磋商的供应商平等的磋商机会。</w:t>
      </w:r>
    </w:p>
    <w:p w14:paraId="7D8F147A">
      <w:pPr>
        <w:keepNext w:val="0"/>
        <w:keepLines w:val="0"/>
        <w:pageBreakBefore w:val="0"/>
        <w:widowControl w:val="0"/>
        <w:tabs>
          <w:tab w:val="left" w:pos="540"/>
        </w:tabs>
        <w:kinsoku/>
        <w:wordWrap/>
        <w:overflowPunct/>
        <w:topLinePunct w:val="0"/>
        <w:bidi w:val="0"/>
        <w:snapToGrid/>
        <w:spacing w:beforeAutospacing="0" w:afterAutospacing="0" w:line="360" w:lineRule="auto"/>
        <w:ind w:left="0" w:leftChars="0" w:right="0" w:rightChars="0" w:firstLine="480" w:firstLineChars="200"/>
        <w:jc w:val="left"/>
        <w:textAlignment w:val="auto"/>
        <w:outlineLvl w:val="2"/>
        <w:rPr>
          <w:rFonts w:hint="eastAsia" w:ascii="宋体" w:hAnsi="宋体" w:eastAsia="宋体" w:cs="宋体"/>
          <w:b w:val="0"/>
          <w:sz w:val="24"/>
          <w:szCs w:val="24"/>
        </w:rPr>
      </w:pPr>
      <w:bookmarkStart w:id="442" w:name="_Toc4918"/>
      <w:bookmarkStart w:id="443" w:name="_Toc470172691"/>
      <w:bookmarkStart w:id="444" w:name="_Toc48688815"/>
      <w:bookmarkStart w:id="445" w:name="_Toc1011"/>
      <w:bookmarkStart w:id="446" w:name="_Toc52962753"/>
      <w:bookmarkStart w:id="447" w:name="_Toc46772267"/>
      <w:bookmarkStart w:id="448" w:name="_Toc109899978"/>
      <w:bookmarkStart w:id="449" w:name="_Toc109900397"/>
      <w:bookmarkStart w:id="450" w:name="_Toc21483"/>
      <w:bookmarkStart w:id="451" w:name="_Toc52960579"/>
      <w:bookmarkStart w:id="452" w:name="_Toc109899559"/>
      <w:bookmarkStart w:id="453" w:name="_Toc46771666"/>
      <w:bookmarkStart w:id="454" w:name="_Toc51674237"/>
      <w:bookmarkStart w:id="455" w:name="_Toc48846135"/>
      <w:bookmarkStart w:id="456" w:name="_Toc109897460"/>
      <w:r>
        <w:rPr>
          <w:rFonts w:hint="eastAsia" w:ascii="宋体" w:hAnsi="宋体" w:eastAsia="宋体" w:cs="宋体"/>
          <w:b w:val="0"/>
          <w:sz w:val="24"/>
          <w:szCs w:val="24"/>
        </w:rPr>
        <w:t>23.磋商代表</w:t>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p>
    <w:p w14:paraId="5C01624E">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bookmarkStart w:id="457" w:name="_Toc32662"/>
      <w:bookmarkStart w:id="458" w:name="_Toc9967"/>
      <w:r>
        <w:rPr>
          <w:rFonts w:hint="eastAsia" w:ascii="宋体" w:hAnsi="宋体" w:eastAsia="宋体" w:cs="宋体"/>
          <w:snapToGrid w:val="0"/>
          <w:sz w:val="24"/>
          <w:szCs w:val="24"/>
          <w:lang w:val="zh-CN"/>
        </w:rPr>
        <w:t>23.1参与磋商的供应商法定代表人或授权代表应携带本人身份证明参加磋商，授权代表参加磋商的，还应携带法定代表人授权书原件。磋商代表经磋商小组核对身份后，方可参加磋商。</w:t>
      </w:r>
      <w:bookmarkEnd w:id="457"/>
      <w:bookmarkEnd w:id="458"/>
    </w:p>
    <w:p w14:paraId="62252CED">
      <w:pPr>
        <w:keepNext w:val="0"/>
        <w:keepLines w:val="0"/>
        <w:pageBreakBefore w:val="0"/>
        <w:widowControl w:val="0"/>
        <w:tabs>
          <w:tab w:val="left" w:pos="540"/>
        </w:tabs>
        <w:kinsoku/>
        <w:wordWrap/>
        <w:overflowPunct/>
        <w:topLinePunct w:val="0"/>
        <w:bidi w:val="0"/>
        <w:snapToGrid/>
        <w:spacing w:beforeAutospacing="0" w:afterAutospacing="0" w:line="360" w:lineRule="auto"/>
        <w:ind w:left="0" w:leftChars="0" w:right="0" w:rightChars="0" w:firstLine="480" w:firstLineChars="200"/>
        <w:jc w:val="left"/>
        <w:textAlignment w:val="auto"/>
        <w:outlineLvl w:val="2"/>
        <w:rPr>
          <w:rFonts w:hint="eastAsia" w:ascii="宋体" w:hAnsi="宋体" w:eastAsia="宋体" w:cs="宋体"/>
          <w:b w:val="0"/>
          <w:sz w:val="24"/>
          <w:szCs w:val="24"/>
        </w:rPr>
      </w:pPr>
      <w:bookmarkStart w:id="459" w:name="_Toc109900398"/>
      <w:bookmarkStart w:id="460" w:name="_Toc109899560"/>
      <w:bookmarkStart w:id="461" w:name="_Toc48688816"/>
      <w:bookmarkStart w:id="462" w:name="_Toc20515"/>
      <w:bookmarkStart w:id="463" w:name="_Toc52960580"/>
      <w:bookmarkStart w:id="464" w:name="_Toc46772268"/>
      <w:bookmarkStart w:id="465" w:name="_Toc48846136"/>
      <w:bookmarkStart w:id="466" w:name="_Toc46771667"/>
      <w:bookmarkStart w:id="467" w:name="_Toc52962754"/>
      <w:bookmarkStart w:id="468" w:name="_Toc27379"/>
      <w:bookmarkStart w:id="469" w:name="_Toc109899979"/>
      <w:bookmarkStart w:id="470" w:name="_Toc109897461"/>
      <w:bookmarkStart w:id="471" w:name="_Toc51674238"/>
      <w:r>
        <w:rPr>
          <w:rFonts w:hint="eastAsia" w:ascii="宋体" w:hAnsi="宋体" w:eastAsia="宋体" w:cs="宋体"/>
          <w:b w:val="0"/>
          <w:sz w:val="24"/>
          <w:szCs w:val="24"/>
        </w:rPr>
        <w:t>24.资格审查和符合性审查</w:t>
      </w:r>
      <w:bookmarkEnd w:id="459"/>
      <w:bookmarkEnd w:id="460"/>
      <w:bookmarkEnd w:id="461"/>
      <w:bookmarkEnd w:id="462"/>
      <w:bookmarkEnd w:id="463"/>
      <w:bookmarkEnd w:id="464"/>
      <w:bookmarkEnd w:id="465"/>
      <w:bookmarkEnd w:id="466"/>
      <w:bookmarkEnd w:id="467"/>
      <w:bookmarkEnd w:id="468"/>
      <w:bookmarkEnd w:id="469"/>
      <w:bookmarkEnd w:id="470"/>
      <w:bookmarkEnd w:id="471"/>
    </w:p>
    <w:p w14:paraId="4E122D52">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24.1在正式磋商前，磋商小组按照本磋商文件第五章规定的程序、方法和标准，对供应商进行资格性审查和符合性审查，通过资格性审查和符合性审查的供应商方可进入磋商程序。资格性审查和符合性审查内容详见第五章“评审程序、方法及标准”。</w:t>
      </w:r>
    </w:p>
    <w:p w14:paraId="4822F58B">
      <w:pPr>
        <w:keepNext w:val="0"/>
        <w:keepLines w:val="0"/>
        <w:pageBreakBefore w:val="0"/>
        <w:widowControl w:val="0"/>
        <w:tabs>
          <w:tab w:val="left" w:pos="540"/>
        </w:tabs>
        <w:kinsoku/>
        <w:wordWrap/>
        <w:overflowPunct/>
        <w:topLinePunct w:val="0"/>
        <w:bidi w:val="0"/>
        <w:snapToGrid/>
        <w:spacing w:beforeAutospacing="0" w:afterAutospacing="0" w:line="360" w:lineRule="auto"/>
        <w:ind w:left="0" w:leftChars="0" w:right="0" w:rightChars="0" w:firstLine="480" w:firstLineChars="200"/>
        <w:jc w:val="left"/>
        <w:textAlignment w:val="auto"/>
        <w:outlineLvl w:val="2"/>
        <w:rPr>
          <w:rFonts w:hint="eastAsia" w:ascii="宋体" w:hAnsi="宋体" w:eastAsia="宋体" w:cs="宋体"/>
          <w:b w:val="0"/>
          <w:sz w:val="24"/>
          <w:szCs w:val="24"/>
        </w:rPr>
      </w:pPr>
      <w:bookmarkStart w:id="472" w:name="_Toc109899980"/>
      <w:bookmarkStart w:id="473" w:name="_Toc109897462"/>
      <w:bookmarkStart w:id="474" w:name="_Toc25978"/>
      <w:bookmarkStart w:id="475" w:name="_Toc109900399"/>
      <w:bookmarkStart w:id="476" w:name="_Toc14450"/>
      <w:bookmarkStart w:id="477" w:name="_Toc52960581"/>
      <w:bookmarkStart w:id="478" w:name="_Toc46771668"/>
      <w:bookmarkStart w:id="479" w:name="_Toc48688817"/>
      <w:bookmarkStart w:id="480" w:name="_Toc48846137"/>
      <w:bookmarkStart w:id="481" w:name="_Toc52962755"/>
      <w:bookmarkStart w:id="482" w:name="_Toc46772269"/>
      <w:bookmarkStart w:id="483" w:name="_Toc51674239"/>
      <w:bookmarkStart w:id="484" w:name="_Toc109899561"/>
      <w:r>
        <w:rPr>
          <w:rFonts w:hint="eastAsia" w:ascii="宋体" w:hAnsi="宋体" w:eastAsia="宋体" w:cs="宋体"/>
          <w:b w:val="0"/>
          <w:sz w:val="24"/>
          <w:szCs w:val="24"/>
        </w:rPr>
        <w:t>25.磋商</w:t>
      </w:r>
      <w:bookmarkEnd w:id="472"/>
      <w:bookmarkEnd w:id="473"/>
      <w:bookmarkEnd w:id="474"/>
      <w:bookmarkEnd w:id="475"/>
      <w:bookmarkEnd w:id="476"/>
      <w:bookmarkEnd w:id="477"/>
      <w:bookmarkEnd w:id="478"/>
      <w:bookmarkEnd w:id="479"/>
      <w:bookmarkEnd w:id="480"/>
      <w:bookmarkEnd w:id="481"/>
      <w:bookmarkEnd w:id="482"/>
      <w:bookmarkEnd w:id="483"/>
      <w:bookmarkEnd w:id="484"/>
    </w:p>
    <w:p w14:paraId="5AFD7AB6">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25.1磋商小组将根据本磋商文件第五章规定的程序、方法和标准与供应商进行磋商。在磋商过程中，磋商的任何一方不得透露与磋商有关的其他供应商的技术资料、价格和其他信息。</w:t>
      </w:r>
    </w:p>
    <w:p w14:paraId="613E5125">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25.2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将以书面形式同时通知所有磋商供应商。</w:t>
      </w:r>
    </w:p>
    <w:p w14:paraId="2BB26FE8">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25.3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34BEB362">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25.4最后报价</w:t>
      </w:r>
    </w:p>
    <w:p w14:paraId="6505D364">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（1）磋商文件能够详细列明采购标的的技术、服务要求的，磋商结束后，磋商小组应当要求所有继续参加磋商的供应商在规定时间内提交最后报价，提交最后报价的供应商不得少于3家。</w:t>
      </w:r>
    </w:p>
    <w:p w14:paraId="62E76488">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已提交响应文件的供应商，在提交最后报价之前，可以根据磋商情况退出磋商。</w:t>
      </w:r>
    </w:p>
    <w:p w14:paraId="360B585B">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 xml:space="preserve">（2）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 </w:t>
      </w:r>
    </w:p>
    <w:p w14:paraId="7C0EAF5E">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本采购项目提交最后报价供应商的确定方式详见《供应商须知前附表》。</w:t>
      </w:r>
    </w:p>
    <w:p w14:paraId="457604A7">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25.5如有需要，磋商小组可进行多轮磋商，直至最终确定磋商文件中的技术、服务要求以及合同草案条款。</w:t>
      </w:r>
    </w:p>
    <w:p w14:paraId="642EC0E8">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25.6磋商小组审核完最终报价后，根据磋商文件规定的评审程序、方法和标准推荐成交候选供应商或根据采购人的书面授权直接确定成交供应商。</w:t>
      </w:r>
    </w:p>
    <w:p w14:paraId="498C50D9">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25.7采购代理机构对磋商过程和重要磋商内容进行记录，磋商双方在记录上签字确认。</w:t>
      </w:r>
    </w:p>
    <w:p w14:paraId="1F047633">
      <w:pPr>
        <w:keepNext w:val="0"/>
        <w:keepLines w:val="0"/>
        <w:pageBreakBefore w:val="0"/>
        <w:widowControl w:val="0"/>
        <w:tabs>
          <w:tab w:val="left" w:pos="540"/>
        </w:tabs>
        <w:kinsoku/>
        <w:wordWrap/>
        <w:overflowPunct/>
        <w:topLinePunct w:val="0"/>
        <w:bidi w:val="0"/>
        <w:snapToGrid/>
        <w:spacing w:beforeAutospacing="0" w:afterAutospacing="0" w:line="360" w:lineRule="auto"/>
        <w:ind w:left="0" w:leftChars="0" w:right="0" w:rightChars="0" w:firstLine="480" w:firstLineChars="200"/>
        <w:jc w:val="left"/>
        <w:textAlignment w:val="auto"/>
        <w:outlineLvl w:val="2"/>
        <w:rPr>
          <w:rFonts w:hint="eastAsia" w:ascii="宋体" w:hAnsi="宋体" w:eastAsia="宋体" w:cs="宋体"/>
          <w:b w:val="0"/>
          <w:sz w:val="24"/>
          <w:szCs w:val="24"/>
        </w:rPr>
      </w:pPr>
      <w:bookmarkStart w:id="485" w:name="_Toc48846138"/>
      <w:bookmarkStart w:id="486" w:name="_Toc109899981"/>
      <w:bookmarkStart w:id="487" w:name="_Toc48688818"/>
      <w:bookmarkStart w:id="488" w:name="_Toc46771669"/>
      <w:bookmarkStart w:id="489" w:name="_Toc52960582"/>
      <w:bookmarkStart w:id="490" w:name="_Toc28655"/>
      <w:bookmarkStart w:id="491" w:name="_Toc51674240"/>
      <w:bookmarkStart w:id="492" w:name="_Toc109897463"/>
      <w:bookmarkStart w:id="493" w:name="_Toc52962756"/>
      <w:bookmarkStart w:id="494" w:name="_Toc109899562"/>
      <w:bookmarkStart w:id="495" w:name="_Toc25279"/>
      <w:bookmarkStart w:id="496" w:name="_Toc46772270"/>
      <w:bookmarkStart w:id="497" w:name="_Toc109900400"/>
      <w:r>
        <w:rPr>
          <w:rFonts w:hint="eastAsia" w:ascii="宋体" w:hAnsi="宋体" w:eastAsia="宋体" w:cs="宋体"/>
          <w:b w:val="0"/>
          <w:sz w:val="24"/>
          <w:szCs w:val="24"/>
        </w:rPr>
        <w:t>26.推荐成交候选供应商</w:t>
      </w:r>
      <w:bookmarkEnd w:id="485"/>
      <w:bookmarkEnd w:id="486"/>
      <w:bookmarkEnd w:id="487"/>
      <w:bookmarkEnd w:id="488"/>
      <w:bookmarkEnd w:id="489"/>
      <w:bookmarkEnd w:id="490"/>
      <w:bookmarkEnd w:id="491"/>
      <w:bookmarkEnd w:id="492"/>
      <w:bookmarkEnd w:id="493"/>
      <w:bookmarkEnd w:id="494"/>
      <w:bookmarkEnd w:id="495"/>
      <w:bookmarkEnd w:id="496"/>
      <w:bookmarkEnd w:id="497"/>
    </w:p>
    <w:p w14:paraId="669BA809">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26.1本项目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本项目具体评审因素的量化指标详见第五章“评审程序、方法及标准”。</w:t>
      </w:r>
    </w:p>
    <w:p w14:paraId="1AC89656">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26.2磋商小组根据综合评分情况，按照评审得分由高到低的顺序及《供应商须知前附表》规定的数量推荐成交候选供应商，并编写评审报告。评审报告应当有磋商小组全体成员签字认可。</w:t>
      </w:r>
    </w:p>
    <w:p w14:paraId="66302E59">
      <w:pPr>
        <w:keepNext w:val="0"/>
        <w:keepLines w:val="0"/>
        <w:pageBreakBefore w:val="0"/>
        <w:widowControl w:val="0"/>
        <w:tabs>
          <w:tab w:val="left" w:pos="425"/>
          <w:tab w:val="left" w:pos="540"/>
        </w:tabs>
        <w:kinsoku/>
        <w:wordWrap/>
        <w:overflowPunct/>
        <w:topLinePunct w:val="0"/>
        <w:bidi w:val="0"/>
        <w:snapToGrid/>
        <w:spacing w:beforeAutospacing="0" w:afterAutospacing="0" w:line="360" w:lineRule="auto"/>
        <w:ind w:left="0" w:leftChars="0" w:right="0" w:rightChars="0" w:firstLine="482" w:firstLineChars="200"/>
        <w:jc w:val="left"/>
        <w:textAlignment w:val="auto"/>
        <w:outlineLvl w:val="1"/>
        <w:rPr>
          <w:rFonts w:hint="eastAsia" w:ascii="宋体" w:hAnsi="宋体" w:eastAsia="宋体" w:cs="宋体"/>
          <w:b/>
          <w:sz w:val="24"/>
          <w:szCs w:val="24"/>
        </w:rPr>
      </w:pPr>
      <w:bookmarkStart w:id="498" w:name="_Toc109897464"/>
      <w:bookmarkStart w:id="499" w:name="_Toc109899982"/>
      <w:bookmarkStart w:id="500" w:name="_Toc470172692"/>
      <w:bookmarkStart w:id="501" w:name="_Toc46771670"/>
      <w:bookmarkStart w:id="502" w:name="_Toc109900401"/>
      <w:bookmarkStart w:id="503" w:name="_Toc20269"/>
      <w:r>
        <w:rPr>
          <w:rFonts w:hint="eastAsia" w:ascii="宋体" w:hAnsi="宋体" w:eastAsia="宋体" w:cs="宋体"/>
          <w:b/>
          <w:sz w:val="24"/>
          <w:szCs w:val="24"/>
        </w:rPr>
        <w:t>（六）成交与签订合同</w:t>
      </w:r>
      <w:bookmarkEnd w:id="498"/>
      <w:bookmarkEnd w:id="499"/>
      <w:bookmarkEnd w:id="500"/>
      <w:bookmarkEnd w:id="501"/>
      <w:bookmarkEnd w:id="502"/>
      <w:bookmarkEnd w:id="503"/>
    </w:p>
    <w:p w14:paraId="41EFC9D9">
      <w:pPr>
        <w:keepNext w:val="0"/>
        <w:keepLines w:val="0"/>
        <w:pageBreakBefore w:val="0"/>
        <w:widowControl w:val="0"/>
        <w:tabs>
          <w:tab w:val="left" w:pos="540"/>
        </w:tabs>
        <w:kinsoku/>
        <w:wordWrap/>
        <w:overflowPunct/>
        <w:topLinePunct w:val="0"/>
        <w:bidi w:val="0"/>
        <w:snapToGrid/>
        <w:spacing w:beforeAutospacing="0" w:afterAutospacing="0" w:line="360" w:lineRule="auto"/>
        <w:ind w:left="0" w:leftChars="0" w:right="0" w:rightChars="0" w:firstLine="480" w:firstLineChars="200"/>
        <w:jc w:val="left"/>
        <w:textAlignment w:val="auto"/>
        <w:outlineLvl w:val="2"/>
        <w:rPr>
          <w:rFonts w:hint="eastAsia" w:ascii="宋体" w:hAnsi="宋体" w:eastAsia="宋体" w:cs="宋体"/>
          <w:b w:val="0"/>
          <w:sz w:val="24"/>
          <w:szCs w:val="24"/>
        </w:rPr>
      </w:pPr>
      <w:bookmarkStart w:id="504" w:name="_Toc1410"/>
      <w:bookmarkStart w:id="505" w:name="_Toc46772272"/>
      <w:bookmarkStart w:id="506" w:name="_Toc48846140"/>
      <w:bookmarkStart w:id="507" w:name="_Toc52962758"/>
      <w:bookmarkStart w:id="508" w:name="_Toc23427"/>
      <w:bookmarkStart w:id="509" w:name="_Toc109899564"/>
      <w:bookmarkStart w:id="510" w:name="_Toc46771671"/>
      <w:bookmarkStart w:id="511" w:name="_Toc109900402"/>
      <w:bookmarkStart w:id="512" w:name="_Toc51674242"/>
      <w:bookmarkStart w:id="513" w:name="_Toc48688820"/>
      <w:bookmarkStart w:id="514" w:name="_Toc109897465"/>
      <w:bookmarkStart w:id="515" w:name="_Toc52960584"/>
      <w:bookmarkStart w:id="516" w:name="_Toc109899983"/>
      <w:r>
        <w:rPr>
          <w:rFonts w:hint="eastAsia" w:ascii="宋体" w:hAnsi="宋体" w:eastAsia="宋体" w:cs="宋体"/>
          <w:b w:val="0"/>
          <w:sz w:val="24"/>
          <w:szCs w:val="24"/>
        </w:rPr>
        <w:t>27.确定成交供应商</w:t>
      </w:r>
      <w:bookmarkEnd w:id="504"/>
      <w:bookmarkEnd w:id="505"/>
      <w:bookmarkEnd w:id="506"/>
      <w:bookmarkEnd w:id="507"/>
      <w:bookmarkEnd w:id="508"/>
      <w:bookmarkEnd w:id="509"/>
      <w:bookmarkEnd w:id="510"/>
      <w:bookmarkEnd w:id="511"/>
      <w:bookmarkEnd w:id="512"/>
      <w:bookmarkEnd w:id="513"/>
      <w:bookmarkEnd w:id="514"/>
      <w:bookmarkEnd w:id="515"/>
      <w:bookmarkEnd w:id="516"/>
    </w:p>
    <w:p w14:paraId="6F6C9CA1">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27.1采购代理机构应当在评审结束后2个工作日内将评审报告送采购人确认。</w:t>
      </w:r>
    </w:p>
    <w:p w14:paraId="5518845A">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27.2采购人应当在收到评审报告后5个工作日内，从评审报告提出的成交候选供应商中，按照推荐排序确定成交供应商，也可以书面授权磋商小组直接确定成交供应商。采购人逾期未确定成交供应商且不提出异议的，视为确定评审报告提出的排序第一的供应商为成交供应商。</w:t>
      </w:r>
    </w:p>
    <w:p w14:paraId="3B8634D6">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27.3采购人或者采购代理机构应当在成交供应商确定后2个工作日内，在省级以上财政部门指定的政府采购信息发布媒体上公告成交结果，同时向成交供应商发出成交通知书，并将磋商文件随成交结果同时公告。</w:t>
      </w:r>
    </w:p>
    <w:p w14:paraId="707D337E">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27.4成交通知书的领取时间详见《供应商须知前附表》。</w:t>
      </w:r>
    </w:p>
    <w:p w14:paraId="0F487111">
      <w:pPr>
        <w:keepNext w:val="0"/>
        <w:keepLines w:val="0"/>
        <w:pageBreakBefore w:val="0"/>
        <w:widowControl w:val="0"/>
        <w:tabs>
          <w:tab w:val="left" w:pos="540"/>
        </w:tabs>
        <w:kinsoku/>
        <w:wordWrap/>
        <w:overflowPunct/>
        <w:topLinePunct w:val="0"/>
        <w:bidi w:val="0"/>
        <w:snapToGrid/>
        <w:spacing w:beforeAutospacing="0" w:afterAutospacing="0" w:line="360" w:lineRule="auto"/>
        <w:ind w:left="0" w:leftChars="0" w:right="0" w:rightChars="0" w:firstLine="480" w:firstLineChars="200"/>
        <w:jc w:val="left"/>
        <w:textAlignment w:val="auto"/>
        <w:outlineLvl w:val="2"/>
        <w:rPr>
          <w:rFonts w:hint="eastAsia" w:ascii="宋体" w:hAnsi="宋体" w:eastAsia="宋体" w:cs="宋体"/>
          <w:b w:val="0"/>
          <w:sz w:val="24"/>
          <w:szCs w:val="24"/>
        </w:rPr>
      </w:pPr>
      <w:bookmarkStart w:id="517" w:name="_Toc18110"/>
      <w:bookmarkStart w:id="518" w:name="_Toc109897466"/>
      <w:bookmarkStart w:id="519" w:name="_Toc52962759"/>
      <w:bookmarkStart w:id="520" w:name="_Toc52960585"/>
      <w:bookmarkStart w:id="521" w:name="_Toc46771672"/>
      <w:bookmarkStart w:id="522" w:name="_Toc48688821"/>
      <w:bookmarkStart w:id="523" w:name="_Toc109899984"/>
      <w:bookmarkStart w:id="524" w:name="_Toc51674243"/>
      <w:bookmarkStart w:id="525" w:name="_Toc109900403"/>
      <w:bookmarkStart w:id="526" w:name="_Toc48846141"/>
      <w:bookmarkStart w:id="527" w:name="_Toc16916"/>
      <w:bookmarkStart w:id="528" w:name="_Toc109899565"/>
      <w:bookmarkStart w:id="529" w:name="_Toc46772273"/>
      <w:r>
        <w:rPr>
          <w:rFonts w:hint="eastAsia" w:ascii="宋体" w:hAnsi="宋体" w:eastAsia="宋体" w:cs="宋体"/>
          <w:b w:val="0"/>
          <w:sz w:val="24"/>
          <w:szCs w:val="24"/>
        </w:rPr>
        <w:t>28.签订合同</w:t>
      </w:r>
      <w:bookmarkEnd w:id="517"/>
      <w:bookmarkEnd w:id="518"/>
      <w:bookmarkEnd w:id="519"/>
      <w:bookmarkEnd w:id="520"/>
      <w:bookmarkEnd w:id="521"/>
      <w:bookmarkEnd w:id="522"/>
      <w:bookmarkEnd w:id="523"/>
      <w:bookmarkEnd w:id="524"/>
      <w:bookmarkEnd w:id="525"/>
      <w:bookmarkEnd w:id="526"/>
      <w:bookmarkEnd w:id="527"/>
      <w:bookmarkEnd w:id="528"/>
      <w:bookmarkEnd w:id="529"/>
    </w:p>
    <w:p w14:paraId="31C5A559">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28.1磋商文件对履约保证金有规定的，成交供应商应按规定在签订合同前交纳履约保证金。有关履约保证金的规定详见《供应商须知前附表》。</w:t>
      </w:r>
    </w:p>
    <w:p w14:paraId="2FA79EE6">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szCs w:val="24"/>
        </w:rPr>
      </w:pPr>
      <w:r>
        <w:rPr>
          <w:rFonts w:hint="eastAsia" w:ascii="宋体" w:hAnsi="宋体" w:eastAsia="宋体" w:cs="宋体"/>
          <w:snapToGrid w:val="0"/>
          <w:sz w:val="24"/>
          <w:szCs w:val="24"/>
          <w:lang w:val="zh-CN"/>
        </w:rPr>
        <w:t>28.2采购人与成交供应商应当在成交通知书发出之日起30日内，按照磋商文件确定的合同文本以及采购标的、规格型号、采购金额、采购数量、技术和服务要求等事项签订政府采购合同。</w:t>
      </w:r>
    </w:p>
    <w:p w14:paraId="07880D36">
      <w:pPr>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采购人应当自政府采购合同签订之日起2个工作日内，将政府采购合同在省级以上人民政府指定的媒体上公告，但政府采购合同中涉及国家秘密、商业秘密的内容除外。</w:t>
      </w:r>
    </w:p>
    <w:p w14:paraId="40F34A73">
      <w:pPr>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28.3</w:t>
      </w:r>
      <w:r>
        <w:rPr>
          <w:rFonts w:hint="eastAsia" w:ascii="宋体" w:hAnsi="宋体" w:eastAsia="宋体" w:cs="宋体"/>
          <w:sz w:val="24"/>
          <w:szCs w:val="24"/>
          <w:lang w:val="zh-CN"/>
        </w:rPr>
        <w:t>成交供应商拒绝签订政府采购合同的，采购人可以《政府采购竞争性磋商采购方式管理暂行办法》（财库[2014]214号）第二十八条第二款规定的原则确定其他供应商作为成交供应商并签订政府采购合同，也可以重新开展采购活动。拒绝签订政府采购合同的成交供应商不得参加对该项目重新开展的采购活动。</w:t>
      </w:r>
    </w:p>
    <w:p w14:paraId="4743FF52">
      <w:pPr>
        <w:keepNext w:val="0"/>
        <w:keepLines w:val="0"/>
        <w:pageBreakBefore w:val="0"/>
        <w:widowControl w:val="0"/>
        <w:tabs>
          <w:tab w:val="left" w:pos="540"/>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28.4除不可抗力等因素外，成交通知书发出后，采购人改变成交结果，或者成交供应商拒绝签订政府采购合同的，应当承担相应的法律责任。</w:t>
      </w:r>
    </w:p>
    <w:p w14:paraId="2916EEEA">
      <w:pPr>
        <w:keepNext w:val="0"/>
        <w:keepLines w:val="0"/>
        <w:pageBreakBefore w:val="0"/>
        <w:widowControl w:val="0"/>
        <w:tabs>
          <w:tab w:val="left" w:pos="540"/>
        </w:tabs>
        <w:kinsoku/>
        <w:wordWrap/>
        <w:overflowPunct/>
        <w:topLinePunct w:val="0"/>
        <w:bidi w:val="0"/>
        <w:snapToGrid/>
        <w:spacing w:beforeAutospacing="0" w:afterAutospacing="0" w:line="360" w:lineRule="auto"/>
        <w:ind w:left="0" w:leftChars="0" w:right="0" w:rightChars="0" w:firstLine="482" w:firstLineChars="200"/>
        <w:jc w:val="left"/>
        <w:textAlignment w:val="auto"/>
        <w:outlineLvl w:val="1"/>
        <w:rPr>
          <w:rFonts w:hint="eastAsia" w:ascii="宋体" w:hAnsi="宋体" w:eastAsia="宋体" w:cs="宋体"/>
          <w:b/>
          <w:snapToGrid w:val="0"/>
          <w:sz w:val="24"/>
          <w:szCs w:val="24"/>
          <w:lang w:val="zh-CN"/>
        </w:rPr>
      </w:pPr>
      <w:bookmarkStart w:id="530" w:name="_Toc109897467"/>
      <w:bookmarkStart w:id="531" w:name="_Toc46771673"/>
      <w:bookmarkStart w:id="532" w:name="_Toc26885"/>
      <w:bookmarkStart w:id="533" w:name="_Toc109899985"/>
      <w:bookmarkStart w:id="534" w:name="_Toc109900404"/>
      <w:bookmarkStart w:id="535" w:name="_Toc470172693"/>
      <w:r>
        <w:rPr>
          <w:rFonts w:hint="eastAsia" w:ascii="宋体" w:hAnsi="宋体" w:eastAsia="宋体" w:cs="宋体"/>
          <w:b/>
          <w:snapToGrid w:val="0"/>
          <w:sz w:val="24"/>
          <w:szCs w:val="24"/>
          <w:lang w:val="zh-CN"/>
        </w:rPr>
        <w:t>（七）质疑和投诉</w:t>
      </w:r>
      <w:bookmarkEnd w:id="530"/>
      <w:bookmarkEnd w:id="531"/>
      <w:bookmarkEnd w:id="532"/>
      <w:bookmarkEnd w:id="533"/>
      <w:bookmarkEnd w:id="534"/>
    </w:p>
    <w:p w14:paraId="373B7DDE">
      <w:pPr>
        <w:keepNext w:val="0"/>
        <w:keepLines w:val="0"/>
        <w:pageBreakBefore w:val="0"/>
        <w:widowControl w:val="0"/>
        <w:tabs>
          <w:tab w:val="left" w:pos="540"/>
        </w:tabs>
        <w:kinsoku/>
        <w:wordWrap/>
        <w:overflowPunct/>
        <w:topLinePunct w:val="0"/>
        <w:bidi w:val="0"/>
        <w:snapToGrid/>
        <w:spacing w:beforeAutospacing="0" w:afterAutospacing="0" w:line="360" w:lineRule="auto"/>
        <w:ind w:left="0" w:leftChars="0" w:right="0" w:rightChars="0" w:firstLine="480" w:firstLineChars="200"/>
        <w:jc w:val="left"/>
        <w:textAlignment w:val="auto"/>
        <w:outlineLvl w:val="2"/>
        <w:rPr>
          <w:rFonts w:hint="eastAsia" w:ascii="宋体" w:hAnsi="宋体" w:eastAsia="宋体" w:cs="宋体"/>
          <w:b w:val="0"/>
          <w:sz w:val="24"/>
          <w:szCs w:val="24"/>
        </w:rPr>
      </w:pPr>
      <w:bookmarkStart w:id="536" w:name="_Toc28731"/>
      <w:bookmarkStart w:id="537" w:name="_Toc52960587"/>
      <w:bookmarkStart w:id="538" w:name="_Toc48846143"/>
      <w:bookmarkStart w:id="539" w:name="_Toc22584"/>
      <w:bookmarkStart w:id="540" w:name="_Toc109899986"/>
      <w:bookmarkStart w:id="541" w:name="_Toc52962761"/>
      <w:bookmarkStart w:id="542" w:name="_Toc46771674"/>
      <w:bookmarkStart w:id="543" w:name="_Toc48688823"/>
      <w:bookmarkStart w:id="544" w:name="_Toc46772275"/>
      <w:bookmarkStart w:id="545" w:name="_Toc109899567"/>
      <w:bookmarkStart w:id="546" w:name="_Toc109900405"/>
      <w:bookmarkStart w:id="547" w:name="_Toc109897468"/>
      <w:bookmarkStart w:id="548" w:name="_Toc51674245"/>
      <w:r>
        <w:rPr>
          <w:rFonts w:hint="eastAsia" w:ascii="宋体" w:hAnsi="宋体" w:eastAsia="宋体" w:cs="宋体"/>
          <w:b w:val="0"/>
          <w:sz w:val="24"/>
          <w:szCs w:val="24"/>
        </w:rPr>
        <w:t>29.质疑</w:t>
      </w:r>
      <w:bookmarkEnd w:id="536"/>
      <w:bookmarkEnd w:id="537"/>
      <w:bookmarkEnd w:id="538"/>
      <w:bookmarkEnd w:id="539"/>
      <w:bookmarkEnd w:id="540"/>
      <w:bookmarkEnd w:id="541"/>
      <w:bookmarkEnd w:id="542"/>
      <w:bookmarkEnd w:id="543"/>
      <w:bookmarkEnd w:id="544"/>
      <w:bookmarkEnd w:id="545"/>
      <w:bookmarkEnd w:id="546"/>
      <w:bookmarkEnd w:id="547"/>
      <w:bookmarkEnd w:id="548"/>
    </w:p>
    <w:p w14:paraId="6A12B14B">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rPr>
        <w:t>29</w:t>
      </w:r>
      <w:r>
        <w:rPr>
          <w:rFonts w:hint="eastAsia" w:ascii="宋体" w:hAnsi="宋体" w:eastAsia="宋体" w:cs="宋体"/>
          <w:snapToGrid w:val="0"/>
          <w:sz w:val="24"/>
          <w:szCs w:val="24"/>
          <w:lang w:val="zh-CN"/>
        </w:rPr>
        <w:t>.1供应商认为磋商文件、磋商过程和成交结果使自己的权益受到损害的，可以在知道或者应知其权益受到损害之日起7个工作日内，以书面形式向采购人或采购代理机构提出质疑。</w:t>
      </w:r>
    </w:p>
    <w:p w14:paraId="521DD62E">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color w:val="auto"/>
          <w:sz w:val="24"/>
          <w:szCs w:val="24"/>
          <w:lang w:val="zh-CN"/>
        </w:rPr>
      </w:pPr>
      <w:r>
        <w:rPr>
          <w:rFonts w:hint="eastAsia" w:ascii="宋体" w:hAnsi="宋体" w:eastAsia="宋体" w:cs="宋体"/>
          <w:snapToGrid w:val="0"/>
          <w:color w:val="auto"/>
          <w:sz w:val="24"/>
          <w:szCs w:val="24"/>
        </w:rPr>
        <w:t>29</w:t>
      </w:r>
      <w:r>
        <w:rPr>
          <w:rFonts w:hint="eastAsia" w:ascii="宋体" w:hAnsi="宋体" w:eastAsia="宋体" w:cs="宋体"/>
          <w:snapToGrid w:val="0"/>
          <w:color w:val="auto"/>
          <w:sz w:val="24"/>
          <w:szCs w:val="24"/>
          <w:lang w:val="zh-CN"/>
        </w:rPr>
        <w:t>.2</w:t>
      </w:r>
      <w:r>
        <w:rPr>
          <w:rFonts w:hint="eastAsia" w:ascii="宋体" w:hAnsi="宋体" w:eastAsia="宋体" w:cs="宋体"/>
          <w:color w:val="auto"/>
          <w:sz w:val="24"/>
          <w:szCs w:val="24"/>
        </w:rPr>
        <w:t>供应商提出质疑应当提交质疑函和必要的证明材料。质疑函应当包括下列内容：</w:t>
      </w:r>
    </w:p>
    <w:p w14:paraId="1A76F532">
      <w:pPr>
        <w:keepNext w:val="0"/>
        <w:keepLines w:val="0"/>
        <w:pageBreakBefore w:val="0"/>
        <w:widowControl w:val="0"/>
        <w:kinsoku/>
        <w:wordWrap/>
        <w:overflowPunct/>
        <w:topLinePunct w:val="0"/>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（1）质疑人的</w:t>
      </w:r>
      <w:r>
        <w:rPr>
          <w:rFonts w:hint="eastAsia" w:ascii="宋体" w:hAnsi="宋体" w:eastAsia="宋体" w:cs="宋体"/>
          <w:snapToGrid w:val="0"/>
          <w:sz w:val="24"/>
          <w:szCs w:val="24"/>
          <w:lang w:val="zh-CN"/>
        </w:rPr>
        <w:t>姓名或者名称、地址、邮编、联系人及联系电话；</w:t>
      </w:r>
    </w:p>
    <w:p w14:paraId="51832C61">
      <w:pPr>
        <w:keepNext w:val="0"/>
        <w:keepLines w:val="0"/>
        <w:pageBreakBefore w:val="0"/>
        <w:widowControl w:val="0"/>
        <w:kinsoku/>
        <w:wordWrap/>
        <w:overflowPunct/>
        <w:topLinePunct w:val="0"/>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napToGrid w:val="0"/>
          <w:sz w:val="24"/>
          <w:szCs w:val="24"/>
          <w:lang w:val="zh-CN"/>
        </w:rPr>
        <w:t>质疑项目的名称、编号；</w:t>
      </w:r>
    </w:p>
    <w:p w14:paraId="339D9BC5">
      <w:pPr>
        <w:keepNext w:val="0"/>
        <w:keepLines w:val="0"/>
        <w:pageBreakBefore w:val="0"/>
        <w:widowControl w:val="0"/>
        <w:kinsoku/>
        <w:wordWrap/>
        <w:overflowPunct/>
        <w:topLinePunct w:val="0"/>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（3）具体、明确的质疑事项和与质疑事项相关的请求；</w:t>
      </w:r>
    </w:p>
    <w:p w14:paraId="57C76160">
      <w:pPr>
        <w:keepNext w:val="0"/>
        <w:keepLines w:val="0"/>
        <w:pageBreakBefore w:val="0"/>
        <w:widowControl w:val="0"/>
        <w:kinsoku/>
        <w:wordWrap/>
        <w:overflowPunct/>
        <w:topLinePunct w:val="0"/>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（4）质疑事项的事实根据、法律依据及其他必要的证明材料；质疑人提供的证明材料属于其他供应商响应文件未公开内容的，应当提供书面材料证明其合法来源；</w:t>
      </w:r>
    </w:p>
    <w:p w14:paraId="2471AE76">
      <w:pPr>
        <w:keepNext w:val="0"/>
        <w:keepLines w:val="0"/>
        <w:pageBreakBefore w:val="0"/>
        <w:widowControl w:val="0"/>
        <w:kinsoku/>
        <w:wordWrap/>
        <w:overflowPunct/>
        <w:topLinePunct w:val="0"/>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（5）提出质疑的日期；</w:t>
      </w:r>
    </w:p>
    <w:p w14:paraId="21357EC0">
      <w:pPr>
        <w:keepNext w:val="0"/>
        <w:keepLines w:val="0"/>
        <w:pageBreakBefore w:val="0"/>
        <w:widowControl w:val="0"/>
        <w:kinsoku/>
        <w:wordWrap/>
        <w:overflowPunct/>
        <w:topLinePunct w:val="0"/>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（6）质疑人的署名及签章（质疑人为自然人的，应当由本人签字；质疑人为法人或者其他组织的，应当由法定代表人、主要负责人，或者其授权代表签字或者盖章，并加盖公章。）；</w:t>
      </w:r>
    </w:p>
    <w:p w14:paraId="5264BB58">
      <w:pPr>
        <w:keepNext w:val="0"/>
        <w:keepLines w:val="0"/>
        <w:pageBreakBefore w:val="0"/>
        <w:widowControl w:val="0"/>
        <w:kinsoku/>
        <w:wordWrap/>
        <w:overflowPunct/>
        <w:topLinePunct w:val="0"/>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（7）法人授权委托书（质疑人委托代理人办理质疑事务的，应当提供授权委托书，授权委托书应当载明委托代理的具体权限和事项）。</w:t>
      </w:r>
    </w:p>
    <w:p w14:paraId="76DFCE9F">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质疑函不符合上述要求的，采购人或代理机构应书面告知具体事项，质疑人应当按要求进行修改或补充，并在质疑有效期限内提交。</w:t>
      </w:r>
    </w:p>
    <w:p w14:paraId="6841BC6B">
      <w:pPr>
        <w:keepNext w:val="0"/>
        <w:keepLines w:val="0"/>
        <w:pageBreakBefore w:val="0"/>
        <w:widowControl w:val="0"/>
        <w:tabs>
          <w:tab w:val="left" w:pos="540"/>
        </w:tabs>
        <w:kinsoku/>
        <w:wordWrap/>
        <w:overflowPunct/>
        <w:topLinePunct w:val="0"/>
        <w:bidi w:val="0"/>
        <w:snapToGrid/>
        <w:spacing w:beforeAutospacing="0" w:afterAutospacing="0" w:line="360" w:lineRule="auto"/>
        <w:ind w:left="0" w:leftChars="0" w:right="0" w:rightChars="0" w:firstLine="480" w:firstLineChars="200"/>
        <w:jc w:val="left"/>
        <w:textAlignment w:val="auto"/>
        <w:outlineLvl w:val="2"/>
        <w:rPr>
          <w:rFonts w:hint="eastAsia" w:ascii="宋体" w:hAnsi="宋体" w:eastAsia="宋体" w:cs="宋体"/>
          <w:b w:val="0"/>
          <w:sz w:val="24"/>
          <w:szCs w:val="24"/>
        </w:rPr>
      </w:pPr>
      <w:bookmarkStart w:id="549" w:name="_Toc109899987"/>
      <w:bookmarkStart w:id="550" w:name="_Toc109900406"/>
      <w:bookmarkStart w:id="551" w:name="_Toc46772276"/>
      <w:bookmarkStart w:id="552" w:name="_Toc109897469"/>
      <w:bookmarkStart w:id="553" w:name="_Toc48688824"/>
      <w:bookmarkStart w:id="554" w:name="_Toc109899568"/>
      <w:bookmarkStart w:id="555" w:name="_Toc104"/>
      <w:bookmarkStart w:id="556" w:name="_Toc52962762"/>
      <w:bookmarkStart w:id="557" w:name="_Toc51674246"/>
      <w:bookmarkStart w:id="558" w:name="_Toc52960588"/>
      <w:bookmarkStart w:id="559" w:name="_Toc46771675"/>
      <w:bookmarkStart w:id="560" w:name="_Toc48846144"/>
      <w:bookmarkStart w:id="561" w:name="_Toc17078"/>
      <w:r>
        <w:rPr>
          <w:rFonts w:hint="eastAsia" w:ascii="宋体" w:hAnsi="宋体" w:eastAsia="宋体" w:cs="宋体"/>
          <w:b w:val="0"/>
          <w:sz w:val="24"/>
          <w:szCs w:val="24"/>
        </w:rPr>
        <w:t>30.质疑回复</w:t>
      </w:r>
      <w:bookmarkEnd w:id="549"/>
      <w:bookmarkEnd w:id="550"/>
      <w:bookmarkEnd w:id="551"/>
      <w:bookmarkEnd w:id="552"/>
      <w:bookmarkEnd w:id="553"/>
      <w:bookmarkEnd w:id="554"/>
      <w:bookmarkEnd w:id="555"/>
      <w:bookmarkEnd w:id="556"/>
      <w:bookmarkEnd w:id="557"/>
      <w:bookmarkEnd w:id="558"/>
      <w:bookmarkEnd w:id="559"/>
      <w:bookmarkEnd w:id="560"/>
      <w:bookmarkEnd w:id="561"/>
    </w:p>
    <w:p w14:paraId="29883880">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30.1采购人或采购代理机构应当在收到供应商的书面质疑后7个工作日内作出答复，并以书面形式通知质疑供应商和其他有关供应商，但答复的内容不得涉及商业秘密。</w:t>
      </w:r>
    </w:p>
    <w:p w14:paraId="5E5A37C0">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30.2质疑答复应当包括下列内容：</w:t>
      </w:r>
    </w:p>
    <w:p w14:paraId="3511B5C2">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bookmarkStart w:id="562" w:name="_Toc48688825"/>
      <w:bookmarkStart w:id="563" w:name="_Toc46771676"/>
      <w:bookmarkStart w:id="564" w:name="_Toc46772277"/>
      <w:bookmarkStart w:id="565" w:name="_Toc52960589"/>
      <w:bookmarkStart w:id="566" w:name="_Toc48846145"/>
      <w:bookmarkStart w:id="567" w:name="_Toc52962763"/>
      <w:bookmarkStart w:id="568" w:name="_Toc51674247"/>
      <w:r>
        <w:rPr>
          <w:rFonts w:hint="eastAsia" w:ascii="宋体" w:hAnsi="宋体" w:eastAsia="宋体" w:cs="宋体"/>
          <w:snapToGrid w:val="0"/>
          <w:sz w:val="24"/>
          <w:szCs w:val="24"/>
          <w:lang w:val="zh-CN"/>
        </w:rPr>
        <w:t>（1）质疑人的姓名或者名称；</w:t>
      </w:r>
    </w:p>
    <w:p w14:paraId="7E522D81">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（2）收到质疑函的日期、质疑项目名称及编号；</w:t>
      </w:r>
    </w:p>
    <w:p w14:paraId="23DC10A7">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（3）质疑事项、质疑答复的具体内容、事实依据和法律依据；</w:t>
      </w:r>
    </w:p>
    <w:p w14:paraId="7B8061B9">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（4）告知质疑人依法投诉的权利；</w:t>
      </w:r>
    </w:p>
    <w:p w14:paraId="5105B4FC">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（5）质疑答复人名称；</w:t>
      </w:r>
    </w:p>
    <w:p w14:paraId="5BB39985">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（6）答复质疑的日期。</w:t>
      </w:r>
    </w:p>
    <w:p w14:paraId="5574E52F">
      <w:pPr>
        <w:keepNext w:val="0"/>
        <w:keepLines w:val="0"/>
        <w:pageBreakBefore w:val="0"/>
        <w:widowControl w:val="0"/>
        <w:tabs>
          <w:tab w:val="left" w:pos="540"/>
        </w:tabs>
        <w:kinsoku/>
        <w:wordWrap/>
        <w:overflowPunct/>
        <w:topLinePunct w:val="0"/>
        <w:bidi w:val="0"/>
        <w:snapToGrid/>
        <w:spacing w:beforeAutospacing="0" w:afterAutospacing="0" w:line="360" w:lineRule="auto"/>
        <w:ind w:left="0" w:leftChars="0" w:right="0" w:rightChars="0" w:firstLine="480" w:firstLineChars="200"/>
        <w:jc w:val="left"/>
        <w:textAlignment w:val="auto"/>
        <w:outlineLvl w:val="2"/>
        <w:rPr>
          <w:rFonts w:hint="eastAsia" w:ascii="宋体" w:hAnsi="宋体" w:eastAsia="宋体" w:cs="宋体"/>
          <w:b w:val="0"/>
          <w:sz w:val="24"/>
          <w:szCs w:val="24"/>
        </w:rPr>
      </w:pPr>
      <w:bookmarkStart w:id="569" w:name="_Toc27755"/>
      <w:bookmarkStart w:id="570" w:name="_Toc20661"/>
      <w:bookmarkStart w:id="571" w:name="_Toc109897470"/>
      <w:bookmarkStart w:id="572" w:name="_Toc109900407"/>
      <w:bookmarkStart w:id="573" w:name="_Toc109899569"/>
      <w:bookmarkStart w:id="574" w:name="_Toc109899988"/>
      <w:r>
        <w:rPr>
          <w:rFonts w:hint="eastAsia" w:ascii="宋体" w:hAnsi="宋体" w:eastAsia="宋体" w:cs="宋体"/>
          <w:b w:val="0"/>
          <w:sz w:val="24"/>
          <w:szCs w:val="24"/>
        </w:rPr>
        <w:t>31.投诉</w:t>
      </w:r>
      <w:bookmarkEnd w:id="562"/>
      <w:bookmarkEnd w:id="563"/>
      <w:bookmarkEnd w:id="564"/>
      <w:bookmarkEnd w:id="565"/>
      <w:bookmarkEnd w:id="566"/>
      <w:bookmarkEnd w:id="567"/>
      <w:bookmarkEnd w:id="568"/>
      <w:bookmarkEnd w:id="569"/>
      <w:bookmarkEnd w:id="570"/>
      <w:bookmarkEnd w:id="571"/>
      <w:bookmarkEnd w:id="572"/>
      <w:bookmarkEnd w:id="573"/>
      <w:bookmarkEnd w:id="574"/>
    </w:p>
    <w:p w14:paraId="2C90C709">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31.1质疑供应商对采购人、采购代理机构的答复不满意或者采购人、采购代理机构未在规定的时间内作出答复的，可以在答复期满后15个工作日内向同级政府采购监督管理部门投诉。供应商投诉应当有明确的请求和必要的证明材料，且投诉的事项不得超出已质疑事项的范围。</w:t>
      </w:r>
    </w:p>
    <w:p w14:paraId="5C873A3A">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31.2政府采购监督管理部门应当在收到投诉后30个工作日内，对投诉事项作出处理决定，并以书面形式通知投诉人和与投诉事项有关的当事人。财政部门处理投诉事项，需要检验、检测、鉴定、专家评审以及需要投诉人补正材料的，所需时间不计算在投诉处理期限内。</w:t>
      </w:r>
    </w:p>
    <w:bookmarkEnd w:id="89"/>
    <w:bookmarkEnd w:id="535"/>
    <w:p w14:paraId="0825F127">
      <w:pPr>
        <w:keepNext w:val="0"/>
        <w:keepLines w:val="0"/>
        <w:pageBreakBefore w:val="0"/>
        <w:widowControl w:val="0"/>
        <w:tabs>
          <w:tab w:val="left" w:pos="540"/>
        </w:tabs>
        <w:kinsoku/>
        <w:wordWrap/>
        <w:overflowPunct/>
        <w:topLinePunct w:val="0"/>
        <w:bidi w:val="0"/>
        <w:snapToGrid/>
        <w:spacing w:beforeAutospacing="0" w:afterAutospacing="0" w:line="360" w:lineRule="auto"/>
        <w:ind w:left="0" w:leftChars="0" w:right="0" w:rightChars="0" w:firstLine="482" w:firstLineChars="200"/>
        <w:jc w:val="left"/>
        <w:textAlignment w:val="auto"/>
        <w:outlineLvl w:val="1"/>
        <w:rPr>
          <w:rFonts w:hint="eastAsia" w:ascii="宋体" w:hAnsi="宋体" w:eastAsia="宋体" w:cs="宋体"/>
          <w:b/>
          <w:snapToGrid w:val="0"/>
          <w:sz w:val="24"/>
          <w:szCs w:val="24"/>
          <w:lang w:val="zh-CN"/>
        </w:rPr>
      </w:pPr>
      <w:bookmarkStart w:id="575" w:name="_Toc109899989"/>
      <w:bookmarkStart w:id="576" w:name="_Toc16240"/>
      <w:bookmarkStart w:id="577" w:name="_Toc109897471"/>
      <w:bookmarkStart w:id="578" w:name="_Toc109900408"/>
      <w:bookmarkStart w:id="579" w:name="_Hlk60570485"/>
      <w:r>
        <w:rPr>
          <w:rFonts w:hint="eastAsia" w:ascii="宋体" w:hAnsi="宋体" w:eastAsia="宋体" w:cs="宋体"/>
          <w:b/>
          <w:snapToGrid w:val="0"/>
          <w:sz w:val="24"/>
          <w:szCs w:val="24"/>
          <w:lang w:val="zh-CN"/>
        </w:rPr>
        <w:t>（八）政府采购政策</w:t>
      </w:r>
      <w:bookmarkEnd w:id="575"/>
      <w:bookmarkEnd w:id="576"/>
      <w:bookmarkEnd w:id="577"/>
      <w:bookmarkEnd w:id="578"/>
    </w:p>
    <w:p w14:paraId="09A6DDC8">
      <w:pPr>
        <w:keepNext w:val="0"/>
        <w:keepLines w:val="0"/>
        <w:pageBreakBefore w:val="0"/>
        <w:widowControl w:val="0"/>
        <w:tabs>
          <w:tab w:val="left" w:pos="540"/>
        </w:tabs>
        <w:kinsoku/>
        <w:wordWrap/>
        <w:overflowPunct/>
        <w:topLinePunct w:val="0"/>
        <w:bidi w:val="0"/>
        <w:snapToGrid/>
        <w:spacing w:beforeAutospacing="0" w:afterAutospacing="0" w:line="360" w:lineRule="auto"/>
        <w:ind w:left="0" w:leftChars="0" w:right="0" w:rightChars="0" w:firstLine="480" w:firstLineChars="200"/>
        <w:jc w:val="left"/>
        <w:textAlignment w:val="auto"/>
        <w:outlineLvl w:val="2"/>
        <w:rPr>
          <w:rFonts w:hint="eastAsia" w:ascii="宋体" w:hAnsi="宋体" w:eastAsia="宋体" w:cs="宋体"/>
          <w:b w:val="0"/>
          <w:sz w:val="24"/>
          <w:szCs w:val="24"/>
        </w:rPr>
      </w:pPr>
      <w:bookmarkStart w:id="580" w:name="_Toc29574"/>
      <w:bookmarkStart w:id="581" w:name="_Toc29416"/>
      <w:bookmarkStart w:id="582" w:name="_Toc109897472"/>
      <w:bookmarkStart w:id="583" w:name="_Toc109899571"/>
      <w:bookmarkStart w:id="584" w:name="_Toc109900409"/>
      <w:bookmarkStart w:id="585" w:name="_Toc109899990"/>
      <w:r>
        <w:rPr>
          <w:rFonts w:hint="eastAsia" w:ascii="宋体" w:hAnsi="宋体" w:eastAsia="宋体" w:cs="宋体"/>
          <w:b w:val="0"/>
          <w:sz w:val="24"/>
          <w:szCs w:val="24"/>
        </w:rPr>
        <w:t>32.是否接受进口产品</w:t>
      </w:r>
      <w:bookmarkEnd w:id="580"/>
      <w:bookmarkEnd w:id="581"/>
      <w:bookmarkEnd w:id="582"/>
      <w:bookmarkEnd w:id="583"/>
      <w:bookmarkEnd w:id="584"/>
      <w:bookmarkEnd w:id="585"/>
    </w:p>
    <w:p w14:paraId="02368A6A">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32.1 除非《供应商须知前附表》中有特殊规定，本项目所采购的货物应当为中华人民共和国境内提供。</w:t>
      </w:r>
    </w:p>
    <w:p w14:paraId="41EFD670">
      <w:pPr>
        <w:keepNext w:val="0"/>
        <w:keepLines w:val="0"/>
        <w:pageBreakBefore w:val="0"/>
        <w:widowControl w:val="0"/>
        <w:tabs>
          <w:tab w:val="left" w:pos="540"/>
        </w:tabs>
        <w:kinsoku/>
        <w:wordWrap/>
        <w:overflowPunct/>
        <w:topLinePunct w:val="0"/>
        <w:bidi w:val="0"/>
        <w:snapToGrid/>
        <w:spacing w:beforeAutospacing="0" w:afterAutospacing="0" w:line="360" w:lineRule="auto"/>
        <w:ind w:left="0" w:leftChars="0" w:right="0" w:rightChars="0" w:firstLine="480" w:firstLineChars="200"/>
        <w:jc w:val="left"/>
        <w:textAlignment w:val="auto"/>
        <w:outlineLvl w:val="2"/>
        <w:rPr>
          <w:rFonts w:hint="eastAsia" w:ascii="宋体" w:hAnsi="宋体" w:eastAsia="宋体" w:cs="宋体"/>
          <w:b w:val="0"/>
          <w:sz w:val="24"/>
          <w:szCs w:val="24"/>
        </w:rPr>
      </w:pPr>
      <w:bookmarkStart w:id="586" w:name="_Toc15383"/>
      <w:bookmarkStart w:id="587" w:name="_Toc109899991"/>
      <w:bookmarkStart w:id="588" w:name="_Toc109900410"/>
      <w:bookmarkStart w:id="589" w:name="_Toc109897473"/>
      <w:bookmarkStart w:id="590" w:name="_Toc25976"/>
      <w:bookmarkStart w:id="591" w:name="_Toc109899572"/>
      <w:r>
        <w:rPr>
          <w:rFonts w:hint="eastAsia" w:ascii="宋体" w:hAnsi="宋体" w:eastAsia="宋体" w:cs="宋体"/>
          <w:b w:val="0"/>
          <w:sz w:val="24"/>
          <w:szCs w:val="24"/>
        </w:rPr>
        <w:t>33.中小企业扶持政策</w:t>
      </w:r>
      <w:bookmarkEnd w:id="586"/>
      <w:bookmarkEnd w:id="587"/>
      <w:bookmarkEnd w:id="588"/>
      <w:bookmarkEnd w:id="589"/>
      <w:bookmarkEnd w:id="590"/>
      <w:bookmarkEnd w:id="591"/>
    </w:p>
    <w:p w14:paraId="4F166802">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33.1为促进中小企业发展，依据财政部、工业和信息化部《关于印发&lt;政府采购促进中小企业发展管理办法&gt;的通知》（财库[2020]46号）、财政部 司法部《关于政府采购支持监狱企业发展有关问题的通知》（财库[2014]68号）、财政部 民政部 中国残疾人联合会《关于促进残疾人就业政府采购政策的通知》（财库[2017]141号），本项目供应商如符合上述文件规定的，需提供《中小企业声明函》、监狱企业证明文件、《残疾人福利性单位声明函》，评审时将对供应商报价给予一定比例的扣除，用扣除后的价格参与评审。具体扣除比例详见《供应商须知前附表》。</w:t>
      </w:r>
    </w:p>
    <w:p w14:paraId="03967CD6">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en-US" w:eastAsia="zh-CN"/>
        </w:rPr>
        <w:t>33.2</w:t>
      </w:r>
      <w:r>
        <w:rPr>
          <w:rFonts w:hint="eastAsia" w:ascii="宋体" w:hAnsi="宋体" w:eastAsia="宋体" w:cs="宋体"/>
          <w:snapToGrid w:val="0"/>
          <w:sz w:val="24"/>
          <w:szCs w:val="24"/>
          <w:lang w:val="zh-CN"/>
        </w:rPr>
        <w:t>依据湖北省财政厅 湖北省公共资源交易监督管理局《关于落实稳住经济一揽子政策进一步加大政府采购支持中小企业力度的通知》（鄂财采发〔2022〕5号）的规定，货物服务采购项目给予小微企业的价格扣除优惠，由财库〔2020〕46号文件规定的 6%—10%提高至 10%—20%。大中型企业与小微企业组成联合体或者大中型企业向小微企业分包的，评审优惠幅度由 2%—3%提高至 4%—6%。政府采购工程的价格评审优惠按照财库〔2020〕46号文件中对应的 3%—5%、1%—2%的规定执行。对小微企业中的残疾人企业、监狱企业、采购产品纳入创新产品应用示范推荐目录内企业、采购产品获得节能产品或环境标志产品认证证书的企业，以价格评审优惠幅度的上限给予评审优惠。</w:t>
      </w:r>
    </w:p>
    <w:p w14:paraId="6ADB411E">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en-US" w:eastAsia="zh-CN"/>
        </w:rPr>
        <w:t>33.3</w:t>
      </w:r>
      <w:r>
        <w:rPr>
          <w:rFonts w:hint="eastAsia" w:ascii="宋体" w:hAnsi="宋体" w:eastAsia="宋体" w:cs="宋体"/>
          <w:snapToGrid w:val="0"/>
          <w:sz w:val="24"/>
          <w:szCs w:val="24"/>
          <w:lang w:val="zh-CN"/>
        </w:rPr>
        <w:t>对中小企业在资金支付期限方面的优惠措施：按《湖北省财政厅湖北省经济和信息化厅关于进一步加强政府采购促进中小企业发展的通知》鄂财采发〔2021〕8 号执行。</w:t>
      </w:r>
    </w:p>
    <w:p w14:paraId="0F84A798">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en-US" w:eastAsia="zh-CN"/>
        </w:rPr>
        <w:t>33.4</w:t>
      </w:r>
      <w:r>
        <w:rPr>
          <w:rFonts w:hint="eastAsia" w:ascii="宋体" w:hAnsi="宋体" w:eastAsia="宋体" w:cs="宋体"/>
          <w:snapToGrid w:val="0"/>
          <w:sz w:val="24"/>
          <w:szCs w:val="24"/>
          <w:lang w:val="zh-CN"/>
        </w:rPr>
        <w:t>中小企业划型标准详见附件：工业和信息化部 国家统计局 国家发展和改革委员会 财政部《中小企业划型标准规定》（工信部联企业〔2011〕300号）。</w:t>
      </w:r>
    </w:p>
    <w:p w14:paraId="603A60A6">
      <w:pPr>
        <w:keepNext w:val="0"/>
        <w:keepLines w:val="0"/>
        <w:pageBreakBefore w:val="0"/>
        <w:widowControl w:val="0"/>
        <w:tabs>
          <w:tab w:val="left" w:pos="540"/>
        </w:tabs>
        <w:kinsoku/>
        <w:wordWrap/>
        <w:overflowPunct/>
        <w:topLinePunct w:val="0"/>
        <w:bidi w:val="0"/>
        <w:snapToGrid/>
        <w:spacing w:beforeAutospacing="0" w:afterAutospacing="0" w:line="360" w:lineRule="auto"/>
        <w:ind w:left="0" w:leftChars="0" w:right="0" w:rightChars="0" w:firstLine="480" w:firstLineChars="200"/>
        <w:jc w:val="left"/>
        <w:textAlignment w:val="auto"/>
        <w:outlineLvl w:val="2"/>
        <w:rPr>
          <w:rFonts w:hint="eastAsia" w:ascii="宋体" w:hAnsi="宋体" w:eastAsia="宋体" w:cs="宋体"/>
          <w:b w:val="0"/>
          <w:sz w:val="24"/>
          <w:szCs w:val="24"/>
        </w:rPr>
      </w:pPr>
      <w:bookmarkStart w:id="592" w:name="_Toc109897474"/>
      <w:bookmarkStart w:id="593" w:name="_Toc14903"/>
      <w:bookmarkStart w:id="594" w:name="_Toc109899573"/>
      <w:bookmarkStart w:id="595" w:name="_Toc30712"/>
      <w:bookmarkStart w:id="596" w:name="_Toc109900411"/>
      <w:bookmarkStart w:id="597" w:name="_Toc109899992"/>
      <w:r>
        <w:rPr>
          <w:rFonts w:hint="eastAsia" w:ascii="宋体" w:hAnsi="宋体" w:eastAsia="宋体" w:cs="宋体"/>
          <w:b w:val="0"/>
          <w:sz w:val="24"/>
          <w:szCs w:val="24"/>
        </w:rPr>
        <w:t>34.节能产品、环境标志产品采购政策</w:t>
      </w:r>
      <w:bookmarkEnd w:id="592"/>
      <w:bookmarkEnd w:id="593"/>
      <w:bookmarkEnd w:id="594"/>
      <w:bookmarkEnd w:id="595"/>
      <w:bookmarkEnd w:id="596"/>
      <w:bookmarkEnd w:id="597"/>
    </w:p>
    <w:p w14:paraId="6B05EF3D">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rPr>
      </w:pPr>
      <w:r>
        <w:rPr>
          <w:rFonts w:hint="eastAsia" w:ascii="宋体" w:hAnsi="宋体" w:eastAsia="宋体" w:cs="宋体"/>
          <w:snapToGrid w:val="0"/>
          <w:sz w:val="24"/>
          <w:szCs w:val="24"/>
          <w:lang w:val="zh-CN"/>
        </w:rPr>
        <w:t>34.1</w:t>
      </w:r>
      <w:r>
        <w:rPr>
          <w:rFonts w:hint="eastAsia" w:ascii="宋体" w:hAnsi="宋体" w:eastAsia="宋体" w:cs="宋体"/>
          <w:snapToGrid w:val="0"/>
          <w:sz w:val="24"/>
          <w:szCs w:val="24"/>
        </w:rPr>
        <w:t>见《</w:t>
      </w:r>
      <w:r>
        <w:rPr>
          <w:rFonts w:hint="eastAsia" w:ascii="宋体" w:hAnsi="宋体" w:eastAsia="宋体" w:cs="宋体"/>
          <w:snapToGrid w:val="0"/>
          <w:sz w:val="24"/>
          <w:szCs w:val="24"/>
          <w:lang w:eastAsia="zh-CN"/>
        </w:rPr>
        <w:t>供应商</w:t>
      </w:r>
      <w:r>
        <w:rPr>
          <w:rFonts w:hint="eastAsia" w:ascii="宋体" w:hAnsi="宋体" w:eastAsia="宋体" w:cs="宋体"/>
          <w:snapToGrid w:val="0"/>
          <w:sz w:val="24"/>
          <w:szCs w:val="24"/>
        </w:rPr>
        <w:t>须知前附表》</w:t>
      </w:r>
    </w:p>
    <w:p w14:paraId="3EA957AA">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rPr>
      </w:pPr>
      <w:r>
        <w:rPr>
          <w:rFonts w:hint="eastAsia" w:ascii="宋体" w:hAnsi="宋体" w:eastAsia="宋体" w:cs="宋体"/>
          <w:snapToGrid w:val="0"/>
          <w:sz w:val="24"/>
          <w:szCs w:val="24"/>
          <w:lang w:val="zh-CN"/>
        </w:rPr>
        <w:t>34.2</w:t>
      </w:r>
      <w:r>
        <w:rPr>
          <w:rFonts w:hint="eastAsia" w:ascii="宋体" w:hAnsi="宋体" w:eastAsia="宋体" w:cs="宋体"/>
          <w:snapToGrid w:val="0"/>
          <w:sz w:val="24"/>
          <w:szCs w:val="24"/>
        </w:rPr>
        <w:t>见《</w:t>
      </w:r>
      <w:r>
        <w:rPr>
          <w:rFonts w:hint="eastAsia" w:ascii="宋体" w:hAnsi="宋体" w:eastAsia="宋体" w:cs="宋体"/>
          <w:snapToGrid w:val="0"/>
          <w:sz w:val="24"/>
          <w:szCs w:val="24"/>
          <w:lang w:eastAsia="zh-CN"/>
        </w:rPr>
        <w:t>供应商</w:t>
      </w:r>
      <w:r>
        <w:rPr>
          <w:rFonts w:hint="eastAsia" w:ascii="宋体" w:hAnsi="宋体" w:eastAsia="宋体" w:cs="宋体"/>
          <w:snapToGrid w:val="0"/>
          <w:sz w:val="24"/>
          <w:szCs w:val="24"/>
        </w:rPr>
        <w:t>须知前附表》</w:t>
      </w:r>
    </w:p>
    <w:bookmarkEnd w:id="579"/>
    <w:p w14:paraId="052534A8">
      <w:pPr>
        <w:keepNext w:val="0"/>
        <w:keepLines w:val="0"/>
        <w:pageBreakBefore w:val="0"/>
        <w:widowControl w:val="0"/>
        <w:tabs>
          <w:tab w:val="left" w:pos="540"/>
        </w:tabs>
        <w:kinsoku/>
        <w:wordWrap/>
        <w:overflowPunct/>
        <w:topLinePunct w:val="0"/>
        <w:bidi w:val="0"/>
        <w:snapToGrid/>
        <w:spacing w:beforeAutospacing="0" w:afterAutospacing="0" w:line="360" w:lineRule="auto"/>
        <w:ind w:left="0" w:leftChars="0" w:right="0" w:rightChars="0" w:firstLine="482" w:firstLineChars="200"/>
        <w:jc w:val="left"/>
        <w:textAlignment w:val="auto"/>
        <w:outlineLvl w:val="1"/>
        <w:rPr>
          <w:rFonts w:hint="eastAsia" w:ascii="宋体" w:hAnsi="宋体" w:eastAsia="宋体" w:cs="宋体"/>
          <w:b/>
          <w:snapToGrid w:val="0"/>
          <w:sz w:val="24"/>
          <w:szCs w:val="24"/>
          <w:lang w:val="zh-CN"/>
        </w:rPr>
      </w:pPr>
      <w:bookmarkStart w:id="598" w:name="_Toc109900412"/>
      <w:bookmarkStart w:id="599" w:name="_Toc109899993"/>
      <w:bookmarkStart w:id="600" w:name="_Toc109897475"/>
      <w:bookmarkStart w:id="601" w:name="_Toc25983"/>
      <w:r>
        <w:rPr>
          <w:rFonts w:hint="eastAsia" w:ascii="宋体" w:hAnsi="宋体" w:eastAsia="宋体" w:cs="宋体"/>
          <w:b/>
          <w:snapToGrid w:val="0"/>
          <w:sz w:val="24"/>
          <w:szCs w:val="24"/>
          <w:lang w:val="zh-CN"/>
        </w:rPr>
        <w:t>（九）政府采购合同融资政策</w:t>
      </w:r>
      <w:bookmarkEnd w:id="598"/>
      <w:bookmarkEnd w:id="599"/>
      <w:bookmarkEnd w:id="600"/>
      <w:bookmarkEnd w:id="601"/>
    </w:p>
    <w:p w14:paraId="726A4D81">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rPr>
      </w:pPr>
      <w:bookmarkStart w:id="602" w:name="_Toc109897476"/>
      <w:r>
        <w:rPr>
          <w:rFonts w:hint="eastAsia" w:ascii="宋体" w:hAnsi="宋体" w:eastAsia="宋体" w:cs="宋体"/>
          <w:snapToGrid w:val="0"/>
          <w:sz w:val="24"/>
          <w:szCs w:val="24"/>
        </w:rPr>
        <w:t>见《</w:t>
      </w:r>
      <w:r>
        <w:rPr>
          <w:rFonts w:hint="eastAsia" w:ascii="宋体" w:hAnsi="宋体" w:eastAsia="宋体" w:cs="宋体"/>
          <w:snapToGrid w:val="0"/>
          <w:sz w:val="24"/>
          <w:szCs w:val="24"/>
          <w:lang w:eastAsia="zh-CN"/>
        </w:rPr>
        <w:t>供应商</w:t>
      </w:r>
      <w:r>
        <w:rPr>
          <w:rFonts w:hint="eastAsia" w:ascii="宋体" w:hAnsi="宋体" w:eastAsia="宋体" w:cs="宋体"/>
          <w:snapToGrid w:val="0"/>
          <w:sz w:val="24"/>
          <w:szCs w:val="24"/>
        </w:rPr>
        <w:t>须知前附表》</w:t>
      </w:r>
    </w:p>
    <w:p w14:paraId="694E0B35">
      <w:pPr>
        <w:keepNext w:val="0"/>
        <w:keepLines w:val="0"/>
        <w:pageBreakBefore w:val="0"/>
        <w:widowControl w:val="0"/>
        <w:tabs>
          <w:tab w:val="left" w:pos="540"/>
        </w:tabs>
        <w:kinsoku/>
        <w:wordWrap/>
        <w:overflowPunct/>
        <w:topLinePunct w:val="0"/>
        <w:bidi w:val="0"/>
        <w:snapToGrid/>
        <w:spacing w:beforeAutospacing="0" w:afterAutospacing="0" w:line="360" w:lineRule="auto"/>
        <w:ind w:left="0" w:leftChars="0" w:right="0" w:rightChars="0" w:firstLine="482" w:firstLineChars="200"/>
        <w:jc w:val="left"/>
        <w:textAlignment w:val="auto"/>
        <w:outlineLvl w:val="1"/>
        <w:rPr>
          <w:rFonts w:hint="eastAsia" w:ascii="宋体" w:hAnsi="宋体" w:eastAsia="宋体" w:cs="宋体"/>
          <w:b/>
          <w:snapToGrid w:val="0"/>
          <w:sz w:val="24"/>
          <w:szCs w:val="24"/>
          <w:lang w:val="zh-CN"/>
        </w:rPr>
      </w:pPr>
      <w:bookmarkStart w:id="603" w:name="_Toc109899994"/>
      <w:bookmarkStart w:id="604" w:name="_Toc109900413"/>
      <w:bookmarkStart w:id="605" w:name="_Toc6812"/>
      <w:r>
        <w:rPr>
          <w:rFonts w:hint="eastAsia" w:ascii="宋体" w:hAnsi="宋体" w:eastAsia="宋体" w:cs="宋体"/>
          <w:b/>
          <w:snapToGrid w:val="0"/>
          <w:sz w:val="24"/>
          <w:szCs w:val="24"/>
          <w:lang w:val="zh-CN"/>
        </w:rPr>
        <w:t>（十）其他要求</w:t>
      </w:r>
      <w:bookmarkEnd w:id="602"/>
      <w:bookmarkEnd w:id="603"/>
      <w:bookmarkEnd w:id="604"/>
      <w:bookmarkEnd w:id="605"/>
    </w:p>
    <w:p w14:paraId="332DA3D2">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见《供应商须知前附表》。</w:t>
      </w:r>
    </w:p>
    <w:p w14:paraId="070E774F">
      <w:pPr>
        <w:keepNext w:val="0"/>
        <w:keepLines w:val="0"/>
        <w:pageBreakBefore w:val="0"/>
        <w:widowControl w:val="0"/>
        <w:tabs>
          <w:tab w:val="left" w:pos="540"/>
        </w:tabs>
        <w:kinsoku/>
        <w:wordWrap/>
        <w:overflowPunct/>
        <w:topLinePunct w:val="0"/>
        <w:bidi w:val="0"/>
        <w:snapToGrid/>
        <w:spacing w:beforeAutospacing="0" w:afterAutospacing="0" w:line="360" w:lineRule="auto"/>
        <w:ind w:left="0" w:leftChars="0" w:right="0" w:rightChars="0" w:firstLine="482" w:firstLineChars="200"/>
        <w:jc w:val="left"/>
        <w:textAlignment w:val="auto"/>
        <w:outlineLvl w:val="1"/>
        <w:rPr>
          <w:rFonts w:hint="eastAsia" w:ascii="宋体" w:hAnsi="宋体" w:eastAsia="宋体" w:cs="宋体"/>
          <w:b/>
          <w:snapToGrid w:val="0"/>
          <w:sz w:val="24"/>
          <w:szCs w:val="24"/>
          <w:lang w:val="zh-CN"/>
        </w:rPr>
      </w:pPr>
      <w:bookmarkStart w:id="606" w:name="_Toc109897477"/>
      <w:bookmarkStart w:id="607" w:name="_Toc109900414"/>
      <w:bookmarkStart w:id="608" w:name="_Toc7832"/>
      <w:bookmarkStart w:id="609" w:name="_Toc109899995"/>
      <w:r>
        <w:rPr>
          <w:rFonts w:hint="eastAsia" w:ascii="宋体" w:hAnsi="宋体" w:eastAsia="宋体" w:cs="宋体"/>
          <w:b/>
          <w:snapToGrid w:val="0"/>
          <w:sz w:val="24"/>
          <w:szCs w:val="24"/>
          <w:lang w:val="zh-CN"/>
        </w:rPr>
        <w:t>（十一）适用法律</w:t>
      </w:r>
      <w:bookmarkEnd w:id="606"/>
      <w:bookmarkEnd w:id="607"/>
      <w:bookmarkEnd w:id="608"/>
      <w:bookmarkEnd w:id="609"/>
    </w:p>
    <w:p w14:paraId="1D30B4FC">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napToGrid w:val="0"/>
          <w:sz w:val="24"/>
          <w:szCs w:val="24"/>
          <w:lang w:val="zh-CN"/>
        </w:rPr>
      </w:pPr>
      <w:r>
        <w:rPr>
          <w:rFonts w:hint="eastAsia" w:ascii="宋体" w:hAnsi="宋体" w:eastAsia="宋体" w:cs="宋体"/>
          <w:snapToGrid w:val="0"/>
          <w:sz w:val="24"/>
          <w:szCs w:val="24"/>
          <w:lang w:val="zh-CN"/>
        </w:rPr>
        <w:t>采购人、集中采购机构及供应商的一切采购活动均适用《中华人民共和国政府采购法》、《中华人民共和国政府采购法实施条例》及相关法律法规。</w:t>
      </w:r>
    </w:p>
    <w:p w14:paraId="3467389F">
      <w:pPr>
        <w:keepNext w:val="0"/>
        <w:keepLines w:val="0"/>
        <w:pageBreakBefore w:val="0"/>
        <w:widowControl w:val="0"/>
        <w:tabs>
          <w:tab w:val="left" w:pos="426"/>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rPr>
      </w:pPr>
      <w:r>
        <w:rPr>
          <w:rFonts w:hint="eastAsia" w:ascii="宋体" w:hAnsi="宋体" w:eastAsia="宋体" w:cs="宋体"/>
          <w:snapToGrid w:val="0"/>
          <w:sz w:val="24"/>
          <w:szCs w:val="24"/>
          <w:lang w:val="zh-CN"/>
        </w:rPr>
        <w:t>政府采购合同的履行、违约责任和解决争议的方法等适用《中华人民共和国民法典》。</w:t>
      </w:r>
      <w:r>
        <w:rPr>
          <w:rFonts w:hint="eastAsia" w:ascii="宋体" w:hAnsi="宋体" w:eastAsia="宋体" w:cs="宋体"/>
          <w:sz w:val="24"/>
        </w:rPr>
        <w:br w:type="page"/>
      </w:r>
    </w:p>
    <w:p w14:paraId="51FAACAE">
      <w:pPr>
        <w:pStyle w:val="3"/>
        <w:snapToGrid/>
        <w:spacing w:before="200" w:beforeAutospacing="0" w:after="100" w:afterAutospacing="0" w:line="240" w:lineRule="auto"/>
        <w:ind w:left="0" w:leftChars="0" w:right="0" w:rightChars="0" w:firstLine="0" w:firstLineChars="0"/>
        <w:jc w:val="center"/>
        <w:outlineLvl w:val="0"/>
        <w:rPr>
          <w:rFonts w:hint="eastAsia" w:ascii="宋体" w:hAnsi="宋体" w:eastAsia="宋体" w:cs="宋体"/>
          <w:b/>
          <w:bCs/>
          <w:sz w:val="28"/>
          <w:szCs w:val="28"/>
        </w:rPr>
      </w:pPr>
      <w:bookmarkStart w:id="610" w:name="_Toc109897478"/>
      <w:bookmarkStart w:id="611" w:name="_Toc109899996"/>
      <w:bookmarkStart w:id="612" w:name="_Toc4123"/>
      <w:bookmarkStart w:id="613" w:name="_Toc109900415"/>
      <w:r>
        <w:rPr>
          <w:rFonts w:hint="eastAsia" w:ascii="宋体" w:hAnsi="宋体" w:eastAsia="宋体" w:cs="宋体"/>
          <w:b/>
          <w:bCs/>
          <w:sz w:val="28"/>
          <w:szCs w:val="28"/>
        </w:rPr>
        <w:t>第三章 项目采购需求</w:t>
      </w:r>
      <w:bookmarkEnd w:id="610"/>
      <w:bookmarkEnd w:id="611"/>
      <w:bookmarkEnd w:id="612"/>
      <w:bookmarkEnd w:id="613"/>
      <w:bookmarkStart w:id="614" w:name="_Toc162164501"/>
      <w:bookmarkStart w:id="615" w:name="_Toc535832547"/>
    </w:p>
    <w:bookmarkEnd w:id="614"/>
    <w:bookmarkEnd w:id="615"/>
    <w:p w14:paraId="7F57709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bookmarkStart w:id="616" w:name="_Toc48846161"/>
      <w:bookmarkStart w:id="617" w:name="_Toc109897479"/>
      <w:bookmarkStart w:id="618" w:name="_Toc109899997"/>
      <w:bookmarkStart w:id="619" w:name="_Toc109900416"/>
      <w:bookmarkStart w:id="620" w:name="_Toc7654"/>
      <w:bookmarkStart w:id="621" w:name="_Toc535815711"/>
      <w:bookmarkStart w:id="622" w:name="_Toc535832555"/>
      <w:bookmarkStart w:id="623" w:name="_Toc535814466"/>
      <w:r>
        <w:rPr>
          <w:rFonts w:hint="eastAsia" w:ascii="宋体" w:hAnsi="宋体" w:eastAsia="宋体" w:cs="宋体"/>
          <w:sz w:val="24"/>
          <w:szCs w:val="24"/>
        </w:rPr>
        <w:t>一、项目概况</w:t>
      </w:r>
    </w:p>
    <w:p w14:paraId="3D4B4A0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本项目拟采购管理系统是依据教育部《高等学校实验室安全规范》而设计构建的一个涵盖实验室安全管理全口径业务、全要素监管、全角色使用的综合管理平台。项目建成后既可以满足不断提升的政府监管要求，又为师生提供信息化手段，从而提升实验室安全管理效益。</w:t>
      </w:r>
    </w:p>
    <w:p w14:paraId="3512829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二、主要标的</w:t>
      </w:r>
    </w:p>
    <w:tbl>
      <w:tblPr>
        <w:tblStyle w:val="88"/>
        <w:tblW w:w="8647"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2889"/>
        <w:gridCol w:w="842"/>
        <w:gridCol w:w="4348"/>
      </w:tblGrid>
      <w:tr w14:paraId="66D2F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68" w:type="dxa"/>
            <w:noWrap w:val="0"/>
            <w:vAlign w:val="center"/>
          </w:tcPr>
          <w:p w14:paraId="3D0C277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w:t>
            </w:r>
          </w:p>
          <w:p w14:paraId="055BC09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号</w:t>
            </w:r>
          </w:p>
        </w:tc>
        <w:tc>
          <w:tcPr>
            <w:tcW w:w="2889" w:type="dxa"/>
            <w:noWrap w:val="0"/>
            <w:vAlign w:val="center"/>
          </w:tcPr>
          <w:p w14:paraId="6498A8B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服务名称</w:t>
            </w:r>
          </w:p>
        </w:tc>
        <w:tc>
          <w:tcPr>
            <w:tcW w:w="842" w:type="dxa"/>
            <w:noWrap w:val="0"/>
            <w:vAlign w:val="center"/>
          </w:tcPr>
          <w:p w14:paraId="26CBE4A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服务期限</w:t>
            </w:r>
          </w:p>
        </w:tc>
        <w:tc>
          <w:tcPr>
            <w:tcW w:w="4348" w:type="dxa"/>
            <w:noWrap w:val="0"/>
            <w:vAlign w:val="center"/>
          </w:tcPr>
          <w:p w14:paraId="305DBD5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服务说明</w:t>
            </w:r>
          </w:p>
        </w:tc>
      </w:tr>
      <w:tr w14:paraId="06270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68" w:type="dxa"/>
            <w:noWrap w:val="0"/>
            <w:vAlign w:val="center"/>
          </w:tcPr>
          <w:p w14:paraId="6B1C4F1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p>
        </w:tc>
        <w:tc>
          <w:tcPr>
            <w:tcW w:w="2889" w:type="dxa"/>
            <w:noWrap w:val="0"/>
            <w:vAlign w:val="center"/>
          </w:tcPr>
          <w:p w14:paraId="062EC87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rPr>
              <w:t>实验室安全综合管理平台建设</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一期</w:t>
            </w:r>
            <w:r>
              <w:rPr>
                <w:rFonts w:hint="eastAsia" w:ascii="宋体" w:hAnsi="宋体" w:eastAsia="宋体" w:cs="宋体"/>
                <w:sz w:val="24"/>
                <w:szCs w:val="24"/>
                <w:lang w:eastAsia="zh-CN"/>
              </w:rPr>
              <w:t>）</w:t>
            </w:r>
          </w:p>
        </w:tc>
        <w:tc>
          <w:tcPr>
            <w:tcW w:w="842" w:type="dxa"/>
            <w:noWrap w:val="0"/>
            <w:vAlign w:val="center"/>
          </w:tcPr>
          <w:p w14:paraId="36D4143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3年</w:t>
            </w:r>
          </w:p>
        </w:tc>
        <w:tc>
          <w:tcPr>
            <w:tcW w:w="4348" w:type="dxa"/>
            <w:noWrap w:val="0"/>
            <w:vAlign w:val="center"/>
          </w:tcPr>
          <w:p w14:paraId="483AEBD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按照技术需求文件完成项目建设，并提供必要的调试、修改、培训等服务</w:t>
            </w:r>
          </w:p>
        </w:tc>
      </w:tr>
    </w:tbl>
    <w:p w14:paraId="67A8C04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三、技术要求</w:t>
      </w:r>
    </w:p>
    <w:p w14:paraId="6006D32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1.功能要求：应遵循相关国家标准、行业标准、地方标准等标准、规范</w:t>
      </w:r>
      <w:r>
        <w:rPr>
          <w:rFonts w:hint="eastAsia" w:ascii="宋体" w:hAnsi="宋体" w:cs="宋体"/>
          <w:sz w:val="24"/>
          <w:szCs w:val="24"/>
          <w:lang w:eastAsia="zh-CN"/>
        </w:rPr>
        <w:t>；</w:t>
      </w:r>
    </w:p>
    <w:p w14:paraId="7541997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软件开发单位应遵循国家的软件开发相关标准，并按照要求提供文档文件。参照软件开发国家标准化流程。</w:t>
      </w:r>
    </w:p>
    <w:p w14:paraId="02D9242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(1)软件开发过程文档</w:t>
      </w:r>
    </w:p>
    <w:p w14:paraId="435F661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文档要求如下：遵循计算机软件产品开发文件编制指南国家标准GB/T 8567-2006计算机软件文档编制规范的25类文档、两类qt文档，每一项文档都必须包含文档规范所要求的项目，但不仅限于要求的项目，文档规范遵循国标GB/T 8567-2006。</w:t>
      </w:r>
    </w:p>
    <w:p w14:paraId="30FC99B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(2)软件开发相关基础标准</w:t>
      </w:r>
    </w:p>
    <w:p w14:paraId="086FE68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软件工程术语遵循 GB/T 11457－2006文件，信息处理规范的数据流程图、程序流程图、系统流程图、程序网络图和系统资源图的文件编制符号及约定遵循GB/T 1526-1989，信息处理相关文件在验收时需要向校方提供，文档的数量及其类别遵循国家GB/T 1526-1989，信息处理系统计算机系统配置图符号及约定 GB/T 14085－1993。</w:t>
      </w:r>
    </w:p>
    <w:p w14:paraId="63BC3BC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(3)软件开发过程标准后续运行维护升级</w:t>
      </w:r>
    </w:p>
    <w:p w14:paraId="4111182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信息技术软件生存周期过程 GB/T 8566-2022。</w:t>
      </w:r>
    </w:p>
    <w:p w14:paraId="1D2E81E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(4)软件数据和代码相关按照以下国标：</w:t>
      </w:r>
    </w:p>
    <w:p w14:paraId="674E844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JY/T 1001—2012--教育管理信息 教育管理基础代码。</w:t>
      </w:r>
    </w:p>
    <w:p w14:paraId="4249E53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JY/T 1002—2012--教育管理信息 教育管理基础信息。</w:t>
      </w:r>
    </w:p>
    <w:p w14:paraId="1AB87B1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JY/T 1003—2012--教育管理信息 教育行政管理信息。</w:t>
      </w:r>
    </w:p>
    <w:p w14:paraId="1E2643B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JY/T 1006—2012--教育管理信息 高等学校管理信息。</w:t>
      </w:r>
    </w:p>
    <w:p w14:paraId="03D80E7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JY/T 1007—2012--教育管理信息 教育统计信息。</w:t>
      </w:r>
    </w:p>
    <w:p w14:paraId="3DC5082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(5)软件工程质量标准</w:t>
      </w:r>
    </w:p>
    <w:p w14:paraId="527F11C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计算机软件文档编制规范 GB/T 8567－2006。</w:t>
      </w:r>
    </w:p>
    <w:p w14:paraId="3EC9C3B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系统与软件质量度量 GB/T 25000.23-2019。</w:t>
      </w:r>
    </w:p>
    <w:p w14:paraId="03D6786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使用质量度量 ‌GB/T 25000.51-2016。</w:t>
      </w:r>
    </w:p>
    <w:p w14:paraId="4E310FB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系统与软件质量模型 ‌GB/T 25000.10-2016‌。‌‌</w:t>
      </w:r>
    </w:p>
    <w:p w14:paraId="5B5C272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软件工程 软件生存周期过程用于项目管理的指南 GB/Z 20156－2006。</w:t>
      </w:r>
    </w:p>
    <w:p w14:paraId="5481576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信息技术 软件工程术语 GB/T 11457－2006。</w:t>
      </w:r>
    </w:p>
    <w:p w14:paraId="6A42497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信息技术 软件生存周期过程 配置管理GB/T 20158－2006。</w:t>
      </w:r>
    </w:p>
    <w:p w14:paraId="1C6DCD8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信息技术 软件维护 GB/T 20157－2006。</w:t>
      </w:r>
    </w:p>
    <w:p w14:paraId="53FFD25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后续运营维护、升级更新、备品备件等</w:t>
      </w:r>
      <w:r>
        <w:rPr>
          <w:rFonts w:hint="eastAsia" w:ascii="宋体" w:hAnsi="宋体" w:eastAsia="宋体" w:cs="宋体"/>
          <w:sz w:val="24"/>
          <w:szCs w:val="24"/>
          <w:lang w:eastAsia="zh-CN"/>
        </w:rPr>
        <w:t>平台配件要求。</w:t>
      </w:r>
    </w:p>
    <w:p w14:paraId="5B79866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供应商须提供该系统版本内功能模块的升级、更新和维护服务，并能及时安排技术人员提供上门服务，确保系统的正常运行。</w:t>
      </w:r>
    </w:p>
    <w:p w14:paraId="4447B96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bookmarkStart w:id="624" w:name="_Toc30492"/>
      <w:bookmarkStart w:id="625" w:name="_Toc3652"/>
      <w:r>
        <w:rPr>
          <w:rFonts w:hint="eastAsia" w:ascii="宋体" w:hAnsi="宋体" w:eastAsia="宋体" w:cs="宋体"/>
          <w:sz w:val="24"/>
          <w:szCs w:val="24"/>
        </w:rPr>
        <w:t>各项指标要求：</w:t>
      </w:r>
      <w:bookmarkEnd w:id="624"/>
      <w:bookmarkEnd w:id="625"/>
    </w:p>
    <w:p w14:paraId="765C9EC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bookmarkStart w:id="626" w:name="_Toc16573"/>
      <w:r>
        <w:rPr>
          <w:rFonts w:hint="eastAsia" w:ascii="宋体" w:hAnsi="宋体" w:eastAsia="宋体" w:cs="宋体"/>
          <w:sz w:val="24"/>
          <w:szCs w:val="24"/>
          <w:lang w:val="en-US" w:eastAsia="zh-CN"/>
        </w:rPr>
        <w:t>模块1 实验室安全评估与分类分级管理模块</w:t>
      </w:r>
      <w:bookmarkEnd w:id="626"/>
    </w:p>
    <w:p w14:paraId="008D76D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bookmarkStart w:id="627" w:name="_Toc17801"/>
      <w:r>
        <w:rPr>
          <w:rFonts w:hint="eastAsia" w:ascii="宋体" w:hAnsi="宋体" w:cs="宋体"/>
          <w:sz w:val="24"/>
          <w:szCs w:val="24"/>
          <w:lang w:val="en-US" w:eastAsia="zh-CN"/>
        </w:rPr>
        <w:t>一、</w:t>
      </w:r>
      <w:r>
        <w:rPr>
          <w:rFonts w:hint="eastAsia" w:ascii="宋体" w:hAnsi="宋体" w:eastAsia="宋体" w:cs="宋体"/>
          <w:sz w:val="24"/>
          <w:szCs w:val="24"/>
        </w:rPr>
        <w:t>实验室</w:t>
      </w:r>
      <w:r>
        <w:rPr>
          <w:rFonts w:hint="eastAsia" w:ascii="宋体" w:hAnsi="宋体" w:eastAsia="宋体" w:cs="宋体"/>
          <w:sz w:val="24"/>
          <w:szCs w:val="24"/>
          <w:lang w:val="en-US" w:eastAsia="zh-CN"/>
        </w:rPr>
        <w:t>安全</w:t>
      </w:r>
      <w:r>
        <w:rPr>
          <w:rFonts w:hint="eastAsia" w:ascii="宋体" w:hAnsi="宋体" w:eastAsia="宋体" w:cs="宋体"/>
          <w:sz w:val="24"/>
          <w:szCs w:val="24"/>
        </w:rPr>
        <w:t>管理平台门户</w:t>
      </w:r>
      <w:bookmarkEnd w:id="627"/>
    </w:p>
    <w:p w14:paraId="57A6F37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cs="宋体"/>
          <w:sz w:val="24"/>
          <w:szCs w:val="24"/>
          <w:lang w:val="en-US" w:eastAsia="zh-CN"/>
        </w:rPr>
        <w:t>（1）</w:t>
      </w:r>
      <w:r>
        <w:rPr>
          <w:rFonts w:hint="eastAsia" w:ascii="宋体" w:hAnsi="宋体" w:eastAsia="宋体" w:cs="宋体"/>
          <w:sz w:val="24"/>
          <w:szCs w:val="24"/>
          <w:lang w:val="en-US" w:eastAsia="zh-CN"/>
        </w:rPr>
        <w:t>平台门户</w:t>
      </w:r>
    </w:p>
    <w:p w14:paraId="37397B7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建立实验室</w:t>
      </w:r>
      <w:r>
        <w:rPr>
          <w:rFonts w:hint="eastAsia" w:ascii="宋体" w:hAnsi="宋体" w:eastAsia="宋体" w:cs="宋体"/>
          <w:sz w:val="24"/>
          <w:szCs w:val="24"/>
          <w:lang w:val="en-US" w:eastAsia="zh-CN"/>
        </w:rPr>
        <w:t>安全</w:t>
      </w:r>
      <w:r>
        <w:rPr>
          <w:rFonts w:hint="eastAsia" w:ascii="宋体" w:hAnsi="宋体" w:eastAsia="宋体" w:cs="宋体"/>
          <w:sz w:val="24"/>
          <w:szCs w:val="24"/>
        </w:rPr>
        <w:t>管理平台门户，整合实验室</w:t>
      </w:r>
      <w:r>
        <w:rPr>
          <w:rFonts w:hint="eastAsia" w:ascii="宋体" w:hAnsi="宋体" w:eastAsia="宋体" w:cs="宋体"/>
          <w:sz w:val="24"/>
          <w:szCs w:val="24"/>
          <w:lang w:val="en-US" w:eastAsia="zh-CN"/>
        </w:rPr>
        <w:t>安全</w:t>
      </w:r>
      <w:r>
        <w:rPr>
          <w:rFonts w:hint="eastAsia" w:ascii="宋体" w:hAnsi="宋体" w:eastAsia="宋体" w:cs="宋体"/>
          <w:sz w:val="24"/>
          <w:szCs w:val="24"/>
        </w:rPr>
        <w:t>相关信息资源集中展示，包括政策法规、规章制度、通知公告、下载中心、安全知识、实验室风采、MSDS数据库等；整合相关业务应用资源集中使用。门户网站是相关信息对外的展示窗口，同时也是办理相关业务的应用窗口。</w:t>
      </w:r>
    </w:p>
    <w:p w14:paraId="2154FAE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具备综合网站功能，是对外信息发布门户，提供实验室相关政策法规、规章制度、安全知识发布等。首页展示信息系统入口、通知公告、下载中心</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实验室风采</w:t>
      </w:r>
      <w:r>
        <w:rPr>
          <w:rFonts w:hint="eastAsia" w:ascii="宋体" w:hAnsi="宋体" w:eastAsia="宋体" w:cs="宋体"/>
          <w:sz w:val="24"/>
          <w:szCs w:val="24"/>
        </w:rPr>
        <w:t>等栏目。</w:t>
      </w:r>
    </w:p>
    <w:p w14:paraId="6915976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平台整合实验室</w:t>
      </w:r>
      <w:r>
        <w:rPr>
          <w:rFonts w:hint="eastAsia" w:ascii="宋体" w:hAnsi="宋体" w:eastAsia="宋体" w:cs="宋体"/>
          <w:sz w:val="24"/>
          <w:szCs w:val="24"/>
          <w:lang w:val="en-US" w:eastAsia="zh-CN"/>
        </w:rPr>
        <w:t>安全</w:t>
      </w:r>
      <w:r>
        <w:rPr>
          <w:rFonts w:hint="eastAsia" w:ascii="宋体" w:hAnsi="宋体" w:eastAsia="宋体" w:cs="宋体"/>
          <w:sz w:val="24"/>
          <w:szCs w:val="24"/>
        </w:rPr>
        <w:t>基础信息</w:t>
      </w:r>
      <w:r>
        <w:rPr>
          <w:rFonts w:hint="eastAsia" w:ascii="宋体" w:hAnsi="宋体" w:eastAsia="宋体" w:cs="宋体"/>
          <w:sz w:val="24"/>
          <w:szCs w:val="24"/>
          <w:lang w:val="en-US" w:eastAsia="zh-CN"/>
        </w:rPr>
        <w:t>管理</w:t>
      </w:r>
      <w:r>
        <w:rPr>
          <w:rFonts w:hint="eastAsia" w:ascii="宋体" w:hAnsi="宋体" w:eastAsia="宋体" w:cs="宋体"/>
          <w:sz w:val="24"/>
          <w:szCs w:val="24"/>
        </w:rPr>
        <w:t>、实验室危险源管理、实验室安全分级分类、实验室安全信息牌、实验室安全检查、</w:t>
      </w:r>
      <w:r>
        <w:rPr>
          <w:rFonts w:hint="eastAsia" w:ascii="宋体" w:hAnsi="宋体" w:eastAsia="宋体" w:cs="宋体"/>
          <w:sz w:val="24"/>
          <w:szCs w:val="24"/>
          <w:lang w:val="en-US" w:eastAsia="zh-CN"/>
        </w:rPr>
        <w:t>危化品全周期管理、特种设备管理、危险废弃物处置管理、危险源可视化地图</w:t>
      </w:r>
      <w:r>
        <w:rPr>
          <w:rFonts w:hint="eastAsia" w:ascii="宋体" w:hAnsi="宋体" w:eastAsia="宋体" w:cs="宋体"/>
          <w:sz w:val="24"/>
          <w:szCs w:val="24"/>
        </w:rPr>
        <w:t>等系统入口，实现统一身份认证后可直接点击功能图标进入相关系统，基础数据统一维护、业务归集处理。</w:t>
      </w:r>
    </w:p>
    <w:p w14:paraId="519B0BE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bookmarkStart w:id="628" w:name="_Toc13369"/>
      <w:r>
        <w:rPr>
          <w:rFonts w:hint="eastAsia" w:ascii="宋体" w:hAnsi="宋体" w:cs="宋体"/>
          <w:sz w:val="24"/>
          <w:szCs w:val="24"/>
          <w:lang w:val="en-US" w:eastAsia="zh-CN"/>
        </w:rPr>
        <w:t>二、</w:t>
      </w:r>
      <w:r>
        <w:rPr>
          <w:rFonts w:hint="eastAsia" w:ascii="宋体" w:hAnsi="宋体" w:eastAsia="宋体" w:cs="宋体"/>
          <w:sz w:val="24"/>
          <w:szCs w:val="24"/>
        </w:rPr>
        <w:t>实验室安全基础信息管理</w:t>
      </w:r>
      <w:bookmarkEnd w:id="628"/>
    </w:p>
    <w:p w14:paraId="6DCACC6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（2）</w:t>
      </w:r>
      <w:r>
        <w:rPr>
          <w:rFonts w:hint="eastAsia" w:ascii="宋体" w:hAnsi="宋体" w:eastAsia="宋体" w:cs="宋体"/>
          <w:sz w:val="24"/>
          <w:szCs w:val="24"/>
          <w:lang w:val="en-US" w:eastAsia="zh-CN"/>
        </w:rPr>
        <w:t>基础信息</w:t>
      </w:r>
    </w:p>
    <w:p w14:paraId="3EA194D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实验室安全责任体系建设，按照实验室层级结构设置安全责任人，包括学院责任人、科研平台/实验中心责任人、实验室责任人、房间责任人、安全管理员等，赋予相应权限和工作职责，建立安全责任体系。所有的人员用户需通过在获取的人事信息中选择用户，用户信息包括人员工号、姓名、部门等信息，支持一次性选择多个用户添加，添加的用户须补充联系方式。</w:t>
      </w:r>
    </w:p>
    <w:p w14:paraId="1FF21D2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实验室/房间基础信息维护</w:t>
      </w:r>
      <w:r>
        <w:rPr>
          <w:rFonts w:hint="eastAsia" w:ascii="宋体" w:hAnsi="宋体" w:eastAsia="宋体" w:cs="宋体"/>
          <w:sz w:val="24"/>
          <w:szCs w:val="24"/>
          <w:lang w:eastAsia="zh-CN"/>
        </w:rPr>
        <w:t>。</w:t>
      </w:r>
      <w:r>
        <w:rPr>
          <w:rFonts w:hint="eastAsia" w:ascii="宋体" w:hAnsi="宋体" w:eastAsia="宋体" w:cs="宋体"/>
          <w:sz w:val="24"/>
          <w:szCs w:val="24"/>
        </w:rPr>
        <w:t>包括实验室的名称、编号、地理位置（按层级选择校区、楼栋、楼层、房间号）、使用面积、实验室用途、实验室分类、安全风险等级、勾选是否为特殊场所（危化品暂存间、废弃物暂存间、密封源集中存放场所、高空作业场所等）。</w:t>
      </w:r>
    </w:p>
    <w:p w14:paraId="69F4B14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实验室/科研团队的人员信息管理</w:t>
      </w:r>
      <w:r>
        <w:rPr>
          <w:rFonts w:hint="eastAsia" w:ascii="宋体" w:hAnsi="宋体" w:eastAsia="宋体" w:cs="宋体"/>
          <w:sz w:val="24"/>
          <w:szCs w:val="24"/>
          <w:lang w:eastAsia="zh-CN"/>
        </w:rPr>
        <w:t>。</w:t>
      </w:r>
      <w:r>
        <w:rPr>
          <w:rFonts w:hint="eastAsia" w:ascii="宋体" w:hAnsi="宋体" w:eastAsia="宋体" w:cs="宋体"/>
          <w:sz w:val="24"/>
          <w:szCs w:val="24"/>
        </w:rPr>
        <w:t>包括教师、学生，通过工号/学号、姓名来搜索人员，人员信息来自于人事信息、学生信息，通过选择的方式确定人员，添加到人员列表中，人员信息列表中需明确区分教职工和学生。</w:t>
      </w:r>
    </w:p>
    <w:p w14:paraId="4F7C23E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实验室规章制度管理</w:t>
      </w:r>
      <w:r>
        <w:rPr>
          <w:rFonts w:hint="eastAsia" w:ascii="宋体" w:hAnsi="宋体" w:eastAsia="宋体" w:cs="宋体"/>
          <w:sz w:val="24"/>
          <w:szCs w:val="24"/>
          <w:lang w:eastAsia="zh-CN"/>
        </w:rPr>
        <w:t>。</w:t>
      </w:r>
      <w:r>
        <w:rPr>
          <w:rFonts w:hint="eastAsia" w:ascii="宋体" w:hAnsi="宋体" w:eastAsia="宋体" w:cs="宋体"/>
          <w:sz w:val="24"/>
          <w:szCs w:val="24"/>
        </w:rPr>
        <w:t>支持将学院规章制度库里的规章制度选取到实验室，或者选择文件上传。支持实验室的规章制度文件下载。</w:t>
      </w:r>
    </w:p>
    <w:p w14:paraId="3CC3436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bookmarkStart w:id="629" w:name="_Toc9948"/>
      <w:r>
        <w:rPr>
          <w:rFonts w:hint="eastAsia" w:ascii="宋体" w:hAnsi="宋体" w:cs="宋体"/>
          <w:sz w:val="24"/>
          <w:szCs w:val="24"/>
          <w:lang w:val="en-US" w:eastAsia="zh-CN"/>
        </w:rPr>
        <w:t>三、</w:t>
      </w:r>
      <w:r>
        <w:rPr>
          <w:rFonts w:hint="eastAsia" w:ascii="宋体" w:hAnsi="宋体" w:eastAsia="宋体" w:cs="宋体"/>
          <w:sz w:val="24"/>
          <w:szCs w:val="24"/>
        </w:rPr>
        <w:t>实验室危险源管理</w:t>
      </w:r>
      <w:bookmarkEnd w:id="629"/>
    </w:p>
    <w:p w14:paraId="394704E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实验室危险源管理涵盖水电设施监控、消防应急配置、个人防护装备、仪器设备台账、化学品分类管控（如易制毒/危废动态监测）、生物材料登记、辐射装置备案及机电特种设备资质管理，结合相关业务系统数据交互、系统对接与实时预警功能，实现危险源的全流程规范化安全管控。</w:t>
      </w:r>
    </w:p>
    <w:p w14:paraId="1EE5C19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（3）</w:t>
      </w:r>
      <w:r>
        <w:rPr>
          <w:rFonts w:hint="eastAsia" w:ascii="宋体" w:hAnsi="宋体" w:eastAsia="宋体" w:cs="宋体"/>
          <w:sz w:val="24"/>
          <w:szCs w:val="24"/>
          <w:lang w:val="en-US" w:eastAsia="zh-CN"/>
        </w:rPr>
        <w:t>水电安全</w:t>
      </w:r>
    </w:p>
    <w:p w14:paraId="78AD4C4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设置当前实验室是否有水源、是否有电源；录入当前实验室用电设备台账信息。包括功率类别(三相电、大功率、小功率)、用电设备名称、数量、用电设备功率、管理员等信息；提供导入用电设备功能</w:t>
      </w:r>
      <w:r>
        <w:rPr>
          <w:rFonts w:hint="eastAsia" w:ascii="宋体" w:hAnsi="宋体" w:eastAsia="宋体" w:cs="宋体"/>
          <w:sz w:val="24"/>
          <w:szCs w:val="24"/>
          <w:lang w:eastAsia="zh-CN"/>
        </w:rPr>
        <w:t>。</w:t>
      </w:r>
    </w:p>
    <w:p w14:paraId="285FD91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（4）</w:t>
      </w:r>
      <w:r>
        <w:rPr>
          <w:rFonts w:hint="eastAsia" w:ascii="宋体" w:hAnsi="宋体" w:eastAsia="宋体" w:cs="宋体"/>
          <w:sz w:val="24"/>
          <w:szCs w:val="24"/>
          <w:lang w:val="en-US" w:eastAsia="zh-CN"/>
        </w:rPr>
        <w:t>消防安全</w:t>
      </w:r>
    </w:p>
    <w:p w14:paraId="60F8BEA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维护当前实验室的灭火要点，选项需包括禁止用水、沙土掩埋、干粉灭火、洁净气体灭火，支持输入较为特殊的灭火要点、注意事项。选择消防设施，应急喷淋与洗眼装置、通风系统等类别，填写明细信息，包括名称、数量等。</w:t>
      </w:r>
    </w:p>
    <w:p w14:paraId="7FFA8E7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（5）</w:t>
      </w:r>
      <w:r>
        <w:rPr>
          <w:rFonts w:hint="eastAsia" w:ascii="宋体" w:hAnsi="宋体" w:eastAsia="宋体" w:cs="宋体"/>
          <w:sz w:val="24"/>
          <w:szCs w:val="24"/>
          <w:lang w:val="en-US" w:eastAsia="zh-CN"/>
        </w:rPr>
        <w:t>个人防护</w:t>
      </w:r>
    </w:p>
    <w:p w14:paraId="45C3517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维护当前实验室的个人防护措施，包括防护口罩、防护眼镜、防护手套、工作服等，填写明细信息，包括名称、数量等。</w:t>
      </w:r>
    </w:p>
    <w:p w14:paraId="72EFF37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（6）</w:t>
      </w:r>
      <w:r>
        <w:rPr>
          <w:rFonts w:hint="eastAsia" w:ascii="宋体" w:hAnsi="宋体" w:eastAsia="宋体" w:cs="宋体"/>
          <w:sz w:val="24"/>
          <w:szCs w:val="24"/>
          <w:lang w:val="en-US" w:eastAsia="zh-CN"/>
        </w:rPr>
        <w:t>大仪设备</w:t>
      </w:r>
    </w:p>
    <w:p w14:paraId="4357050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维护实验室存放大仪设备的清单，提供新增、保存、excel导入功能；支持与大仪设备系统对接，自动获取大仪设备清单信息，</w:t>
      </w:r>
      <w:r>
        <w:rPr>
          <w:rFonts w:hint="eastAsia" w:ascii="宋体" w:hAnsi="宋体" w:eastAsia="宋体" w:cs="宋体"/>
          <w:sz w:val="24"/>
          <w:szCs w:val="24"/>
          <w:lang w:val="en-US" w:eastAsia="zh-CN"/>
        </w:rPr>
        <w:t>包括</w:t>
      </w:r>
      <w:r>
        <w:rPr>
          <w:rFonts w:hint="eastAsia" w:ascii="宋体" w:hAnsi="宋体" w:eastAsia="宋体" w:cs="宋体"/>
          <w:sz w:val="24"/>
          <w:szCs w:val="24"/>
        </w:rPr>
        <w:t>资产编号、名称、规格型号、管理员等信息。</w:t>
      </w:r>
    </w:p>
    <w:p w14:paraId="2EF1AE0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（7）</w:t>
      </w:r>
      <w:r>
        <w:rPr>
          <w:rFonts w:hint="eastAsia" w:ascii="宋体" w:hAnsi="宋体" w:eastAsia="宋体" w:cs="宋体"/>
          <w:sz w:val="24"/>
          <w:szCs w:val="24"/>
          <w:lang w:val="en-US" w:eastAsia="zh-CN"/>
        </w:rPr>
        <w:t>化学安全</w:t>
      </w:r>
    </w:p>
    <w:p w14:paraId="6C5E749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支持易制毒、易制爆、普通危化品、剧毒、精神药品、麻醉药品、爆炸品、气瓶、危险废物、其他化学类分类管理台账功能，提供新增各分类危险源信息，提供批量保存和导入功能。页面集中展示每个化学类别的库存量，支持按不同的计量单位来核算，以及总计量。其中易制毒、易制爆、普通危化品、危险废物支持与危险化学品管理系统对接，实验室内的存量数据明细可自动读取，库存数据，实验室每月危废处置量保持更新；其他类别化学试剂，支持用户日常维护填写，这些类别的试剂的品名、CAS号需从标准化学类字典中选取，确保数据规范准确；其他化学类，需能选择对当前实验室内进行的化学实验可能涉及的危险源。支持excel导入化学品；支持导出当前实验室的化学品清单。</w:t>
      </w:r>
    </w:p>
    <w:p w14:paraId="30475B2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提供标准的化学品目录字典信息，包括中文名，英文名，</w:t>
      </w:r>
      <w:r>
        <w:rPr>
          <w:rFonts w:hint="eastAsia" w:ascii="宋体" w:hAnsi="宋体" w:eastAsia="宋体" w:cs="宋体"/>
          <w:sz w:val="24"/>
          <w:szCs w:val="24"/>
          <w:lang w:val="en-US" w:eastAsia="zh-CN"/>
        </w:rPr>
        <w:t>CAS</w:t>
      </w:r>
      <w:r>
        <w:rPr>
          <w:rFonts w:hint="eastAsia" w:ascii="宋体" w:hAnsi="宋体" w:eastAsia="宋体" w:cs="宋体"/>
          <w:sz w:val="24"/>
          <w:szCs w:val="24"/>
        </w:rPr>
        <w:t>,危险性类别。</w:t>
      </w:r>
    </w:p>
    <w:p w14:paraId="179FBD7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支持根据每类化学品的级别，自动在页面展示分级分类提示信息。</w:t>
      </w:r>
    </w:p>
    <w:p w14:paraId="4B20180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（8）</w:t>
      </w:r>
      <w:r>
        <w:rPr>
          <w:rFonts w:hint="eastAsia" w:ascii="宋体" w:hAnsi="宋体" w:eastAsia="宋体" w:cs="宋体"/>
          <w:sz w:val="24"/>
          <w:szCs w:val="24"/>
          <w:lang w:val="en-US" w:eastAsia="zh-CN"/>
        </w:rPr>
        <w:t>生物安全</w:t>
      </w:r>
    </w:p>
    <w:p w14:paraId="52270B5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包括病原微生物、实验动物、其他生物类等分类，每个类别分别填写明细信息，包括生物分类、品名、实验操作、年使用量、资质情况等信息，生物分类、品名需要在生物类字典中选取，确保数据规范准确；其他生物类。</w:t>
      </w:r>
    </w:p>
    <w:p w14:paraId="653147C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（9）</w:t>
      </w:r>
      <w:r>
        <w:rPr>
          <w:rFonts w:hint="eastAsia" w:ascii="宋体" w:hAnsi="宋体" w:eastAsia="宋体" w:cs="宋体"/>
          <w:sz w:val="24"/>
          <w:szCs w:val="24"/>
          <w:lang w:val="en-US" w:eastAsia="zh-CN"/>
        </w:rPr>
        <w:t>辐射安全</w:t>
      </w:r>
    </w:p>
    <w:p w14:paraId="4E8BB59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包括放射源、射线设备、同位素、核材料、辐射设备等分类，每个类别分别填写明细信息，包括类别、名称等信息。</w:t>
      </w:r>
    </w:p>
    <w:p w14:paraId="0C638FC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（10）</w:t>
      </w:r>
      <w:r>
        <w:rPr>
          <w:rFonts w:hint="eastAsia" w:ascii="宋体" w:hAnsi="宋体" w:eastAsia="宋体" w:cs="宋体"/>
          <w:sz w:val="24"/>
          <w:szCs w:val="24"/>
          <w:lang w:val="en-US" w:eastAsia="zh-CN"/>
        </w:rPr>
        <w:t>机电安全</w:t>
      </w:r>
    </w:p>
    <w:p w14:paraId="0F6EAF4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包括压力容器、压力设备、激光设备、加热设备、强磁强电设备、机械设备等分类。每个类别分别填写明细信息。压力容器、压力设备需上传操作规程、安全风险评估报告、应急措施，特种设备使用登记证、作业人员证书</w:t>
      </w:r>
      <w:r>
        <w:rPr>
          <w:rFonts w:hint="eastAsia" w:ascii="宋体" w:hAnsi="宋体" w:eastAsia="宋体" w:cs="宋体"/>
          <w:sz w:val="24"/>
          <w:szCs w:val="24"/>
          <w:lang w:val="en-US" w:eastAsia="zh-CN"/>
        </w:rPr>
        <w:t>有</w:t>
      </w:r>
      <w:r>
        <w:rPr>
          <w:rFonts w:hint="eastAsia" w:ascii="宋体" w:hAnsi="宋体" w:eastAsia="宋体" w:cs="宋体"/>
          <w:sz w:val="24"/>
          <w:szCs w:val="24"/>
        </w:rPr>
        <w:t>效期等信息。</w:t>
      </w:r>
    </w:p>
    <w:p w14:paraId="4B830FB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bookmarkStart w:id="630" w:name="_Toc12557"/>
      <w:r>
        <w:rPr>
          <w:rFonts w:hint="eastAsia" w:ascii="宋体" w:hAnsi="宋体" w:cs="宋体"/>
          <w:sz w:val="24"/>
          <w:szCs w:val="24"/>
          <w:lang w:val="en-US" w:eastAsia="zh-CN"/>
        </w:rPr>
        <w:t>四、</w:t>
      </w:r>
      <w:r>
        <w:rPr>
          <w:rFonts w:hint="eastAsia" w:ascii="宋体" w:hAnsi="宋体" w:eastAsia="宋体" w:cs="宋体"/>
          <w:sz w:val="24"/>
          <w:szCs w:val="24"/>
        </w:rPr>
        <w:t>实验室安全分类分级管理</w:t>
      </w:r>
      <w:bookmarkEnd w:id="630"/>
    </w:p>
    <w:p w14:paraId="0BDA28C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（11）</w:t>
      </w:r>
      <w:r>
        <w:rPr>
          <w:rFonts w:hint="eastAsia" w:ascii="宋体" w:hAnsi="宋体" w:eastAsia="宋体" w:cs="宋体"/>
          <w:sz w:val="24"/>
          <w:szCs w:val="24"/>
          <w:lang w:val="en-US" w:eastAsia="zh-CN"/>
        </w:rPr>
        <w:t>分级分类标准管理</w:t>
      </w:r>
    </w:p>
    <w:p w14:paraId="782F6BC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分级分类标准设置，根据教育部发布的《高等学校实验室安全分级分类管理办法 （试行）》文件，结合学校实际情况，设置实验室安全分级表设置（分级参数）、实验室安全风险评价表设置（风险评价参数）；支持添加指标参数，录入参数名称、安全等级、安全分类、计算方式、分值、参数描述。</w:t>
      </w:r>
    </w:p>
    <w:p w14:paraId="19A6D02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包括高校实验室安全分级表、高校实验室安全风险评价表、高校实验室分类参照表。参考管理办法文件的指导意见，列出实验室每个分级分类定性、定量的评定标准，每个标准条目后面点击能够清楚查看到对应的危险源数据来源。</w:t>
      </w:r>
    </w:p>
    <w:p w14:paraId="3963F10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支持在分级分类标准设置页面在线查看教育部实验室分级分类标准文件；支持查看系统认定结果；</w:t>
      </w:r>
    </w:p>
    <w:p w14:paraId="34F228E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安全设施与防护措施设置，根据分级参数表和风险评价参数表设置每项危险源的安全设施与防护措施的标准。支持点击分级分类标准明细，勾选安全设施和防护措施。</w:t>
      </w:r>
    </w:p>
    <w:p w14:paraId="3FC6135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警示标识和安全标识设置，根据分级参数表和风险评价参数表设置每项危险源的标准警示标识和安全标识图标。支持点击分级分类标准明细勾选警示标识和安全标识图标。</w:t>
      </w:r>
    </w:p>
    <w:p w14:paraId="053AD40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标识库维护管理，按标准样式维护危险源警示标识库和安全防护措施标识库，支持检索查询。</w:t>
      </w:r>
    </w:p>
    <w:p w14:paraId="0F04302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（12）</w:t>
      </w:r>
      <w:r>
        <w:rPr>
          <w:rFonts w:hint="eastAsia" w:ascii="宋体" w:hAnsi="宋体" w:eastAsia="宋体" w:cs="宋体"/>
          <w:sz w:val="24"/>
          <w:szCs w:val="24"/>
          <w:lang w:val="en-US" w:eastAsia="zh-CN"/>
        </w:rPr>
        <w:t>分级分类认定</w:t>
      </w:r>
    </w:p>
    <w:p w14:paraId="0AFAAE1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根据学校的管理要求，设置实验室分级分类认定流程， 一般情况下可分为房间认定—实验室认定—学院认定—学校认定。在系统根据实验室（房间）内的危险源明细，自动认定安全分类和风险等级后，再由实验室、学院、学校逐级进行认定确认。</w:t>
      </w:r>
    </w:p>
    <w:p w14:paraId="0B6467F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系统认定</w:t>
      </w:r>
      <w:r>
        <w:rPr>
          <w:rFonts w:hint="eastAsia" w:ascii="宋体" w:hAnsi="宋体" w:eastAsia="宋体" w:cs="宋体"/>
          <w:sz w:val="24"/>
          <w:szCs w:val="24"/>
          <w:lang w:eastAsia="zh-CN"/>
        </w:rPr>
        <w:t>。</w:t>
      </w:r>
      <w:r>
        <w:rPr>
          <w:rFonts w:hint="eastAsia" w:ascii="宋体" w:hAnsi="宋体" w:eastAsia="宋体" w:cs="宋体"/>
          <w:sz w:val="24"/>
          <w:szCs w:val="24"/>
        </w:rPr>
        <w:t xml:space="preserve">系统根据实验室的危险源明细，按照实验室分类分级认定标准，自动认定结果，并给出系统认定的依据。系统认定依据必须明确的以绿色背景标识出标准中的符合项；安全分级表的风险评价打分的分值以及分值来源；安全分级认定的等级，以及定性依据；安全分类认定的依据，以及认定的依据。 </w:t>
      </w:r>
    </w:p>
    <w:p w14:paraId="1D9AF0E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房间认定</w:t>
      </w:r>
      <w:r>
        <w:rPr>
          <w:rFonts w:hint="eastAsia" w:ascii="宋体" w:hAnsi="宋体" w:eastAsia="宋体" w:cs="宋体"/>
          <w:sz w:val="24"/>
          <w:szCs w:val="24"/>
          <w:lang w:eastAsia="zh-CN"/>
        </w:rPr>
        <w:t>。</w:t>
      </w:r>
      <w:r>
        <w:rPr>
          <w:rFonts w:hint="eastAsia" w:ascii="宋体" w:hAnsi="宋体" w:eastAsia="宋体" w:cs="宋体"/>
          <w:sz w:val="24"/>
          <w:szCs w:val="24"/>
        </w:rPr>
        <w:t>实验室房间负责人首先认定，在系统给出的房间认定表上，支持选择查看政策文件，了解规范管理办法；列出本实验室涉及的危险源类别，支持查看具体危险源明细，核对信息。针对系统认定结果，支持选择查看系统认定的依据。房间认定选择是否同意系统的认定，如不同意，将重新选择认定本房间的安全分类和风险等级，并写成认定理由。</w:t>
      </w:r>
    </w:p>
    <w:p w14:paraId="54B2D8D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实验室认定</w:t>
      </w:r>
      <w:r>
        <w:rPr>
          <w:rFonts w:hint="eastAsia" w:ascii="宋体" w:hAnsi="宋体" w:eastAsia="宋体" w:cs="宋体"/>
          <w:sz w:val="24"/>
          <w:szCs w:val="24"/>
          <w:lang w:eastAsia="zh-CN"/>
        </w:rPr>
        <w:t>。</w:t>
      </w:r>
      <w:r>
        <w:rPr>
          <w:rFonts w:hint="eastAsia" w:ascii="宋体" w:hAnsi="宋体" w:eastAsia="宋体" w:cs="宋体"/>
          <w:sz w:val="24"/>
          <w:szCs w:val="24"/>
        </w:rPr>
        <w:t>实验室负责人再次认定实验室的所有房间，在实验室安全认定页面，支持查看房间危险源情况，选择每个涉及的危险源类别都可以查看其明细内容；查看系统认定的结果，点击结果可查看认定的依据；查看房间认定的结果，以及认定理由；再写出实验室认定的结果，选择安全分类以及风险等级，并填写认定理由。</w:t>
      </w:r>
    </w:p>
    <w:p w14:paraId="217D5C9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学院认定</w:t>
      </w:r>
      <w:r>
        <w:rPr>
          <w:rFonts w:hint="eastAsia" w:ascii="宋体" w:hAnsi="宋体" w:eastAsia="宋体" w:cs="宋体"/>
          <w:sz w:val="24"/>
          <w:szCs w:val="24"/>
          <w:lang w:eastAsia="zh-CN"/>
        </w:rPr>
        <w:t>。</w:t>
      </w:r>
      <w:r>
        <w:rPr>
          <w:rFonts w:hint="eastAsia" w:ascii="宋体" w:hAnsi="宋体" w:eastAsia="宋体" w:cs="宋体"/>
          <w:sz w:val="24"/>
          <w:szCs w:val="24"/>
        </w:rPr>
        <w:t>学院安全管理员认定学院所有的实验室（房间），在实验室认定完成后，由学院认定，支持查看房间的危险源明细清单，系统认定结果以及依据，之前认定环节的认定记录，给出学院的认定结果以及认定理由。</w:t>
      </w:r>
    </w:p>
    <w:p w14:paraId="6CA5C6F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学校认定</w:t>
      </w:r>
      <w:r>
        <w:rPr>
          <w:rFonts w:hint="eastAsia" w:ascii="宋体" w:hAnsi="宋体" w:eastAsia="宋体" w:cs="宋体"/>
          <w:sz w:val="24"/>
          <w:szCs w:val="24"/>
          <w:lang w:eastAsia="zh-CN"/>
        </w:rPr>
        <w:t>。</w:t>
      </w:r>
      <w:r>
        <w:rPr>
          <w:rFonts w:hint="eastAsia" w:ascii="宋体" w:hAnsi="宋体" w:eastAsia="宋体" w:cs="宋体"/>
          <w:sz w:val="24"/>
          <w:szCs w:val="24"/>
        </w:rPr>
        <w:t>由校级安全管理员认定全校实验室的分级分类结果，支持查看房间的危险源明细清单，系统认定结果以及依据，之前认定环节的认定记录，给出学校最终认定结果以及认定理由。支持由校级安全管理员导入安全分级分类结果。</w:t>
      </w:r>
    </w:p>
    <w:p w14:paraId="5BF62D2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学校认定完成后，形成全校的实验室安全分级分类表，安全分级分类是动态的，随着实验室的危险源变化，安全分级分类的系统认定变更，重新经过逐级认定后，更新认定结果，更新安全信息牌。</w:t>
      </w:r>
    </w:p>
    <w:p w14:paraId="4A7215E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安全判定结果溯源与可视化</w:t>
      </w:r>
    </w:p>
    <w:p w14:paraId="7CB55CF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可展示房间分级/分类的完整判定依据（包括安全分级表评分、风险评价表分数及逻辑说明），以背景色高亮标注方式动态显示房间危险源分布，支持点击跳转查看危险源台账明细。</w:t>
      </w:r>
    </w:p>
    <w:p w14:paraId="50B77C3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多级协同认定流程</w:t>
      </w:r>
    </w:p>
    <w:p w14:paraId="7A57A69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系统内置房间、实验室、学院、校级四级认定模块，自动记录各环节操作日志，并生成分级分类变动趋势图。</w:t>
      </w:r>
    </w:p>
    <w:p w14:paraId="50F7EE8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（13）</w:t>
      </w:r>
      <w:r>
        <w:rPr>
          <w:rFonts w:hint="eastAsia" w:ascii="宋体" w:hAnsi="宋体" w:eastAsia="宋体" w:cs="宋体"/>
          <w:sz w:val="24"/>
          <w:szCs w:val="24"/>
          <w:lang w:val="en-US" w:eastAsia="zh-CN"/>
        </w:rPr>
        <w:t>分级分类管理移动端 #</w:t>
      </w:r>
    </w:p>
    <w:p w14:paraId="1160424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分级分类移动端应用，可集成到学校企业微信或者学校APP中，作为独立应用来使用。方便日常实验室危险源变化后，分级和分类变动及时提醒和推送。 支持房间责任人认定，实验室负责人认定，学院认定，学校认定四级责任人完成分级分类认定流程，操作流程和电脑端一致。</w:t>
      </w:r>
    </w:p>
    <w:p w14:paraId="726DF04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房间责任人可在移动端上对名下的房间分级和分类认定。点击房间进入认定页面，可查看系统认定的分类以及等级，可以同意系统认定结果或不同意选择新的认定分类和等级提交认定理由到下一步责任人认定流程。</w:t>
      </w:r>
    </w:p>
    <w:p w14:paraId="472ED54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实验室负责人认定。</w:t>
      </w:r>
    </w:p>
    <w:p w14:paraId="20D8B8D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学院认定。</w:t>
      </w:r>
    </w:p>
    <w:p w14:paraId="349CABD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校级管理员认定。</w:t>
      </w:r>
    </w:p>
    <w:p w14:paraId="2645763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各级安全负责人收到认定提醒后，可在移动端点击权限范围内实验室进行分级分类认定。可查看系统认定和上一级流程的认定结果。学校认定完成后形成最终分级分类结果在安全信息牌上呈现。</w:t>
      </w:r>
    </w:p>
    <w:p w14:paraId="6CD9D22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bookmarkStart w:id="631" w:name="_Toc20890"/>
      <w:r>
        <w:rPr>
          <w:rFonts w:hint="eastAsia" w:ascii="宋体" w:hAnsi="宋体" w:cs="宋体"/>
          <w:sz w:val="24"/>
          <w:szCs w:val="24"/>
          <w:lang w:val="en-US" w:eastAsia="zh-CN"/>
        </w:rPr>
        <w:t>五、</w:t>
      </w:r>
      <w:r>
        <w:rPr>
          <w:rFonts w:hint="eastAsia" w:ascii="宋体" w:hAnsi="宋体" w:eastAsia="宋体" w:cs="宋体"/>
          <w:sz w:val="24"/>
          <w:szCs w:val="24"/>
        </w:rPr>
        <w:t>实验室安全信息牌管理</w:t>
      </w:r>
      <w:bookmarkEnd w:id="631"/>
    </w:p>
    <w:p w14:paraId="2893D64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（14）</w:t>
      </w:r>
      <w:r>
        <w:rPr>
          <w:rFonts w:hint="eastAsia" w:ascii="宋体" w:hAnsi="宋体" w:eastAsia="宋体" w:cs="宋体"/>
          <w:sz w:val="24"/>
          <w:szCs w:val="24"/>
          <w:lang w:val="en-US" w:eastAsia="zh-CN"/>
        </w:rPr>
        <w:t>实验室安全信息牌</w:t>
      </w:r>
    </w:p>
    <w:p w14:paraId="4ED25AB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根据实验室安全信息、分级分类信息、危险源信息、防护措施信息等内容，自动生成安全信息牌。</w:t>
      </w:r>
    </w:p>
    <w:p w14:paraId="2B51991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安全信息牌，按用户的要求设计安全信息牌样式，并按指定的尺寸大小设计，支持安全信息牌打印和导出PDF文件。安全信息牌上内容一般主要包括实验室名称、楼栋、房间号、负责人信息（单位负责人、实验室负责人等）、分级分类信息、危险源标识、防护措施标识、灭火要点等信息。</w:t>
      </w:r>
    </w:p>
    <w:p w14:paraId="27CC1E7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实验室信息一览表，实验室的基础信息、安全信息牌、分级分类认定情况（包括认定的依据）、危险源清单、消防安全、防护措施、灭火要点、隐患情况（包括发现以及整改隐患）等内容，在一张表中集中展示，一目了然，做到“一室一表”的管理要求。</w:t>
      </w:r>
    </w:p>
    <w:p w14:paraId="0DD230D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实验室二维码，系统根据实验室信息自动生成的二维码标签，支持用户用手机扫一扫功能即可查看实验室信息。在移动端应用中，支持扫一扫进行安全检查等管理功能。</w:t>
      </w:r>
    </w:p>
    <w:p w14:paraId="28CA0B3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 xml:space="preserve"> 支持生成独立的二维码门牌</w:t>
      </w:r>
      <w:r>
        <w:rPr>
          <w:rFonts w:hint="eastAsia" w:ascii="宋体" w:hAnsi="宋体" w:eastAsia="宋体" w:cs="宋体"/>
          <w:sz w:val="24"/>
          <w:szCs w:val="24"/>
          <w:lang w:eastAsia="zh-CN"/>
        </w:rPr>
        <w:t>。</w:t>
      </w:r>
    </w:p>
    <w:p w14:paraId="6DD3F54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bookmarkStart w:id="632" w:name="_Toc16963"/>
      <w:r>
        <w:rPr>
          <w:rFonts w:hint="eastAsia" w:ascii="宋体" w:hAnsi="宋体" w:eastAsia="宋体" w:cs="宋体"/>
          <w:sz w:val="24"/>
          <w:szCs w:val="24"/>
          <w:lang w:val="en-US" w:eastAsia="zh-CN"/>
        </w:rPr>
        <w:t>模块2 危险化学品管理模块</w:t>
      </w:r>
      <w:bookmarkEnd w:id="632"/>
    </w:p>
    <w:p w14:paraId="0CE15A1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bookmarkStart w:id="633" w:name="_Toc2635"/>
      <w:r>
        <w:rPr>
          <w:rFonts w:hint="eastAsia" w:ascii="宋体" w:hAnsi="宋体" w:cs="宋体"/>
          <w:sz w:val="24"/>
          <w:szCs w:val="24"/>
          <w:lang w:val="en-US" w:eastAsia="zh-CN"/>
        </w:rPr>
        <w:t>六、</w:t>
      </w:r>
      <w:r>
        <w:rPr>
          <w:rFonts w:hint="eastAsia" w:ascii="宋体" w:hAnsi="宋体" w:eastAsia="宋体" w:cs="宋体"/>
          <w:sz w:val="24"/>
          <w:szCs w:val="24"/>
          <w:lang w:val="en-US" w:eastAsia="zh-CN"/>
        </w:rPr>
        <w:t>危化品全周期管理</w:t>
      </w:r>
      <w:bookmarkEnd w:id="633"/>
    </w:p>
    <w:p w14:paraId="093FBA6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（15）</w:t>
      </w:r>
      <w:r>
        <w:rPr>
          <w:rFonts w:hint="eastAsia" w:ascii="宋体" w:hAnsi="宋体" w:eastAsia="宋体" w:cs="宋体"/>
          <w:sz w:val="24"/>
          <w:szCs w:val="24"/>
          <w:lang w:val="en-US" w:eastAsia="zh-CN"/>
        </w:rPr>
        <w:t>采购商城 #</w:t>
      </w:r>
    </w:p>
    <w:p w14:paraId="32297FA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建设危化品采购商城，支持化学类、气体类、生物类等商品分类。试剂列表中有明确的危化品类别标识，提示危化品的属性，方便用户辨认。</w:t>
      </w:r>
    </w:p>
    <w:p w14:paraId="2576805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业务流程图展示。首页上需展示加入或成立课题组、线上采购、取消订单、采购退货、备案登记、危化品入库登记及领用、危化品使用登记及归还等业务流程图，方便新手用户登录商城，即可按照流程图的指引，完成所需要办理的业务。</w:t>
      </w:r>
    </w:p>
    <w:p w14:paraId="6BA3F78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通过学校主管部门审核合格相关资质的供货商入驻商城，根据系统中设定的商品目录，上传商品到商城，系统自动检测，匹配商家资质和商品类型，具备销售资质的商品允许上架。</w:t>
      </w:r>
    </w:p>
    <w:p w14:paraId="6C54391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化学品安全技术说明书（MSDS）。支持内置1万条MSDS 数据库，可点击查看学习、支持下载、打印。</w:t>
      </w:r>
    </w:p>
    <w:p w14:paraId="53101B7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支持查看最新通知公告信息。</w:t>
      </w:r>
    </w:p>
    <w:p w14:paraId="61133A7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支持下载相关操作手册和政策文件。</w:t>
      </w:r>
    </w:p>
    <w:p w14:paraId="2640AD0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支持常见问题查询。</w:t>
      </w:r>
    </w:p>
    <w:p w14:paraId="7F3DA25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支持投诉商家。用户可在平台上投诉商家，选择平台入驻供货商或者线下采购（非平台入驻）供货，选择或填写供货商名称，订单号，投诉类别，投诉原因，照片等信息提交给学校管理员来处理，平台入驻商家也可以进行回复处理。提交人支持撤销投诉。商家投诉次数将在商品列表和商家档案中进行展示。</w:t>
      </w:r>
    </w:p>
    <w:p w14:paraId="5BF5351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支持提交意见反馈。用户在线提交反馈</w:t>
      </w:r>
      <w:r>
        <w:rPr>
          <w:rFonts w:hint="eastAsia" w:ascii="宋体" w:hAnsi="宋体" w:eastAsia="宋体" w:cs="宋体"/>
          <w:sz w:val="24"/>
          <w:szCs w:val="24"/>
          <w:lang w:eastAsia="zh-CN"/>
        </w:rPr>
        <w:t>意见</w:t>
      </w:r>
      <w:r>
        <w:rPr>
          <w:rFonts w:hint="eastAsia" w:ascii="宋体" w:hAnsi="宋体" w:eastAsia="宋体" w:cs="宋体"/>
          <w:sz w:val="24"/>
          <w:szCs w:val="24"/>
        </w:rPr>
        <w:t>，学校管理员进行回复处理。</w:t>
      </w:r>
    </w:p>
    <w:p w14:paraId="76A276F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支持查询平台入驻商家列表，点击商家名称可查看商家档案。可查看商家基本信息，资质照片，投诉记录，商品分类以及每个类别商品数量，点击商品分类可直接筛选商品。</w:t>
      </w:r>
    </w:p>
    <w:p w14:paraId="273A9BD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商品搜索。支持按商品查找，可以搜索品名或CAS查询；支持按供货商筛选；支持多条件组合查询；可以选择模糊查询或者精确查询；商品搜索页面，可以按照商品类别、品牌、供货商、规格多选或者单选；支持搜索结果根据筛选条件1s内快速展示商品列表；支持按照销量、好评度、价格排序；商品列表展示商品品名、CAS、货号、类别、品牌、规格、原价、折扣价、评价、投诉、商家名称、联系电话、交货期等信息；点击品名可查看该商品详情信息，点击MSDS 可查看化学品安全技术说明书</w:t>
      </w:r>
      <w:r>
        <w:rPr>
          <w:rFonts w:hint="eastAsia" w:ascii="宋体" w:hAnsi="宋体" w:eastAsia="宋体" w:cs="宋体"/>
          <w:sz w:val="24"/>
          <w:szCs w:val="24"/>
          <w:lang w:eastAsia="zh-CN"/>
        </w:rPr>
        <w:t>。</w:t>
      </w:r>
    </w:p>
    <w:p w14:paraId="6BD50AF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（16）</w:t>
      </w:r>
      <w:r>
        <w:rPr>
          <w:rFonts w:hint="eastAsia" w:ascii="宋体" w:hAnsi="宋体" w:eastAsia="宋体" w:cs="宋体"/>
          <w:sz w:val="24"/>
          <w:szCs w:val="24"/>
          <w:lang w:val="en-US" w:eastAsia="zh-CN"/>
        </w:rPr>
        <w:t>采购申请 #</w:t>
      </w:r>
    </w:p>
    <w:p w14:paraId="2A47024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在采购商城上，有采购需求的师生用户在线检索商品，对比商家，选择商品，学习MSDS文件，提交订单。</w:t>
      </w:r>
    </w:p>
    <w:p w14:paraId="0DE7D4A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商品检索。通过输入商品品名、包装规格、CAS号、供应商名称来检索商品，支持单个条件或者组合条件查询。</w:t>
      </w:r>
    </w:p>
    <w:p w14:paraId="0387BF8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商品筛选。通过商品分类筛选，查找所需要商品，化学类试剂可分类为普通化学试剂、普通危险化学品、易制爆化学品、易制毒化学品等类别，气体类分为液态气体、高压气体等类别，生物类分为DNA、RNA及相关试剂盒、细胞培养试剂、抗体与抗原类、细胞、菌株及载体、酶、细胞因子及相关试剂盒、其他生化试剂等类别；再通过选择品牌、供货商、规格等层层筛选，支持勾选多个选项进行筛选。</w:t>
      </w:r>
    </w:p>
    <w:p w14:paraId="75F1D42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商品查询。商品列表中明确标识化学品的品类，选中查看商品的详细信息，包括品牌、原价、折扣价、评价、供货商以及交货期等信息。危险化学品采购时，需弹出该试剂的MSDS文件，强制浏览学习。</w:t>
      </w:r>
    </w:p>
    <w:p w14:paraId="097E7B6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加入购物车。在商品列表中可加减数量，选择试剂加入购物车，并显示购物车数量，点击购物车可查看清单内容。</w:t>
      </w:r>
    </w:p>
    <w:p w14:paraId="56D84E3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添加地址和存储柜。首次采购时需维护自己的收货地址，可在订单提交页面快捷添加地址，对已经添加的地址进行管理，同时可添加房间存储柜信息。</w:t>
      </w:r>
    </w:p>
    <w:p w14:paraId="56E3599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提交订单。支持修改购物车内的商品，可加减订单数量，单个或批量移除商品，购物车清单可按照不同的商家分组排列，便于核对每个商家采购的信息。</w:t>
      </w:r>
    </w:p>
    <w:p w14:paraId="06C1385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提交的订单中涉及管控类（易制毒，易制爆）试剂时需强制弹出管控品购买须知、制毒犯罪相关知识告知书进行阅读和确认知晓。提交订单时可以从维护的地址中选择本次到货的房间及存储柜，填写联系电话、备注后提交订单。</w:t>
      </w:r>
    </w:p>
    <w:p w14:paraId="002E4A4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采购订单生成。支持用户选择不同品类的商品提交采购申请单，系统根据不同品类的化学品，生成不同类别的采购订单，订单上有明确的颜色标记为普通类、管控品类的订单，对应不同的采购审批流程。</w:t>
      </w:r>
    </w:p>
    <w:p w14:paraId="5238836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订单批次号。多个试剂批量勾选提交时，进入审批流程后按照订单批次号进行合并显示，走审批流程时显示一个单据，包含多个订单的形式，单据摘要中自动显示该单据包含的订单号。</w:t>
      </w:r>
    </w:p>
    <w:p w14:paraId="3C69A7D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（17）</w:t>
      </w:r>
      <w:r>
        <w:rPr>
          <w:rFonts w:hint="eastAsia" w:ascii="宋体" w:hAnsi="宋体" w:eastAsia="宋体" w:cs="宋体"/>
          <w:sz w:val="24"/>
          <w:szCs w:val="24"/>
          <w:lang w:val="en-US" w:eastAsia="zh-CN"/>
        </w:rPr>
        <w:t>采购审批 #</w:t>
      </w:r>
    </w:p>
    <w:p w14:paraId="4522F0B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管控订单审批。管控类的订单需经过三级审批，审批流程及角色为：课题组负责人审批，学院安全负责人审批，学校安全管理部门审批。</w:t>
      </w:r>
    </w:p>
    <w:p w14:paraId="0DEE7DB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管控类订单流程审批完成后进入公安办证/备案环节。</w:t>
      </w:r>
    </w:p>
    <w:p w14:paraId="5DE6B27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支持各级审批人查看待处理和已处理采购订单，采购申请单列表中明确颜色标记出订单的管控品类别。审批时可查看到审批流程中的审批记录信息，包括审批人、审批时间以及审批结果意见。审批人若是代理审批人需要在审批人姓名上标注身份类型以区分审批人的身份。</w:t>
      </w:r>
    </w:p>
    <w:p w14:paraId="6CA97C3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支持对订单审核通过，或者驳回，审批意见可从系统中选择常用审批意见或填写自定义意见。</w:t>
      </w:r>
    </w:p>
    <w:p w14:paraId="0229F05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支持在当前订单审批页面直接切换到下一条订单，继续审批，有明确提示还有几条待处理的订单，方便用户操作，无需切换到其他页面。</w:t>
      </w:r>
    </w:p>
    <w:p w14:paraId="67A1233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支持在订单审批页面下载申请单（PDF），下载的申请单包含申请信息，商品信息，审核信息，订单二维码和订单号+系统名称水印。</w:t>
      </w:r>
    </w:p>
    <w:p w14:paraId="28213FF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支持订单二维码通过移动端扫码查询单据详细内容，并跟踪订单审批进度。</w:t>
      </w:r>
    </w:p>
    <w:p w14:paraId="1C521D7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支持在订单审核时查看每个试剂实时库存量，采购中的数量，并查看对应明细清单。方便审批人知晓采购人的实际库存情况。</w:t>
      </w:r>
    </w:p>
    <w:p w14:paraId="0A29C75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课题组确认订单。课题组学生角色提交订单时，需要课题组负责人或课题组管理员确认之后才能进入下一流程。</w:t>
      </w:r>
    </w:p>
    <w:p w14:paraId="4CC7043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超量购买审核。针对有特殊情况需要超量采购的订单，在提交订单时，上传证明文件，由校级管理员进行审批。审核列表中能够查看到上传的证明文件、采购的商品信息、以及超量采购化学品的当前库存量、采购量以及限购量等情况，给出审核意见。</w:t>
      </w:r>
    </w:p>
    <w:p w14:paraId="287168A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库存阈值审核。课题组某一品类库存如果</w:t>
      </w:r>
      <w:r>
        <w:rPr>
          <w:rFonts w:hint="eastAsia" w:ascii="宋体" w:hAnsi="宋体" w:eastAsia="宋体" w:cs="宋体"/>
          <w:sz w:val="24"/>
          <w:szCs w:val="24"/>
          <w:lang w:eastAsia="zh-CN"/>
        </w:rPr>
        <w:t>实际</w:t>
      </w:r>
      <w:r>
        <w:rPr>
          <w:rFonts w:hint="eastAsia" w:ascii="宋体" w:hAnsi="宋体" w:eastAsia="宋体" w:cs="宋体"/>
          <w:sz w:val="24"/>
          <w:szCs w:val="24"/>
        </w:rPr>
        <w:t>超出平台设置的阈值，可提交库存阈值调整申请，填写新的阈值上限值，上传相关盖章证明材料。学校审核通过后课题组该品类库存上限则对应提高。</w:t>
      </w:r>
    </w:p>
    <w:p w14:paraId="564D4F5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代理审批人。学院安全负责人可设置本单位一名或多名学院安全管理员，授权审批学院级别的采购订单审批权限，设置的授权人授权期限为一年。代理审批人可审批本单位采购订单。</w:t>
      </w:r>
    </w:p>
    <w:p w14:paraId="5C5D49A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（18）</w:t>
      </w:r>
      <w:r>
        <w:rPr>
          <w:rFonts w:hint="eastAsia" w:ascii="宋体" w:hAnsi="宋体" w:eastAsia="宋体" w:cs="宋体"/>
          <w:sz w:val="24"/>
          <w:szCs w:val="24"/>
          <w:lang w:val="en-US" w:eastAsia="zh-CN"/>
        </w:rPr>
        <w:t>订单管理</w:t>
      </w:r>
    </w:p>
    <w:p w14:paraId="1DE2D56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订单查询：分为普通危化品订单和管控品化学品订单，订单列表中明确显示订单状态，标识出下个审批用户的姓名及联系方式，方便用户催办；显示入库状态，已入库的订单可查看入库记录；显示订货人信息、商品信息、课题组信息以及供货商信息等。</w:t>
      </w:r>
    </w:p>
    <w:p w14:paraId="1FDE9EB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个人订单：查看本人的采购订单，支持分为阶段状态的订单查看，待审批阶段，管控品订单查看处于待审核的步骤；待供货商确认阶段订单、待到货阶段订单、退货订单、待评价订单。</w:t>
      </w:r>
    </w:p>
    <w:p w14:paraId="18430FE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（19）</w:t>
      </w:r>
      <w:r>
        <w:rPr>
          <w:rFonts w:hint="eastAsia" w:ascii="宋体" w:hAnsi="宋体" w:eastAsia="宋体" w:cs="宋体"/>
          <w:sz w:val="24"/>
          <w:szCs w:val="24"/>
          <w:lang w:val="en-US" w:eastAsia="zh-CN"/>
        </w:rPr>
        <w:t>管控办证/备案</w:t>
      </w:r>
    </w:p>
    <w:p w14:paraId="54F7EF0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易制毒化学品订单，完成校内审批流程后，系统自动生成《购销意向书》，《化学品合法使用需要证明》，支持学院采购人和供货商下载，完成印章后，再上传盖章文件到系统，由国有资产与实验室管理处统一办理《购买证》，订单推送到供货商，供货商开始确认配送。办证附件文件上传时，支持用户手机拍照上传，方便用户操作。</w:t>
      </w:r>
    </w:p>
    <w:p w14:paraId="6B6BB29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易制爆化学品订单，完成校内审批流程后，自动生成《购销意向书》《易制爆危险化学品单位购销备案登记表》《易制爆危险化学品合法用途说明》《购买易制爆危险化学品流向信息备案表》，支持学院采购人和供货商下载，完成印章后，再上传盖章文件到系统，订单推送到供货商，供货商确认订单开始配送。同时采购合同、合法使用说明及采购明细实时与武汉市剧毒易制爆危险化学品全程管控系统对接，实现采购合同备案。</w:t>
      </w:r>
    </w:p>
    <w:p w14:paraId="51994EB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支持双管试剂同步生成购销合同以及证明材料。例如高锰酸钾既属于易制毒又属于易制爆，在公安部门中分属不同职能单位在管理需要双向报备。</w:t>
      </w:r>
    </w:p>
    <w:p w14:paraId="1AD2FB4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（20）</w:t>
      </w:r>
      <w:r>
        <w:rPr>
          <w:rFonts w:hint="eastAsia" w:ascii="宋体" w:hAnsi="宋体" w:eastAsia="宋体" w:cs="宋体"/>
          <w:sz w:val="24"/>
          <w:szCs w:val="24"/>
          <w:lang w:val="en-US" w:eastAsia="zh-CN"/>
        </w:rPr>
        <w:t>退货管理</w:t>
      </w:r>
    </w:p>
    <w:p w14:paraId="76F175C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对于正在配送中，已到货的普通危险化学品可以由订货人发送退货申请，处于不同状态的订单提交退货申请时，系统将给予提示，管控品化学品订单是不允许退货的。</w:t>
      </w:r>
    </w:p>
    <w:p w14:paraId="5F7E0B3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提交退货申请，写明退货理由，由供货商确认，给出处理意见，再由平台给出退货意见，完成退货操作，系统可查看历史退货订单信息。</w:t>
      </w:r>
    </w:p>
    <w:p w14:paraId="2850DB0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（21）</w:t>
      </w:r>
      <w:r>
        <w:rPr>
          <w:rFonts w:hint="eastAsia" w:ascii="宋体" w:hAnsi="宋体" w:eastAsia="宋体" w:cs="宋体"/>
          <w:sz w:val="24"/>
          <w:szCs w:val="24"/>
          <w:lang w:val="en-US" w:eastAsia="zh-CN"/>
        </w:rPr>
        <w:t>备案登记 #</w:t>
      </w:r>
    </w:p>
    <w:p w14:paraId="5C7B24C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对于线上商城无法采购的定制商品，普通化学品试剂耗材，提供线下采购，线上备案登记等方式，用户在线上登记后，设置审批流程，审批通过后，下载打印财务报账备案登记表，可到财务完成报账。管控品化学品不允许走采购备案登记流程。</w:t>
      </w:r>
    </w:p>
    <w:p w14:paraId="731570D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备案信息登记：需支持多种方式的备案信息登记，方便用户选择操作：</w:t>
      </w:r>
    </w:p>
    <w:p w14:paraId="0471311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方式一：输入发票信息导入，填写发票信息，通过接口自动获取采购物品的详细清单。</w:t>
      </w:r>
    </w:p>
    <w:p w14:paraId="7D2E930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方式二：扫描发票二维码 ，通过扫码获取发票信息，再通过接口自动获取采购物品的详细清单。</w:t>
      </w:r>
    </w:p>
    <w:p w14:paraId="376900A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（以上两种方式，都是通过国税发票在线查验，调取第三方接口服务实现，该服务由第三方接口服务商收取费用，用户方自行支付）</w:t>
      </w:r>
    </w:p>
    <w:p w14:paraId="078107A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方式三：Excel表导入，在下载的Excel表模板中整理采购商品清单，再导入到系统中，系统中有明确的填写提示，指导规范填写内容。</w:t>
      </w:r>
    </w:p>
    <w:p w14:paraId="7403907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方式四：手动录入，在系统提供的表单中手动录入购买商品明细，系统中有明确的填写提示，指导规范填写内容。</w:t>
      </w:r>
    </w:p>
    <w:p w14:paraId="7FD4CD1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系统支持验证发票号的唯一性，确保发票号不能重复上传和审核。</w:t>
      </w:r>
    </w:p>
    <w:p w14:paraId="7E330FF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备案单据提交。填写商品明细后，在商品列表中选择商品分类，支持批量设置分类，提交备案申请。</w:t>
      </w:r>
    </w:p>
    <w:p w14:paraId="08FF864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备案登记审核。支持由用户指定验收人审批——学院审批——学校备案，完成备案登记审批流程。在审核过程中，针对‘疑似管控品’的物品，系统给予提示，原则上是不允许线下采购管控品的，如有特殊情况，需上传相关的文件才能审批。</w:t>
      </w:r>
    </w:p>
    <w:p w14:paraId="2E56DF8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备案登记单据管理，支持对备案登记申请单、备案登记明细的查询，查询单据的审批记录，审批进展状态；支持查询单据的商品明细清单；支持对单据补充上传相关材料。审核完成的单据，支持下载、打印带有水印的备案登记表，到财务报账使用</w:t>
      </w:r>
    </w:p>
    <w:p w14:paraId="25B7231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（22）</w:t>
      </w:r>
      <w:r>
        <w:rPr>
          <w:rFonts w:hint="eastAsia" w:ascii="宋体" w:hAnsi="宋体" w:eastAsia="宋体" w:cs="宋体"/>
          <w:sz w:val="24"/>
          <w:szCs w:val="24"/>
          <w:lang w:val="en-US" w:eastAsia="zh-CN"/>
        </w:rPr>
        <w:t>结账管理 #</w:t>
      </w:r>
    </w:p>
    <w:p w14:paraId="4CF5372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在平台上采购的商品，学院仓库完成入库后，采购人可按供货商筛选订单生成结账单。线下采购的试剂，可在备案登记流程中完成财务报账。</w:t>
      </w:r>
    </w:p>
    <w:p w14:paraId="48B2A86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生成结账单。支持通过平台采购的已到货订单，订购人根据待结账的供货商筛选订单，可单条或批量选择订单生成结账单，结账单生成后自动推送到供货商端进行确认。</w:t>
      </w:r>
    </w:p>
    <w:p w14:paraId="60B9116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支持结账单与财务系统对接，填写项目经费时可按照课题组负责人获取财务经费列表，填写报销金额，费用类别。填写支付方式时可选择银行支付或冲借款等方式，系统自动根据商家档案中的单位信息，银行账号，开户行，开户行地区自动填入支付信息。填写完成后结账单信息推送到财务系统，财务完成制单后财务对账状态自动同步到系统中。</w:t>
      </w:r>
    </w:p>
    <w:p w14:paraId="2B285B5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结账单查询。可查看到结账单当前状态，可跟踪报账进度，支持对结账单撤回，返回到待结账状态；支持查看结账单明细，并导出明细；支持查看财务对账信息，对账状态、经费信息。</w:t>
      </w:r>
    </w:p>
    <w:p w14:paraId="2FCBB79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结账单明细查询。支持查询结账单明细列表，展示结账单单号，订单编号、商品信息、价格信息、课题组信息、订购人信息、供货商等信息，支持导出结账单明细。</w:t>
      </w:r>
    </w:p>
    <w:p w14:paraId="38CA22A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供货商生成结账单。支持商家主动发起结账操作，可按照课题组筛选订单生成结账单。生成后推送给用户填写经费信息。</w:t>
      </w:r>
    </w:p>
    <w:p w14:paraId="460716A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 xml:space="preserve"> 供货商确认结账单。支持商家后台查看用户或供货商生成的结账单，对待处理的结账单进行确认。确认时可查看订单金额，订单明细，财务经费信息，上传发票。支持手机拍照上传发票。支持撤销已处理的结账单，撤销后可在未结账中重新生成。</w:t>
      </w:r>
    </w:p>
    <w:p w14:paraId="0AD32E4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（23）</w:t>
      </w:r>
      <w:r>
        <w:rPr>
          <w:rFonts w:hint="eastAsia" w:ascii="宋体" w:hAnsi="宋体" w:eastAsia="宋体" w:cs="宋体"/>
          <w:sz w:val="24"/>
          <w:szCs w:val="24"/>
          <w:lang w:val="en-US" w:eastAsia="zh-CN"/>
        </w:rPr>
        <w:t>验收入库</w:t>
      </w:r>
    </w:p>
    <w:p w14:paraId="6C9CF72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入库登记，用户选择本课题中待入库的订单进行入库操作，系统应采用导航式指引用户完成入库流程，须支持双人身份验证入库，符合危化品仓库规范管理要求。</w:t>
      </w:r>
    </w:p>
    <w:p w14:paraId="25E09B2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第一步：核对配送单信息，跟供货商的送货人员核对配送单信息。</w:t>
      </w:r>
    </w:p>
    <w:p w14:paraId="27FF6F5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第二步：选择需要验收入库的商品，核对入库数量，存储仓库、库位等信息。与</w:t>
      </w:r>
      <w:r>
        <w:rPr>
          <w:rFonts w:hint="eastAsia" w:ascii="宋体" w:hAnsi="宋体" w:eastAsia="宋体" w:cs="宋体"/>
          <w:sz w:val="24"/>
          <w:szCs w:val="24"/>
        </w:rPr>
        <w:t>武汉市剧毒易制爆危险化学品全程管控系统</w:t>
      </w:r>
      <w:r>
        <w:rPr>
          <w:rFonts w:hint="eastAsia" w:ascii="宋体" w:hAnsi="宋体" w:eastAsia="宋体" w:cs="宋体"/>
          <w:sz w:val="24"/>
          <w:szCs w:val="24"/>
          <w:lang w:val="en-US" w:eastAsia="zh-CN"/>
        </w:rPr>
        <w:t>对接后，扫码易制爆化学品试剂瓶的公安部门的二维码，自动绑定。</w:t>
      </w:r>
    </w:p>
    <w:p w14:paraId="4C0FB66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第三步：身份信息确认，选择双人进行验收确认，选择仓库管理员或者其他人员进行验收确认。系统须支持发送验证信息到选择的人员，验证人员通过电脑端或者移动端都可以通过确认信息完成验收确认，达到双人验收入库的管理要求。系统需有完整的双人验收确认记录，包括入库信息、确认时间等信息，以备记录查看。</w:t>
      </w:r>
    </w:p>
    <w:p w14:paraId="71CD867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第四步：验收入库完成，正式生成入库单编号，给入库的危化品试剂生成唯一识别二维码标识，支持标签样式浏览（按指定样式设计标签）、打印，标签粘贴在试剂瓶上，实现“一瓶一码”的追溯管理。</w:t>
      </w:r>
    </w:p>
    <w:p w14:paraId="51106E7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支持对订货单分批入库，系统中有明确标识入库状态：未入库、部分入库和全部入库。</w:t>
      </w:r>
    </w:p>
    <w:p w14:paraId="3753F91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 入库单查询，支持对入库单查询，查询入库信息，双人确认信息，以及入库单明细信息；支持对入库单撤回，取消入库；支持对入库的化学品试剂批量打印二维码标签。</w:t>
      </w:r>
    </w:p>
    <w:p w14:paraId="2391169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（24）</w:t>
      </w:r>
      <w:r>
        <w:rPr>
          <w:rFonts w:hint="eastAsia" w:ascii="宋体" w:hAnsi="宋体" w:eastAsia="宋体" w:cs="宋体"/>
          <w:sz w:val="24"/>
          <w:szCs w:val="24"/>
          <w:lang w:val="en-US" w:eastAsia="zh-CN"/>
        </w:rPr>
        <w:t>领用出库</w:t>
      </w:r>
    </w:p>
    <w:p w14:paraId="1899ECE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用户提交领用申请，选择所在课题组入库的危化品试剂，勾选所需要的领用的试剂，填写领用需要存储的存储柜（存储柜必须是经过学校审核通过的存储柜），填写使用用途，以及安全责任承诺，提交领用申请。</w:t>
      </w:r>
    </w:p>
    <w:p w14:paraId="2A80360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仓库出库审批，仓库管理员选择领用申请单出库，系统应采用导航式指引用户完成出库流程，须支持双人身份验证出库，符合危化品仓库规范管理要求。</w:t>
      </w:r>
    </w:p>
    <w:p w14:paraId="72C4C50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确认领用申请单，仓库管理员确认领用单中的明细信息。</w:t>
      </w:r>
    </w:p>
    <w:p w14:paraId="46C3930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仓库管理员出库时，对每瓶试剂称重，登记实际出库重量。系统支持与智能存储柜、智能一体机对接，通过接口获取出库称重的数据，支持对无需领用的试剂，临时取消出库。</w:t>
      </w:r>
    </w:p>
    <w:p w14:paraId="4F18F18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出库时，支持通过试剂瓶上扫码，核对出库试剂一致。</w:t>
      </w:r>
    </w:p>
    <w:p w14:paraId="5CC8CCD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领用人再次核对出库试剂信息，选择双人身份确认，需选择两个领用人，进行领用确认。系统须支持发送验证信息到选择的人员，验证人员通过电脑端或者移动端都可以通过确认信息完成验收确认，达到双人领用的管理要求。系统需有完整的双人领用确认记录，包括领用信息、确认时间等信息，以备记录查看。</w:t>
      </w:r>
    </w:p>
    <w:p w14:paraId="785AB54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仓库管理员选择双人确认出库，发送验证信息到人员，验证人员通过电脑端或者移动端都可以通过确认信息完成验收确认，达到双人出库的管理要求。</w:t>
      </w:r>
    </w:p>
    <w:p w14:paraId="22216FD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 完成领用出库，系统自动更新仓库库存。</w:t>
      </w:r>
    </w:p>
    <w:p w14:paraId="7CF4105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（25）</w:t>
      </w:r>
      <w:r>
        <w:rPr>
          <w:rFonts w:hint="eastAsia" w:ascii="宋体" w:hAnsi="宋体" w:eastAsia="宋体" w:cs="宋体"/>
          <w:sz w:val="24"/>
          <w:szCs w:val="24"/>
          <w:lang w:val="en-US" w:eastAsia="zh-CN"/>
        </w:rPr>
        <w:t>归还管理</w:t>
      </w:r>
    </w:p>
    <w:p w14:paraId="5802BA6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实验室未使用完的危险化学品试剂或空瓶，应归还到仓库统一管理，用户拿到仓库，由仓库管理员确认归还，并入库管理。系统应给出导航式指引用户完成归还入库操作。</w:t>
      </w:r>
    </w:p>
    <w:p w14:paraId="175DE38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确认领用单信息，根据领用单信息，扫码确认危险化品试剂明细清单。</w:t>
      </w:r>
    </w:p>
    <w:p w14:paraId="7E56817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对危化品试剂回库称重登记，或者空瓶/破瓶登记，系统支持与智能存储柜、智能一体机对接，通过接口获取回库称重的数据。</w:t>
      </w:r>
    </w:p>
    <w:p w14:paraId="6B71283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仓库管理员选择双人确认身份，发送验证信息到人员，验证人员通过电脑端或者移动端都可以通过确认信息完成验收确认，达到双人入库的管理要求。</w:t>
      </w:r>
    </w:p>
    <w:p w14:paraId="2829EB1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 完成领用归还，更新仓库的库存信息。</w:t>
      </w:r>
    </w:p>
    <w:p w14:paraId="647CFCB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（26）</w:t>
      </w:r>
      <w:r>
        <w:rPr>
          <w:rFonts w:hint="eastAsia" w:ascii="宋体" w:hAnsi="宋体" w:eastAsia="宋体" w:cs="宋体"/>
          <w:sz w:val="24"/>
          <w:szCs w:val="24"/>
          <w:lang w:val="en-US" w:eastAsia="zh-CN"/>
        </w:rPr>
        <w:t>库存管理 #</w:t>
      </w:r>
    </w:p>
    <w:p w14:paraId="273FAFC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支持学院仓库库存初始化和课题组库存初始化。支持按照系统提供excel模板批量导入和系统中手动录入两种方式；导入时可从系统中下载易制毒、易制爆、普通危险化学品目录进行对照，导入数据需和目录中的品名、cas匹配，手动录入时可从系统商品目录中选择试剂。</w:t>
      </w:r>
    </w:p>
    <w:p w14:paraId="79CC44B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学院仓库初始化时可选择入库仓库、库位、课题组。课题组库存初始化时可选择房间存储柜分区。</w:t>
      </w:r>
    </w:p>
    <w:p w14:paraId="6318CA4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库存数据导入/录入后，提供编辑，数据检测，删除，查看功能。</w:t>
      </w:r>
    </w:p>
    <w:p w14:paraId="313A173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库存数据检测通过后，可以操作确认入库，库存实时同步到学院/课题组库存中，并将初始化的库存数据来源标记成库存初始化，在库存查询页面筛选数据来源为库存初始化进行查询。</w:t>
      </w:r>
    </w:p>
    <w:p w14:paraId="5BC8C5D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支持学院库存查询和课题组库存查询。学院库存可按照学院-仓库-库位层级树筛选库存信息，可筛选学院、仓库、仓库库位各个层级的库存清单。课题组库存可按照地理位置（学院-楼栋-房间-存储柜）层级树筛选库存信息，可筛选学院、楼栋、房间、存储柜各个层级的库存清单。</w:t>
      </w:r>
    </w:p>
    <w:p w14:paraId="434A9FE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库存查询提供筛选库存状态、数据来源（采购入库/库存初始化）、课题组、入库单号、标识、品名等信息；生命周期可查询库存试剂出入库轨迹，采购入库的库存可查看订单详情（购买人信息，商品信息，订单时间轴轨迹，审批单据信息，附件信息）；</w:t>
      </w:r>
    </w:p>
    <w:p w14:paraId="7CFCB99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学院库存查询支持仓库管理员标签打印，可批量打印，支持直接打印和打印预览。打印完成后可显示库存试剂打印状态，打印次数，最后打印时间。</w:t>
      </w:r>
    </w:p>
    <w:p w14:paraId="3F7C6CD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学院库存列表可显示库存状态、试剂信息、库存量、课题组、仓库库位、送货信息、标识、其他信息、供货商等信息；课题组库存列表可显示已使用、领用人、存储柜、调出仓库位置、库存来源等信息；</w:t>
      </w:r>
    </w:p>
    <w:p w14:paraId="6AEBD21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仓库预警查询。支持按照仓库设定的库存上限预警值，展示每个仓库各库位的预警状态、库存量、预警值、库位名称、所属仓库信息；支持筛选库存预警状态（正常/到达预警），支持按照学院-仓库层级树筛选学院或某个仓库的预警信息。</w:t>
      </w:r>
    </w:p>
    <w:p w14:paraId="5FCC4A3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存储柜预警查询。支持按照房间存储柜设定的库存上限预警值，展示预警状态，库存量，预警值，存储柜编号，学院，课题组信息；支持筛选库存预警状态（正常/到达预警），支持按照学院-楼栋-房间层级树筛选学院、楼栋、房间的预警信息。支持存储柜编号可查看存储柜详情（存储柜信息、存储柜二维码、分区信息、库存列表），库存量可查看库存台账明细清单。</w:t>
      </w:r>
    </w:p>
    <w:p w14:paraId="15754FE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仓库退货管理。针对仓库已经入库的试剂，需要退货处理的试剂，仓库管理员可以发起退货申请，供货商在商家端进行退货处理，退货完成后同步更新已入库的库存。支持撤销退货。</w:t>
      </w:r>
    </w:p>
    <w:p w14:paraId="7E10BAF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学院仓库报损。支持学院仓库管理员针对过期或者破损试剂进行报损申请，可以从仓库库存列表中勾选库存试剂，填写报损原因提交单据，学校审核通过后完成报损操作，库存同步更新。提供新增，编辑，删除，审核，导出功能。支持筛选时间区间，审核状态，单据编号，经办人，仓库等信息。</w:t>
      </w:r>
    </w:p>
    <w:p w14:paraId="752939F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课题组报损。支持课题组针对过期或者破损试剂进行报损申请，可以从存储柜库存列表中勾选库存试剂，填写报损原因提交单据，学院审核通过后完成报损操作，库存同步更新。提供新增，编辑，删除，审核，导出功能。支持筛选时间区间，审核状态，单据编号，经办人，存储柜等信息。</w:t>
      </w:r>
    </w:p>
    <w:p w14:paraId="58A7922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（27）</w:t>
      </w:r>
      <w:r>
        <w:rPr>
          <w:rFonts w:hint="eastAsia" w:ascii="宋体" w:hAnsi="宋体" w:eastAsia="宋体" w:cs="宋体"/>
          <w:sz w:val="24"/>
          <w:szCs w:val="24"/>
          <w:lang w:val="en-US" w:eastAsia="zh-CN"/>
        </w:rPr>
        <w:t>盘点管理</w:t>
      </w:r>
      <w:r>
        <w:rPr>
          <w:rFonts w:hint="eastAsia" w:ascii="宋体" w:hAnsi="宋体" w:eastAsia="宋体" w:cs="宋体"/>
          <w:sz w:val="24"/>
          <w:szCs w:val="24"/>
        </w:rPr>
        <w:t xml:space="preserve"> #</w:t>
      </w:r>
    </w:p>
    <w:p w14:paraId="35B2DB3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支持定期对学院仓库、课题组库存进行盘点，支持对盘点结果的处理，及时更新库存。</w:t>
      </w:r>
    </w:p>
    <w:p w14:paraId="4E48176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学院仓库盘点。学院仓库管理员可定期创建盘点单，可按照仓库，库位，试剂分类来创建盘点任务。现场盘点后录入每瓶试剂的盘点后的量。支持新增，编辑，删除盘点单，可导出任务明细进行现场盘点。盘点完成后审核盘点单，根据盘盈和盘亏自动生成对应的学院仓库盘盈单据和盘亏单据。</w:t>
      </w:r>
    </w:p>
    <w:p w14:paraId="3A3BC45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学院仓库盘盈。支持编辑，删除，审核，导出盘盈数据。盘盈单审核通过后自动更新学院仓库库存。</w:t>
      </w:r>
    </w:p>
    <w:p w14:paraId="6966046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学院仓库盘亏。支持编辑，删除，审核，导出盘亏数据。盘亏单审核通过后自动更新学院仓库库存。</w:t>
      </w:r>
    </w:p>
    <w:p w14:paraId="69BD6A1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课题组库存盘点。课题组成员可定期对实验室房间试剂进行盘点，可按照存储柜、试剂分类来创建盘点任务。现场盘点后录入每瓶试剂的盘点后的量。支持新增，编辑，删除盘点单，可导出任务明细进行现场盘点。盘点完成后经学院审核盘点单，根据盘盈和盘亏自动生成对应的课题组盘盈单据和盘亏单据。</w:t>
      </w:r>
    </w:p>
    <w:p w14:paraId="5CCAE48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课题组库存盘盈。支持编辑，删除，审核，导出盘盈数据。盘盈单审核通过后自动更新课题组库存。</w:t>
      </w:r>
    </w:p>
    <w:p w14:paraId="00838A3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课题组库存盘亏。支持编辑，删除，审核，导出盘亏数据。盘亏单审核通过后自动更新课题组库存。</w:t>
      </w:r>
    </w:p>
    <w:p w14:paraId="5291509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（28）</w:t>
      </w:r>
      <w:r>
        <w:rPr>
          <w:rFonts w:hint="eastAsia" w:ascii="宋体" w:hAnsi="宋体" w:eastAsia="宋体" w:cs="宋体"/>
          <w:sz w:val="24"/>
          <w:szCs w:val="24"/>
          <w:lang w:val="en-US" w:eastAsia="zh-CN"/>
        </w:rPr>
        <w:t>仓库设置</w:t>
      </w:r>
    </w:p>
    <w:p w14:paraId="064DA1E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仓库设置。对各个学院仓库维护管理，包括仓库名称、学院、管理员设置，存放化学品种类等基础信息编辑维护；对仓库使用状态的编辑维护，启用/禁用等；</w:t>
      </w:r>
    </w:p>
    <w:p w14:paraId="5B01D4E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 库位设置。对仓库的库位信息的编辑维护，以及是否启用的设置。</w:t>
      </w:r>
    </w:p>
    <w:p w14:paraId="16DF332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（29）</w:t>
      </w:r>
      <w:r>
        <w:rPr>
          <w:rFonts w:hint="eastAsia" w:ascii="宋体" w:hAnsi="宋体" w:eastAsia="宋体" w:cs="宋体"/>
          <w:sz w:val="24"/>
          <w:szCs w:val="24"/>
          <w:lang w:val="en-US" w:eastAsia="zh-CN"/>
        </w:rPr>
        <w:t>存储柜设置</w:t>
      </w:r>
    </w:p>
    <w:p w14:paraId="4C5395B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实验室/房间管理，对实验室/房间的维护管理，对实验室编号、实验室/房间名称、房间号、负责人等信息的编辑维护管理。支持与学校实验室信息管理系统对接，同步实验室/房间的信息。支持在本系统中申请信息的实验室/房间。</w:t>
      </w:r>
    </w:p>
    <w:p w14:paraId="26A79F4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存储柜申请：实验室需配备达到危化品存储要求的存储柜，由课题组用户提交新增存储柜申请，选择存放的房间（房间必须为系统中登记的课题组房间）、存储柜类型、需上传存储柜实物照片，支持手机拍照上传。</w:t>
      </w:r>
    </w:p>
    <w:p w14:paraId="4721470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存储柜审批：存储柜的申请需经过学院、学校两级审核，审核时可查看存储柜实物照片，是否符合要求，审批是否通过，并给出审核意见。</w:t>
      </w:r>
    </w:p>
    <w:p w14:paraId="7FE300C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打印存储柜标签：审核通过的存储柜，自动生成该柜子的二维码标签，并支持在线打印、粘贴，实现一柜一码的管理。日常管理中，可通过扫码存储柜标签，查询柜内的存储试剂的明细信息，包括实时库存，采购轨迹，使用流向轨迹。</w:t>
      </w:r>
    </w:p>
    <w:p w14:paraId="4EB0A14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预警值管理：存储地点的预警值设置，按照安全管理规定，为每个存储地点、存储柜设置预警值，当存量达到预警值后，用户将无法再选取该地址领用试剂。</w:t>
      </w:r>
    </w:p>
    <w:p w14:paraId="37B06DD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存储柜管理：支持对存储柜的维护管理，包括基础信息的编辑，状态的调整，启用或者禁用。</w:t>
      </w:r>
    </w:p>
    <w:p w14:paraId="17E611B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存储柜分区的管理，将存储柜按柜门进行分区管理。</w:t>
      </w:r>
    </w:p>
    <w:p w14:paraId="49A4E11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 预留智能锁对接：支持与智能锁对接，可将存储柜分区绑定智能锁，通过扫码存储柜，进行开关锁操作。</w:t>
      </w:r>
    </w:p>
    <w:p w14:paraId="0552DEE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（30）</w:t>
      </w:r>
      <w:r>
        <w:rPr>
          <w:rFonts w:hint="eastAsia" w:ascii="宋体" w:hAnsi="宋体" w:eastAsia="宋体" w:cs="宋体"/>
          <w:sz w:val="24"/>
          <w:szCs w:val="24"/>
          <w:lang w:val="en-US" w:eastAsia="zh-CN"/>
        </w:rPr>
        <w:t>使用台账管理</w:t>
      </w:r>
    </w:p>
    <w:p w14:paraId="657ACAC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危化品使用台账登记可采用多种方式实现，方便不同用户的操作需求：</w:t>
      </w:r>
    </w:p>
    <w:p w14:paraId="0015CD7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电脑端登记：在电脑端进行危化品使用登记，选择两个使用人，人员必须从系统中有效人员名单中选择，填写使用时间、使用量、使用说明等信息。</w:t>
      </w:r>
    </w:p>
    <w:p w14:paraId="1B15A07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移动端登记：在危化品管理系统的移动端应用上，都可以通过扫码试剂瓶上的二维码，填写两个使用人、使用时间、使用量、使用说明等信息。</w:t>
      </w:r>
    </w:p>
    <w:p w14:paraId="3CB4EDF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危化品试剂使用登记时，需能够查看试剂的基本信息，管控类别、库存量、使用量，领用单查询。日常使用量登记，存储柜中库存量、使用量实时变更，直至使用完毕。</w:t>
      </w:r>
    </w:p>
    <w:p w14:paraId="6E84878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危化品使用记录查询，日常使用登记形成危化品试剂的使用记录，支持使用时间段、使用人、试剂品名、CAS号等多种条件筛选查询；支持导出下载，提交到主管部门。</w:t>
      </w:r>
    </w:p>
    <w:p w14:paraId="1B3C95B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 危化品试剂使用记录，支持通过接口，实时同步到</w:t>
      </w:r>
      <w:r>
        <w:rPr>
          <w:rFonts w:hint="eastAsia" w:ascii="宋体" w:hAnsi="宋体" w:eastAsia="宋体" w:cs="宋体"/>
          <w:sz w:val="24"/>
          <w:szCs w:val="24"/>
        </w:rPr>
        <w:t>武汉市剧毒易制爆危险化学品全程管控</w:t>
      </w:r>
      <w:r>
        <w:rPr>
          <w:rFonts w:hint="eastAsia" w:ascii="宋体" w:hAnsi="宋体" w:eastAsia="宋体" w:cs="宋体"/>
          <w:sz w:val="24"/>
          <w:szCs w:val="24"/>
          <w:lang w:val="en-US" w:eastAsia="zh-CN"/>
        </w:rPr>
        <w:t>系统。</w:t>
      </w:r>
    </w:p>
    <w:p w14:paraId="38001C5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（31）</w:t>
      </w:r>
      <w:r>
        <w:rPr>
          <w:rFonts w:hint="eastAsia" w:ascii="宋体" w:hAnsi="宋体" w:eastAsia="宋体" w:cs="宋体"/>
          <w:sz w:val="24"/>
          <w:szCs w:val="24"/>
          <w:lang w:val="en-US" w:eastAsia="zh-CN"/>
        </w:rPr>
        <w:t>调剂管理 #</w:t>
      </w:r>
    </w:p>
    <w:p w14:paraId="223CBEA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针对采购的危化品出现闲置状态的，支持设置放到调剂平台，其他学院、课题组有需要可申请调剂，经过调出、调入单位双方确认，在学院、课题组之间调拨，相应的库存量随之增减。</w:t>
      </w:r>
    </w:p>
    <w:p w14:paraId="027062C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闲置设置。课题组将库存内闲置未用的试剂设置为可调剂状态，列表中明确提示是否为可调剂状态，库存状态。</w:t>
      </w:r>
    </w:p>
    <w:p w14:paraId="6C18894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设置完成的试剂将发布到平台首页上，其他学院/课题组能够在调剂平台板块查看到所有的闲置危化品试剂的信息。</w:t>
      </w:r>
    </w:p>
    <w:p w14:paraId="5FF155A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调剂申请。师生用户在调剂平台上按品名、规格型号、课题组等信息进行检索、查询；支持按照发布人、危化品类别、品牌、规格、学院进行层级筛选，选择需要的危化品试剂，提交调剂申请。</w:t>
      </w:r>
    </w:p>
    <w:p w14:paraId="6D433E2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支持用户查询本人提交的调剂申请，跟踪审批进度，查看进度状态、下一步审核人、以及调出课题组、调入课题组信息。</w:t>
      </w:r>
    </w:p>
    <w:p w14:paraId="1C47BEB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调剂审批。系统将分学院内、学院外两种情况完成审批。</w:t>
      </w:r>
    </w:p>
    <w:p w14:paraId="71F676A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学院内的调剂，在调剂平台上提交调剂申请，经过学院内的审批，即可完成调剂审批流程。</w:t>
      </w:r>
    </w:p>
    <w:p w14:paraId="6911EB4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学院外的调剂，在调剂平台上提交调剂申请后，需通过调出、调入单位的审批，再经过学校审批，才能完成调剂审批流程。</w:t>
      </w:r>
    </w:p>
    <w:p w14:paraId="0391E74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调剂执行。调剂执行后，调入、调出课题组危险化学品试剂的对应的库存，会有不同的增减。</w:t>
      </w:r>
    </w:p>
    <w:p w14:paraId="735CB12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 调剂查询。普通用户查看本人提交的调剂申请，跟踪办理的过程进度；管理用户查看所有调剂申请。</w:t>
      </w:r>
    </w:p>
    <w:p w14:paraId="10C47EE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（32）</w:t>
      </w:r>
      <w:r>
        <w:rPr>
          <w:rFonts w:hint="eastAsia" w:ascii="宋体" w:hAnsi="宋体" w:eastAsia="宋体" w:cs="宋体"/>
          <w:sz w:val="24"/>
          <w:szCs w:val="24"/>
          <w:lang w:val="en-US" w:eastAsia="zh-CN"/>
        </w:rPr>
        <w:t>供货商管理</w:t>
      </w:r>
      <w:r>
        <w:rPr>
          <w:rFonts w:hint="eastAsia" w:ascii="宋体" w:hAnsi="宋体" w:eastAsia="宋体" w:cs="宋体"/>
          <w:sz w:val="24"/>
          <w:szCs w:val="24"/>
        </w:rPr>
        <w:t xml:space="preserve"> #</w:t>
      </w:r>
    </w:p>
    <w:p w14:paraId="6CE7C33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供商家档案管理。支持学校根据招投标遴选商家清单或符合学校采购要求的资质商家名单开通平台账号。账号开通后可通过短信发送账号、密码、平台地址给供货商。支持重置密码操作，重置的新密码发送短信给供货商。支持编辑、启动、禁用、删除供货商操作。</w:t>
      </w:r>
    </w:p>
    <w:p w14:paraId="606C85D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商家资质审核。供货商提交的资质后推送给学校，学校进行审核各项资质，根据商品分类和资质的对应关系。某个分类的资质全部上传并审核通过，供货商才能取得这个类别的商品上架权限。支持预览资质照片，可进行审核通过或退回操作。支持查看供货商基本</w:t>
      </w:r>
      <w:r>
        <w:rPr>
          <w:rFonts w:hint="eastAsia" w:ascii="宋体" w:hAnsi="宋体" w:eastAsia="宋体" w:cs="宋体"/>
          <w:sz w:val="24"/>
          <w:szCs w:val="24"/>
          <w:lang w:eastAsia="zh-CN"/>
        </w:rPr>
        <w:t>信息</w:t>
      </w:r>
      <w:r>
        <w:rPr>
          <w:rFonts w:hint="eastAsia" w:ascii="宋体" w:hAnsi="宋体" w:eastAsia="宋体" w:cs="宋体"/>
          <w:sz w:val="24"/>
          <w:szCs w:val="24"/>
        </w:rPr>
        <w:t>、经营范围。支持在同一界面快速切换不同供货商进行资质审核和查看操作。</w:t>
      </w:r>
    </w:p>
    <w:p w14:paraId="40756A5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推荐供货商。支持用户在平台首页推荐常合作的优质供货商。支持学校审核推荐供货商信息。</w:t>
      </w:r>
    </w:p>
    <w:p w14:paraId="73ABF4F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投诉供货商。支持用户在平台首页投诉服务或质量不达标的供货商。支持学校处理投诉信息。</w:t>
      </w:r>
    </w:p>
    <w:p w14:paraId="03F80D8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资质到期提醒。支持按照近七天，近一个月，近三个月展示要到期的资质信息。支持选择某个资质强制立即到期操作。</w:t>
      </w:r>
    </w:p>
    <w:p w14:paraId="298BBD5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商品基础目录。支持对易制毒、易制爆、普通危险化学品、剧毒化学品、精神麻醉品、气体目录进行新增，编辑，导入，删除，导出操作。默认定期同步国家相关目录的品类。供货商上传商品时，所选分类的商品必须和目录一致才能上传。</w:t>
      </w:r>
    </w:p>
    <w:p w14:paraId="4D652CB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化学品目录审批。支持商家在商家后台提交商品目录，共同增加商品基础目录的品类。支持学校审核商家提交的化学品目录，审核通过后根据分类进入对应的标准目录中。</w:t>
      </w:r>
    </w:p>
    <w:p w14:paraId="638E829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商品管理。商品日常导入，上架操作由供货商来完成，学校如果发现违法商品，可进行直接下架。学校下架的商品，供货商无法再次上架。支持学校或商家查看下架商品信息，下架时间，下架原因。下架商品按照平台设定展示时间过后会自动清理。</w:t>
      </w:r>
    </w:p>
    <w:p w14:paraId="526BF7F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商家后台</w:t>
      </w:r>
    </w:p>
    <w:p w14:paraId="0BDAFEA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所有入驻平台的商家，日常维护企业资质，商品目录，订单业务后台管理系统</w:t>
      </w:r>
      <w:r>
        <w:rPr>
          <w:rFonts w:hint="eastAsia" w:ascii="宋体" w:hAnsi="宋体" w:eastAsia="宋体" w:cs="宋体"/>
          <w:sz w:val="24"/>
          <w:szCs w:val="24"/>
          <w:lang w:eastAsia="zh-CN"/>
        </w:rPr>
        <w:t>。</w:t>
      </w:r>
    </w:p>
    <w:p w14:paraId="5FC1A47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企业信息。支持供货商维护基本信息，企业资质，子账号。基本信息包括供货商名称、供货商简称、联系人、手机号、Email、经营地址、收款银行、收款账号、收款地区、收款单位、注册资金、传真、业务手机、邮编、企业唯一编码、微信公众号、公司图片、公司网址、省、市、电话、QQ、许可证种类、许可证编号、经办人姓名、经办人身份证号、经办人手机。企业资质包括营业执照（三证合一）、服务承诺书、易制毒经营许可证、易制爆经营许可证、危险化学品经营许可证、道路危险货物运输经营许可证、运输人员资格证（危运证、押运证）、危化品运输人员从业资格证、危险化学品经营许可证（含易制爆化学品）、危险化学品经营许可证（含剧毒化学品）、精神麻醉品特许证、危化品运输装卸管理人员从业资格证、移动式特种设备操作证、实验动物供货单位资质及授权证明、销售实验动物合格证、气体充装许可证或协议。支持上传各类资质和资质截止时间推送给平台审核，资质审核通过后根据资质和商品分类对照关系，自动拥有该商品分类的上架权限。支持查看资质和商品分类对照，展示当前已经上传资质和未上传资质。</w:t>
      </w:r>
    </w:p>
    <w:p w14:paraId="7467291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商品维护。支持普通商品导入，管控品导入。支持刷新线上商品。支持手动新增，编辑，删除，上架，下架商品。支持按照查询条件批量删除商品，批量上架/下架，批量上传商品照片。支持商品批量导入，数据检测，清除异常数据，写入数据等操作。支持导入商品时下载平台提供的国家标准目录，具体包括易制毒化学品目录、易制爆化学品目录、普通危险化学品目录、气体目录，商家上传商品必须和目录一致，可售卖的商品分类也必须和资质对应。支持对手动下架或平台下架的商品查询。支持商家提交平台目录以外的商品经过学校审核后进入标准目录中。</w:t>
      </w:r>
    </w:p>
    <w:p w14:paraId="7C18C47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订单管理。支持对新订单进行确认订单，取消订单，修改单价。支持在线和用户沟通。支持批量确认订单。支持对已确认的订单批量生成配送单。支持对配送单进行下载，查明明细，撤回配送单。支持针对管控品上传商家盖章合同照片，下载订单公安备案相关的盖章附件材料，支持退回合同。支持订单</w:t>
      </w:r>
      <w:r>
        <w:rPr>
          <w:rFonts w:hint="eastAsia" w:ascii="宋体" w:hAnsi="宋体" w:eastAsia="宋体" w:cs="宋体"/>
          <w:sz w:val="24"/>
          <w:szCs w:val="24"/>
          <w:lang w:eastAsia="zh-CN"/>
        </w:rPr>
        <w:t>退货</w:t>
      </w:r>
      <w:r>
        <w:rPr>
          <w:rFonts w:hint="eastAsia" w:ascii="宋体" w:hAnsi="宋体" w:eastAsia="宋体" w:cs="宋体"/>
          <w:sz w:val="24"/>
          <w:szCs w:val="24"/>
        </w:rPr>
        <w:t>处理，可以同意退货或不同意退货，不同意退货订单将推送到平台仲裁处理，由学校来协调处理。支持仓库退货处理，针对已入库仓库的试剂进行退货。支持商家查看用户对订单的商品评价，可查看评价等级、商品满意度、服务满意度、发货满意度。</w:t>
      </w:r>
    </w:p>
    <w:p w14:paraId="2F38227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结账管理。支持供货商对送货完成的订单，发起结账单操作。支持查看明细、导出明细。支持确认结账单，上传电子发票。支持按照待处理、已处理、未结账订单多维度筛选。</w:t>
      </w:r>
    </w:p>
    <w:p w14:paraId="72434BA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投诉处理。支持处理用户投诉，可进行在线回复。支持查看待处理、已处理、已撤销的投诉。支持查看投诉内容，平台处理意见，供货商处理意见。支持查看投诉人上传的附件。</w:t>
      </w:r>
    </w:p>
    <w:p w14:paraId="6A34FAD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用户向导。支持向导模式引导商家完善企业信息，上传企业资质，管理子账号，上传商品等操作</w:t>
      </w:r>
      <w:r>
        <w:rPr>
          <w:rFonts w:hint="eastAsia" w:ascii="宋体" w:hAnsi="宋体" w:eastAsia="宋体" w:cs="宋体"/>
          <w:sz w:val="24"/>
          <w:szCs w:val="24"/>
          <w:lang w:val="en-US" w:eastAsia="zh-CN"/>
        </w:rPr>
        <w:t>。</w:t>
      </w:r>
    </w:p>
    <w:p w14:paraId="76F56DA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（33）</w:t>
      </w:r>
      <w:r>
        <w:rPr>
          <w:rFonts w:hint="eastAsia" w:ascii="宋体" w:hAnsi="宋体" w:eastAsia="宋体" w:cs="宋体"/>
          <w:sz w:val="24"/>
          <w:szCs w:val="24"/>
          <w:lang w:val="en-US" w:eastAsia="zh-CN"/>
        </w:rPr>
        <w:t>课题组管理</w:t>
      </w:r>
    </w:p>
    <w:p w14:paraId="16E960D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对未成立课题组或加入课题组的用户，提供平台首页和管理后台向导弹出提示，引导用户加入课题组或成立课题组。加入或成立课题组时，显示对应的审批人姓名</w:t>
      </w:r>
      <w:r>
        <w:rPr>
          <w:rFonts w:hint="eastAsia" w:ascii="宋体" w:hAnsi="宋体" w:eastAsia="宋体" w:cs="宋体"/>
          <w:sz w:val="24"/>
          <w:szCs w:val="24"/>
          <w:lang w:val="en-US" w:eastAsia="zh-CN"/>
        </w:rPr>
        <w:t>和</w:t>
      </w:r>
      <w:r>
        <w:rPr>
          <w:rFonts w:hint="eastAsia" w:ascii="宋体" w:hAnsi="宋体" w:eastAsia="宋体" w:cs="宋体"/>
          <w:sz w:val="24"/>
          <w:szCs w:val="24"/>
        </w:rPr>
        <w:t>联系方式。</w:t>
      </w:r>
    </w:p>
    <w:p w14:paraId="5A9CC35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成立课题组。支持教职工用户注册成为课题组，学院审批通过后生效。</w:t>
      </w:r>
    </w:p>
    <w:p w14:paraId="7E013E1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加入课题组。支持教职工或学生加入某个课题组。课题组负责人审批通过后生效。</w:t>
      </w:r>
    </w:p>
    <w:p w14:paraId="1006E4A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课题组管理。支持学院新增课题组，可直接添加教职工成为课题组负责人。支持学院审核教职工成立课题组负责人的申请。支持学院或课题组负责人，直接加入成员（教职工或学院）到课题组。支持学院启用、禁用、删除课题组。支持学校调整课题组易制毒、易制爆库存阈值。</w:t>
      </w:r>
    </w:p>
    <w:p w14:paraId="4BE17C2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课题组成员管理。支持学院或课题组审核用户加入课题组的申请。支持对课题组成员进行授权可授权为课题组管理员、课题组采购员、课题组学生角色。支持启用/禁用/删除课题组成员。</w:t>
      </w:r>
    </w:p>
    <w:p w14:paraId="3C2C334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课题组收货地址。支持学院或课题组负责人管理课题组收货地址信息。</w:t>
      </w:r>
    </w:p>
    <w:p w14:paraId="0145457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（34）</w:t>
      </w:r>
      <w:r>
        <w:rPr>
          <w:rFonts w:hint="eastAsia" w:ascii="宋体" w:hAnsi="宋体" w:eastAsia="宋体" w:cs="宋体"/>
          <w:sz w:val="24"/>
          <w:szCs w:val="24"/>
          <w:lang w:val="en-US" w:eastAsia="zh-CN"/>
        </w:rPr>
        <w:t>数据查询</w:t>
      </w:r>
    </w:p>
    <w:p w14:paraId="7BE5B79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所有查询的列表数据都支持导出表格，下载到本地。</w:t>
      </w:r>
    </w:p>
    <w:p w14:paraId="35A6E85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订单明细查询：可分类查询全部订单、易制爆订单、易制毒订单、已入库订单、收货超时订单。支持按订单提交或者审核时间选择时间段、按学院、课题组、化学品品名、商品分类、供货商的信息检索查询。支持用户跟踪查询订单的当前状态以及订单详细订货信息。</w:t>
      </w:r>
    </w:p>
    <w:p w14:paraId="76795C0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备案登记单据查询：跟踪备案登记单据的审批状态，查看单据详细信息、审批信息，在线查看附件，查看单据的物品明细信息。支持输入条件检索查询备案登记单据，包括单据状态、学院、课题组、备案人等。</w:t>
      </w:r>
    </w:p>
    <w:p w14:paraId="2210147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结账单查询：跟踪查询结账单的办理状态，查看结账单的详细信息，结账单的明细信息，支持下载结账单；支持输入条件检索查询结账单，包括结账单状态、学院、课题组、供货商等信息。</w:t>
      </w:r>
    </w:p>
    <w:p w14:paraId="634E5BA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管控办证查询：管控品（易制毒、易制爆）办证/备案的合同查询，查看合同状态、查看合同的明细信息，支持在线查看、下载合同，支持在线查看、下载相关附件（包括购买意向书、备案登记表、合法使用证明、购销合同等等）。</w:t>
      </w:r>
    </w:p>
    <w:p w14:paraId="505D958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管控品库存明细查询：用户按权限查询管控品库存明细，明确颜色标识库存的状态（正常、待领用、已领用等）、库存类型（学院库存、课题组库存）、数据来源、入库量、库存量、使用量、课题组、学院等信息。支持按照库存类型、库存状态、管控品信息、存储位置等进行检索查询，查询的数据在列表上方有统计数据，统计入库量、库存量、使用量，支持统计数据按管控品类别分项统计。</w:t>
      </w:r>
    </w:p>
    <w:p w14:paraId="7869C11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管控品订单一览表查询：每个管控品订单有一张一览表查询，包括基本信息、单据信息、学院仓库库存、课题组库存等几个部分。基本信息可查看购买人信息、商品信息、订单审批、处理的轨迹；单据信息，管控品采购申请单据，支持下载打印；学院库存信息，送货信息、库位信息、试剂标识、库存状态、库存量以及在仓库出入库的轨迹记录；课题组库存，领用到课题组的基本信息、领用人、存储位置、库存量、使用量以及使用记录。</w:t>
      </w:r>
    </w:p>
    <w:p w14:paraId="0396FB0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管控品使用记录查询：管控品的使用记录详单查询，支持按使用时间、危化品品名、管控品分类、存储位置等信息检索查询。</w:t>
      </w:r>
    </w:p>
    <w:p w14:paraId="5F1D258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 管控品备案信息查询：按易制毒、易制爆查询采购化学品清单，包括购买单位信息、购买人信息、销售单位信息等内容，符合上报到主管单位的备案清单表要求。</w:t>
      </w:r>
    </w:p>
    <w:p w14:paraId="26A888A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（35）</w:t>
      </w:r>
      <w:r>
        <w:rPr>
          <w:rFonts w:hint="eastAsia" w:ascii="宋体" w:hAnsi="宋体" w:eastAsia="宋体" w:cs="宋体"/>
          <w:sz w:val="24"/>
          <w:szCs w:val="24"/>
          <w:lang w:val="en-US" w:eastAsia="zh-CN"/>
        </w:rPr>
        <w:t>数据统计</w:t>
      </w:r>
      <w:r>
        <w:rPr>
          <w:rFonts w:hint="eastAsia" w:ascii="宋体" w:hAnsi="宋体" w:eastAsia="宋体" w:cs="宋体"/>
          <w:sz w:val="24"/>
          <w:szCs w:val="24"/>
        </w:rPr>
        <w:t xml:space="preserve"> #</w:t>
      </w:r>
    </w:p>
    <w:p w14:paraId="10A885F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所有统计数据都支持按筛选条件查询并导出表格，下载到本地。数据权限支持校级管理员查看全校所有数据，院级管理员查看本院数据，课题组查看本课题组数据。</w:t>
      </w:r>
    </w:p>
    <w:p w14:paraId="66B3778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管控品采购统计。支持按学院维度统计，可筛选学院和商品分类，展示各学院名称、课题组数、房间数、采购人数、供货商数、订单采购量、实际入库量等信息。支持按课题组维度统计，展示各学院名称、课题组名称、联系方式及其他数量统计信息。支持按照房间维度统计，展示各学院名称、楼栋、房间号、及其他数量统计信息。支持按采购人维度统计，展示各单位名称、课题组、工号/学号、姓名、证件号码、联系电话、购买次数及其他数量统计信息。支持按照品类维度统计，展示商品分类、品名、cas及其他数量统计信息。支持根据订单提交时间或学校审核时间筛选时间区间筛选，可按查询条件导出数据，区分易制毒、易制爆订单采购量和实际入库量显示，点击采购量可查明订单明细列表，点击入库量可查看入库记录明细列表。</w:t>
      </w:r>
    </w:p>
    <w:p w14:paraId="71C99BA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管控品库存统计。按学院、课题组、房间、化学品试剂各个维度统计管控品的实时库存量，包括易制毒、易制爆分项统计，支持每个统计数据都能够打开查看统计数据来源的明细表。</w:t>
      </w:r>
    </w:p>
    <w:p w14:paraId="7A734DE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管控品使用统计。按学院、课题组、房间、化学品试剂各个维度统计管控品的使用量，包括易制毒、易制爆分项统计，支持每个使用量统计数据能打开查看使用记录清单。</w:t>
      </w:r>
    </w:p>
    <w:p w14:paraId="08EADD1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供货商统计。支持对供货商订单监控，包括新订单数量、配送超时、退货处理超时、结账超时信息监控。支持对供货商待审核资质，已审核资质统计。支持查看供货商分类。支持查看子账号数量，商品数量，供货商评分。</w:t>
      </w:r>
    </w:p>
    <w:p w14:paraId="5ECBA86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订单统计。按学院、课题组、供货商各个维度统计在平台上采购的订单量，分项统计普通危化品订单、易制毒订单、易制爆订单以及合计量，支持每个统计数据都能够打开查看统计数据来源的明细表。</w:t>
      </w:r>
    </w:p>
    <w:p w14:paraId="47CF590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备案登记统计。按学院、课题组、供货商各个维度统计在平台上备案的订单量，分项统计各个类别的备案单据数量及金额数，支持每个统计数据都能够打开查看统计数据来源的明细表。</w:t>
      </w:r>
    </w:p>
    <w:p w14:paraId="06BAF7D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（36）</w:t>
      </w:r>
      <w:r>
        <w:rPr>
          <w:rFonts w:hint="eastAsia" w:ascii="宋体" w:hAnsi="宋体" w:eastAsia="宋体" w:cs="宋体"/>
          <w:sz w:val="24"/>
          <w:szCs w:val="24"/>
          <w:lang w:val="en-US" w:eastAsia="zh-CN"/>
        </w:rPr>
        <w:t>移动端应用</w:t>
      </w:r>
    </w:p>
    <w:p w14:paraId="0C571A8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为了方便师生用户的操作，提高系统的实用性以及时效性，加强用户体验，支持前端采用html5响应式布局、后端接口服务的方式，接入学校的企业微信，须实现以下功能： </w:t>
      </w:r>
    </w:p>
    <w:p w14:paraId="533ABC5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移动端首页。支持商品搜索输入框，可以直接查询试剂信息；提供常用快捷分类易制毒、易制爆、普通危险化学品商品分类快捷筛选该类别商品；展示系统最新通知信息，点击可查看通知详情；显示最新订单滚动列表信息。</w:t>
      </w:r>
    </w:p>
    <w:p w14:paraId="2C61259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提交采购订单。支持在移动端上筛选商品，加入购物车，选择收货地址，提交订单。</w:t>
      </w:r>
    </w:p>
    <w:p w14:paraId="7EC2FF6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扫一扫。支持扫码系统各类单据上二维码，查询单据详情；支持扫码存储柜二维码，查询存储柜库存信息；支持扫码试剂瓶二维码，查询试剂基本信息和流向轨迹。</w:t>
      </w:r>
    </w:p>
    <w:p w14:paraId="17578DA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入库登记。支持在移动端办理仓库入库登记，操作流程和电脑端一致，学院仓库管理员可以查看本单位待入库的配送单列表；配送单展示入库状态、配送单编号、商品类型、课题组、学院、订购人、电话、供货商、供货商联系人、仓库管理员、仓库地址，点击入库登记进入入库环节，选择要入库的危化品，填写每种试剂本次到货数量；填写入库明细信息（批号，仓库，库位，送货人，送货时间），扫描试剂瓶上公安二维码绑定；仓库管理员双人身份验证，验证完成后入库完成。同时可查看已入库记录，页面显示入库单编号，提供撤回功能，可对入库信息有误的入库单进行撤回重新入库。</w:t>
      </w:r>
    </w:p>
    <w:p w14:paraId="6924297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领用申请。课题组可以发起领用申请，对存储在仓库的试剂进行领用到课题组房间。支持选择本课题组名下的试剂，支持扫码试剂瓶二维码直接添加两种方式；填写其他领用人、存储柜、存储柜分区、使用方式、用途等信息，提交仓库管理员审批。</w:t>
      </w:r>
    </w:p>
    <w:p w14:paraId="21D6C43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出库审批。仓库管理员可以看到待领用的申请，点击出库审批按钮进入出库环节，选择要出库的危化品，进行逐瓶扫描扫码核验，也可以勾选取消领用；双领用人接收本次出库验证信息进行在移动端上确认，确认完成后进入仓库管理员双人确认；仓库管理员接收系统发送的验证信息在移动端上确认，确认完成后出库完成。</w:t>
      </w:r>
    </w:p>
    <w:p w14:paraId="1D96536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领用归还。课题组对已领用未用完的试剂，可以归还到仓库，仓库管理员现场办理领用归还手续。第一步选择课题组领用申请单，填写归还危化品信息，标记状态和回库毛重。第二步仓库管理员身份确认，双人接收系统验证信息，在移动端上确认完成后归还入库成功。</w:t>
      </w:r>
    </w:p>
    <w:p w14:paraId="50BAD84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存储柜管理。各级用户可以在移动端上查看权限范围内的存储柜列表，点击查看详情可以查看存储柜信息，分区信息，智能锁开锁记录（预留），库存信息；库存台账列表可以查看试剂实时库存和msds以及采购轨迹记录，流向轨迹信息。</w:t>
      </w:r>
    </w:p>
    <w:p w14:paraId="7A164B1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柜分区管理。可以管理存储柜各分区智能锁信息（预留），查看开锁记录（预留），设置开锁权限（预留），远程开锁（预留）。</w:t>
      </w:r>
    </w:p>
    <w:p w14:paraId="790D1A7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使用登记。支持选择库存试剂，填写本次用量，登记双使用人信息。</w:t>
      </w:r>
    </w:p>
    <w:p w14:paraId="6AEA31D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扫码使用。支持扫码试剂瓶上二维码信息，识别试剂信息，填写本次使用用量。</w:t>
      </w:r>
    </w:p>
    <w:p w14:paraId="67926D1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库存查询。支持各级角色查询权限范围内的试剂库存清单，展示试剂标识，订单号，品名，规格，现存量，负责人，采购人，采购时间；点击库存详情可查看采购轨迹和流向轨迹，化学品安全技术说明书（MSDS）信息。</w:t>
      </w:r>
    </w:p>
    <w:p w14:paraId="7E25E48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使用登记台账。支持各级角色查询权限范围内的试剂使用台账，提供筛选、导出台账功能。</w:t>
      </w:r>
    </w:p>
    <w:p w14:paraId="3CF9FD5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身份确认。系统中涉及双人身份确认的流程，相关人员完成确认流程。</w:t>
      </w:r>
    </w:p>
    <w:p w14:paraId="0DB58B7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试剂采购-课题组确认。支持课题组负责人或课题组管理员确认管控品采购申请。</w:t>
      </w:r>
    </w:p>
    <w:p w14:paraId="0FB2566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管控品采购-课题组审批。支持课题组负责人审批管控品采购申请。</w:t>
      </w:r>
    </w:p>
    <w:p w14:paraId="2EF90F2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管控品采购-学院审批。支持院级管理员审批管控品采购申请。</w:t>
      </w:r>
    </w:p>
    <w:p w14:paraId="3BD2CD3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管控品采购-学校审批。支持校级管理员审批管控品采购申请。</w:t>
      </w:r>
    </w:p>
    <w:p w14:paraId="0F41018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备案登记-学校审批。支持校级管理员审批备案登记申请单。</w:t>
      </w:r>
    </w:p>
    <w:p w14:paraId="48AEBC7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课题组管理。支持院级管理员管理本单位课题组账号，可以进行启用、禁用课题组。</w:t>
      </w:r>
    </w:p>
    <w:p w14:paraId="7496626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课题组成员管理。支持课题组负责人对课题组成员进行授权操作，账号启用、禁用操作</w:t>
      </w:r>
    </w:p>
    <w:p w14:paraId="4008742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平台仲裁。支持校级管理员处理订单退货纠纷。可以同意或者不同意退货。</w:t>
      </w:r>
    </w:p>
    <w:p w14:paraId="3FB01E2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我的订单查询。支持查询当前用户采购的订单列表，待收货订单，待评价订单信息</w:t>
      </w:r>
    </w:p>
    <w:p w14:paraId="5B4037E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我的备案登记。支持查询当前用户备案登记的信息。</w:t>
      </w:r>
    </w:p>
    <w:p w14:paraId="0533525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备案登记查询。支持学校、学校、课题组查询全校范围内的备案登记单据。</w:t>
      </w:r>
    </w:p>
    <w:p w14:paraId="05165E1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结账单查询。支持学校、学校、课题组查询全校范围内的结账单单据。</w:t>
      </w:r>
    </w:p>
    <w:p w14:paraId="40E5C22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订单查询。支持学校、学校、课题组查询全校范围内的全部订单。</w:t>
      </w:r>
    </w:p>
    <w:p w14:paraId="5309A1A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切换课题组/角色。支持多课题组/角色用户切换不同课题组或者角色进行相关业务处理。</w:t>
      </w:r>
    </w:p>
    <w:p w14:paraId="15C59D2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bookmarkStart w:id="634" w:name="_Toc29023"/>
      <w:r>
        <w:rPr>
          <w:rFonts w:hint="eastAsia" w:ascii="宋体" w:hAnsi="宋体" w:cs="宋体"/>
          <w:sz w:val="24"/>
          <w:szCs w:val="24"/>
          <w:lang w:val="en-US" w:eastAsia="zh-CN"/>
        </w:rPr>
        <w:t>七、</w:t>
      </w:r>
      <w:r>
        <w:rPr>
          <w:rFonts w:hint="eastAsia" w:ascii="宋体" w:hAnsi="宋体" w:eastAsia="宋体" w:cs="宋体"/>
          <w:sz w:val="24"/>
          <w:szCs w:val="24"/>
          <w:lang w:val="en-US" w:eastAsia="zh-CN"/>
        </w:rPr>
        <w:t>危险废弃物处置管理</w:t>
      </w:r>
      <w:bookmarkEnd w:id="634"/>
    </w:p>
    <w:p w14:paraId="6022EC6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按照环保局的管理要求，对实验室产生的废弃物（废液、废固）进行即产、即运、即走的管理，学校管理员或危废处置公司根据实验室提交的危废处置申请单，生成处置计划，根据计划上门回收废弃物，并现场核重数据通过接口或手机端回传到系统中，方便学校对废弃物处置核算。</w:t>
      </w:r>
    </w:p>
    <w:p w14:paraId="26089A0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（37）</w:t>
      </w:r>
      <w:r>
        <w:rPr>
          <w:rFonts w:hint="eastAsia" w:ascii="宋体" w:hAnsi="宋体" w:eastAsia="宋体" w:cs="宋体"/>
          <w:sz w:val="24"/>
          <w:szCs w:val="24"/>
          <w:lang w:val="en-US" w:eastAsia="zh-CN"/>
        </w:rPr>
        <w:t>危废类型设置</w:t>
      </w:r>
    </w:p>
    <w:p w14:paraId="46BBECA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支持根据国家危险废物名录设置学校所涉及的危废类型库。</w:t>
      </w:r>
    </w:p>
    <w:p w14:paraId="639D243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提供维护废物名称、废物代码、废物类别、危险特性、容器类别等信息。</w:t>
      </w:r>
    </w:p>
    <w:p w14:paraId="329655E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（38）</w:t>
      </w:r>
      <w:r>
        <w:rPr>
          <w:rFonts w:hint="eastAsia" w:ascii="宋体" w:hAnsi="宋体" w:eastAsia="宋体" w:cs="宋体"/>
          <w:sz w:val="24"/>
          <w:szCs w:val="24"/>
          <w:lang w:val="en-US" w:eastAsia="zh-CN"/>
        </w:rPr>
        <w:t>回收时间设置 #</w:t>
      </w:r>
    </w:p>
    <w:p w14:paraId="561F76A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学校管理员或危废处置公司对校区、学院分布情况，对各个楼栋或学院灵活设置危废回收时间表。</w:t>
      </w:r>
    </w:p>
    <w:p w14:paraId="54E10EE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支持按照学院设置，可以批量选择多个学院，勾选星期区间，录入时间段，以及重量限定参数，设置各学院允许提交处置申请的时间表。</w:t>
      </w:r>
    </w:p>
    <w:p w14:paraId="12CA0E9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支持按照楼栋设置，可以填写楼栋，勾选星期区间，录入时间段参数，设置当前楼栋内各个实验室的危废回收时间表。</w:t>
      </w:r>
    </w:p>
    <w:p w14:paraId="256C2C0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支持查看回收时间表，以日历表形式展示各个学院或楼栋回收时间分布情况。</w:t>
      </w:r>
    </w:p>
    <w:p w14:paraId="1266F71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支持批量删除回收时间设置</w:t>
      </w:r>
    </w:p>
    <w:p w14:paraId="1978C77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 支持假期期间提前设置暂停回收工作的时间段，选择时间区间，暂停该时间区间危废处置申请提交。</w:t>
      </w:r>
    </w:p>
    <w:p w14:paraId="7FE2A5B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（39）</w:t>
      </w:r>
      <w:r>
        <w:rPr>
          <w:rFonts w:hint="eastAsia" w:ascii="宋体" w:hAnsi="宋体" w:eastAsia="宋体" w:cs="宋体"/>
          <w:sz w:val="24"/>
          <w:szCs w:val="24"/>
          <w:lang w:val="en-US" w:eastAsia="zh-CN"/>
        </w:rPr>
        <w:t>课题组危废处置申请</w:t>
      </w:r>
    </w:p>
    <w:p w14:paraId="7D4114B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课题组用户在线提交危废处置申请单时选择所在楼栋、房间，期望回收时间，按照危废分类填写成分选择危险属性，填写容器数量、总估重量信息。</w:t>
      </w:r>
    </w:p>
    <w:p w14:paraId="6C20A1F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支持新增危废处置申请时，查看回收时间表，以日历形式展示便于课题组用户了解危废处置回收的时间分布情况，课题组用户提交申请时需签订电子版实验室废弃物转移安全承诺书。</w:t>
      </w:r>
    </w:p>
    <w:p w14:paraId="43F788C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支持根据每个危废分类上传实物照片，便于危废回收人员确认时了解实际情况做好准备工作，支持提交危险属性时直接从系统设定好的属性中勾选。</w:t>
      </w:r>
    </w:p>
    <w:p w14:paraId="54E2A7D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支持选择期望回收时间后，可以查看当前时间段提交的危废处置申请单据列表，明细，总估重信息。</w:t>
      </w:r>
    </w:p>
    <w:p w14:paraId="58BEE76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支持提交危废申请时，根据所选期望回收时间段展示危废处置转运车最大承载重量，已提交重量，剩余空闲重量，本次提交的总估重大于危废转运车剩余/空闲重量时给出提示，提醒用户选择其他时段。</w:t>
      </w:r>
    </w:p>
    <w:p w14:paraId="2ECF74A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回收时间段以背景色标注，绿色表示可选时段，红色表示空闲重量不足10%，灰色表示暂停回收。暂停回收的时段可点击查看学校设定的假期时间段暂停回收工作的文字提示信息。</w:t>
      </w:r>
    </w:p>
    <w:p w14:paraId="2C7ED11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支持跟踪危废处置申请单进度，可以查看单据详情，展示处置步骤，单据详情，审批轨迹信息。</w:t>
      </w:r>
    </w:p>
    <w:p w14:paraId="4FFE093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 支持查看和下载危废处置单二维码，便于处置当天现场提供给危废转运工作人员扫码识别。</w:t>
      </w:r>
    </w:p>
    <w:p w14:paraId="1FF84FC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40</w:t>
      </w:r>
      <w:r>
        <w:rPr>
          <w:rFonts w:hint="eastAsia" w:ascii="宋体" w:hAnsi="宋体" w:cs="宋体"/>
          <w:sz w:val="24"/>
          <w:szCs w:val="24"/>
          <w:lang w:eastAsia="zh-CN"/>
        </w:rPr>
        <w:t>）</w:t>
      </w:r>
      <w:r>
        <w:rPr>
          <w:rFonts w:hint="eastAsia" w:ascii="宋体" w:hAnsi="宋体" w:eastAsia="宋体" w:cs="宋体"/>
          <w:sz w:val="24"/>
          <w:szCs w:val="24"/>
        </w:rPr>
        <w:t>危废容器申请 #</w:t>
      </w:r>
    </w:p>
    <w:p w14:paraId="070F185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课题组用户可在线申请危废容器，学校审核通过后，打印容器标签二维码粘贴到容器上，课题组领回到房间使用。后续危废处置时可扫码直接提交危废处置申请。</w:t>
      </w:r>
    </w:p>
    <w:p w14:paraId="3DCECF7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危废容器申请。选择实验室所在楼栋、房间，填写每种危废需要的容器数量，提交申请等待学校审核。</w:t>
      </w:r>
    </w:p>
    <w:p w14:paraId="42D9578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学校审核。学校审核实验室危废容器申请单据。支持查看、导出、审核单据操作。审核成功后，自动按照一物一码自动拆分容器数量，生成每个容器的唯一标识二维码。</w:t>
      </w:r>
    </w:p>
    <w:p w14:paraId="509CB28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打印危废容器标签。支持在线打印危废容器二维码标签，打印完成后粘贴到容器上。支持显示标签打印状态，打印次数，最后打印时间信息</w:t>
      </w:r>
      <w:r>
        <w:rPr>
          <w:rFonts w:hint="eastAsia" w:ascii="宋体" w:hAnsi="宋体" w:eastAsia="宋体" w:cs="宋体"/>
          <w:sz w:val="24"/>
          <w:szCs w:val="24"/>
          <w:lang w:val="en-US" w:eastAsia="zh-CN"/>
        </w:rPr>
        <w:t>。</w:t>
      </w:r>
    </w:p>
    <w:p w14:paraId="4BFCBA1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（41）</w:t>
      </w:r>
      <w:r>
        <w:rPr>
          <w:rFonts w:hint="eastAsia" w:ascii="宋体" w:hAnsi="宋体" w:eastAsia="宋体" w:cs="宋体"/>
          <w:sz w:val="24"/>
          <w:szCs w:val="24"/>
          <w:lang w:val="en-US" w:eastAsia="zh-CN"/>
        </w:rPr>
        <w:t>危废处置计划</w:t>
      </w:r>
    </w:p>
    <w:p w14:paraId="7B5726B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学校管理员或危废处置公司对数据状态为待学校确认的危废处置单进行筛选，根据危废处置单期望回收时间进行批量勾选，选择本批次处置申请单计划回收时间生成处置计划。</w:t>
      </w:r>
    </w:p>
    <w:p w14:paraId="0E960FC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纳入危废处置计划的单据状态变成待回收，同时生成当前处置单二维码信息。</w:t>
      </w:r>
    </w:p>
    <w:p w14:paraId="36909D3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支持查看危废处置计划列表，支持撤销危废处置计划，支持选择危废处置计划导出处置单、处置明细excel格式数据。</w:t>
      </w:r>
    </w:p>
    <w:p w14:paraId="5857274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 支持查看处置计划明细列表，支持将某个危废处置申请从处置计划中移除。</w:t>
      </w:r>
    </w:p>
    <w:p w14:paraId="66C2642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（42）</w:t>
      </w:r>
      <w:r>
        <w:rPr>
          <w:rFonts w:hint="eastAsia" w:ascii="宋体" w:hAnsi="宋体" w:eastAsia="宋体" w:cs="宋体"/>
          <w:sz w:val="24"/>
          <w:szCs w:val="24"/>
          <w:lang w:val="en-US" w:eastAsia="zh-CN"/>
        </w:rPr>
        <w:t>危废处置单状态标记</w:t>
      </w:r>
    </w:p>
    <w:p w14:paraId="461657B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学校管理员或危废处置公司对不符合处置要求的危废处置单，支持选择退回、取消处置单操作。</w:t>
      </w:r>
    </w:p>
    <w:p w14:paraId="555EEC7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 支持对未按时送到指定的地点处置单，进行标记未按期送到。</w:t>
      </w:r>
    </w:p>
    <w:p w14:paraId="062615E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（43）</w:t>
      </w:r>
      <w:r>
        <w:rPr>
          <w:rFonts w:hint="eastAsia" w:ascii="宋体" w:hAnsi="宋体" w:eastAsia="宋体" w:cs="宋体"/>
          <w:sz w:val="24"/>
          <w:szCs w:val="24"/>
          <w:lang w:val="en-US" w:eastAsia="zh-CN"/>
        </w:rPr>
        <w:t>危废处置核重</w:t>
      </w:r>
    </w:p>
    <w:p w14:paraId="7A0387C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危废处置公司或危废中转站按照处置回收计划回收，现场核对称重，将实际称重数据写入到处置单中，完成废弃物转运。</w:t>
      </w:r>
    </w:p>
    <w:p w14:paraId="7E21790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（44）</w:t>
      </w:r>
      <w:r>
        <w:rPr>
          <w:rFonts w:hint="eastAsia" w:ascii="宋体" w:hAnsi="宋体" w:eastAsia="宋体" w:cs="宋体"/>
          <w:sz w:val="24"/>
          <w:szCs w:val="24"/>
          <w:lang w:val="en-US" w:eastAsia="zh-CN"/>
        </w:rPr>
        <w:t>危废处置查询统计</w:t>
      </w:r>
    </w:p>
    <w:p w14:paraId="6FBF844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危废处置申请单查询。支持查询指定时间段内的危废处置申请单，明确颜色标记处置单当前的处理状态，废液、废固、废旧化学试剂分别估重、核重以及总估重、总核重数据。每个处置单的具体处置结果信息，支持查看单据的明细数据。</w:t>
      </w:r>
    </w:p>
    <w:p w14:paraId="5FEC2BE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危废处置统计。支持按学院、课题组、房间多维度统计危废处置的总量，分别按废液、固废、废旧化学试剂统计估重数量及核重数据，以及实际核重总计量。支持每个统计数据能够展开明细数据查询。</w:t>
      </w:r>
    </w:p>
    <w:p w14:paraId="0BE5091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（45）</w:t>
      </w:r>
      <w:r>
        <w:rPr>
          <w:rFonts w:hint="eastAsia" w:ascii="宋体" w:hAnsi="宋体" w:eastAsia="宋体" w:cs="宋体"/>
          <w:sz w:val="24"/>
          <w:szCs w:val="24"/>
          <w:lang w:val="en-US" w:eastAsia="zh-CN"/>
        </w:rPr>
        <w:t>危废处置移动端</w:t>
      </w:r>
      <w:r>
        <w:rPr>
          <w:rFonts w:hint="eastAsia" w:ascii="宋体" w:hAnsi="宋体" w:eastAsia="宋体" w:cs="宋体"/>
          <w:sz w:val="24"/>
          <w:szCs w:val="24"/>
        </w:rPr>
        <w:t xml:space="preserve"> #</w:t>
      </w:r>
    </w:p>
    <w:p w14:paraId="04DDA1B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支持课题组用户在移动端提交危废处置申请，新增时选择当前地址和期望回收时间，根据本次处置危废分类填写危废明细信息，包括成分、危险属性，容器数量，估重，拍照上传，填写内容和电脑端一致。提供编辑，删除功能。</w:t>
      </w:r>
    </w:p>
    <w:p w14:paraId="406D6E0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支持学院管理员在移动端提交危废处置申请，填写内容和电脑端一致。提供编辑，删除功能。</w:t>
      </w:r>
    </w:p>
    <w:p w14:paraId="58C1250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支持用户在移动端跟踪危废处置状态，按照待确认，已确认（待回收、处置完成），已退回（包含已取消、未按期送达）筛选，可以查看单据详情和审核轨迹信息。</w:t>
      </w:r>
    </w:p>
    <w:p w14:paraId="0205BDE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支持用户在移动端查看危废处置单二维码，可点击二维码全屏查看，现场提供给回收人员扫码识别，无需打印纸质二维码。</w:t>
      </w:r>
    </w:p>
    <w:p w14:paraId="14A6753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支持危废处置公司或危废中转站在移动端对待学校确认状态处置单进行操作，可以操作处置（生成处置计划），退回，取消。</w:t>
      </w:r>
    </w:p>
    <w:p w14:paraId="6B3DD03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支持危废处置公司或危废中转站在移动端进行扫码核重，扫描申请人提供的二维码，自动识别处置单信息，填写核重重量完成回收。</w:t>
      </w:r>
    </w:p>
    <w:p w14:paraId="51C2BE8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支持危废处置公司或危废中转站在移动端选择已确认的处置单进行标记，可以进行核重和标记未按期送达或取消处置单操作。</w:t>
      </w:r>
    </w:p>
    <w:p w14:paraId="2B2E60C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bookmarkStart w:id="635" w:name="_Toc5904"/>
      <w:r>
        <w:rPr>
          <w:rFonts w:hint="eastAsia" w:ascii="宋体" w:hAnsi="宋体" w:eastAsia="宋体" w:cs="宋体"/>
          <w:sz w:val="24"/>
          <w:szCs w:val="24"/>
          <w:lang w:val="en-US" w:eastAsia="zh-CN"/>
        </w:rPr>
        <w:t>模块3 特种设备管理模块</w:t>
      </w:r>
      <w:bookmarkEnd w:id="635"/>
    </w:p>
    <w:p w14:paraId="0D95637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bookmarkStart w:id="636" w:name="_Toc3042"/>
      <w:r>
        <w:rPr>
          <w:rFonts w:hint="eastAsia" w:ascii="宋体" w:hAnsi="宋体" w:cs="宋体"/>
          <w:sz w:val="24"/>
          <w:szCs w:val="24"/>
          <w:lang w:val="en-US" w:eastAsia="zh-CN"/>
        </w:rPr>
        <w:t>八、</w:t>
      </w:r>
      <w:r>
        <w:rPr>
          <w:rFonts w:hint="eastAsia" w:ascii="宋体" w:hAnsi="宋体" w:eastAsia="宋体" w:cs="宋体"/>
          <w:sz w:val="24"/>
          <w:szCs w:val="24"/>
          <w:lang w:val="en-US" w:eastAsia="zh-CN"/>
        </w:rPr>
        <w:t>特种设备管理</w:t>
      </w:r>
      <w:bookmarkEnd w:id="636"/>
    </w:p>
    <w:p w14:paraId="2DE47A4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（46）</w:t>
      </w:r>
      <w:r>
        <w:rPr>
          <w:rFonts w:hint="eastAsia" w:ascii="宋体" w:hAnsi="宋体" w:eastAsia="宋体" w:cs="宋体"/>
          <w:sz w:val="24"/>
          <w:szCs w:val="24"/>
          <w:lang w:val="en-US" w:eastAsia="zh-CN"/>
        </w:rPr>
        <w:t>特种设备办证</w:t>
      </w:r>
    </w:p>
    <w:p w14:paraId="0F2348C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实验室购买特种设备时需在线填写办证申请，经过学院审批，学校审批，相关部门线下办证。</w:t>
      </w:r>
    </w:p>
    <w:p w14:paraId="281450A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填写内容。包括设备管理人，管理人联系方式，设备名称，出厂编号，生产日期，设备编号，安装位置，持证人是否取证情况。</w:t>
      </w:r>
    </w:p>
    <w:p w14:paraId="395FDA7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上传办证所需材料（材料形式：扫描原件）。包含产品合格证，产品数据表，监督检验证明，检验报告（进口设备填写），特种设备安装告知单。</w:t>
      </w:r>
    </w:p>
    <w:p w14:paraId="6CA8411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学院审核。学院安全负责人在线审批办证材料以及附件信息。</w:t>
      </w:r>
    </w:p>
    <w:p w14:paraId="00B77D4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学校审核。学校主管部门在线审批办证材料以及附件信息。</w:t>
      </w:r>
    </w:p>
    <w:p w14:paraId="50003EB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线下办证登记。学校主管部门将申请材料由相关管理平台上传提交，办理完毕后上传压力容器检验申请表和特种设备使用登记表。</w:t>
      </w:r>
    </w:p>
    <w:p w14:paraId="37F1D17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（47）</w:t>
      </w:r>
      <w:r>
        <w:rPr>
          <w:rFonts w:hint="eastAsia" w:ascii="宋体" w:hAnsi="宋体" w:eastAsia="宋体" w:cs="宋体"/>
          <w:sz w:val="24"/>
          <w:szCs w:val="24"/>
          <w:lang w:val="en-US" w:eastAsia="zh-CN"/>
        </w:rPr>
        <w:t>特种设备入库</w:t>
      </w:r>
    </w:p>
    <w:p w14:paraId="2C1154B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特种设备办证完成后，进行信息入库，完善相关内容。</w:t>
      </w:r>
    </w:p>
    <w:p w14:paraId="3CA581A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下次检验日期。填写重要配件和主体的下次校验日期，以便系统提醒和通知相关人员提前做好检验准备。</w:t>
      </w:r>
    </w:p>
    <w:p w14:paraId="557F090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持证情况。包括持证人员证-A，持证人员证-R1，登记持证人证件编号，证件有效期，证件扫描件信息</w:t>
      </w:r>
    </w:p>
    <w:p w14:paraId="41A43FE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（48）</w:t>
      </w:r>
      <w:r>
        <w:rPr>
          <w:rFonts w:hint="eastAsia" w:ascii="宋体" w:hAnsi="宋体" w:eastAsia="宋体" w:cs="宋体"/>
          <w:sz w:val="24"/>
          <w:szCs w:val="24"/>
          <w:lang w:val="en-US" w:eastAsia="zh-CN"/>
        </w:rPr>
        <w:t>特种设备报废</w:t>
      </w:r>
      <w:r>
        <w:rPr>
          <w:rFonts w:hint="eastAsia" w:ascii="宋体" w:hAnsi="宋体" w:eastAsia="宋体" w:cs="宋体"/>
          <w:sz w:val="24"/>
          <w:szCs w:val="24"/>
        </w:rPr>
        <w:t xml:space="preserve"> #</w:t>
      </w:r>
    </w:p>
    <w:p w14:paraId="2CC4920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根据《中华人民共和国特种设备安全法》，对于存在严重事故隐患、无改造、修理价值的特种设备，或者达到安全技术规范规定的报废期限的，应当依法向安全监督部门履行报废义务，并采取必要措施消除该设备的使用功能。</w:t>
      </w:r>
    </w:p>
    <w:p w14:paraId="09A32D2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提交申请。特种设备报废前，需在系统中选择待报废设备，并在系统上传报废所需技术资料走审批流程。报废需上传的资料：特种设备注销报废申请（盖院章）、特种设备使用登记证、特种设备使用登记表。</w:t>
      </w:r>
    </w:p>
    <w:p w14:paraId="74AC3D3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学院审批。学院管理员审批报废申请。</w:t>
      </w:r>
    </w:p>
    <w:p w14:paraId="7BBC60F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学校审核通过后，从系统下载《特种设备停用报废注销申请表》，一式两份加盖校章，与特种设备注销报废申请、特种设备使用登记证、特种设备使用登记表的原件一同交至学校主管部门备案。</w:t>
      </w:r>
    </w:p>
    <w:p w14:paraId="025787A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特种设备作为学校资产，同时需按学校资产管理有关规定及时走资产报废流程，以免被其他单位或个人误用，带来安全隐患。</w:t>
      </w:r>
    </w:p>
    <w:p w14:paraId="0513A84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特种设备在提交申请报废期间不得使用，如违规擅自使用造成的安全事故责任由管理员和违规使用人员承担。</w:t>
      </w:r>
    </w:p>
    <w:p w14:paraId="3954156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特种设备报废后同步更新实验室危险源管理系统中机电安全对应类别的数据。</w:t>
      </w:r>
    </w:p>
    <w:p w14:paraId="2B88E5E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bookmarkStart w:id="637" w:name="_Toc22442"/>
      <w:r>
        <w:rPr>
          <w:rFonts w:hint="eastAsia" w:ascii="宋体" w:hAnsi="宋体" w:eastAsia="宋体" w:cs="宋体"/>
          <w:sz w:val="24"/>
          <w:szCs w:val="24"/>
          <w:lang w:val="en-US" w:eastAsia="zh-CN"/>
        </w:rPr>
        <w:t>模块4 实验室安全检查模块</w:t>
      </w:r>
      <w:bookmarkEnd w:id="637"/>
    </w:p>
    <w:p w14:paraId="44ED678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bookmarkStart w:id="638" w:name="_Toc8651"/>
      <w:r>
        <w:rPr>
          <w:rFonts w:hint="eastAsia" w:ascii="宋体" w:hAnsi="宋体" w:cs="宋体"/>
          <w:sz w:val="24"/>
          <w:szCs w:val="24"/>
          <w:lang w:val="en-US" w:eastAsia="zh-CN"/>
        </w:rPr>
        <w:t>九、</w:t>
      </w:r>
      <w:r>
        <w:rPr>
          <w:rFonts w:hint="eastAsia" w:ascii="宋体" w:hAnsi="宋体" w:eastAsia="宋体" w:cs="宋体"/>
          <w:sz w:val="24"/>
          <w:szCs w:val="24"/>
        </w:rPr>
        <w:t>实验室安全检查管理</w:t>
      </w:r>
      <w:bookmarkEnd w:id="638"/>
    </w:p>
    <w:p w14:paraId="1890BBD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（49）</w:t>
      </w:r>
      <w:r>
        <w:rPr>
          <w:rFonts w:hint="eastAsia" w:ascii="宋体" w:hAnsi="宋体" w:eastAsia="宋体" w:cs="宋体"/>
          <w:sz w:val="24"/>
          <w:szCs w:val="24"/>
          <w:lang w:val="en-US" w:eastAsia="zh-CN"/>
        </w:rPr>
        <w:t>安全检查指标设置 #</w:t>
      </w:r>
    </w:p>
    <w:p w14:paraId="72FB435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支持设置教育部指标版、校级实验室安全检查简表、院级实验室安全检查简表、实验室级安全检查简表，分别适用不同需要的层级的实验室安全检查。</w:t>
      </w:r>
    </w:p>
    <w:p w14:paraId="19B1E0F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支持每年同步教育部的实验室安全检查指标体系，并明确提示当前使用的指标体系，每年的指标体系能够正常显示。</w:t>
      </w:r>
    </w:p>
    <w:p w14:paraId="1AD6A61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根据学院、实验室的日常安全检查要素，可设置学院、实验室通用版的安全检查简表，方便用户日常检查工作。支持数据的新增、编辑、删除、导入、导出等维护操作。</w:t>
      </w:r>
    </w:p>
    <w:p w14:paraId="198AFC6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支持学院、实验室学科特色、实验室管理特点，指定学院、实验室设置独立的安全检查指标项，指导用户完成日常检查工作。支持数据的新增、编辑、删除、导入、导出等维护操作。支持复制通用版的指标，再进行局部调整。</w:t>
      </w:r>
    </w:p>
    <w:p w14:paraId="03F097D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（50）</w:t>
      </w:r>
      <w:r>
        <w:rPr>
          <w:rFonts w:hint="eastAsia" w:ascii="宋体" w:hAnsi="宋体" w:eastAsia="宋体" w:cs="宋体"/>
          <w:sz w:val="24"/>
          <w:szCs w:val="24"/>
          <w:lang w:val="en-US" w:eastAsia="zh-CN"/>
        </w:rPr>
        <w:t>危险源对标配置</w:t>
      </w:r>
    </w:p>
    <w:p w14:paraId="1B49BF7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根据危险源分类信息配置安全检查指标项，支持设置到最末项安全检查指标，选择每个危险源分类都可以查看到安全检查的指标项，指引用户有针对性的完成安全检查工作。</w:t>
      </w:r>
    </w:p>
    <w:p w14:paraId="1D6BA53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支持每个安全指标项设置安全隐患库，方便用户在现场安全检查工作时，快速完成安全隐患的填写。</w:t>
      </w:r>
    </w:p>
    <w:p w14:paraId="35F4823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（51）</w:t>
      </w:r>
      <w:r>
        <w:rPr>
          <w:rFonts w:hint="eastAsia" w:ascii="宋体" w:hAnsi="宋体" w:eastAsia="宋体" w:cs="宋体"/>
          <w:sz w:val="24"/>
          <w:szCs w:val="24"/>
          <w:lang w:val="en-US" w:eastAsia="zh-CN"/>
        </w:rPr>
        <w:t>校外专家库管理</w:t>
      </w:r>
    </w:p>
    <w:p w14:paraId="049D2CD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支持维护校外专家库，方便用户在组织校外专家检查时，进行选择，同时支持通过系统给校外专家发短信，告知安全检查活动的时间、地点等信息。</w:t>
      </w:r>
    </w:p>
    <w:p w14:paraId="121573D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（52）</w:t>
      </w:r>
      <w:r>
        <w:rPr>
          <w:rFonts w:hint="eastAsia" w:ascii="宋体" w:hAnsi="宋体" w:eastAsia="宋体" w:cs="宋体"/>
          <w:sz w:val="24"/>
          <w:szCs w:val="24"/>
          <w:lang w:val="en-US" w:eastAsia="zh-CN"/>
        </w:rPr>
        <w:t>学校专项检查</w:t>
      </w:r>
    </w:p>
    <w:p w14:paraId="0345EB3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以检查活动的方式新建检查任务，填写检查活动名称、起始时间；设置检查人，支持在用户表中选择检查组成员，支持设置学校专项小组成员；检查对象，选择全校范围内所有实验室，或者指定学院的全部实验室，或者选择自定的实验室，支持按楼栋位置、按危险源类别、按实验室分类、实验室安全等级等多种方式选择符合条件的实验室；填写检查活动的具体内容。</w:t>
      </w:r>
    </w:p>
    <w:p w14:paraId="5F72182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开启安全检查活动</w:t>
      </w:r>
      <w:r>
        <w:rPr>
          <w:rFonts w:hint="eastAsia" w:ascii="宋体" w:hAnsi="宋体" w:eastAsia="宋体" w:cs="宋体"/>
          <w:sz w:val="24"/>
          <w:szCs w:val="24"/>
          <w:lang w:eastAsia="zh-CN"/>
        </w:rPr>
        <w:t>。</w:t>
      </w:r>
      <w:r>
        <w:rPr>
          <w:rFonts w:hint="eastAsia" w:ascii="宋体" w:hAnsi="宋体" w:eastAsia="宋体" w:cs="宋体"/>
          <w:sz w:val="24"/>
          <w:szCs w:val="24"/>
        </w:rPr>
        <w:t>支持发送企业微信消息通知到安全检查人员，在指定时间、地点完成安全检查活动。</w:t>
      </w:r>
    </w:p>
    <w:p w14:paraId="52B5BE2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检查人员需使用移动端在实验室现场完成检查，支持用户通过扫码，查看检查对象实验室的危险清单，检查项目列表，检查人员对应检查项目的要点逐条完成检查工作，发现隐患问题，可在移动端选择或者填写隐患内容，支持语音识别输入、支持现场拍照；支持创建新的指标项，描述隐患问题。用户现场完成检查，提交检查结果上传，同步更新到系统。</w:t>
      </w:r>
    </w:p>
    <w:p w14:paraId="741CA5B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支持用户在电脑端审核隐患，根据检查人提交的隐患描述，新增、删除、修改隐患等操作，确认本次检查活动中产生的隐患。</w:t>
      </w:r>
    </w:p>
    <w:p w14:paraId="22BB3DB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支持查看安全检查实验室数量，及明细清单，清单上明确标识实验室的危险源类别图标。支持查看检查结果，隐患总数量，具体查看检查活动中的检查结果内容包括：</w:t>
      </w:r>
    </w:p>
    <w:p w14:paraId="27B2818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按隐患结果查询</w:t>
      </w:r>
      <w:r>
        <w:rPr>
          <w:rFonts w:hint="eastAsia" w:ascii="宋体" w:hAnsi="宋体" w:eastAsia="宋体" w:cs="宋体"/>
          <w:sz w:val="24"/>
          <w:szCs w:val="24"/>
          <w:lang w:eastAsia="zh-CN"/>
        </w:rPr>
        <w:t>。</w:t>
      </w:r>
      <w:r>
        <w:rPr>
          <w:rFonts w:hint="eastAsia" w:ascii="宋体" w:hAnsi="宋体" w:eastAsia="宋体" w:cs="宋体"/>
          <w:sz w:val="24"/>
          <w:szCs w:val="24"/>
        </w:rPr>
        <w:t>查看隐患详细内容，包括隐患检查项、隐患描述、隐患图片、隐患等级，上报人员；隐患整改状态及整改的生命周期；在隐患结果基础上新增、删除、修改隐患；支持对隐患审核；</w:t>
      </w:r>
    </w:p>
    <w:p w14:paraId="426E839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按检查人查询</w:t>
      </w:r>
      <w:r>
        <w:rPr>
          <w:rFonts w:hint="eastAsia" w:ascii="宋体" w:hAnsi="宋体" w:eastAsia="宋体" w:cs="宋体"/>
          <w:sz w:val="24"/>
          <w:szCs w:val="24"/>
          <w:lang w:eastAsia="zh-CN"/>
        </w:rPr>
        <w:t>。</w:t>
      </w:r>
      <w:r>
        <w:rPr>
          <w:rFonts w:hint="eastAsia" w:ascii="宋体" w:hAnsi="宋体" w:eastAsia="宋体" w:cs="宋体"/>
          <w:sz w:val="24"/>
          <w:szCs w:val="24"/>
        </w:rPr>
        <w:t>统计检查</w:t>
      </w:r>
      <w:r>
        <w:rPr>
          <w:rFonts w:hint="eastAsia" w:ascii="宋体" w:hAnsi="宋体" w:eastAsia="宋体" w:cs="宋体"/>
          <w:sz w:val="24"/>
          <w:szCs w:val="24"/>
          <w:lang w:eastAsia="zh-CN"/>
        </w:rPr>
        <w:t>人员</w:t>
      </w:r>
      <w:r>
        <w:rPr>
          <w:rFonts w:hint="eastAsia" w:ascii="宋体" w:hAnsi="宋体" w:eastAsia="宋体" w:cs="宋体"/>
          <w:sz w:val="24"/>
          <w:szCs w:val="24"/>
        </w:rPr>
        <w:t>的检查结果，包括未检查数、检查中数、已提交数、巡查正常数、存在问题数。支持查看每个检查人员对每个检查对象的详细检查结果，统计存在问题的实验室隐患的详情，包括待审核隐患、隐患、非隐患、待整改隐患、已整改隐患数，查看隐患内容、整改内容。</w:t>
      </w:r>
    </w:p>
    <w:p w14:paraId="4E899DD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按实验室查询</w:t>
      </w:r>
      <w:r>
        <w:rPr>
          <w:rFonts w:hint="eastAsia" w:ascii="宋体" w:hAnsi="宋体" w:eastAsia="宋体" w:cs="宋体"/>
          <w:sz w:val="24"/>
          <w:szCs w:val="24"/>
          <w:lang w:eastAsia="zh-CN"/>
        </w:rPr>
        <w:t>。</w:t>
      </w:r>
      <w:r>
        <w:rPr>
          <w:rFonts w:hint="eastAsia" w:ascii="宋体" w:hAnsi="宋体" w:eastAsia="宋体" w:cs="宋体"/>
          <w:sz w:val="24"/>
          <w:szCs w:val="24"/>
        </w:rPr>
        <w:t>统计检查对象的每个实验室检查的统计结果，包括未检查数、检查中数、已提交数、巡查正常数、存在问题数。支持查看每个房间的检查结果，可查看每个检查人员提交的检查结果，检查</w:t>
      </w:r>
      <w:r>
        <w:rPr>
          <w:rFonts w:hint="eastAsia" w:ascii="宋体" w:hAnsi="宋体" w:eastAsia="宋体" w:cs="宋体"/>
          <w:sz w:val="24"/>
          <w:szCs w:val="24"/>
          <w:lang w:eastAsia="zh-CN"/>
        </w:rPr>
        <w:t>人员</w:t>
      </w:r>
      <w:r>
        <w:rPr>
          <w:rFonts w:hint="eastAsia" w:ascii="宋体" w:hAnsi="宋体" w:eastAsia="宋体" w:cs="宋体"/>
          <w:sz w:val="24"/>
          <w:szCs w:val="24"/>
        </w:rPr>
        <w:t>提交存在问题的检查结果中，统计待审核隐患、隐患、非隐患、待整改隐患、已整改隐患数，查看隐患内容、整改内容。</w:t>
      </w:r>
    </w:p>
    <w:p w14:paraId="592950B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按检查项查询</w:t>
      </w:r>
      <w:r>
        <w:rPr>
          <w:rFonts w:hint="eastAsia" w:ascii="宋体" w:hAnsi="宋体" w:eastAsia="宋体" w:cs="宋体"/>
          <w:sz w:val="24"/>
          <w:szCs w:val="24"/>
          <w:lang w:eastAsia="zh-CN"/>
        </w:rPr>
        <w:t>。</w:t>
      </w:r>
      <w:r>
        <w:rPr>
          <w:rFonts w:hint="eastAsia" w:ascii="宋体" w:hAnsi="宋体" w:eastAsia="宋体" w:cs="宋体"/>
          <w:sz w:val="24"/>
          <w:szCs w:val="24"/>
        </w:rPr>
        <w:t>按检查项目类别统计检查的结果，每个类别检查项目在本次检查活动中发现的安全隐患数据，包括待审核隐患、隐患、非隐患、待整改隐患、已整改隐患数。支持每个检查项目类别发现隐患的具体详情，统计隐患数，查看隐患内容、整改内容。</w:t>
      </w:r>
    </w:p>
    <w:p w14:paraId="47DD595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（53）</w:t>
      </w:r>
      <w:r>
        <w:rPr>
          <w:rFonts w:hint="eastAsia" w:ascii="宋体" w:hAnsi="宋体" w:eastAsia="宋体" w:cs="宋体"/>
          <w:sz w:val="24"/>
          <w:szCs w:val="24"/>
          <w:lang w:val="en-US" w:eastAsia="zh-CN"/>
        </w:rPr>
        <w:t>学院专项检查</w:t>
      </w:r>
    </w:p>
    <w:p w14:paraId="4D6995C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根据学院的安全管理要求，实验室的分级分类管理要求，学院定期组织专项检查活动，检查活动发布方式、检查方式、检查结果查看和处理方式，同学校专项检查。</w:t>
      </w:r>
    </w:p>
    <w:p w14:paraId="5ACB6C6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（54）</w:t>
      </w:r>
      <w:r>
        <w:rPr>
          <w:rFonts w:hint="eastAsia" w:ascii="宋体" w:hAnsi="宋体" w:eastAsia="宋体" w:cs="宋体"/>
          <w:sz w:val="24"/>
          <w:szCs w:val="24"/>
          <w:lang w:val="en-US" w:eastAsia="zh-CN"/>
        </w:rPr>
        <w:t>实验室自查管理</w:t>
      </w:r>
      <w:r>
        <w:rPr>
          <w:rFonts w:hint="eastAsia" w:ascii="宋体" w:hAnsi="宋体" w:eastAsia="宋体" w:cs="宋体"/>
          <w:sz w:val="24"/>
          <w:szCs w:val="24"/>
        </w:rPr>
        <w:t xml:space="preserve"> #</w:t>
      </w:r>
    </w:p>
    <w:p w14:paraId="4F2C2D6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检查计划。实验室负责人或房间责任人可提前设置每日实验室检查计划表。支持为每个实验室创建自查计划，支持一次性创建一周、一个月或者指定时间段的自查任务；设置每天的检查人员，支持选择本实验室人员，或者指定人员；支持每天独立设置，或者批量选择日期，批量设置。提供新增，删除，查看计划功能。</w:t>
      </w:r>
      <w:r>
        <w:rPr>
          <w:rFonts w:hint="eastAsia" w:ascii="宋体" w:hAnsi="宋体" w:eastAsia="宋体" w:cs="宋体"/>
          <w:sz w:val="24"/>
          <w:szCs w:val="24"/>
        </w:rPr>
        <w:cr/>
      </w:r>
      <w:r>
        <w:rPr>
          <w:rFonts w:hint="eastAsia" w:ascii="宋体" w:hAnsi="宋体" w:eastAsia="宋体" w:cs="宋体"/>
          <w:sz w:val="24"/>
          <w:szCs w:val="24"/>
        </w:rPr>
        <w:t xml:space="preserve">    实验室/房间自查。设置的检查人员按照计划执行检查任务，并填写检查结果。实验室负责人或房间责任人也可以直接填写检查结果。系统支持查看今天、近一周、近一个月等时间段的实验室/房间的检查记录以及自查结果。支持在日历上选择日期查看检查计划。</w:t>
      </w:r>
      <w:r>
        <w:rPr>
          <w:rFonts w:hint="eastAsia" w:ascii="宋体" w:hAnsi="宋体" w:eastAsia="宋体" w:cs="宋体"/>
          <w:sz w:val="24"/>
          <w:szCs w:val="24"/>
        </w:rPr>
        <w:cr/>
      </w:r>
      <w:r>
        <w:rPr>
          <w:rFonts w:hint="eastAsia" w:ascii="宋体" w:hAnsi="宋体" w:eastAsia="宋体" w:cs="宋体"/>
          <w:sz w:val="24"/>
          <w:szCs w:val="24"/>
        </w:rPr>
        <w:t xml:space="preserve">    自查隐患处理。检查人员提交检查结果，形成待处理的隐患，实验室负责人根据隐患内容进行整改，并在系统中处理隐患，提交整改信息，上传整改图片。</w:t>
      </w:r>
      <w:r>
        <w:rPr>
          <w:rFonts w:hint="eastAsia" w:ascii="宋体" w:hAnsi="宋体" w:eastAsia="宋体" w:cs="宋体"/>
          <w:sz w:val="24"/>
          <w:szCs w:val="24"/>
        </w:rPr>
        <w:cr/>
      </w:r>
      <w:r>
        <w:rPr>
          <w:rFonts w:hint="eastAsia" w:ascii="宋体" w:hAnsi="宋体" w:eastAsia="宋体" w:cs="宋体"/>
          <w:sz w:val="24"/>
          <w:szCs w:val="24"/>
        </w:rPr>
        <w:t>学院审核整改信息。学院审核实验室整改的隐患，审核通过后，可消除隐患。</w:t>
      </w:r>
    </w:p>
    <w:p w14:paraId="5C1C31C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（55）</w:t>
      </w:r>
      <w:r>
        <w:rPr>
          <w:rFonts w:hint="eastAsia" w:ascii="宋体" w:hAnsi="宋体" w:eastAsia="宋体" w:cs="宋体"/>
          <w:sz w:val="24"/>
          <w:szCs w:val="24"/>
          <w:lang w:val="en-US" w:eastAsia="zh-CN"/>
        </w:rPr>
        <w:t>实验室分级检查任务 #</w:t>
      </w:r>
    </w:p>
    <w:p w14:paraId="070F74D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根据《高校实验室分级管理要求参照表》，针对不同等级实验室，制定并落实不同等级的实验室的安全检查任务：Ⅰ级实验室自动生成一个月一次校级检查、一个周一次院级检查；Ⅱ级实验室自动生成一个季度一次校级检查、一个月一次院级检查；Ⅲ级实验室自动生成半年一次校级检查、一个季度一次院级检查。</w:t>
      </w:r>
    </w:p>
    <w:p w14:paraId="53FB9C1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创建分级检查任务</w:t>
      </w:r>
      <w:r>
        <w:rPr>
          <w:rFonts w:hint="eastAsia" w:ascii="宋体" w:hAnsi="宋体" w:eastAsia="宋体" w:cs="宋体"/>
          <w:sz w:val="24"/>
          <w:szCs w:val="24"/>
          <w:lang w:eastAsia="zh-CN"/>
        </w:rPr>
        <w:t>。</w:t>
      </w:r>
      <w:r>
        <w:rPr>
          <w:rFonts w:hint="eastAsia" w:ascii="宋体" w:hAnsi="宋体" w:eastAsia="宋体" w:cs="宋体"/>
          <w:sz w:val="24"/>
          <w:szCs w:val="24"/>
        </w:rPr>
        <w:t>根据实验室的风险等级，Ⅰ级、Ⅱ级实验室按照要求，按学院自动创建检查任务。同时，支持管理员用户手动创建分级检查任务，勾选需要检查的风险等级实验室，选择学院，创建检查任务。</w:t>
      </w:r>
    </w:p>
    <w:p w14:paraId="198A363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检查任务管理</w:t>
      </w:r>
      <w:r>
        <w:rPr>
          <w:rFonts w:hint="eastAsia" w:ascii="宋体" w:hAnsi="宋体" w:eastAsia="宋体" w:cs="宋体"/>
          <w:sz w:val="24"/>
          <w:szCs w:val="24"/>
          <w:lang w:eastAsia="zh-CN"/>
        </w:rPr>
        <w:t>。</w:t>
      </w:r>
      <w:r>
        <w:rPr>
          <w:rFonts w:hint="eastAsia" w:ascii="宋体" w:hAnsi="宋体" w:eastAsia="宋体" w:cs="宋体"/>
          <w:sz w:val="24"/>
          <w:szCs w:val="24"/>
        </w:rPr>
        <w:t>每个检查任务明确标识了实验室风险等级、创建方式、执行状况、审核状况；管理员可监督查看检查任务执行情况，查看</w:t>
      </w:r>
      <w:r>
        <w:rPr>
          <w:rFonts w:hint="eastAsia" w:ascii="宋体" w:hAnsi="宋体" w:eastAsia="宋体" w:cs="宋体"/>
          <w:sz w:val="24"/>
          <w:szCs w:val="24"/>
          <w:lang w:eastAsia="zh-CN"/>
        </w:rPr>
        <w:t>每项</w:t>
      </w:r>
      <w:r>
        <w:rPr>
          <w:rFonts w:hint="eastAsia" w:ascii="宋体" w:hAnsi="宋体" w:eastAsia="宋体" w:cs="宋体"/>
          <w:sz w:val="24"/>
          <w:szCs w:val="24"/>
        </w:rPr>
        <w:t>任务的检查详情，包括参与检查的实验室清单，检查人、检查时间、检查情况、检查结果以及审批记录等；每个检查任务的产生的隐患情况，</w:t>
      </w:r>
    </w:p>
    <w:p w14:paraId="5C70FC5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实验室上报</w:t>
      </w:r>
      <w:r>
        <w:rPr>
          <w:rFonts w:hint="eastAsia" w:ascii="宋体" w:hAnsi="宋体" w:eastAsia="宋体" w:cs="宋体"/>
          <w:sz w:val="24"/>
          <w:szCs w:val="24"/>
          <w:lang w:eastAsia="zh-CN"/>
        </w:rPr>
        <w:t>。</w:t>
      </w:r>
      <w:r>
        <w:rPr>
          <w:rFonts w:hint="eastAsia" w:ascii="宋体" w:hAnsi="宋体" w:eastAsia="宋体" w:cs="宋体"/>
          <w:sz w:val="24"/>
          <w:szCs w:val="24"/>
        </w:rPr>
        <w:t>实验室根据创建的检查任务，完成安全自查任务，打开分级检查任务，罗列出需要检查的实验室列表，填写检查结果，以勾选的方式选择正常或存在隐患，填写具体隐患内容，上传隐患照片，完成批量上报。</w:t>
      </w:r>
    </w:p>
    <w:p w14:paraId="67B4681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学院管理员审核</w:t>
      </w:r>
      <w:r>
        <w:rPr>
          <w:rFonts w:hint="eastAsia" w:ascii="宋体" w:hAnsi="宋体" w:eastAsia="宋体" w:cs="宋体"/>
          <w:sz w:val="24"/>
          <w:szCs w:val="24"/>
          <w:lang w:eastAsia="zh-CN"/>
        </w:rPr>
        <w:t>。</w:t>
      </w:r>
      <w:r>
        <w:rPr>
          <w:rFonts w:hint="eastAsia" w:ascii="宋体" w:hAnsi="宋体" w:eastAsia="宋体" w:cs="宋体"/>
          <w:sz w:val="24"/>
          <w:szCs w:val="24"/>
        </w:rPr>
        <w:t>学院安全管理员对本院不同风险等级实验室提交的安全检查任务，进行逐一审查。查看每个任务的实验室总数，已自查、未自查的检查执行情况；隐患信息，隐患总数，待审核、已通过、不通过的分项统计数据。支持选择检查任务导出检查报告。</w:t>
      </w:r>
    </w:p>
    <w:p w14:paraId="4FBB2E7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学校审核</w:t>
      </w:r>
      <w:r>
        <w:rPr>
          <w:rFonts w:hint="eastAsia" w:ascii="宋体" w:hAnsi="宋体" w:eastAsia="宋体" w:cs="宋体"/>
          <w:sz w:val="24"/>
          <w:szCs w:val="24"/>
          <w:lang w:eastAsia="zh-CN"/>
        </w:rPr>
        <w:t>。</w:t>
      </w:r>
      <w:r>
        <w:rPr>
          <w:rFonts w:hint="eastAsia" w:ascii="宋体" w:hAnsi="宋体" w:eastAsia="宋体" w:cs="宋体"/>
          <w:sz w:val="24"/>
          <w:szCs w:val="24"/>
        </w:rPr>
        <w:t>校级管理员查看学院的分级检查任务，查看检查的详细清单，罗列每个实验室清单，包括检查人、检查时间检查情况、是否正常，隐患情况、整改情况、审批记录等。对检查任务执行情况进行审核。</w:t>
      </w:r>
    </w:p>
    <w:p w14:paraId="31DC105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上报进度统计</w:t>
      </w:r>
      <w:r>
        <w:rPr>
          <w:rFonts w:hint="eastAsia" w:ascii="宋体" w:hAnsi="宋体" w:eastAsia="宋体" w:cs="宋体"/>
          <w:sz w:val="24"/>
          <w:szCs w:val="24"/>
          <w:lang w:eastAsia="zh-CN"/>
        </w:rPr>
        <w:t>。</w:t>
      </w:r>
      <w:r>
        <w:rPr>
          <w:rFonts w:hint="eastAsia" w:ascii="宋体" w:hAnsi="宋体" w:eastAsia="宋体" w:cs="宋体"/>
          <w:sz w:val="24"/>
          <w:szCs w:val="24"/>
        </w:rPr>
        <w:t>按每个学院的每个风险等级实验室的检查任务罗列，并以明确的色块标识，每个检查任务执行时段，任务完成情况，选择每个任务都可以查看具体的执行情况表。</w:t>
      </w:r>
    </w:p>
    <w:p w14:paraId="244E21C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（56）</w:t>
      </w:r>
      <w:r>
        <w:rPr>
          <w:rFonts w:hint="eastAsia" w:ascii="宋体" w:hAnsi="宋体" w:eastAsia="宋体" w:cs="宋体"/>
          <w:sz w:val="24"/>
          <w:szCs w:val="24"/>
          <w:lang w:val="en-US" w:eastAsia="zh-CN"/>
        </w:rPr>
        <w:t>日常巡查</w:t>
      </w:r>
    </w:p>
    <w:p w14:paraId="6F5C776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学院或者学校实验室安全管理人员根据具体情况，对校内实验室进行日常安全巡检工作，在移动端通过检索到实验室或者扫码实验室二维码，获取实验室的安全基础信息，根据安全指标体系，完成日常巡查工作。</w:t>
      </w:r>
    </w:p>
    <w:p w14:paraId="4CF4C62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（57）</w:t>
      </w:r>
      <w:r>
        <w:rPr>
          <w:rFonts w:hint="eastAsia" w:ascii="宋体" w:hAnsi="宋体" w:eastAsia="宋体" w:cs="宋体"/>
          <w:sz w:val="24"/>
          <w:szCs w:val="24"/>
          <w:lang w:val="en-US" w:eastAsia="zh-CN"/>
        </w:rPr>
        <w:t>安全举报/随手拍</w:t>
      </w:r>
    </w:p>
    <w:p w14:paraId="07F9CC8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用户通过拍摄安全隐患照片，上传报告实验室的安全问题，提醒收到安全报告的实验室及时处理隐患，并消除隐患。</w:t>
      </w:r>
    </w:p>
    <w:p w14:paraId="126236F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（58）</w:t>
      </w:r>
      <w:r>
        <w:rPr>
          <w:rFonts w:hint="eastAsia" w:ascii="宋体" w:hAnsi="宋体" w:eastAsia="宋体" w:cs="宋体"/>
          <w:sz w:val="24"/>
          <w:szCs w:val="24"/>
          <w:lang w:val="en-US" w:eastAsia="zh-CN"/>
        </w:rPr>
        <w:t>安全隐患整改管理</w:t>
      </w:r>
    </w:p>
    <w:p w14:paraId="11B829A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日常检查过程中录入的隐患，经过相关</w:t>
      </w:r>
      <w:r>
        <w:rPr>
          <w:rFonts w:hint="eastAsia" w:ascii="宋体" w:hAnsi="宋体" w:eastAsia="宋体" w:cs="宋体"/>
          <w:sz w:val="24"/>
          <w:szCs w:val="24"/>
          <w:lang w:eastAsia="zh-CN"/>
        </w:rPr>
        <w:t>人员</w:t>
      </w:r>
      <w:r>
        <w:rPr>
          <w:rFonts w:hint="eastAsia" w:ascii="宋体" w:hAnsi="宋体" w:eastAsia="宋体" w:cs="宋体"/>
          <w:sz w:val="24"/>
          <w:szCs w:val="24"/>
        </w:rPr>
        <w:t>审核确认为隐患后进入隐患库，校级和院级管理人员可以对权限范围内的实验室隐患进行下发整改通知，学院/实验室提交整改报告，相关管理人员进行复核。隐患整改复核通过后隐患消除，未通过将重新回到隐患下次进行整改。</w:t>
      </w:r>
    </w:p>
    <w:p w14:paraId="736ACC1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发布整改通知。支持查看当前权限范围内等待发布整改通知的隐患数量，隐患明细清单。支持按照学院/实验室创建整改通知书，填写通知主体，筛选隐患类型（按专项检查，按日常巡查，按分级检查），选择整改范围，填写整改期限，整改要求。支持按照检查活动创建，可多选/单选某个专项活动发现的隐患进行发布。支持按照隐患创建，某些重点隐患急需整改，可多选/单选具体隐患直接发布整改通知书。支持发布，编辑，撤销，删除整改通知书。</w:t>
      </w:r>
    </w:p>
    <w:p w14:paraId="0FE2397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支持导出电子版（PDF和word格式）整改通知书。支持发送消息提醒，可选择发送给房间责任人，实验室负责人。</w:t>
      </w:r>
    </w:p>
    <w:p w14:paraId="7A4D3F7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签收通知。学院/实验室可以在系统中签收整改通知书。提供查看整改通知，签收通知功能。</w:t>
      </w:r>
    </w:p>
    <w:p w14:paraId="7A1BE57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创建整改报告。支持在系统中创建整改报告，可显示整改审批流程步骤。支持按照审核状态（待整改，已整改）筛选，支持按照教育部检查项目序号筛选。填写隐患整改情况（已整改，未整改），原因分析，整改措施与结果，证明材料，整改后照片。提供上传整改报告签字照片功能。</w:t>
      </w:r>
    </w:p>
    <w:p w14:paraId="00C1D30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学院管理员，学院领导，学校审核报告。支持学院管理员审批隐患整改。可进行通过或者不通过。页面显示整改进度和隐患数量，可打开报告进行逐一确认审核。提供审核报告，查看报告，导出报告电子版（word格式）功能操作。</w:t>
      </w:r>
    </w:p>
    <w:p w14:paraId="7285289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（59）</w:t>
      </w:r>
      <w:r>
        <w:rPr>
          <w:rFonts w:hint="eastAsia" w:ascii="宋体" w:hAnsi="宋体" w:eastAsia="宋体" w:cs="宋体"/>
          <w:sz w:val="24"/>
          <w:szCs w:val="24"/>
          <w:lang w:val="en-US" w:eastAsia="zh-CN"/>
        </w:rPr>
        <w:t>移动端应用</w:t>
      </w:r>
    </w:p>
    <w:p w14:paraId="7F44AD5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学校/学院专项检查。支持学校/学院创建的专项检查活动，相关的检查人员登录移动端可以看到进行中、已结束、已终止的检查活动。进行检查后可按未检查、检查中、已提交查看实验室信息。支持按条件筛选或扫描二维码门牌直接进入该实验室检查页面。支持查看实验室历史隐患台账，检查记录。支持添加不在检查范围内的实验室加入到本次检查活动中。支持变更无法来现场检查人员，可以添加新的检查人员。支持选择教育部标准或当前层级自定义标准/通用检查标准作为本次检查指标项目。支持按照危险源分类预览实验室危险源情况，点击检查项目自动映射出该分类需要检查的指标参数。支持在录入隐患时，可以直接勾选该检查项目经常出现的隐患项。</w:t>
      </w:r>
    </w:p>
    <w:p w14:paraId="3E19FED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日常巡查。支持校级和院级管理员日常开展检查工作，进入实验室检查页面操作同专项检查。</w:t>
      </w:r>
    </w:p>
    <w:p w14:paraId="19FC390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实验室自查。支持实验室相关人员在移动端检查自己所管理的实验室，进入实验室检查页面操作同专项检查。</w:t>
      </w:r>
    </w:p>
    <w:p w14:paraId="0EA6E52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分级检查。支持实验室在移动端完成分级检查任务，支持提交隐患和批量上报。支持学院管理员在移动端审核分级检查中的隐患信息，支持提交检查。</w:t>
      </w:r>
    </w:p>
    <w:p w14:paraId="6BAB11B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隐患整改。支持学院、学校管理员在移动端上审核隐患整改报告；支持批量审核报告中的隐患，不通过的隐患继续进行隐患库。</w:t>
      </w:r>
    </w:p>
    <w:p w14:paraId="3CF8BF2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信息查询。支持各级用户查看权限范围的实验室信息</w:t>
      </w:r>
      <w:r>
        <w:rPr>
          <w:rFonts w:hint="eastAsia" w:ascii="宋体" w:hAnsi="宋体" w:eastAsia="宋体" w:cs="宋体"/>
          <w:sz w:val="24"/>
          <w:szCs w:val="24"/>
          <w:lang w:eastAsia="zh-CN"/>
        </w:rPr>
        <w:t>。</w:t>
      </w:r>
    </w:p>
    <w:p w14:paraId="4F38957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支持各级用户查看实验室隐患库；支持校内用户在移动端进行实验室安全举报，查看举报处理记录</w:t>
      </w:r>
      <w:r>
        <w:rPr>
          <w:rFonts w:hint="eastAsia" w:ascii="宋体" w:hAnsi="宋体" w:eastAsia="宋体" w:cs="宋体"/>
          <w:sz w:val="24"/>
          <w:szCs w:val="24"/>
          <w:lang w:eastAsia="zh-CN"/>
        </w:rPr>
        <w:t>。</w:t>
      </w:r>
    </w:p>
    <w:p w14:paraId="4645929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待办通知。支持各级用户查看权限范围的实验室信息；支持各级用户查看实验室隐患库；支持校内用户在移动端进行实验室安全举报，查看举报处理记录。</w:t>
      </w:r>
    </w:p>
    <w:p w14:paraId="597F36E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全流程检查任务管理：移动端支持查看校级/院级专项检查活动状态（进行中/已结束/已终止），按实验室检查进度（未检查/检查中/已提交）分类查看；提供实验室历史隐患台账及检查记录追溯功能</w:t>
      </w:r>
      <w:r>
        <w:rPr>
          <w:rFonts w:hint="eastAsia" w:ascii="宋体" w:hAnsi="宋体" w:eastAsia="宋体" w:cs="宋体"/>
          <w:sz w:val="24"/>
          <w:szCs w:val="24"/>
          <w:lang w:val="en-US" w:eastAsia="zh-CN"/>
        </w:rPr>
        <w:t>`</w:t>
      </w:r>
      <w:r>
        <w:rPr>
          <w:rFonts w:hint="eastAsia" w:ascii="宋体" w:hAnsi="宋体" w:eastAsia="宋体" w:cs="宋体"/>
          <w:sz w:val="24"/>
          <w:szCs w:val="24"/>
        </w:rPr>
        <w:t>条件筛选或扫描二维码门牌快速定位。</w:t>
      </w:r>
    </w:p>
    <w:p w14:paraId="4971C4D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灵活检查范围与人员配置：移动端支持动态添加未在计划内的实验室至检查活动，允许检查人员中途变更（如添加/替换人员），权限自动同步至移动端。</w:t>
      </w:r>
    </w:p>
    <w:p w14:paraId="7D610FE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检查标准智能匹配：移动端支持选择教育部标准、校级自定义标准或通用模板作为检查指标；根据危险源分类（如化学/生物/辐射）自动映射关联检查项。</w:t>
      </w:r>
      <w:r>
        <w:rPr>
          <w:rFonts w:hint="eastAsia" w:ascii="宋体" w:hAnsi="宋体" w:eastAsia="宋体" w:cs="宋体"/>
          <w:sz w:val="24"/>
          <w:szCs w:val="24"/>
        </w:rPr>
        <w:br w:type="textWrapping"/>
      </w:r>
      <w:r>
        <w:rPr>
          <w:rFonts w:hint="eastAsia" w:ascii="宋体" w:hAnsi="宋体" w:eastAsia="宋体" w:cs="宋体"/>
          <w:sz w:val="24"/>
          <w:szCs w:val="24"/>
        </w:rPr>
        <w:t xml:space="preserve">    隐患高效录入：移动端内置常见隐患库（如设备故障、防护缺失），支持一键勾选高频隐患项，自定义语音或文字输入添加新隐患。</w:t>
      </w:r>
    </w:p>
    <w:p w14:paraId="299C8F7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bookmarkStart w:id="639" w:name="_Toc30317"/>
      <w:r>
        <w:rPr>
          <w:rFonts w:hint="eastAsia" w:ascii="宋体" w:hAnsi="宋体" w:eastAsia="宋体" w:cs="宋体"/>
          <w:sz w:val="24"/>
          <w:szCs w:val="24"/>
          <w:lang w:val="en-US" w:eastAsia="zh-CN"/>
        </w:rPr>
        <w:t>其他技术要求</w:t>
      </w:r>
      <w:bookmarkEnd w:id="639"/>
    </w:p>
    <w:p w14:paraId="7A7C26E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bookmarkStart w:id="640" w:name="_Toc27936"/>
      <w:r>
        <w:rPr>
          <w:rFonts w:hint="eastAsia" w:ascii="宋体" w:hAnsi="宋体" w:cs="宋体"/>
          <w:sz w:val="24"/>
          <w:szCs w:val="24"/>
          <w:lang w:val="en-US" w:eastAsia="zh-CN"/>
        </w:rPr>
        <w:t>十、</w:t>
      </w:r>
      <w:r>
        <w:rPr>
          <w:rFonts w:hint="eastAsia" w:ascii="宋体" w:hAnsi="宋体" w:eastAsia="宋体" w:cs="宋体"/>
          <w:sz w:val="24"/>
          <w:szCs w:val="24"/>
          <w:lang w:val="en-US" w:eastAsia="zh-CN"/>
        </w:rPr>
        <w:t>危险源可视化地图管理</w:t>
      </w:r>
      <w:bookmarkEnd w:id="640"/>
    </w:p>
    <w:p w14:paraId="25EFA3D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依托学校校园电子地图和实验室基础数据，通过图形化方式呈现可视化地图，支持通过多种组合条件查询地点和直接地图上点击方式。</w:t>
      </w:r>
    </w:p>
    <w:p w14:paraId="7C59B96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（60）</w:t>
      </w:r>
      <w:r>
        <w:rPr>
          <w:rFonts w:hint="eastAsia" w:ascii="宋体" w:hAnsi="宋体" w:eastAsia="宋体" w:cs="宋体"/>
          <w:sz w:val="24"/>
          <w:szCs w:val="24"/>
          <w:lang w:val="en-US" w:eastAsia="zh-CN"/>
        </w:rPr>
        <w:t>支持多维度查询方式</w:t>
      </w:r>
    </w:p>
    <w:p w14:paraId="2752816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查楼栋。支持输入楼栋名称模糊查询楼栋列表，地图同步显示红色标注点，楼栋列表可显示楼栋名称，实验室房间数量，使用面积，涉及的风险等级、安全分类统计；地图上以图标的方式显示当前楼栋涉及的危险源大类。</w:t>
      </w:r>
    </w:p>
    <w:p w14:paraId="4E49BB0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查实验室。支持输入实验室名称模糊查询实验室列表，列表显示实验室名称，所属楼栋等信息，同时在地图上标注分布情况。</w:t>
      </w:r>
    </w:p>
    <w:p w14:paraId="507B50E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查房间。支持输入房间号、房间名称筛选房间列表。</w:t>
      </w:r>
    </w:p>
    <w:p w14:paraId="798F7B4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查危险源。支持按照危险源大类筛选，提供水电安全、消防安全、个人防护、化学安全、生物安全、辐射安全、机电安全等大类直接筛选条件，查询后左侧信息列表和地图同步展示筛选结果。</w:t>
      </w:r>
    </w:p>
    <w:p w14:paraId="2D634C7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查风险分级。支持查询全校各级风险等级（Ⅰ级(重大风险)、Ⅱ级(高风险)、Ⅲ级(中风险)、Ⅳ级(低风险)）分布情况。</w:t>
      </w:r>
    </w:p>
    <w:p w14:paraId="27D6346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查安全分类。支持查询全校实验室安全分类（化学类、生物类、辐射类、机电类、其他类）分布情况。</w:t>
      </w:r>
    </w:p>
    <w:p w14:paraId="5118268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（61）</w:t>
      </w:r>
      <w:r>
        <w:rPr>
          <w:rFonts w:hint="eastAsia" w:ascii="宋体" w:hAnsi="宋体" w:eastAsia="宋体" w:cs="宋体"/>
          <w:sz w:val="24"/>
          <w:szCs w:val="24"/>
          <w:lang w:val="en-US" w:eastAsia="zh-CN"/>
        </w:rPr>
        <w:t>楼栋概览展示</w:t>
      </w:r>
    </w:p>
    <w:p w14:paraId="3979AFE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支持点击左侧结果列表或者地图上楼栋标注点，展示该楼栋概览信息，包括楼栋照片、楼栋名称、实验室房间数、使用面积、使用学院、待整改隐患、已整改隐患、隐患总数等信息，点击查看楼栋信息内容可以进入详细信息展示。</w:t>
      </w:r>
    </w:p>
    <w:p w14:paraId="6A04501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（62）</w:t>
      </w:r>
      <w:r>
        <w:rPr>
          <w:rFonts w:hint="eastAsia" w:ascii="宋体" w:hAnsi="宋体" w:eastAsia="宋体" w:cs="宋体"/>
          <w:sz w:val="24"/>
          <w:szCs w:val="24"/>
          <w:lang w:val="en-US" w:eastAsia="zh-CN"/>
        </w:rPr>
        <w:t>楼栋详细展示</w:t>
      </w:r>
    </w:p>
    <w:p w14:paraId="729A816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支持当前楼栋实验室房间信息列表。显示所属实验室名称，房间号，使用面积，待整改隐患数量信息。</w:t>
      </w:r>
    </w:p>
    <w:p w14:paraId="65CEF65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支持查看当前楼栋分级分类信息。通过饼图展示实验室分级占比情况和实验室分类占比情况，并以不同色块区分。</w:t>
      </w:r>
    </w:p>
    <w:p w14:paraId="2328998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支持查看当前楼栋危险源概况。以一览表方式呈现水电安全中的水、电分布情况，消防安全中的消防设施、应急喷淋与洗眼装置、通风系统、门禁监控、实验室防爆、灭火要点，个人防护的情况，化学安全中易制毒化学品、易制爆化学品、危险化学品、剧毒化学品、麻醉药品、精神药品、民用爆炸品、气瓶、其他化学类，生物安全中实验室动物、病原微生物、其他生物类，辐射安全中放射源、射线设备、同位素、核材料、辐射设备、其他辐射类，机电安全中压力容器、压力设备、激光设备、加热设备、高速旋转设备、冰箱、加工装置、强磁强电设备、机械设备、富氧涉爆设备、其他机电设备、其他机电类。</w:t>
      </w:r>
    </w:p>
    <w:p w14:paraId="3B326F1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支持查看化学品信息。页面展示易制毒化学品库存、易制爆化学品库存、普通危险化学品库存，以及库存台账列表。</w:t>
      </w:r>
    </w:p>
    <w:p w14:paraId="538C280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支持查看隐患信息。可查看当前楼栋各房间存在的隐患，以及隐患整改进度情况。列表展示检查项序号以及检查项目内容，房间号，隐患上报人，上报时间，隐患照片等信息。</w:t>
      </w:r>
    </w:p>
    <w:p w14:paraId="69FA0AE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支持查看使用学院。可以按照当前楼栋涉及的单位展示各单位房间信息</w:t>
      </w:r>
    </w:p>
    <w:p w14:paraId="0AB7634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支持查看实验中心。可以按照当前楼栋涉及的实验中心展示房间信息。</w:t>
      </w:r>
    </w:p>
    <w:p w14:paraId="22324B3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支持查看人员信息。支持查看人员清单分布。</w:t>
      </w:r>
    </w:p>
    <w:p w14:paraId="784ECD6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支持查看资产信息。支持查看房间资产分布清单。</w:t>
      </w:r>
    </w:p>
    <w:p w14:paraId="4D7F0B5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（63）</w:t>
      </w:r>
      <w:r>
        <w:rPr>
          <w:rFonts w:hint="eastAsia" w:ascii="宋体" w:hAnsi="宋体" w:eastAsia="宋体" w:cs="宋体"/>
          <w:sz w:val="24"/>
          <w:szCs w:val="24"/>
          <w:lang w:val="en-US" w:eastAsia="zh-CN"/>
        </w:rPr>
        <w:t>楼层平面图展示</w:t>
      </w:r>
    </w:p>
    <w:p w14:paraId="6745615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支持根据地图点击进入楼层平面图（需要提供平面图资源），可以切换不同楼层的平面图，点击平面图上面的房间可以显示房间信息，危险源信息，人员信息，资产信息，物联设备（预留接口）。</w:t>
      </w:r>
    </w:p>
    <w:p w14:paraId="08594DE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bookmarkStart w:id="641" w:name="_Toc16940"/>
      <w:r>
        <w:rPr>
          <w:rFonts w:hint="eastAsia" w:ascii="宋体" w:hAnsi="宋体" w:cs="宋体"/>
          <w:sz w:val="24"/>
          <w:szCs w:val="24"/>
          <w:lang w:val="en-US" w:eastAsia="zh-CN"/>
        </w:rPr>
        <w:t>十一、</w:t>
      </w:r>
      <w:r>
        <w:rPr>
          <w:rFonts w:hint="eastAsia" w:ascii="宋体" w:hAnsi="宋体" w:eastAsia="宋体" w:cs="宋体"/>
          <w:sz w:val="24"/>
          <w:szCs w:val="24"/>
          <w:lang w:val="en-US" w:eastAsia="zh-CN"/>
        </w:rPr>
        <w:t>系统对接</w:t>
      </w:r>
      <w:bookmarkEnd w:id="641"/>
    </w:p>
    <w:p w14:paraId="056E7DB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（64）</w:t>
      </w:r>
      <w:r>
        <w:rPr>
          <w:rFonts w:hint="eastAsia" w:ascii="宋体" w:hAnsi="宋体" w:eastAsia="宋体" w:cs="宋体"/>
          <w:sz w:val="24"/>
          <w:szCs w:val="24"/>
          <w:lang w:val="en-US" w:eastAsia="zh-CN"/>
        </w:rPr>
        <w:t>支持和学校公共平台对接</w:t>
      </w:r>
    </w:p>
    <w:p w14:paraId="4B11AFC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支持与学校统一身份认证平台对接集成，实现单点登录，登录平台的用户名和密码采用学校信息化统一身份认证平台。</w:t>
      </w:r>
    </w:p>
    <w:p w14:paraId="431140A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支持与学校公共数据平台对接，获取学校的组织结构信息、师生人员信息、资产信息，并同步更新。共享至学校公共数据平台。</w:t>
      </w:r>
    </w:p>
    <w:p w14:paraId="7B286EB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支持和学校消息平台对接，实现业务消息推送。</w:t>
      </w:r>
    </w:p>
    <w:p w14:paraId="4BA75F4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（65）</w:t>
      </w:r>
      <w:r>
        <w:rPr>
          <w:rFonts w:hint="eastAsia" w:ascii="宋体" w:hAnsi="宋体" w:eastAsia="宋体" w:cs="宋体"/>
          <w:sz w:val="24"/>
          <w:szCs w:val="24"/>
          <w:lang w:val="en-US" w:eastAsia="zh-CN"/>
        </w:rPr>
        <w:t>支持和学校业务系统对接</w:t>
      </w:r>
    </w:p>
    <w:p w14:paraId="1628BDC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对接实验室系统，获取实验室的房间信息。</w:t>
      </w:r>
    </w:p>
    <w:p w14:paraId="5F6B0BC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对接房产管理系统。获取校园地图、楼层平面图。</w:t>
      </w:r>
    </w:p>
    <w:p w14:paraId="238393E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对接资产系统和大仪系统。获取特种设备和大仪信息。</w:t>
      </w:r>
    </w:p>
    <w:p w14:paraId="09B43A2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（66）</w:t>
      </w:r>
      <w:r>
        <w:rPr>
          <w:rFonts w:hint="eastAsia" w:ascii="宋体" w:hAnsi="宋体" w:eastAsia="宋体" w:cs="宋体"/>
          <w:sz w:val="24"/>
          <w:szCs w:val="24"/>
          <w:lang w:val="en-US" w:eastAsia="zh-CN"/>
        </w:rPr>
        <w:t>支持和上级主管部门系统对接</w:t>
      </w:r>
    </w:p>
    <w:p w14:paraId="1B1123A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支持与武汉市</w:t>
      </w:r>
      <w:r>
        <w:rPr>
          <w:rFonts w:hint="eastAsia" w:ascii="宋体" w:hAnsi="宋体" w:eastAsia="宋体" w:cs="宋体"/>
          <w:sz w:val="24"/>
          <w:szCs w:val="24"/>
        </w:rPr>
        <w:t>剧毒易制爆危险化学品全程管控</w:t>
      </w:r>
      <w:r>
        <w:rPr>
          <w:rFonts w:hint="eastAsia" w:ascii="宋体" w:hAnsi="宋体" w:eastAsia="宋体" w:cs="宋体"/>
          <w:sz w:val="24"/>
          <w:szCs w:val="24"/>
          <w:lang w:val="en-US" w:eastAsia="zh-CN"/>
        </w:rPr>
        <w:t>系统（从业单位智慧危爆信息系统）对接，实现公安主管部门对校内易制爆管控品的采购、存储、使用以及采购人员全流程监管，具体包括：部门，采购人员，存储场所推送，合法用途信息推送，采购合同推送，入库推送，出库推送。</w:t>
      </w:r>
    </w:p>
    <w:p w14:paraId="5A00B35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bookmarkStart w:id="642" w:name="_Toc4810"/>
      <w:r>
        <w:rPr>
          <w:rFonts w:hint="eastAsia" w:ascii="宋体" w:hAnsi="宋体" w:cs="宋体"/>
          <w:sz w:val="24"/>
          <w:szCs w:val="24"/>
          <w:lang w:val="en-US" w:eastAsia="zh-CN"/>
        </w:rPr>
        <w:t>十二、</w:t>
      </w:r>
      <w:r>
        <w:rPr>
          <w:rFonts w:hint="eastAsia" w:ascii="宋体" w:hAnsi="宋体" w:eastAsia="宋体" w:cs="宋体"/>
          <w:sz w:val="24"/>
          <w:szCs w:val="24"/>
          <w:lang w:val="en-US" w:eastAsia="zh-CN"/>
        </w:rPr>
        <w:t>技术要求</w:t>
      </w:r>
      <w:bookmarkEnd w:id="642"/>
    </w:p>
    <w:p w14:paraId="3601B82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（67）</w:t>
      </w:r>
      <w:r>
        <w:rPr>
          <w:rFonts w:hint="eastAsia" w:ascii="宋体" w:hAnsi="宋体" w:eastAsia="宋体" w:cs="宋体"/>
          <w:sz w:val="24"/>
          <w:szCs w:val="24"/>
          <w:lang w:val="en-US" w:eastAsia="zh-CN"/>
        </w:rPr>
        <w:t>软件系统</w:t>
      </w:r>
    </w:p>
    <w:p w14:paraId="33BF79F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按照采购人信息化建设的整体要求，须以Java作为开发语言，数据库或为SQL或为MYSQL或为Oracle，各类组件、服务架构及技术层次均有共同的标准及规格，让各种依循J2EE架构的不同平台之间，存在良好的兼容性，需满足采购人的二次开发需求，在系统所有业务功能框架不变的前提下，各项业务功能需适宜于教务处、学院、教学科研单位的实际需求和发展而进行功能上的二次开发和优化，如系统工作流程的调整、智慧实验室分步建设中的实时监测等。</w:t>
      </w:r>
    </w:p>
    <w:p w14:paraId="6959F10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（68）</w:t>
      </w:r>
      <w:r>
        <w:rPr>
          <w:rFonts w:hint="eastAsia" w:ascii="宋体" w:hAnsi="宋体" w:eastAsia="宋体" w:cs="宋体"/>
          <w:sz w:val="24"/>
          <w:szCs w:val="24"/>
          <w:lang w:val="en-US" w:eastAsia="zh-CN"/>
        </w:rPr>
        <w:t>开发平台</w:t>
      </w:r>
    </w:p>
    <w:p w14:paraId="2F74688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开发平台技术先进、成熟，具有广泛应用，具有较强的系统安全性，工具容易上手，实现应用功能的快速开发与实现，能够提供所见即所得的成效。</w:t>
      </w:r>
    </w:p>
    <w:p w14:paraId="1EB9018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（69）</w:t>
      </w:r>
      <w:r>
        <w:rPr>
          <w:rFonts w:hint="eastAsia" w:ascii="宋体" w:hAnsi="宋体" w:eastAsia="宋体" w:cs="宋体"/>
          <w:sz w:val="24"/>
          <w:szCs w:val="24"/>
          <w:lang w:val="en-US" w:eastAsia="zh-CN"/>
        </w:rPr>
        <w:t>系统易用性要求</w:t>
      </w:r>
    </w:p>
    <w:p w14:paraId="76085EE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系统设计人性化、易于理解、操作简易，对运行环境和浏览器的兼容性好，便于推广实施。 </w:t>
      </w:r>
    </w:p>
    <w:p w14:paraId="06727A4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（70）</w:t>
      </w:r>
      <w:r>
        <w:rPr>
          <w:rFonts w:hint="eastAsia" w:ascii="宋体" w:hAnsi="宋体" w:eastAsia="宋体" w:cs="宋体"/>
          <w:sz w:val="24"/>
          <w:szCs w:val="24"/>
          <w:lang w:val="en-US" w:eastAsia="zh-CN"/>
        </w:rPr>
        <w:t>B/S模式</w:t>
      </w:r>
    </w:p>
    <w:p w14:paraId="21F8CB4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系统所有功能实现B/S模式，要求实现目前主流浏览器，如Microsoft Edge、Internet Explorer 10/11、Chrome v23或更高版本、Safari 5或更高版本、火狐、360、腾讯TT等。</w:t>
      </w:r>
    </w:p>
    <w:p w14:paraId="3ECDC8C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（71）</w:t>
      </w:r>
      <w:r>
        <w:rPr>
          <w:rFonts w:hint="eastAsia" w:ascii="宋体" w:hAnsi="宋体" w:eastAsia="宋体" w:cs="宋体"/>
          <w:sz w:val="24"/>
          <w:szCs w:val="24"/>
          <w:lang w:val="en-US" w:eastAsia="zh-CN"/>
        </w:rPr>
        <w:t>其他</w:t>
      </w:r>
    </w:p>
    <w:p w14:paraId="02F36EB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产品的安全性、稳定性和可靠性须符合国家和采购人的有关规定。 系统安全性要求：提供基于角色的授权体系，能根据用户职权范围准确授予用户的操作权限。系统提供完整的用户访问日志审计功能。</w:t>
      </w:r>
    </w:p>
    <w:p w14:paraId="70FCE49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所有基础数据提供导入导出功能，所有能查询出的数据提供导出数据的功能，导入导出格式要求至少实现EXCEL文件；若数据需要转移，则全部数据必须能完整、准确的导出、迁移。</w:t>
      </w:r>
    </w:p>
    <w:p w14:paraId="34DE44B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并发数不低于1000，不限系统用户数，页面响应时间小于2秒。录入、修改响应时间1-3s，删除响应时间在1-3s，查询平均响应时间小于3s。</w:t>
      </w:r>
    </w:p>
    <w:p w14:paraId="3EE1E1B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安全软件：不得被常用安全软件（瑞星杀毒软件、360杀毒、360安全卫士等）认定为可疑或危险程序。</w:t>
      </w:r>
    </w:p>
    <w:p w14:paraId="5EB44DC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可靠性和稳定性，在考虑技术先进性和开放性的同时，还应从系统结构，技术措施，系统管理等方面着手，确保系统运行的可靠性和稳定性，达到最大的平均无故障时间。</w:t>
      </w:r>
    </w:p>
    <w:p w14:paraId="6685529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bookmarkStart w:id="643" w:name="_Toc31"/>
      <w:r>
        <w:rPr>
          <w:rFonts w:hint="eastAsia" w:ascii="宋体" w:hAnsi="宋体" w:cs="宋体"/>
          <w:sz w:val="24"/>
          <w:szCs w:val="24"/>
          <w:lang w:val="en-US" w:eastAsia="zh-CN"/>
        </w:rPr>
        <w:t>十三、</w:t>
      </w:r>
      <w:r>
        <w:rPr>
          <w:rFonts w:hint="eastAsia" w:ascii="宋体" w:hAnsi="宋体" w:eastAsia="宋体" w:cs="宋体"/>
          <w:sz w:val="24"/>
          <w:szCs w:val="24"/>
          <w:lang w:val="en-US" w:eastAsia="zh-CN"/>
        </w:rPr>
        <w:t>系统安全要求</w:t>
      </w:r>
      <w:bookmarkEnd w:id="643"/>
    </w:p>
    <w:p w14:paraId="42FB620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（72）</w:t>
      </w:r>
      <w:r>
        <w:rPr>
          <w:rFonts w:hint="eastAsia" w:ascii="宋体" w:hAnsi="宋体" w:eastAsia="宋体" w:cs="宋体"/>
          <w:sz w:val="24"/>
          <w:szCs w:val="24"/>
          <w:lang w:val="en-US" w:eastAsia="zh-CN"/>
        </w:rPr>
        <w:t xml:space="preserve">合法性 </w:t>
      </w:r>
    </w:p>
    <w:p w14:paraId="480912F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符合国家有关规定。系统建设必须符合我国相关部门制订的政策，对安全策略、密码与安全设备选用、网络互联、安全管理等必须符合我国信息安全法律法规。</w:t>
      </w:r>
    </w:p>
    <w:p w14:paraId="7A806E3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应结合我校现有的系统，要考虑全局网络系统，保证各系统采用了安全措施后，仍能正常的协调工作。中标人开发的应用系统及部署的服务器操作系统、中间件、应用环境必须能通过我校的网络安全部门的安全检测。在接到学校发现应用或系统漏洞的通知后，必须在一天之内完成升级、补丁工作。</w:t>
      </w:r>
    </w:p>
    <w:p w14:paraId="235DFDB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要求系统实现HTTPS协议。</w:t>
      </w:r>
    </w:p>
    <w:p w14:paraId="0D65E89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（73）</w:t>
      </w:r>
      <w:r>
        <w:rPr>
          <w:rFonts w:hint="eastAsia" w:ascii="宋体" w:hAnsi="宋体" w:eastAsia="宋体" w:cs="宋体"/>
          <w:sz w:val="24"/>
          <w:szCs w:val="24"/>
          <w:lang w:val="en-US" w:eastAsia="zh-CN"/>
        </w:rPr>
        <w:t>本地化</w:t>
      </w:r>
    </w:p>
    <w:p w14:paraId="2BF78E6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要求系统部署在校内本地的服务器上。</w:t>
      </w:r>
    </w:p>
    <w:p w14:paraId="10FC129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（74）</w:t>
      </w:r>
      <w:r>
        <w:rPr>
          <w:rFonts w:hint="eastAsia" w:ascii="宋体" w:hAnsi="宋体" w:eastAsia="宋体" w:cs="宋体"/>
          <w:sz w:val="24"/>
          <w:szCs w:val="24"/>
          <w:lang w:val="en-US" w:eastAsia="zh-CN"/>
        </w:rPr>
        <w:t>编码规范</w:t>
      </w:r>
    </w:p>
    <w:p w14:paraId="227F7BE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要求系统数据编码采用教育部标准编码规范。</w:t>
      </w:r>
    </w:p>
    <w:p w14:paraId="3E85DB5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（75）</w:t>
      </w:r>
      <w:r>
        <w:rPr>
          <w:rFonts w:hint="eastAsia" w:ascii="宋体" w:hAnsi="宋体" w:eastAsia="宋体" w:cs="宋体"/>
          <w:sz w:val="24"/>
          <w:szCs w:val="24"/>
          <w:lang w:val="en-US" w:eastAsia="zh-CN"/>
        </w:rPr>
        <w:t>部署</w:t>
      </w:r>
    </w:p>
    <w:p w14:paraId="36C5545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实现分布式部署，实现docker虚拟化部署，提供负载均衡方案。 </w:t>
      </w:r>
    </w:p>
    <w:p w14:paraId="5C354E9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确保应用系统源代码安全，无漏洞；提供较完善的数据加密机制，确保数据存储和数据传输安全；提供明晰的身份鉴别和访问控制机制，按业务要求实现功能分级，并对用户分级授权。</w:t>
      </w:r>
    </w:p>
    <w:p w14:paraId="2EBAAC7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（76）</w:t>
      </w:r>
      <w:r>
        <w:rPr>
          <w:rFonts w:hint="eastAsia" w:ascii="宋体" w:hAnsi="宋体" w:eastAsia="宋体" w:cs="宋体"/>
          <w:sz w:val="24"/>
          <w:szCs w:val="24"/>
          <w:lang w:val="en-US" w:eastAsia="zh-CN"/>
        </w:rPr>
        <w:t>可审计</w:t>
      </w:r>
    </w:p>
    <w:p w14:paraId="53B7CE5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系统具备日志跟踪与分析功能，提供访问、修改、删除等用户操作日志，提供丰富的查询方式，供追溯和追责。</w:t>
      </w:r>
    </w:p>
    <w:p w14:paraId="18E0CA7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（77）</w:t>
      </w:r>
      <w:r>
        <w:rPr>
          <w:rFonts w:hint="eastAsia" w:ascii="宋体" w:hAnsi="宋体" w:eastAsia="宋体" w:cs="宋体"/>
          <w:sz w:val="24"/>
          <w:szCs w:val="24"/>
          <w:lang w:val="en-US" w:eastAsia="zh-CN"/>
        </w:rPr>
        <w:t>权限</w:t>
      </w:r>
    </w:p>
    <w:p w14:paraId="06D04BA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集中统一的用户与权限管理：包括组织架构、用户信息、数据与操作权限的管理与维护，系统应有分级权限和逐级授权管理功能，能够很方便地对系统进行全面的权限管理；适应人员的变化，可以方便的对系统用户权限进行调整；可以无限设置所需要的权限、人员的组合；随时可以调整角色中人员组成，用于控制员工的权限。</w:t>
      </w:r>
    </w:p>
    <w:p w14:paraId="3996AC2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需考虑信息资源的充分共享，更要注意信息的分层隔离保护及访问权限控制，因此系统应分别针对不同的层面及类型的数据，采取不同的访问权限控制及加密存储措施，通过不同的加解密安全算法实现控制。</w:t>
      </w:r>
    </w:p>
    <w:p w14:paraId="4E39786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（78）</w:t>
      </w:r>
      <w:r>
        <w:rPr>
          <w:rFonts w:hint="eastAsia" w:ascii="宋体" w:hAnsi="宋体" w:eastAsia="宋体" w:cs="宋体"/>
          <w:sz w:val="24"/>
          <w:szCs w:val="24"/>
          <w:lang w:val="en-US" w:eastAsia="zh-CN"/>
        </w:rPr>
        <w:t>备份</w:t>
      </w:r>
    </w:p>
    <w:p w14:paraId="7C38792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系统应有完整的应急措施、自动数据备份和灾难恢复机制；系统应提供统一的数据管理维护，对于系统整体运行状态可实时监控，并对访问量峰值状态下软硬件系统有性能变化跟踪记录，以便管理员对系统负载状况做出直观评估。 </w:t>
      </w:r>
    </w:p>
    <w:p w14:paraId="60FF1AE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十四、</w:t>
      </w:r>
      <w:r>
        <w:rPr>
          <w:rFonts w:hint="eastAsia" w:ascii="宋体" w:hAnsi="宋体" w:eastAsia="宋体" w:cs="宋体"/>
          <w:sz w:val="24"/>
          <w:szCs w:val="24"/>
          <w:lang w:val="en-US" w:eastAsia="zh-CN"/>
        </w:rPr>
        <w:t>系统演示</w:t>
      </w:r>
    </w:p>
    <w:p w14:paraId="12C3EA0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第一项：实验室安全管理平台各子系统间数据交互演示</w:t>
      </w:r>
    </w:p>
    <w:p w14:paraId="01AECEC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演示在危化品全周期管理系统中，选择某个房间初始化或采购入库一瓶易制毒化学品试剂，操作完成后该库存量，实时同步到实验室危险源管理系统中，可在该房间危险源管理-化学安全-易制毒化学品分类中查看详细清单，同时可查看该房间分级分类系统认定依据、下载危险源清单(危险源大类及子类台账Excel)。</w:t>
      </w:r>
    </w:p>
    <w:p w14:paraId="4B5B1F5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演示在特种设备管理系统中，办理一个压力容器办证审批流程，多级审核完成后数据实时同步到实验室危险源系统-机电安全-压力容器中，可以在压力容器页面查看这条数据的特种设备办证申请表，附件，审核记录信息。</w:t>
      </w:r>
    </w:p>
    <w:p w14:paraId="5D84BA5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演示在危险源可视化地图上按照楼栋、实验室、房间、单位维度查询，可根据危险源、风险分级、安全分类再次筛选，查询列表和地图上同步展示查询结果，可查看每栋楼实验室房间，分级分类信息，危险源信息，化学品信息，隐患信息(近一年)，使用学院，实验中心，实验人员，资产信息。可查看房间详情，详情包含房间一览表、等级认定依据，认定记录，危险源，分级分类变动趋势，安全信息牌。注：通过可视化地图可查看每栋楼安全检查出的隐患信息和照片，通过地图楼栋标识下钻进入房间详情。</w:t>
      </w:r>
    </w:p>
    <w:p w14:paraId="5B734FA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第二项：演示实验室危险源变动后安全分级分类动态判定</w:t>
      </w:r>
    </w:p>
    <w:p w14:paraId="374EFA6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演示由现场专家随机指定或新增一间安全分类为其他类、安全分级为Ⅳ级(低风险)的房间，按照下列操作房间危险源变化：</w:t>
      </w:r>
    </w:p>
    <w:p w14:paraId="0B630D4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1.在化学安全-气瓶类添加1瓶有毒气体。</w:t>
      </w:r>
    </w:p>
    <w:p w14:paraId="414F746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2.在生物安全-病原微生物类添加一条真菌，实验操作为大量活菌操作。</w:t>
      </w:r>
    </w:p>
    <w:p w14:paraId="446D0FE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3.在辐射安全-射线设备类添加Ⅲ类设备。</w:t>
      </w:r>
    </w:p>
    <w:p w14:paraId="5EA1103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4.在机电安全-机加工装置类添加3台危险机加工装置。</w:t>
      </w:r>
    </w:p>
    <w:p w14:paraId="4FCA0CA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每次危险源变化操作完成后可实时查看系统分级分类认定依据，分别展示安全分级表和安全风险评价表结果和分值以及综合评定后最终认定结果，在两类表中可以对应匹配项和查看对应的危险源台账清单。</w:t>
      </w:r>
    </w:p>
    <w:p w14:paraId="11A7149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注：每次有新增危险源和移除危险源操作后，须实时展示出对应的分级分类变化情况。</w:t>
      </w:r>
    </w:p>
    <w:p w14:paraId="6545881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第三项：演示实验室安全检查系统移动端功能 </w:t>
      </w:r>
    </w:p>
    <w:p w14:paraId="35225CC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1.演示移动端开展学校专项检查活动时可添加未在活动内的实验室至本次检查活动，并关联其危险源数据。可以变更检查人员，权限自动同步至移动端，新加入的人员可立即参与本次检查。</w:t>
      </w:r>
    </w:p>
    <w:p w14:paraId="073B6A0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演示移动端检查实验室时可以灵活切换检查标准体系。可选择教育部标准、校级自定义标准或通用检查模板作为检查指标项；根据实验室危险源分类（如化学/生物/机电/辐射）自动映射关联检查项，查看危险源类别可直接对应检查项目开展检查。每个检查项目内置常见隐患库（如设备故障、防护缺失），检查时可一键勾选高频隐患项。</w:t>
      </w:r>
    </w:p>
    <w:p w14:paraId="624A27E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演示移动端三级角色开展检查工作：学校专项、学院专项、日常巡查、实验室自查；演示分级检查流程：实验室上报、学院管理员审核、学院领导审核、学校审核；演示隐患整改后相关人员现场复核流程：学院管理员复核、学院领导复核、学校复核。注：移动端操作完成后可切换到电脑端对应流程查看流程记录和状态。</w:t>
      </w:r>
    </w:p>
    <w:p w14:paraId="5EB83F7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第四项：演示危险化学品全周期管理系统移动端功能</w:t>
      </w:r>
    </w:p>
    <w:p w14:paraId="41BF242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演示移动端扫码登记台账和导出使用台账功能。扫描试剂二维码识别试剂信息，选择使用人，填写使用时间，使用数量，使用说明，保存使用台账后自动更新库存量和已使用量。使用登记台账支持按照时间段和台账类型（使用/调出/盘亏/报损）筛选使用记录，支持直接导出使用台账在移动端上查看。</w:t>
      </w:r>
    </w:p>
    <w:p w14:paraId="32068AD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演示移动端扫一扫功能。支持扫描存储柜二维码，展示当前存储柜各分类库存总量，分区信息，库存信息列表,可查看试剂流向轨迹、采购轨迹、MSDS。支持扫描【管控办证/备案合同】二维码，查询合同主体信息，合同包含的订单明细信息，办证/备案状态。</w:t>
      </w:r>
    </w:p>
    <w:p w14:paraId="563418B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演示移动端上课题组提交领用申请，仓库管理员出库审批。提交申请时选择其他领用人、存储柜分区、使用方式，填写用途，选择领用试剂提交申请。选择领用试剂时可从学院库存列表中批量勾选和扫码识别添加两种方式。仓库管理员在移动端上出库审批刚提交的领用申请，操作完成后可以在库存查询中跟踪试剂的流向轨迹。</w:t>
      </w:r>
    </w:p>
    <w:p w14:paraId="57AD568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演示移动端上课题组负责人对课题组成员进行角色授权、账号启用/禁用操作，可授权成为课题组管理员、课题组采购员、课题组学生。院级管理员对课题组负责人账号进行启用/禁用。校级管理员针对采购人和供货商退货纠纷的订单，进行平台仲裁处理。</w:t>
      </w:r>
    </w:p>
    <w:p w14:paraId="00473C2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说明：</w:t>
      </w:r>
    </w:p>
    <w:p w14:paraId="087425B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fldChar w:fldCharType="begin"/>
      </w:r>
      <w:r>
        <w:rPr>
          <w:rFonts w:hint="eastAsia" w:ascii="宋体" w:hAnsi="宋体" w:eastAsia="宋体" w:cs="宋体"/>
          <w:sz w:val="24"/>
          <w:szCs w:val="24"/>
          <w:lang w:val="zh-CN"/>
        </w:rPr>
        <w:instrText xml:space="preserve">= 1 \* GB3</w:instrText>
      </w:r>
      <w:r>
        <w:rPr>
          <w:rFonts w:hint="eastAsia" w:ascii="宋体" w:hAnsi="宋体" w:eastAsia="宋体" w:cs="宋体"/>
          <w:sz w:val="24"/>
          <w:szCs w:val="24"/>
          <w:lang w:val="zh-CN"/>
        </w:rPr>
        <w:fldChar w:fldCharType="separate"/>
      </w:r>
      <w:r>
        <w:rPr>
          <w:rFonts w:hint="eastAsia" w:ascii="宋体" w:hAnsi="宋体" w:eastAsia="宋体" w:cs="宋体"/>
          <w:sz w:val="24"/>
          <w:szCs w:val="24"/>
          <w:lang w:val="zh-CN"/>
        </w:rPr>
        <w:t>①</w:t>
      </w:r>
      <w:r>
        <w:rPr>
          <w:rFonts w:hint="eastAsia" w:ascii="宋体" w:hAnsi="宋体" w:eastAsia="宋体" w:cs="宋体"/>
          <w:sz w:val="24"/>
          <w:szCs w:val="24"/>
          <w:lang w:val="zh-CN"/>
        </w:rPr>
        <w:fldChar w:fldCharType="end"/>
      </w:r>
      <w:r>
        <w:rPr>
          <w:rFonts w:hint="eastAsia" w:ascii="宋体" w:hAnsi="宋体" w:eastAsia="宋体" w:cs="宋体"/>
          <w:sz w:val="24"/>
          <w:szCs w:val="24"/>
          <w:lang w:val="zh-CN"/>
        </w:rPr>
        <w:t>重要性可用“★”“#”表示，“★”代表关键指标，不满足该指标项将导致响应被拒绝；“#”代表重要指标；无标识则表示属一般指标项。</w:t>
      </w:r>
    </w:p>
    <w:p w14:paraId="4AF25D5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fldChar w:fldCharType="begin"/>
      </w:r>
      <w:r>
        <w:rPr>
          <w:rFonts w:hint="eastAsia" w:ascii="宋体" w:hAnsi="宋体" w:eastAsia="宋体" w:cs="宋体"/>
          <w:sz w:val="24"/>
          <w:szCs w:val="24"/>
          <w:lang w:val="zh-CN"/>
        </w:rPr>
        <w:instrText xml:space="preserve">= 2 \* GB3</w:instrText>
      </w:r>
      <w:r>
        <w:rPr>
          <w:rFonts w:hint="eastAsia" w:ascii="宋体" w:hAnsi="宋体" w:eastAsia="宋体" w:cs="宋体"/>
          <w:sz w:val="24"/>
          <w:szCs w:val="24"/>
          <w:lang w:val="zh-CN"/>
        </w:rPr>
        <w:fldChar w:fldCharType="separate"/>
      </w:r>
      <w:r>
        <w:rPr>
          <w:rFonts w:hint="eastAsia" w:ascii="宋体" w:hAnsi="宋体" w:eastAsia="宋体" w:cs="宋体"/>
          <w:sz w:val="24"/>
          <w:szCs w:val="24"/>
          <w:lang w:val="zh-CN"/>
        </w:rPr>
        <w:t>②</w:t>
      </w:r>
      <w:r>
        <w:rPr>
          <w:rFonts w:hint="eastAsia" w:ascii="宋体" w:hAnsi="宋体" w:eastAsia="宋体" w:cs="宋体"/>
          <w:sz w:val="24"/>
          <w:szCs w:val="24"/>
          <w:lang w:val="zh-CN"/>
        </w:rPr>
        <w:fldChar w:fldCharType="end"/>
      </w:r>
      <w:r>
        <w:rPr>
          <w:rFonts w:hint="eastAsia" w:ascii="宋体" w:hAnsi="宋体" w:eastAsia="宋体" w:cs="宋体"/>
          <w:sz w:val="24"/>
          <w:szCs w:val="24"/>
          <w:lang w:val="zh-CN"/>
        </w:rPr>
        <w:t>“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p>
    <w:p w14:paraId="479DE1D3">
      <w:pPr>
        <w:widowControl/>
        <w:shd w:val="clear" w:color="auto" w:fill="FFFFFF"/>
        <w:spacing w:line="360" w:lineRule="auto"/>
        <w:ind w:firstLine="361" w:firstLineChars="150"/>
        <w:jc w:val="left"/>
        <w:rPr>
          <w:rFonts w:ascii="宋体" w:hAnsi="宋体" w:cs="Arial"/>
          <w:b/>
          <w:color w:val="333333"/>
          <w:kern w:val="0"/>
          <w:sz w:val="24"/>
          <w:szCs w:val="24"/>
        </w:rPr>
      </w:pPr>
      <w:r>
        <w:rPr>
          <w:rFonts w:hint="eastAsia" w:ascii="宋体" w:hAnsi="宋体" w:cs="Arial"/>
          <w:b/>
          <w:color w:val="333333"/>
          <w:kern w:val="0"/>
          <w:sz w:val="24"/>
          <w:szCs w:val="24"/>
        </w:rPr>
        <w:t>四、商务要求</w:t>
      </w:r>
    </w:p>
    <w:tbl>
      <w:tblPr>
        <w:tblStyle w:val="88"/>
        <w:tblW w:w="8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
        <w:gridCol w:w="1409"/>
        <w:gridCol w:w="1134"/>
        <w:gridCol w:w="5237"/>
      </w:tblGrid>
      <w:tr w14:paraId="6D008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0" w:hRule="atLeast"/>
          <w:tblHeader/>
          <w:jc w:val="center"/>
        </w:trPr>
        <w:tc>
          <w:tcPr>
            <w:tcW w:w="892" w:type="dxa"/>
            <w:noWrap w:val="0"/>
            <w:vAlign w:val="center"/>
          </w:tcPr>
          <w:p w14:paraId="48C3BE29">
            <w:pPr>
              <w:keepNext w:val="0"/>
              <w:keepLines w:val="0"/>
              <w:pageBreakBefore w:val="0"/>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b/>
                <w:snapToGrid w:val="0"/>
                <w:kern w:val="0"/>
                <w:sz w:val="24"/>
                <w:szCs w:val="24"/>
                <w:lang w:val="zh-CN"/>
              </w:rPr>
            </w:pPr>
            <w:r>
              <w:rPr>
                <w:rFonts w:hint="eastAsia" w:ascii="宋体" w:hAnsi="宋体" w:eastAsia="宋体" w:cs="宋体"/>
                <w:b/>
                <w:snapToGrid w:val="0"/>
                <w:kern w:val="0"/>
                <w:sz w:val="24"/>
                <w:szCs w:val="24"/>
                <w:lang w:val="zh-CN"/>
              </w:rPr>
              <w:t>序号</w:t>
            </w:r>
          </w:p>
        </w:tc>
        <w:tc>
          <w:tcPr>
            <w:tcW w:w="1409" w:type="dxa"/>
            <w:noWrap w:val="0"/>
            <w:vAlign w:val="center"/>
          </w:tcPr>
          <w:p w14:paraId="49ABFD4A">
            <w:pPr>
              <w:keepNext w:val="0"/>
              <w:keepLines w:val="0"/>
              <w:pageBreakBefore w:val="0"/>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b/>
                <w:snapToGrid w:val="0"/>
                <w:kern w:val="0"/>
                <w:sz w:val="24"/>
                <w:szCs w:val="24"/>
                <w:lang w:val="zh-CN"/>
              </w:rPr>
            </w:pPr>
            <w:r>
              <w:rPr>
                <w:rFonts w:hint="eastAsia" w:ascii="宋体" w:hAnsi="宋体" w:eastAsia="宋体" w:cs="宋体"/>
                <w:b/>
                <w:snapToGrid w:val="0"/>
                <w:kern w:val="0"/>
                <w:sz w:val="24"/>
                <w:szCs w:val="24"/>
                <w:lang w:val="zh-CN"/>
              </w:rPr>
              <w:t>指标项</w:t>
            </w:r>
          </w:p>
        </w:tc>
        <w:tc>
          <w:tcPr>
            <w:tcW w:w="1134" w:type="dxa"/>
            <w:noWrap w:val="0"/>
            <w:vAlign w:val="center"/>
          </w:tcPr>
          <w:p w14:paraId="18274138">
            <w:pPr>
              <w:keepNext w:val="0"/>
              <w:keepLines w:val="0"/>
              <w:pageBreakBefore w:val="0"/>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b/>
                <w:snapToGrid w:val="0"/>
                <w:kern w:val="0"/>
                <w:sz w:val="24"/>
                <w:szCs w:val="24"/>
                <w:lang w:val="zh-CN"/>
              </w:rPr>
            </w:pPr>
            <w:r>
              <w:rPr>
                <w:rFonts w:hint="eastAsia" w:ascii="宋体" w:hAnsi="宋体" w:eastAsia="宋体" w:cs="宋体"/>
                <w:b/>
                <w:snapToGrid w:val="0"/>
                <w:kern w:val="0"/>
                <w:sz w:val="24"/>
                <w:szCs w:val="24"/>
                <w:lang w:val="zh-CN"/>
              </w:rPr>
              <w:t>重要性</w:t>
            </w:r>
          </w:p>
        </w:tc>
        <w:tc>
          <w:tcPr>
            <w:tcW w:w="5237" w:type="dxa"/>
            <w:noWrap w:val="0"/>
            <w:vAlign w:val="center"/>
          </w:tcPr>
          <w:p w14:paraId="2BAC73F9">
            <w:pPr>
              <w:keepNext w:val="0"/>
              <w:keepLines w:val="0"/>
              <w:pageBreakBefore w:val="0"/>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b/>
                <w:snapToGrid w:val="0"/>
                <w:kern w:val="0"/>
                <w:sz w:val="24"/>
                <w:szCs w:val="24"/>
                <w:lang w:val="zh-CN"/>
              </w:rPr>
            </w:pPr>
            <w:r>
              <w:rPr>
                <w:rFonts w:hint="eastAsia" w:ascii="宋体" w:hAnsi="宋体" w:eastAsia="宋体" w:cs="宋体"/>
                <w:b/>
                <w:snapToGrid w:val="0"/>
                <w:kern w:val="0"/>
                <w:sz w:val="24"/>
                <w:szCs w:val="24"/>
                <w:lang w:val="zh-CN"/>
              </w:rPr>
              <w:t>指标要求</w:t>
            </w:r>
          </w:p>
        </w:tc>
      </w:tr>
      <w:tr w14:paraId="587BC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892" w:type="dxa"/>
            <w:noWrap w:val="0"/>
            <w:vAlign w:val="center"/>
          </w:tcPr>
          <w:p w14:paraId="272F2C02">
            <w:pPr>
              <w:keepNext w:val="0"/>
              <w:keepLines w:val="0"/>
              <w:pageBreakBefore w:val="0"/>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snapToGrid w:val="0"/>
                <w:kern w:val="0"/>
                <w:sz w:val="24"/>
                <w:szCs w:val="24"/>
                <w:lang w:val="zh-CN"/>
              </w:rPr>
            </w:pPr>
            <w:r>
              <w:rPr>
                <w:rFonts w:hint="eastAsia" w:ascii="宋体" w:hAnsi="宋体" w:eastAsia="宋体" w:cs="宋体"/>
                <w:snapToGrid w:val="0"/>
                <w:kern w:val="0"/>
                <w:sz w:val="24"/>
                <w:szCs w:val="24"/>
                <w:lang w:val="zh-CN"/>
              </w:rPr>
              <w:t>1</w:t>
            </w:r>
          </w:p>
        </w:tc>
        <w:tc>
          <w:tcPr>
            <w:tcW w:w="1409" w:type="dxa"/>
            <w:noWrap w:val="0"/>
            <w:vAlign w:val="center"/>
          </w:tcPr>
          <w:p w14:paraId="2404B56B">
            <w:pPr>
              <w:keepNext w:val="0"/>
              <w:keepLines w:val="0"/>
              <w:pageBreakBefore w:val="0"/>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snapToGrid w:val="0"/>
                <w:kern w:val="0"/>
                <w:sz w:val="24"/>
                <w:szCs w:val="24"/>
                <w:lang w:val="zh-CN"/>
              </w:rPr>
            </w:pPr>
            <w:r>
              <w:rPr>
                <w:rFonts w:hint="eastAsia" w:ascii="宋体" w:hAnsi="宋体" w:eastAsia="宋体" w:cs="宋体"/>
                <w:snapToGrid w:val="0"/>
                <w:kern w:val="0"/>
                <w:sz w:val="24"/>
                <w:szCs w:val="24"/>
                <w:lang w:val="zh-CN"/>
              </w:rPr>
              <w:t>供货期/服务期/工期</w:t>
            </w:r>
          </w:p>
        </w:tc>
        <w:tc>
          <w:tcPr>
            <w:tcW w:w="1134" w:type="dxa"/>
            <w:noWrap w:val="0"/>
            <w:vAlign w:val="center"/>
          </w:tcPr>
          <w:p w14:paraId="0730B9EF">
            <w:pPr>
              <w:keepNext w:val="0"/>
              <w:keepLines w:val="0"/>
              <w:pageBreakBefore w:val="0"/>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snapToGrid w:val="0"/>
                <w:kern w:val="0"/>
                <w:sz w:val="24"/>
                <w:szCs w:val="24"/>
                <w:lang w:val="zh-CN"/>
              </w:rPr>
            </w:pPr>
          </w:p>
        </w:tc>
        <w:tc>
          <w:tcPr>
            <w:tcW w:w="5237" w:type="dxa"/>
            <w:noWrap w:val="0"/>
            <w:vAlign w:val="center"/>
          </w:tcPr>
          <w:p w14:paraId="12C1AE45">
            <w:pPr>
              <w:keepNext w:val="0"/>
              <w:keepLines w:val="0"/>
              <w:pageBreakBefore w:val="0"/>
              <w:widowControl w:val="0"/>
              <w:kinsoku/>
              <w:wordWrap/>
              <w:overflowPunct/>
              <w:topLinePunct w:val="0"/>
              <w:autoSpaceDE w:val="0"/>
              <w:autoSpaceDN w:val="0"/>
              <w:bidi w:val="0"/>
              <w:adjustRightInd w:val="0"/>
              <w:snapToGrid w:val="0"/>
              <w:spacing w:line="360" w:lineRule="auto"/>
              <w:jc w:val="both"/>
              <w:textAlignment w:val="auto"/>
              <w:rPr>
                <w:rFonts w:hint="eastAsia" w:ascii="宋体" w:hAnsi="宋体" w:eastAsia="宋体" w:cs="宋体"/>
                <w:snapToGrid w:val="0"/>
                <w:kern w:val="0"/>
                <w:sz w:val="24"/>
                <w:szCs w:val="24"/>
              </w:rPr>
            </w:pPr>
            <w:r>
              <w:rPr>
                <w:rFonts w:hint="eastAsia" w:ascii="宋体" w:hAnsi="宋体" w:eastAsia="宋体" w:cs="宋体"/>
                <w:snapToGrid w:val="0"/>
                <w:kern w:val="0"/>
                <w:sz w:val="24"/>
                <w:szCs w:val="24"/>
                <w:lang w:val="zh-CN"/>
              </w:rPr>
              <w:t>自合同签订生效之日起30个日历日内完成项目。</w:t>
            </w:r>
          </w:p>
        </w:tc>
      </w:tr>
      <w:tr w14:paraId="135C0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92" w:type="dxa"/>
            <w:noWrap w:val="0"/>
            <w:vAlign w:val="center"/>
          </w:tcPr>
          <w:p w14:paraId="05795553">
            <w:pPr>
              <w:keepNext w:val="0"/>
              <w:keepLines w:val="0"/>
              <w:pageBreakBefore w:val="0"/>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snapToGrid w:val="0"/>
                <w:kern w:val="0"/>
                <w:sz w:val="24"/>
                <w:szCs w:val="24"/>
                <w:lang w:val="zh-CN"/>
              </w:rPr>
            </w:pPr>
            <w:r>
              <w:rPr>
                <w:rFonts w:hint="eastAsia" w:ascii="宋体" w:hAnsi="宋体" w:eastAsia="宋体" w:cs="宋体"/>
                <w:snapToGrid w:val="0"/>
                <w:kern w:val="0"/>
                <w:sz w:val="24"/>
                <w:szCs w:val="24"/>
                <w:lang w:val="zh-CN"/>
              </w:rPr>
              <w:t>2</w:t>
            </w:r>
          </w:p>
        </w:tc>
        <w:tc>
          <w:tcPr>
            <w:tcW w:w="1409" w:type="dxa"/>
            <w:noWrap w:val="0"/>
            <w:vAlign w:val="center"/>
          </w:tcPr>
          <w:p w14:paraId="6BF90EE8">
            <w:pPr>
              <w:keepNext w:val="0"/>
              <w:keepLines w:val="0"/>
              <w:pageBreakBefore w:val="0"/>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snapToGrid w:val="0"/>
                <w:kern w:val="0"/>
                <w:sz w:val="24"/>
                <w:szCs w:val="24"/>
                <w:lang w:val="zh-CN"/>
              </w:rPr>
            </w:pPr>
            <w:r>
              <w:rPr>
                <w:rFonts w:hint="eastAsia" w:ascii="宋体" w:hAnsi="宋体" w:eastAsia="宋体" w:cs="宋体"/>
                <w:snapToGrid w:val="0"/>
                <w:kern w:val="0"/>
                <w:sz w:val="24"/>
                <w:szCs w:val="24"/>
                <w:lang w:val="zh-CN"/>
              </w:rPr>
              <w:t>质保期</w:t>
            </w:r>
          </w:p>
        </w:tc>
        <w:tc>
          <w:tcPr>
            <w:tcW w:w="1134" w:type="dxa"/>
            <w:noWrap w:val="0"/>
            <w:vAlign w:val="center"/>
          </w:tcPr>
          <w:p w14:paraId="24001DD5">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snapToGrid w:val="0"/>
                <w:kern w:val="0"/>
                <w:sz w:val="24"/>
                <w:szCs w:val="24"/>
                <w:lang w:val="zh-CN"/>
              </w:rPr>
            </w:pPr>
          </w:p>
        </w:tc>
        <w:tc>
          <w:tcPr>
            <w:tcW w:w="5237" w:type="dxa"/>
            <w:noWrap w:val="0"/>
            <w:vAlign w:val="center"/>
          </w:tcPr>
          <w:p w14:paraId="10F44ACD">
            <w:pPr>
              <w:keepNext w:val="0"/>
              <w:keepLines w:val="0"/>
              <w:pageBreakBefore w:val="0"/>
              <w:kinsoku/>
              <w:wordWrap/>
              <w:overflowPunct/>
              <w:topLinePunct w:val="0"/>
              <w:autoSpaceDE w:val="0"/>
              <w:autoSpaceDN w:val="0"/>
              <w:bidi w:val="0"/>
              <w:adjustRightInd w:val="0"/>
              <w:snapToGrid w:val="0"/>
              <w:spacing w:line="360" w:lineRule="auto"/>
              <w:jc w:val="both"/>
              <w:textAlignment w:val="auto"/>
              <w:rPr>
                <w:rFonts w:hint="eastAsia" w:ascii="宋体" w:hAnsi="宋体" w:eastAsia="宋体" w:cs="宋体"/>
                <w:snapToGrid w:val="0"/>
                <w:kern w:val="0"/>
                <w:sz w:val="24"/>
                <w:szCs w:val="24"/>
                <w:lang w:val="zh-CN"/>
              </w:rPr>
            </w:pPr>
            <w:r>
              <w:rPr>
                <w:rFonts w:hint="eastAsia" w:ascii="宋体" w:hAnsi="宋体" w:eastAsia="宋体" w:cs="宋体"/>
                <w:snapToGrid w:val="0"/>
                <w:kern w:val="0"/>
                <w:sz w:val="24"/>
                <w:szCs w:val="24"/>
                <w:lang w:val="zh-CN"/>
              </w:rPr>
              <w:t>自项目整体验收合格之日起不少于3年。</w:t>
            </w:r>
          </w:p>
        </w:tc>
      </w:tr>
      <w:tr w14:paraId="70744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892" w:type="dxa"/>
            <w:noWrap w:val="0"/>
            <w:vAlign w:val="center"/>
          </w:tcPr>
          <w:p w14:paraId="68662736">
            <w:pPr>
              <w:keepNext w:val="0"/>
              <w:keepLines w:val="0"/>
              <w:pageBreakBefore w:val="0"/>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snapToGrid w:val="0"/>
                <w:kern w:val="0"/>
                <w:sz w:val="24"/>
                <w:szCs w:val="24"/>
                <w:lang w:val="zh-CN"/>
              </w:rPr>
            </w:pPr>
            <w:r>
              <w:rPr>
                <w:rFonts w:hint="eastAsia" w:ascii="宋体" w:hAnsi="宋体" w:eastAsia="宋体" w:cs="宋体"/>
                <w:snapToGrid w:val="0"/>
                <w:kern w:val="0"/>
                <w:sz w:val="24"/>
                <w:szCs w:val="24"/>
                <w:lang w:val="zh-CN"/>
              </w:rPr>
              <w:t>3</w:t>
            </w:r>
          </w:p>
        </w:tc>
        <w:tc>
          <w:tcPr>
            <w:tcW w:w="1409" w:type="dxa"/>
            <w:noWrap w:val="0"/>
            <w:vAlign w:val="center"/>
          </w:tcPr>
          <w:p w14:paraId="6EA9FFE6">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snapToGrid w:val="0"/>
                <w:kern w:val="0"/>
                <w:sz w:val="24"/>
                <w:szCs w:val="24"/>
                <w:lang w:val="zh-CN"/>
              </w:rPr>
            </w:pPr>
            <w:r>
              <w:rPr>
                <w:rFonts w:hint="eastAsia" w:ascii="宋体" w:hAnsi="宋体" w:eastAsia="宋体" w:cs="宋体"/>
                <w:snapToGrid w:val="0"/>
                <w:kern w:val="0"/>
                <w:sz w:val="24"/>
                <w:szCs w:val="24"/>
                <w:lang w:val="zh-CN"/>
              </w:rPr>
              <w:t>包装和</w:t>
            </w:r>
          </w:p>
          <w:p w14:paraId="5CCE6B22">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snapToGrid w:val="0"/>
                <w:kern w:val="0"/>
                <w:sz w:val="24"/>
                <w:szCs w:val="24"/>
                <w:lang w:val="zh-CN"/>
              </w:rPr>
            </w:pPr>
            <w:r>
              <w:rPr>
                <w:rFonts w:hint="eastAsia" w:ascii="宋体" w:hAnsi="宋体" w:eastAsia="宋体" w:cs="宋体"/>
                <w:snapToGrid w:val="0"/>
                <w:kern w:val="0"/>
                <w:sz w:val="24"/>
                <w:szCs w:val="24"/>
                <w:lang w:val="zh-CN"/>
              </w:rPr>
              <w:t>运输</w:t>
            </w:r>
          </w:p>
        </w:tc>
        <w:tc>
          <w:tcPr>
            <w:tcW w:w="1134" w:type="dxa"/>
            <w:noWrap w:val="0"/>
            <w:vAlign w:val="center"/>
          </w:tcPr>
          <w:p w14:paraId="75103F73">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snapToGrid w:val="0"/>
                <w:kern w:val="0"/>
                <w:sz w:val="24"/>
                <w:szCs w:val="24"/>
                <w:lang w:val="zh-CN"/>
              </w:rPr>
            </w:pPr>
          </w:p>
          <w:p w14:paraId="449D5DA4">
            <w:pPr>
              <w:keepNext w:val="0"/>
              <w:keepLines w:val="0"/>
              <w:pageBreakBefore w:val="0"/>
              <w:widowControl/>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snapToGrid w:val="0"/>
                <w:kern w:val="0"/>
                <w:sz w:val="24"/>
                <w:szCs w:val="24"/>
                <w:lang w:val="zh-CN"/>
              </w:rPr>
            </w:pPr>
          </w:p>
        </w:tc>
        <w:tc>
          <w:tcPr>
            <w:tcW w:w="5237" w:type="dxa"/>
            <w:noWrap w:val="0"/>
            <w:vAlign w:val="center"/>
          </w:tcPr>
          <w:p w14:paraId="60C78F34">
            <w:pPr>
              <w:keepNext w:val="0"/>
              <w:keepLines w:val="0"/>
              <w:pageBreakBefore w:val="0"/>
              <w:kinsoku/>
              <w:wordWrap/>
              <w:overflowPunct/>
              <w:topLinePunct w:val="0"/>
              <w:autoSpaceDE w:val="0"/>
              <w:autoSpaceDN w:val="0"/>
              <w:bidi w:val="0"/>
              <w:adjustRightInd w:val="0"/>
              <w:snapToGrid w:val="0"/>
              <w:spacing w:line="360" w:lineRule="auto"/>
              <w:jc w:val="both"/>
              <w:textAlignment w:val="auto"/>
              <w:rPr>
                <w:rFonts w:hint="eastAsia" w:ascii="宋体" w:hAnsi="宋体" w:eastAsia="宋体" w:cs="宋体"/>
                <w:snapToGrid w:val="0"/>
                <w:kern w:val="0"/>
                <w:sz w:val="24"/>
                <w:szCs w:val="24"/>
                <w:lang w:val="en-US" w:eastAsia="zh-CN"/>
              </w:rPr>
            </w:pPr>
            <w:r>
              <w:rPr>
                <w:rFonts w:hint="eastAsia" w:ascii="宋体" w:hAnsi="宋体" w:eastAsia="宋体" w:cs="宋体"/>
                <w:snapToGrid w:val="0"/>
                <w:kern w:val="0"/>
                <w:sz w:val="24"/>
                <w:szCs w:val="24"/>
                <w:lang w:val="zh-CN"/>
              </w:rPr>
              <w:t>将货物运到采购人（中南民族大学）指定地点（如采购人不具备接收本项目设备、货物的条件时，则供应商具体送货、进场安装开始时间以采购人通知为准）</w:t>
            </w:r>
          </w:p>
        </w:tc>
      </w:tr>
      <w:tr w14:paraId="6FC3D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noWrap w:val="0"/>
            <w:vAlign w:val="center"/>
          </w:tcPr>
          <w:p w14:paraId="0891DE27">
            <w:pPr>
              <w:keepNext w:val="0"/>
              <w:keepLines w:val="0"/>
              <w:pageBreakBefore w:val="0"/>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snapToGrid w:val="0"/>
                <w:kern w:val="0"/>
                <w:sz w:val="24"/>
                <w:szCs w:val="24"/>
                <w:lang w:val="zh-CN"/>
              </w:rPr>
            </w:pPr>
            <w:r>
              <w:rPr>
                <w:rFonts w:hint="eastAsia" w:ascii="宋体" w:hAnsi="宋体" w:eastAsia="宋体" w:cs="宋体"/>
                <w:snapToGrid w:val="0"/>
                <w:kern w:val="0"/>
                <w:sz w:val="24"/>
                <w:szCs w:val="24"/>
                <w:lang w:val="zh-CN"/>
              </w:rPr>
              <w:t>4</w:t>
            </w:r>
          </w:p>
        </w:tc>
        <w:tc>
          <w:tcPr>
            <w:tcW w:w="1409" w:type="dxa"/>
            <w:noWrap w:val="0"/>
            <w:vAlign w:val="center"/>
          </w:tcPr>
          <w:p w14:paraId="171A1BDC">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snapToGrid w:val="0"/>
                <w:kern w:val="0"/>
                <w:sz w:val="24"/>
                <w:szCs w:val="24"/>
                <w:lang w:val="zh-CN"/>
              </w:rPr>
            </w:pPr>
            <w:r>
              <w:rPr>
                <w:rFonts w:hint="eastAsia" w:ascii="宋体" w:hAnsi="宋体" w:eastAsia="宋体" w:cs="宋体"/>
                <w:snapToGrid w:val="0"/>
                <w:kern w:val="0"/>
                <w:sz w:val="24"/>
                <w:szCs w:val="24"/>
                <w:lang w:val="zh-CN"/>
              </w:rPr>
              <w:t>服务标准/</w:t>
            </w:r>
          </w:p>
          <w:p w14:paraId="667E481E">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snapToGrid w:val="0"/>
                <w:kern w:val="0"/>
                <w:sz w:val="24"/>
                <w:szCs w:val="24"/>
                <w:lang w:val="zh-CN"/>
              </w:rPr>
            </w:pPr>
            <w:r>
              <w:rPr>
                <w:rFonts w:hint="eastAsia" w:ascii="宋体" w:hAnsi="宋体" w:eastAsia="宋体" w:cs="宋体"/>
                <w:snapToGrid w:val="0"/>
                <w:kern w:val="0"/>
                <w:sz w:val="24"/>
                <w:szCs w:val="24"/>
                <w:lang w:val="zh-CN"/>
              </w:rPr>
              <w:t>售后服务要求</w:t>
            </w:r>
          </w:p>
        </w:tc>
        <w:tc>
          <w:tcPr>
            <w:tcW w:w="1134" w:type="dxa"/>
            <w:noWrap w:val="0"/>
            <w:vAlign w:val="center"/>
          </w:tcPr>
          <w:p w14:paraId="28F17D64">
            <w:pPr>
              <w:keepNext w:val="0"/>
              <w:keepLines w:val="0"/>
              <w:pageBreakBefore w:val="0"/>
              <w:widowControl/>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snapToGrid w:val="0"/>
                <w:kern w:val="0"/>
                <w:sz w:val="24"/>
                <w:szCs w:val="24"/>
                <w:lang w:val="zh-CN"/>
              </w:rPr>
            </w:pPr>
          </w:p>
        </w:tc>
        <w:tc>
          <w:tcPr>
            <w:tcW w:w="5237" w:type="dxa"/>
            <w:noWrap w:val="0"/>
            <w:vAlign w:val="center"/>
          </w:tcPr>
          <w:p w14:paraId="12001FF5">
            <w:pPr>
              <w:keepNext w:val="0"/>
              <w:keepLines w:val="0"/>
              <w:pageBreakBefore w:val="0"/>
              <w:kinsoku/>
              <w:wordWrap/>
              <w:overflowPunct/>
              <w:topLinePunct w:val="0"/>
              <w:autoSpaceDE w:val="0"/>
              <w:autoSpaceDN w:val="0"/>
              <w:bidi w:val="0"/>
              <w:adjustRightInd w:val="0"/>
              <w:snapToGrid w:val="0"/>
              <w:spacing w:line="360" w:lineRule="auto"/>
              <w:jc w:val="left"/>
              <w:textAlignment w:val="auto"/>
              <w:rPr>
                <w:rFonts w:hint="eastAsia" w:ascii="宋体" w:hAnsi="宋体" w:eastAsia="宋体" w:cs="宋体"/>
                <w:snapToGrid w:val="0"/>
                <w:kern w:val="0"/>
                <w:sz w:val="24"/>
                <w:szCs w:val="24"/>
                <w:lang w:val="zh-CN"/>
              </w:rPr>
            </w:pPr>
            <w:r>
              <w:rPr>
                <w:rFonts w:hint="eastAsia" w:ascii="宋体" w:hAnsi="宋体" w:eastAsia="宋体" w:cs="宋体"/>
                <w:snapToGrid w:val="0"/>
                <w:kern w:val="0"/>
                <w:sz w:val="24"/>
                <w:szCs w:val="24"/>
                <w:lang w:val="zh-CN"/>
              </w:rPr>
              <w:t>项目售后服务期内，软件补丁包永久升级。若期内发生软件损坏或性能不合格（非使用不当原因造成）导致不能正常使用的，供应商则为采购人及时更换软件，并安装调试至正常使用状态。供应商须提供该系统版本内功能模块的升级、更新和维护服务，并能及时安排技术人员提供上门服务，确保系统的正常运行。若供应商提供的配套设备及服务质量等出现瑕疵（或缺陷）、设备故障、服务安全等问题，供应商为采购人及时提供相关服务、适宜更换设备、配件和维修（采购人人为损坏除外）。项目售后服务期满前1个月内供应商负责一次全面检查。供应商本项目售后服务期内发生的所有技术咨询、安装、调试服务、售后服务、相关设备、配件更换、维修等费用全部包含在项目总报价中。合同履约过程中，供应商不得以任何理由要求采购人另行支付该类费用。</w:t>
            </w:r>
          </w:p>
          <w:p w14:paraId="25A7E0C1">
            <w:pPr>
              <w:keepNext w:val="0"/>
              <w:keepLines w:val="0"/>
              <w:pageBreakBefore w:val="0"/>
              <w:kinsoku/>
              <w:wordWrap/>
              <w:overflowPunct/>
              <w:topLinePunct w:val="0"/>
              <w:autoSpaceDE w:val="0"/>
              <w:autoSpaceDN w:val="0"/>
              <w:bidi w:val="0"/>
              <w:adjustRightInd w:val="0"/>
              <w:snapToGrid w:val="0"/>
              <w:spacing w:line="360" w:lineRule="auto"/>
              <w:jc w:val="left"/>
              <w:textAlignment w:val="auto"/>
              <w:rPr>
                <w:rFonts w:hint="eastAsia" w:ascii="宋体" w:hAnsi="宋体" w:eastAsia="宋体" w:cs="宋体"/>
                <w:snapToGrid w:val="0"/>
                <w:kern w:val="0"/>
                <w:sz w:val="24"/>
                <w:szCs w:val="24"/>
                <w:lang w:val="zh-CN"/>
              </w:rPr>
            </w:pPr>
            <w:r>
              <w:rPr>
                <w:rFonts w:hint="eastAsia" w:ascii="宋体" w:hAnsi="宋体" w:eastAsia="宋体" w:cs="宋体"/>
                <w:snapToGrid w:val="0"/>
                <w:kern w:val="0"/>
                <w:sz w:val="24"/>
                <w:szCs w:val="24"/>
                <w:lang w:val="zh-CN"/>
              </w:rPr>
              <w:t>现场服务及电话支持服务</w:t>
            </w:r>
          </w:p>
          <w:p w14:paraId="2B10D178">
            <w:pPr>
              <w:keepNext w:val="0"/>
              <w:keepLines w:val="0"/>
              <w:pageBreakBefore w:val="0"/>
              <w:kinsoku/>
              <w:wordWrap/>
              <w:overflowPunct/>
              <w:topLinePunct w:val="0"/>
              <w:autoSpaceDE w:val="0"/>
              <w:autoSpaceDN w:val="0"/>
              <w:bidi w:val="0"/>
              <w:adjustRightInd w:val="0"/>
              <w:snapToGrid w:val="0"/>
              <w:spacing w:line="360" w:lineRule="auto"/>
              <w:jc w:val="left"/>
              <w:textAlignment w:val="auto"/>
              <w:rPr>
                <w:rFonts w:hint="eastAsia" w:ascii="宋体" w:hAnsi="宋体" w:eastAsia="宋体" w:cs="宋体"/>
                <w:snapToGrid w:val="0"/>
                <w:kern w:val="0"/>
                <w:sz w:val="24"/>
                <w:szCs w:val="24"/>
                <w:lang w:val="zh-CN"/>
              </w:rPr>
            </w:pPr>
            <w:r>
              <w:rPr>
                <w:rFonts w:hint="eastAsia" w:ascii="宋体" w:hAnsi="宋体" w:eastAsia="宋体" w:cs="宋体"/>
                <w:snapToGrid w:val="0"/>
                <w:kern w:val="0"/>
                <w:sz w:val="24"/>
                <w:szCs w:val="24"/>
                <w:lang w:val="zh-CN"/>
              </w:rPr>
              <w:t>1．提供每周7天，每天24小时不间断的电话支持服务，解答采购人在使用、维护过程中遇到的问题，并及时提出解决问题的建议和操作方法，定期回访、维护。</w:t>
            </w:r>
          </w:p>
          <w:p w14:paraId="7D635ABA">
            <w:pPr>
              <w:keepNext w:val="0"/>
              <w:keepLines w:val="0"/>
              <w:pageBreakBefore w:val="0"/>
              <w:kinsoku/>
              <w:wordWrap/>
              <w:overflowPunct/>
              <w:topLinePunct w:val="0"/>
              <w:autoSpaceDE w:val="0"/>
              <w:autoSpaceDN w:val="0"/>
              <w:bidi w:val="0"/>
              <w:adjustRightInd w:val="0"/>
              <w:snapToGrid w:val="0"/>
              <w:spacing w:line="360" w:lineRule="auto"/>
              <w:jc w:val="left"/>
              <w:textAlignment w:val="auto"/>
              <w:rPr>
                <w:rFonts w:hint="eastAsia" w:ascii="宋体" w:hAnsi="宋体" w:eastAsia="宋体" w:cs="宋体"/>
                <w:snapToGrid w:val="0"/>
                <w:kern w:val="0"/>
                <w:sz w:val="24"/>
                <w:szCs w:val="24"/>
                <w:lang w:val="zh-CN"/>
              </w:rPr>
            </w:pPr>
            <w:r>
              <w:rPr>
                <w:rFonts w:hint="eastAsia" w:ascii="宋体" w:hAnsi="宋体" w:eastAsia="宋体" w:cs="宋体"/>
                <w:snapToGrid w:val="0"/>
                <w:kern w:val="0"/>
                <w:sz w:val="24"/>
                <w:szCs w:val="24"/>
                <w:lang w:val="zh-CN"/>
              </w:rPr>
              <w:t>2．服务响应时间：在采购人整个使用过程中（含项目包保服务期内、外），为确保软件的正常使用，采购人遇到使用或技术问题，在接到用户维修电话后30分钟内响应；</w:t>
            </w:r>
            <w:r>
              <w:rPr>
                <w:rFonts w:hint="eastAsia" w:ascii="宋体" w:hAnsi="宋体" w:eastAsia="宋体" w:cs="宋体"/>
                <w:snapToGrid w:val="0"/>
                <w:kern w:val="0"/>
                <w:sz w:val="24"/>
                <w:szCs w:val="24"/>
                <w:lang w:val="en-US" w:eastAsia="zh-CN"/>
              </w:rPr>
              <w:t>若遇</w:t>
            </w:r>
            <w:r>
              <w:rPr>
                <w:rFonts w:hint="eastAsia" w:ascii="宋体" w:hAnsi="宋体" w:eastAsia="宋体" w:cs="宋体"/>
                <w:snapToGrid w:val="0"/>
                <w:kern w:val="0"/>
                <w:sz w:val="24"/>
                <w:szCs w:val="24"/>
                <w:lang w:val="zh-CN"/>
              </w:rPr>
              <w:t>软硬件故障，30分钟内响应，2小时内解决故障恢复系统的正常使用，远程无法解决故障时，须在4小时内提供上门服务直至故障解决完毕。若不能修复则给出合理应对方案。项目包保服务期内，供应商定期对软件进行升级和维护，提供终身升级和维护服务（提供技术援助电话和售后服务电话），定期对用户进行回访技术支持。</w:t>
            </w:r>
          </w:p>
          <w:p w14:paraId="09FF6CCB">
            <w:pPr>
              <w:keepNext w:val="0"/>
              <w:keepLines w:val="0"/>
              <w:pageBreakBefore w:val="0"/>
              <w:kinsoku/>
              <w:wordWrap/>
              <w:overflowPunct/>
              <w:topLinePunct w:val="0"/>
              <w:autoSpaceDE w:val="0"/>
              <w:autoSpaceDN w:val="0"/>
              <w:bidi w:val="0"/>
              <w:adjustRightInd w:val="0"/>
              <w:snapToGrid w:val="0"/>
              <w:spacing w:line="360" w:lineRule="auto"/>
              <w:jc w:val="left"/>
              <w:textAlignment w:val="auto"/>
              <w:rPr>
                <w:rFonts w:hint="eastAsia" w:ascii="宋体" w:hAnsi="宋体" w:eastAsia="宋体" w:cs="宋体"/>
                <w:snapToGrid w:val="0"/>
                <w:color w:val="FF0000"/>
                <w:kern w:val="0"/>
                <w:sz w:val="24"/>
                <w:szCs w:val="24"/>
                <w:lang w:val="zh-CN" w:eastAsia="zh-CN"/>
              </w:rPr>
            </w:pPr>
            <w:r>
              <w:rPr>
                <w:rFonts w:hint="eastAsia" w:ascii="宋体" w:hAnsi="宋体" w:eastAsia="宋体" w:cs="宋体"/>
                <w:snapToGrid w:val="0"/>
                <w:kern w:val="0"/>
                <w:sz w:val="24"/>
                <w:szCs w:val="24"/>
                <w:lang w:val="zh-CN"/>
              </w:rPr>
              <w:t>3.供应商须提供详细的售后服务方案，包含售后服务体系、售后服务人员、服务响应时间及服务保障措施。</w:t>
            </w:r>
          </w:p>
        </w:tc>
      </w:tr>
      <w:tr w14:paraId="0BF2B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noWrap w:val="0"/>
            <w:vAlign w:val="center"/>
          </w:tcPr>
          <w:p w14:paraId="7922FE19">
            <w:pPr>
              <w:keepNext w:val="0"/>
              <w:keepLines w:val="0"/>
              <w:pageBreakBefore w:val="0"/>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snapToGrid w:val="0"/>
                <w:kern w:val="0"/>
                <w:sz w:val="24"/>
                <w:szCs w:val="24"/>
                <w:lang w:val="zh-CN"/>
              </w:rPr>
            </w:pPr>
            <w:r>
              <w:rPr>
                <w:rFonts w:hint="eastAsia" w:ascii="宋体" w:hAnsi="宋体" w:eastAsia="宋体" w:cs="宋体"/>
                <w:snapToGrid w:val="0"/>
                <w:kern w:val="0"/>
                <w:sz w:val="24"/>
                <w:szCs w:val="24"/>
                <w:lang w:val="zh-CN"/>
              </w:rPr>
              <w:t>5</w:t>
            </w:r>
          </w:p>
        </w:tc>
        <w:tc>
          <w:tcPr>
            <w:tcW w:w="1409" w:type="dxa"/>
            <w:noWrap w:val="0"/>
            <w:vAlign w:val="center"/>
          </w:tcPr>
          <w:p w14:paraId="3ADEBC7D">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snapToGrid w:val="0"/>
                <w:kern w:val="0"/>
                <w:sz w:val="24"/>
                <w:szCs w:val="24"/>
                <w:lang w:val="zh-CN"/>
              </w:rPr>
            </w:pPr>
            <w:r>
              <w:rPr>
                <w:rFonts w:hint="eastAsia" w:ascii="宋体" w:hAnsi="宋体" w:eastAsia="宋体" w:cs="宋体"/>
                <w:snapToGrid w:val="0"/>
                <w:kern w:val="0"/>
                <w:sz w:val="24"/>
                <w:szCs w:val="24"/>
                <w:lang w:val="zh-CN"/>
              </w:rPr>
              <w:t>培训要求</w:t>
            </w:r>
          </w:p>
        </w:tc>
        <w:tc>
          <w:tcPr>
            <w:tcW w:w="1134" w:type="dxa"/>
            <w:noWrap w:val="0"/>
            <w:vAlign w:val="center"/>
          </w:tcPr>
          <w:p w14:paraId="0263C5CF">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snapToGrid w:val="0"/>
                <w:kern w:val="0"/>
                <w:sz w:val="24"/>
                <w:szCs w:val="24"/>
                <w:lang w:val="zh-CN"/>
              </w:rPr>
            </w:pPr>
          </w:p>
        </w:tc>
        <w:tc>
          <w:tcPr>
            <w:tcW w:w="5237" w:type="dxa"/>
            <w:noWrap w:val="0"/>
            <w:vAlign w:val="center"/>
          </w:tcPr>
          <w:p w14:paraId="264F8BB6">
            <w:pPr>
              <w:keepNext w:val="0"/>
              <w:keepLines w:val="0"/>
              <w:pageBreakBefore w:val="0"/>
              <w:widowControl/>
              <w:kinsoku/>
              <w:wordWrap/>
              <w:overflowPunct/>
              <w:topLinePunct w:val="0"/>
              <w:autoSpaceDE w:val="0"/>
              <w:autoSpaceDN w:val="0"/>
              <w:bidi w:val="0"/>
              <w:adjustRightInd w:val="0"/>
              <w:snapToGrid w:val="0"/>
              <w:spacing w:line="360" w:lineRule="auto"/>
              <w:jc w:val="left"/>
              <w:textAlignment w:val="auto"/>
              <w:rPr>
                <w:rFonts w:hint="eastAsia" w:ascii="宋体" w:hAnsi="宋体" w:eastAsia="宋体" w:cs="宋体"/>
                <w:snapToGrid w:val="0"/>
                <w:color w:val="FF0000"/>
                <w:kern w:val="0"/>
                <w:sz w:val="24"/>
                <w:szCs w:val="24"/>
                <w:lang w:val="en-US" w:eastAsia="zh-CN"/>
              </w:rPr>
            </w:pPr>
            <w:r>
              <w:rPr>
                <w:rFonts w:hint="eastAsia" w:ascii="宋体" w:hAnsi="宋体" w:eastAsia="宋体" w:cs="宋体"/>
                <w:snapToGrid w:val="0"/>
                <w:kern w:val="0"/>
                <w:sz w:val="24"/>
                <w:szCs w:val="24"/>
                <w:lang w:val="zh-CN"/>
              </w:rPr>
              <w:t>供应商应对采购人的相关人员进行完善的培训，培训内容包括：准备培训计划表、培训课程和培训考核；培训人员包括对管理层、操作层、项目组成员、运行维护技术和应用开发人员等进行培训。实现依据本项目所规定的系统服务的目标和功能。需在响应文件中列出详细的培训计划、资料，培训方式等。</w:t>
            </w:r>
          </w:p>
        </w:tc>
      </w:tr>
      <w:tr w14:paraId="1DAE9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noWrap w:val="0"/>
            <w:vAlign w:val="center"/>
          </w:tcPr>
          <w:p w14:paraId="308F9120">
            <w:pPr>
              <w:keepNext w:val="0"/>
              <w:keepLines w:val="0"/>
              <w:pageBreakBefore w:val="0"/>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snapToGrid w:val="0"/>
                <w:kern w:val="0"/>
                <w:sz w:val="24"/>
                <w:szCs w:val="24"/>
                <w:lang w:val="zh-CN"/>
              </w:rPr>
            </w:pPr>
            <w:r>
              <w:rPr>
                <w:rFonts w:hint="eastAsia" w:ascii="宋体" w:hAnsi="宋体" w:eastAsia="宋体" w:cs="宋体"/>
                <w:snapToGrid w:val="0"/>
                <w:kern w:val="0"/>
                <w:sz w:val="24"/>
                <w:szCs w:val="24"/>
                <w:lang w:val="zh-CN"/>
              </w:rPr>
              <w:t>6</w:t>
            </w:r>
          </w:p>
        </w:tc>
        <w:tc>
          <w:tcPr>
            <w:tcW w:w="1409" w:type="dxa"/>
            <w:noWrap w:val="0"/>
            <w:vAlign w:val="center"/>
          </w:tcPr>
          <w:p w14:paraId="2C5FD3E1">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snapToGrid w:val="0"/>
                <w:kern w:val="0"/>
                <w:sz w:val="24"/>
                <w:szCs w:val="24"/>
                <w:lang w:val="zh-CN"/>
              </w:rPr>
            </w:pPr>
            <w:r>
              <w:rPr>
                <w:rFonts w:hint="eastAsia" w:ascii="宋体" w:hAnsi="宋体" w:eastAsia="宋体" w:cs="宋体"/>
                <w:snapToGrid w:val="0"/>
                <w:kern w:val="0"/>
                <w:sz w:val="24"/>
                <w:szCs w:val="24"/>
                <w:lang w:val="zh-CN"/>
              </w:rPr>
              <w:t>验收标准</w:t>
            </w:r>
          </w:p>
        </w:tc>
        <w:tc>
          <w:tcPr>
            <w:tcW w:w="1134" w:type="dxa"/>
            <w:noWrap w:val="0"/>
            <w:vAlign w:val="center"/>
          </w:tcPr>
          <w:p w14:paraId="4B7BF763">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snapToGrid w:val="0"/>
                <w:kern w:val="0"/>
                <w:sz w:val="24"/>
                <w:szCs w:val="24"/>
                <w:lang w:val="zh-CN"/>
              </w:rPr>
            </w:pPr>
          </w:p>
        </w:tc>
        <w:tc>
          <w:tcPr>
            <w:tcW w:w="5237" w:type="dxa"/>
            <w:noWrap w:val="0"/>
            <w:vAlign w:val="center"/>
          </w:tcPr>
          <w:p w14:paraId="0C7FC304">
            <w:pPr>
              <w:keepNext w:val="0"/>
              <w:keepLines w:val="0"/>
              <w:pageBreakBefore w:val="0"/>
              <w:kinsoku/>
              <w:wordWrap/>
              <w:overflowPunct/>
              <w:topLinePunct w:val="0"/>
              <w:autoSpaceDE w:val="0"/>
              <w:autoSpaceDN w:val="0"/>
              <w:bidi w:val="0"/>
              <w:adjustRightInd w:val="0"/>
              <w:snapToGrid w:val="0"/>
              <w:spacing w:line="360" w:lineRule="auto"/>
              <w:jc w:val="left"/>
              <w:textAlignment w:val="auto"/>
              <w:rPr>
                <w:rFonts w:hint="eastAsia" w:ascii="宋体" w:hAnsi="宋体" w:eastAsia="宋体" w:cs="宋体"/>
                <w:snapToGrid w:val="0"/>
                <w:kern w:val="0"/>
                <w:sz w:val="24"/>
                <w:szCs w:val="24"/>
                <w:lang w:val="zh-CN"/>
              </w:rPr>
            </w:pPr>
            <w:r>
              <w:rPr>
                <w:rFonts w:hint="eastAsia" w:ascii="宋体" w:hAnsi="宋体" w:eastAsia="宋体" w:cs="宋体"/>
                <w:snapToGrid w:val="0"/>
                <w:kern w:val="0"/>
                <w:sz w:val="24"/>
                <w:szCs w:val="24"/>
                <w:lang w:val="zh-CN"/>
              </w:rPr>
              <w:t>（1）项目整体实施完毕试运行至能正常工作，经使用部门签字后，由采购人聘请专家进行验收。</w:t>
            </w:r>
          </w:p>
          <w:p w14:paraId="28A0187C">
            <w:pPr>
              <w:keepNext w:val="0"/>
              <w:keepLines w:val="0"/>
              <w:pageBreakBefore w:val="0"/>
              <w:kinsoku/>
              <w:wordWrap/>
              <w:overflowPunct/>
              <w:topLinePunct w:val="0"/>
              <w:autoSpaceDE w:val="0"/>
              <w:autoSpaceDN w:val="0"/>
              <w:bidi w:val="0"/>
              <w:adjustRightInd w:val="0"/>
              <w:snapToGrid w:val="0"/>
              <w:spacing w:line="360" w:lineRule="auto"/>
              <w:jc w:val="left"/>
              <w:textAlignment w:val="auto"/>
              <w:rPr>
                <w:rFonts w:hint="eastAsia" w:ascii="宋体" w:hAnsi="宋体" w:eastAsia="宋体" w:cs="宋体"/>
                <w:snapToGrid w:val="0"/>
                <w:kern w:val="0"/>
                <w:sz w:val="24"/>
                <w:szCs w:val="24"/>
                <w:lang w:val="zh-CN"/>
              </w:rPr>
            </w:pPr>
            <w:r>
              <w:rPr>
                <w:rFonts w:hint="eastAsia" w:ascii="宋体" w:hAnsi="宋体" w:eastAsia="宋体" w:cs="宋体"/>
                <w:snapToGrid w:val="0"/>
                <w:kern w:val="0"/>
                <w:sz w:val="24"/>
                <w:szCs w:val="24"/>
                <w:lang w:val="zh-CN"/>
              </w:rPr>
              <w:t>（2）供应商应随验收申请一并附验收所需要的全部材料。采购人将组织相关人员对采购项目进行验收，验收意见作为项目验收结论的参考资料存档备查。项目验收结论为合同款支付的主要依据。供应商本项目全部系统、软件及配套设备不符合合同文件以及相关产品技术标准要求的，采购人有权退货。供应商应在采购人要求的合理期限内将相关系统、软件及配套设备运出，并重新交付，交付期不予顺延。验收过程中，采购人对照采购合同的技术指标、服务及安全要求逐项核对检验，对所有要求出具的证明文件的原件进行核查，供应商有义务如实提供。如不符合采购合同约定的技术需求、服务、安全要求以及供应商提供虚假承诺的，采购人有权按相关规定做退货处理（供应商应在采购人要求的合理期限内将相关系统、软件及配套设备运出，并重新交付，交付期不予顺延。）及对供应商的违约处理，供应商承担所有责任和费用，采购人保留进一步追究责任的权利。</w:t>
            </w:r>
          </w:p>
          <w:p w14:paraId="653718C0">
            <w:pPr>
              <w:keepNext w:val="0"/>
              <w:keepLines w:val="0"/>
              <w:pageBreakBefore w:val="0"/>
              <w:numPr>
                <w:ilvl w:val="0"/>
                <w:numId w:val="0"/>
              </w:numPr>
              <w:kinsoku/>
              <w:wordWrap/>
              <w:overflowPunct/>
              <w:topLinePunct w:val="0"/>
              <w:bidi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napToGrid w:val="0"/>
                <w:kern w:val="0"/>
                <w:sz w:val="24"/>
                <w:szCs w:val="24"/>
                <w:lang w:val="zh-CN"/>
              </w:rPr>
              <w:t>（3）验收合格后，采购人按照合同规定的验收合格相关的付款条件，支付供应商相应款项。</w:t>
            </w:r>
          </w:p>
        </w:tc>
      </w:tr>
      <w:tr w14:paraId="36961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noWrap w:val="0"/>
            <w:vAlign w:val="center"/>
          </w:tcPr>
          <w:p w14:paraId="08A81CF9">
            <w:pPr>
              <w:keepNext w:val="0"/>
              <w:keepLines w:val="0"/>
              <w:pageBreakBefore w:val="0"/>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snapToGrid w:val="0"/>
                <w:kern w:val="0"/>
                <w:sz w:val="24"/>
                <w:szCs w:val="24"/>
              </w:rPr>
            </w:pPr>
            <w:r>
              <w:rPr>
                <w:rFonts w:hint="eastAsia" w:ascii="宋体" w:hAnsi="宋体" w:eastAsia="宋体" w:cs="宋体"/>
                <w:snapToGrid w:val="0"/>
                <w:kern w:val="0"/>
                <w:sz w:val="24"/>
                <w:szCs w:val="24"/>
              </w:rPr>
              <w:t>7</w:t>
            </w:r>
          </w:p>
        </w:tc>
        <w:tc>
          <w:tcPr>
            <w:tcW w:w="1409" w:type="dxa"/>
            <w:noWrap w:val="0"/>
            <w:vAlign w:val="center"/>
          </w:tcPr>
          <w:p w14:paraId="49768AAA">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snapToGrid w:val="0"/>
                <w:kern w:val="0"/>
                <w:sz w:val="24"/>
                <w:szCs w:val="24"/>
              </w:rPr>
            </w:pPr>
            <w:r>
              <w:rPr>
                <w:rFonts w:hint="eastAsia" w:ascii="宋体" w:hAnsi="宋体" w:eastAsia="宋体" w:cs="宋体"/>
                <w:snapToGrid w:val="0"/>
                <w:kern w:val="0"/>
                <w:sz w:val="24"/>
                <w:szCs w:val="24"/>
              </w:rPr>
              <w:t>付款条件（进度和方式）</w:t>
            </w:r>
          </w:p>
        </w:tc>
        <w:tc>
          <w:tcPr>
            <w:tcW w:w="1134" w:type="dxa"/>
            <w:noWrap w:val="0"/>
            <w:vAlign w:val="center"/>
          </w:tcPr>
          <w:p w14:paraId="10B0A746">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snapToGrid w:val="0"/>
                <w:kern w:val="0"/>
                <w:sz w:val="24"/>
                <w:szCs w:val="24"/>
                <w:lang w:val="zh-CN"/>
              </w:rPr>
            </w:pPr>
          </w:p>
        </w:tc>
        <w:tc>
          <w:tcPr>
            <w:tcW w:w="5237" w:type="dxa"/>
            <w:noWrap w:val="0"/>
            <w:vAlign w:val="center"/>
          </w:tcPr>
          <w:p w14:paraId="6C1F0624">
            <w:pPr>
              <w:keepNext w:val="0"/>
              <w:keepLines w:val="0"/>
              <w:pageBreakBefore w:val="0"/>
              <w:widowControl/>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snapToGrid w:val="0"/>
                <w:kern w:val="0"/>
                <w:sz w:val="24"/>
                <w:szCs w:val="24"/>
                <w:lang w:val="zh-CN"/>
              </w:rPr>
            </w:pPr>
            <w:r>
              <w:rPr>
                <w:rFonts w:hint="eastAsia" w:ascii="宋体" w:hAnsi="宋体" w:eastAsia="宋体" w:cs="宋体"/>
                <w:snapToGrid w:val="0"/>
                <w:kern w:val="0"/>
                <w:sz w:val="24"/>
                <w:szCs w:val="24"/>
                <w:lang w:val="zh-CN"/>
              </w:rPr>
              <w:t>所有设备安装调试完毕并经过采购人验收合格后，由成交供应商提供相应的发票及付款申请，采购人收到发票及付款申请后的30天内一次性付款。</w:t>
            </w:r>
          </w:p>
        </w:tc>
      </w:tr>
      <w:tr w14:paraId="7BCA8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noWrap w:val="0"/>
            <w:vAlign w:val="center"/>
          </w:tcPr>
          <w:p w14:paraId="3EE42C03">
            <w:pPr>
              <w:keepNext w:val="0"/>
              <w:keepLines w:val="0"/>
              <w:pageBreakBefore w:val="0"/>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snapToGrid w:val="0"/>
                <w:kern w:val="0"/>
                <w:sz w:val="24"/>
                <w:szCs w:val="24"/>
              </w:rPr>
            </w:pPr>
            <w:r>
              <w:rPr>
                <w:rFonts w:hint="eastAsia" w:ascii="宋体" w:hAnsi="宋体" w:eastAsia="宋体" w:cs="宋体"/>
                <w:snapToGrid w:val="0"/>
                <w:kern w:val="0"/>
                <w:sz w:val="24"/>
                <w:szCs w:val="24"/>
              </w:rPr>
              <w:t>8</w:t>
            </w:r>
          </w:p>
        </w:tc>
        <w:tc>
          <w:tcPr>
            <w:tcW w:w="1409" w:type="dxa"/>
            <w:noWrap w:val="0"/>
            <w:vAlign w:val="center"/>
          </w:tcPr>
          <w:p w14:paraId="27235120">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snapToGrid w:val="0"/>
                <w:kern w:val="0"/>
                <w:sz w:val="24"/>
                <w:szCs w:val="24"/>
                <w:lang w:val="zh-CN"/>
              </w:rPr>
            </w:pPr>
            <w:r>
              <w:rPr>
                <w:rFonts w:hint="eastAsia" w:ascii="宋体" w:hAnsi="宋体" w:eastAsia="宋体" w:cs="宋体"/>
                <w:snapToGrid w:val="0"/>
                <w:kern w:val="0"/>
                <w:sz w:val="24"/>
                <w:szCs w:val="24"/>
                <w:lang w:val="zh-CN"/>
              </w:rPr>
              <w:t>交货/服务/建设地点</w:t>
            </w:r>
          </w:p>
        </w:tc>
        <w:tc>
          <w:tcPr>
            <w:tcW w:w="1134" w:type="dxa"/>
            <w:noWrap w:val="0"/>
            <w:vAlign w:val="center"/>
          </w:tcPr>
          <w:p w14:paraId="33170973">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snapToGrid w:val="0"/>
                <w:kern w:val="0"/>
                <w:sz w:val="24"/>
                <w:szCs w:val="24"/>
                <w:lang w:val="zh-CN"/>
              </w:rPr>
            </w:pPr>
          </w:p>
        </w:tc>
        <w:tc>
          <w:tcPr>
            <w:tcW w:w="5237" w:type="dxa"/>
            <w:noWrap w:val="0"/>
            <w:vAlign w:val="center"/>
          </w:tcPr>
          <w:p w14:paraId="576C1132">
            <w:pPr>
              <w:keepNext w:val="0"/>
              <w:keepLines w:val="0"/>
              <w:pageBreakBefore w:val="0"/>
              <w:widowControl/>
              <w:kinsoku/>
              <w:wordWrap/>
              <w:overflowPunct/>
              <w:topLinePunct w:val="0"/>
              <w:autoSpaceDE w:val="0"/>
              <w:autoSpaceDN w:val="0"/>
              <w:bidi w:val="0"/>
              <w:adjustRightInd w:val="0"/>
              <w:snapToGrid w:val="0"/>
              <w:spacing w:line="360" w:lineRule="auto"/>
              <w:jc w:val="left"/>
              <w:textAlignment w:val="auto"/>
              <w:rPr>
                <w:rFonts w:hint="eastAsia" w:ascii="宋体" w:hAnsi="宋体" w:eastAsia="宋体" w:cs="宋体"/>
                <w:snapToGrid w:val="0"/>
                <w:kern w:val="0"/>
                <w:sz w:val="24"/>
                <w:szCs w:val="24"/>
                <w:lang w:val="zh-CN"/>
              </w:rPr>
            </w:pPr>
            <w:r>
              <w:rPr>
                <w:rFonts w:hint="eastAsia" w:ascii="宋体" w:hAnsi="宋体" w:eastAsia="宋体" w:cs="宋体"/>
                <w:snapToGrid w:val="0"/>
                <w:kern w:val="0"/>
                <w:sz w:val="24"/>
                <w:szCs w:val="24"/>
                <w:lang w:val="zh-CN"/>
              </w:rPr>
              <w:t>中南民族大学，采购人指定地点。</w:t>
            </w:r>
          </w:p>
        </w:tc>
      </w:tr>
      <w:tr w14:paraId="6D657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noWrap w:val="0"/>
            <w:vAlign w:val="center"/>
          </w:tcPr>
          <w:p w14:paraId="69C24EE0">
            <w:pPr>
              <w:keepNext w:val="0"/>
              <w:keepLines w:val="0"/>
              <w:pageBreakBefore w:val="0"/>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snapToGrid w:val="0"/>
                <w:kern w:val="0"/>
                <w:sz w:val="24"/>
                <w:szCs w:val="24"/>
                <w:lang w:val="en-US" w:eastAsia="zh-CN"/>
              </w:rPr>
            </w:pPr>
            <w:r>
              <w:rPr>
                <w:rFonts w:hint="eastAsia" w:ascii="宋体" w:hAnsi="宋体" w:eastAsia="宋体" w:cs="宋体"/>
                <w:snapToGrid w:val="0"/>
                <w:kern w:val="0"/>
                <w:sz w:val="24"/>
                <w:szCs w:val="24"/>
                <w:lang w:val="en-US" w:eastAsia="zh-CN"/>
              </w:rPr>
              <w:t>9</w:t>
            </w:r>
          </w:p>
        </w:tc>
        <w:tc>
          <w:tcPr>
            <w:tcW w:w="1409" w:type="dxa"/>
            <w:noWrap w:val="0"/>
            <w:vAlign w:val="center"/>
          </w:tcPr>
          <w:p w14:paraId="30203A9D">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snapToGrid w:val="0"/>
                <w:kern w:val="0"/>
                <w:sz w:val="24"/>
                <w:szCs w:val="24"/>
                <w:lang w:val="zh-CN"/>
              </w:rPr>
            </w:pPr>
            <w:r>
              <w:rPr>
                <w:rFonts w:hint="eastAsia" w:ascii="宋体" w:hAnsi="宋体" w:eastAsia="宋体" w:cs="宋体"/>
                <w:snapToGrid w:val="0"/>
                <w:kern w:val="0"/>
                <w:sz w:val="24"/>
                <w:szCs w:val="24"/>
                <w:lang w:val="zh-CN"/>
              </w:rPr>
              <w:t>其他</w:t>
            </w:r>
          </w:p>
        </w:tc>
        <w:tc>
          <w:tcPr>
            <w:tcW w:w="1134" w:type="dxa"/>
            <w:noWrap w:val="0"/>
            <w:vAlign w:val="center"/>
          </w:tcPr>
          <w:p w14:paraId="6E133C69">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snapToGrid w:val="0"/>
                <w:kern w:val="0"/>
                <w:sz w:val="24"/>
                <w:szCs w:val="24"/>
                <w:lang w:val="zh-CN"/>
              </w:rPr>
            </w:pPr>
          </w:p>
        </w:tc>
        <w:tc>
          <w:tcPr>
            <w:tcW w:w="5237" w:type="dxa"/>
            <w:noWrap w:val="0"/>
            <w:vAlign w:val="center"/>
          </w:tcPr>
          <w:p w14:paraId="46AEAA23">
            <w:pPr>
              <w:keepNext w:val="0"/>
              <w:keepLines w:val="0"/>
              <w:pageBreakBefore w:val="0"/>
              <w:widowControl/>
              <w:kinsoku/>
              <w:wordWrap/>
              <w:overflowPunct/>
              <w:topLinePunct w:val="0"/>
              <w:autoSpaceDE w:val="0"/>
              <w:autoSpaceDN w:val="0"/>
              <w:bidi w:val="0"/>
              <w:adjustRightInd w:val="0"/>
              <w:snapToGrid w:val="0"/>
              <w:spacing w:line="360" w:lineRule="auto"/>
              <w:jc w:val="left"/>
              <w:textAlignment w:val="auto"/>
              <w:rPr>
                <w:rFonts w:hint="eastAsia" w:ascii="宋体" w:hAnsi="宋体" w:eastAsia="宋体" w:cs="宋体"/>
                <w:snapToGrid w:val="0"/>
                <w:kern w:val="0"/>
                <w:sz w:val="24"/>
                <w:szCs w:val="24"/>
                <w:lang w:val="en-US" w:eastAsia="zh-CN"/>
              </w:rPr>
            </w:pPr>
            <w:r>
              <w:rPr>
                <w:rFonts w:hint="eastAsia" w:ascii="宋体" w:hAnsi="宋体" w:eastAsia="宋体" w:cs="宋体"/>
                <w:snapToGrid w:val="0"/>
                <w:kern w:val="0"/>
                <w:sz w:val="24"/>
                <w:szCs w:val="24"/>
                <w:lang w:val="en-US" w:eastAsia="zh-CN"/>
              </w:rPr>
              <w:t>/</w:t>
            </w:r>
          </w:p>
        </w:tc>
      </w:tr>
    </w:tbl>
    <w:p w14:paraId="14745B47">
      <w:pPr>
        <w:rPr>
          <w:rFonts w:hint="eastAsia" w:ascii="宋体" w:hAnsi="宋体" w:eastAsia="宋体" w:cs="宋体"/>
          <w:b/>
          <w:bCs/>
          <w:sz w:val="28"/>
          <w:szCs w:val="28"/>
        </w:rPr>
      </w:pPr>
      <w:r>
        <w:rPr>
          <w:rFonts w:hint="eastAsia" w:ascii="宋体" w:hAnsi="宋体" w:eastAsia="宋体" w:cs="宋体"/>
          <w:b/>
          <w:bCs/>
          <w:sz w:val="28"/>
          <w:szCs w:val="28"/>
        </w:rPr>
        <w:br w:type="page"/>
      </w:r>
    </w:p>
    <w:p w14:paraId="01FAE8D6">
      <w:pPr>
        <w:pStyle w:val="3"/>
        <w:keepNext/>
        <w:keepLines/>
        <w:pageBreakBefore w:val="0"/>
        <w:widowControl w:val="0"/>
        <w:kinsoku/>
        <w:wordWrap/>
        <w:overflowPunct/>
        <w:topLinePunct w:val="0"/>
        <w:autoSpaceDE w:val="0"/>
        <w:autoSpaceDN w:val="0"/>
        <w:bidi w:val="0"/>
        <w:adjustRightInd w:val="0"/>
        <w:snapToGrid/>
        <w:spacing w:before="0" w:beforeAutospacing="0" w:after="0" w:afterAutospacing="0" w:line="360" w:lineRule="auto"/>
        <w:ind w:left="0" w:leftChars="0" w:right="0" w:rightChars="0" w:firstLine="0" w:firstLineChars="0"/>
        <w:jc w:val="center"/>
        <w:textAlignment w:val="auto"/>
        <w:outlineLvl w:val="0"/>
        <w:rPr>
          <w:rFonts w:hint="eastAsia" w:ascii="宋体" w:hAnsi="宋体" w:eastAsia="宋体" w:cs="宋体"/>
          <w:b/>
          <w:bCs/>
          <w:sz w:val="28"/>
          <w:szCs w:val="28"/>
        </w:rPr>
      </w:pPr>
      <w:bookmarkStart w:id="644" w:name="_Toc19677"/>
      <w:r>
        <w:rPr>
          <w:rFonts w:hint="eastAsia" w:ascii="宋体" w:hAnsi="宋体" w:eastAsia="宋体" w:cs="宋体"/>
          <w:b/>
          <w:bCs/>
          <w:sz w:val="28"/>
          <w:szCs w:val="28"/>
        </w:rPr>
        <w:t>第四章 合同</w:t>
      </w:r>
      <w:bookmarkEnd w:id="616"/>
      <w:r>
        <w:rPr>
          <w:rFonts w:hint="eastAsia" w:ascii="宋体" w:hAnsi="宋体" w:eastAsia="宋体" w:cs="宋体"/>
          <w:b/>
          <w:bCs/>
          <w:sz w:val="28"/>
          <w:szCs w:val="28"/>
        </w:rPr>
        <w:t>草案</w:t>
      </w:r>
      <w:bookmarkEnd w:id="617"/>
      <w:bookmarkEnd w:id="618"/>
      <w:bookmarkEnd w:id="619"/>
      <w:bookmarkEnd w:id="644"/>
    </w:p>
    <w:p w14:paraId="48219869">
      <w:pPr>
        <w:keepNext w:val="0"/>
        <w:keepLines w:val="0"/>
        <w:pageBreakBefore w:val="0"/>
        <w:widowControl w:val="0"/>
        <w:kinsoku/>
        <w:wordWrap/>
        <w:overflowPunct/>
        <w:topLinePunct w:val="0"/>
        <w:bidi w:val="0"/>
        <w:adjustRightInd w:val="0"/>
        <w:snapToGrid/>
        <w:spacing w:beforeAutospacing="0" w:afterAutospacing="0" w:line="360" w:lineRule="auto"/>
        <w:ind w:left="0" w:leftChars="0" w:right="0" w:rightChars="0" w:firstLine="0" w:firstLineChars="0"/>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（此合同书仅供签订正式合同时参考用）</w:t>
      </w:r>
    </w:p>
    <w:p w14:paraId="59D4BF4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本合同由甲乙双方根据《中华人民共和国政府采购法》《中华人民共和国政府采购法实施条例》《中华人民共和国民法典》等相关法律法规规定，按平等、自愿、诚实信用的原则拟定，甲、乙双方均应遵守法律规定和合同约定，并各自履行应负的全部责任和义务。</w:t>
      </w:r>
    </w:p>
    <w:p w14:paraId="03DD112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zh-CN"/>
        </w:rPr>
      </w:pPr>
      <w:r>
        <w:rPr>
          <w:rFonts w:hint="eastAsia" w:ascii="宋体" w:hAnsi="宋体" w:eastAsia="宋体" w:cs="宋体"/>
          <w:sz w:val="24"/>
          <w:szCs w:val="24"/>
          <w:lang w:val="zh-CN" w:eastAsia="zh-CN"/>
        </w:rPr>
        <w:t>一、</w:t>
      </w:r>
      <w:r>
        <w:rPr>
          <w:rFonts w:hint="eastAsia" w:ascii="宋体" w:hAnsi="宋体" w:eastAsia="宋体" w:cs="宋体"/>
          <w:sz w:val="24"/>
          <w:szCs w:val="24"/>
          <w:lang w:val="zh-CN"/>
        </w:rPr>
        <w:t>项目基本情况</w:t>
      </w:r>
    </w:p>
    <w:p w14:paraId="20A1039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1.项目名称：(见</w:t>
      </w:r>
      <w:r>
        <w:rPr>
          <w:rFonts w:hint="eastAsia" w:ascii="宋体" w:hAnsi="宋体" w:eastAsia="宋体" w:cs="宋体"/>
          <w:sz w:val="24"/>
          <w:szCs w:val="24"/>
          <w:lang w:eastAsia="zh-CN"/>
        </w:rPr>
        <w:t>磋商文件</w:t>
      </w:r>
      <w:r>
        <w:rPr>
          <w:rFonts w:hint="eastAsia" w:ascii="宋体" w:hAnsi="宋体" w:eastAsia="宋体" w:cs="宋体"/>
          <w:sz w:val="24"/>
          <w:szCs w:val="24"/>
        </w:rPr>
        <w:t>)</w:t>
      </w:r>
    </w:p>
    <w:p w14:paraId="5B895B2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2.项目编号：(见</w:t>
      </w:r>
      <w:r>
        <w:rPr>
          <w:rFonts w:hint="eastAsia" w:ascii="宋体" w:hAnsi="宋体" w:eastAsia="宋体" w:cs="宋体"/>
          <w:sz w:val="24"/>
          <w:szCs w:val="24"/>
          <w:lang w:eastAsia="zh-CN"/>
        </w:rPr>
        <w:t>磋商文件</w:t>
      </w:r>
      <w:r>
        <w:rPr>
          <w:rFonts w:hint="eastAsia" w:ascii="宋体" w:hAnsi="宋体" w:eastAsia="宋体" w:cs="宋体"/>
          <w:sz w:val="24"/>
          <w:szCs w:val="24"/>
        </w:rPr>
        <w:t>)</w:t>
      </w:r>
    </w:p>
    <w:p w14:paraId="78CE5E2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3.政府采购计划备案号：(见</w:t>
      </w:r>
      <w:r>
        <w:rPr>
          <w:rFonts w:hint="eastAsia" w:ascii="宋体" w:hAnsi="宋体" w:eastAsia="宋体" w:cs="宋体"/>
          <w:sz w:val="24"/>
          <w:szCs w:val="24"/>
          <w:lang w:eastAsia="zh-CN"/>
        </w:rPr>
        <w:t>磋商文件</w:t>
      </w:r>
      <w:r>
        <w:rPr>
          <w:rFonts w:hint="eastAsia" w:ascii="宋体" w:hAnsi="宋体" w:eastAsia="宋体" w:cs="宋体"/>
          <w:sz w:val="24"/>
          <w:szCs w:val="24"/>
        </w:rPr>
        <w:t>)</w:t>
      </w:r>
    </w:p>
    <w:p w14:paraId="6F11FA4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zh-CN"/>
        </w:rPr>
      </w:pPr>
      <w:r>
        <w:rPr>
          <w:rFonts w:hint="eastAsia" w:ascii="宋体" w:hAnsi="宋体" w:eastAsia="宋体" w:cs="宋体"/>
          <w:sz w:val="24"/>
          <w:szCs w:val="24"/>
        </w:rPr>
        <w:t>4.项目概况：(见</w:t>
      </w:r>
      <w:r>
        <w:rPr>
          <w:rFonts w:hint="eastAsia" w:ascii="宋体" w:hAnsi="宋体" w:eastAsia="宋体" w:cs="宋体"/>
          <w:sz w:val="24"/>
          <w:szCs w:val="24"/>
          <w:lang w:eastAsia="zh-CN"/>
        </w:rPr>
        <w:t>磋商文件</w:t>
      </w:r>
      <w:r>
        <w:rPr>
          <w:rFonts w:hint="eastAsia" w:ascii="宋体" w:hAnsi="宋体" w:eastAsia="宋体" w:cs="宋体"/>
          <w:sz w:val="24"/>
          <w:szCs w:val="24"/>
        </w:rPr>
        <w:t>)</w:t>
      </w:r>
    </w:p>
    <w:p w14:paraId="1E5CBAF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zh-CN"/>
        </w:rPr>
      </w:pPr>
      <w:r>
        <w:rPr>
          <w:rFonts w:hint="eastAsia" w:ascii="宋体" w:hAnsi="宋体" w:eastAsia="宋体" w:cs="宋体"/>
          <w:sz w:val="24"/>
          <w:szCs w:val="24"/>
          <w:lang w:val="zh-CN" w:eastAsia="zh-CN"/>
        </w:rPr>
        <w:t>二、</w:t>
      </w:r>
      <w:r>
        <w:rPr>
          <w:rFonts w:hint="eastAsia" w:ascii="宋体" w:hAnsi="宋体" w:eastAsia="宋体" w:cs="宋体"/>
          <w:sz w:val="24"/>
          <w:szCs w:val="24"/>
          <w:lang w:val="zh-CN"/>
        </w:rPr>
        <w:t>标的名称、数量（规模）</w:t>
      </w:r>
    </w:p>
    <w:tbl>
      <w:tblPr>
        <w:tblStyle w:val="88"/>
        <w:tblW w:w="8800"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590"/>
        <w:gridCol w:w="2378"/>
        <w:gridCol w:w="1132"/>
        <w:gridCol w:w="655"/>
        <w:gridCol w:w="627"/>
        <w:gridCol w:w="859"/>
        <w:gridCol w:w="1425"/>
        <w:gridCol w:w="1134"/>
      </w:tblGrid>
      <w:tr w14:paraId="3A2178B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590" w:type="dxa"/>
            <w:shd w:val="pct10" w:color="AEAAAA" w:fill="D0CECE"/>
            <w:vAlign w:val="center"/>
          </w:tcPr>
          <w:p w14:paraId="5C1704E8">
            <w:pPr>
              <w:wordWrap w:val="0"/>
              <w:ind w:left="-100" w:leftChars="-50" w:right="-100" w:rightChars="-50"/>
              <w:jc w:val="center"/>
              <w:rPr>
                <w:rFonts w:cs="宋体"/>
                <w:b/>
                <w:sz w:val="24"/>
                <w:szCs w:val="24"/>
                <w:highlight w:val="none"/>
              </w:rPr>
            </w:pPr>
            <w:r>
              <w:rPr>
                <w:rFonts w:hint="eastAsia" w:cs="仿宋_GB2312"/>
                <w:b/>
                <w:sz w:val="24"/>
                <w:szCs w:val="24"/>
                <w:highlight w:val="none"/>
              </w:rPr>
              <w:t>序号</w:t>
            </w:r>
          </w:p>
        </w:tc>
        <w:tc>
          <w:tcPr>
            <w:tcW w:w="2378" w:type="dxa"/>
            <w:shd w:val="pct10" w:color="AEAAAA" w:fill="D0CECE"/>
            <w:vAlign w:val="center"/>
          </w:tcPr>
          <w:p w14:paraId="3B3CE2A7">
            <w:pPr>
              <w:wordWrap w:val="0"/>
              <w:ind w:left="-46" w:leftChars="-23" w:right="-62" w:rightChars="-31"/>
              <w:jc w:val="center"/>
              <w:rPr>
                <w:rFonts w:cs="宋体"/>
                <w:b/>
                <w:sz w:val="24"/>
                <w:szCs w:val="24"/>
                <w:highlight w:val="none"/>
              </w:rPr>
            </w:pPr>
            <w:r>
              <w:rPr>
                <w:rFonts w:hint="eastAsia" w:cs="宋体"/>
                <w:b/>
                <w:sz w:val="24"/>
                <w:szCs w:val="24"/>
                <w:highlight w:val="none"/>
              </w:rPr>
              <w:t>名称</w:t>
            </w:r>
          </w:p>
        </w:tc>
        <w:tc>
          <w:tcPr>
            <w:tcW w:w="1132" w:type="dxa"/>
            <w:shd w:val="pct10" w:color="AEAAAA" w:fill="D0CECE"/>
            <w:vAlign w:val="center"/>
          </w:tcPr>
          <w:p w14:paraId="0FC0837D">
            <w:pPr>
              <w:wordWrap w:val="0"/>
              <w:ind w:left="-46" w:leftChars="-23" w:right="-62" w:rightChars="-31"/>
              <w:jc w:val="center"/>
              <w:rPr>
                <w:rFonts w:cs="宋体"/>
                <w:b/>
                <w:sz w:val="24"/>
                <w:szCs w:val="24"/>
                <w:highlight w:val="none"/>
              </w:rPr>
            </w:pPr>
            <w:r>
              <w:rPr>
                <w:rFonts w:hint="eastAsia"/>
                <w:b/>
                <w:sz w:val="24"/>
                <w:szCs w:val="24"/>
                <w:highlight w:val="none"/>
              </w:rPr>
              <w:t>品牌规格型号</w:t>
            </w:r>
          </w:p>
        </w:tc>
        <w:tc>
          <w:tcPr>
            <w:tcW w:w="655" w:type="dxa"/>
            <w:tcBorders>
              <w:right w:val="single" w:color="auto" w:sz="4" w:space="0"/>
            </w:tcBorders>
            <w:shd w:val="pct10" w:color="AEAAAA" w:fill="D0CECE"/>
            <w:vAlign w:val="center"/>
          </w:tcPr>
          <w:p w14:paraId="3958B3AA">
            <w:pPr>
              <w:wordWrap w:val="0"/>
              <w:ind w:left="-46" w:leftChars="-23" w:right="-62" w:rightChars="-31"/>
              <w:jc w:val="center"/>
              <w:rPr>
                <w:rFonts w:cs="宋体"/>
                <w:b/>
                <w:sz w:val="24"/>
                <w:szCs w:val="24"/>
                <w:highlight w:val="none"/>
              </w:rPr>
            </w:pPr>
            <w:r>
              <w:rPr>
                <w:rFonts w:hint="eastAsia" w:cs="宋体"/>
                <w:b/>
                <w:sz w:val="24"/>
                <w:szCs w:val="24"/>
                <w:highlight w:val="none"/>
              </w:rPr>
              <w:t>数量</w:t>
            </w:r>
          </w:p>
        </w:tc>
        <w:tc>
          <w:tcPr>
            <w:tcW w:w="627" w:type="dxa"/>
            <w:tcBorders>
              <w:left w:val="single" w:color="auto" w:sz="4" w:space="0"/>
            </w:tcBorders>
            <w:shd w:val="pct10" w:color="AEAAAA" w:fill="D0CECE"/>
            <w:vAlign w:val="center"/>
          </w:tcPr>
          <w:p w14:paraId="1D3304E0">
            <w:pPr>
              <w:wordWrap w:val="0"/>
              <w:ind w:left="-46" w:leftChars="-23" w:right="-62" w:rightChars="-31"/>
              <w:jc w:val="center"/>
              <w:rPr>
                <w:rFonts w:cs="宋体"/>
                <w:b/>
                <w:sz w:val="24"/>
                <w:szCs w:val="24"/>
                <w:highlight w:val="none"/>
              </w:rPr>
            </w:pPr>
            <w:r>
              <w:rPr>
                <w:rFonts w:hint="eastAsia" w:cs="宋体"/>
                <w:b/>
                <w:sz w:val="24"/>
                <w:szCs w:val="24"/>
                <w:highlight w:val="none"/>
              </w:rPr>
              <w:t>单位</w:t>
            </w:r>
          </w:p>
        </w:tc>
        <w:tc>
          <w:tcPr>
            <w:tcW w:w="859" w:type="dxa"/>
            <w:shd w:val="pct10" w:color="AEAAAA" w:fill="D0CECE"/>
            <w:vAlign w:val="center"/>
          </w:tcPr>
          <w:p w14:paraId="0B34F126">
            <w:pPr>
              <w:wordWrap w:val="0"/>
              <w:ind w:left="-46" w:leftChars="-23" w:right="-62" w:rightChars="-31"/>
              <w:jc w:val="center"/>
              <w:rPr>
                <w:rFonts w:cs="宋体"/>
                <w:b/>
                <w:sz w:val="24"/>
                <w:szCs w:val="24"/>
                <w:highlight w:val="none"/>
              </w:rPr>
            </w:pPr>
            <w:r>
              <w:rPr>
                <w:rFonts w:hint="eastAsia" w:cs="宋体"/>
                <w:b/>
                <w:sz w:val="24"/>
                <w:szCs w:val="24"/>
                <w:highlight w:val="none"/>
              </w:rPr>
              <w:t>单价（元</w:t>
            </w:r>
            <w:r>
              <w:rPr>
                <w:rFonts w:cs="宋体"/>
                <w:b/>
                <w:sz w:val="24"/>
                <w:szCs w:val="24"/>
                <w:highlight w:val="none"/>
              </w:rPr>
              <w:t>）</w:t>
            </w:r>
          </w:p>
        </w:tc>
        <w:tc>
          <w:tcPr>
            <w:tcW w:w="1425" w:type="dxa"/>
            <w:shd w:val="pct10" w:color="AEAAAA" w:fill="D0CECE"/>
            <w:vAlign w:val="center"/>
          </w:tcPr>
          <w:p w14:paraId="69CD7A64">
            <w:pPr>
              <w:wordWrap w:val="0"/>
              <w:ind w:left="-100" w:leftChars="-50" w:right="-100" w:rightChars="-50"/>
              <w:jc w:val="center"/>
              <w:rPr>
                <w:rFonts w:cs="宋体"/>
                <w:b/>
                <w:sz w:val="24"/>
                <w:szCs w:val="24"/>
                <w:highlight w:val="none"/>
              </w:rPr>
            </w:pPr>
            <w:r>
              <w:rPr>
                <w:rFonts w:hint="eastAsia" w:cs="宋体"/>
                <w:b/>
                <w:sz w:val="24"/>
                <w:szCs w:val="24"/>
                <w:highlight w:val="none"/>
              </w:rPr>
              <w:t>分项合计（</w:t>
            </w:r>
            <w:r>
              <w:rPr>
                <w:rFonts w:cs="宋体"/>
                <w:b/>
                <w:sz w:val="24"/>
                <w:szCs w:val="24"/>
                <w:highlight w:val="none"/>
              </w:rPr>
              <w:t>元）</w:t>
            </w:r>
          </w:p>
        </w:tc>
        <w:tc>
          <w:tcPr>
            <w:tcW w:w="1134" w:type="dxa"/>
            <w:shd w:val="pct10" w:color="AEAAAA" w:fill="D0CECE"/>
            <w:vAlign w:val="center"/>
          </w:tcPr>
          <w:p w14:paraId="58EBA6AA">
            <w:pPr>
              <w:wordWrap w:val="0"/>
              <w:ind w:left="-22" w:leftChars="-11" w:right="-62" w:rightChars="-31"/>
              <w:jc w:val="center"/>
              <w:rPr>
                <w:rFonts w:cs="宋体"/>
                <w:b/>
                <w:sz w:val="24"/>
                <w:szCs w:val="24"/>
                <w:highlight w:val="none"/>
              </w:rPr>
            </w:pPr>
            <w:r>
              <w:rPr>
                <w:rFonts w:hint="eastAsia" w:cs="宋体"/>
                <w:b/>
                <w:sz w:val="24"/>
                <w:szCs w:val="24"/>
                <w:highlight w:val="none"/>
              </w:rPr>
              <w:t>制造厂家（全称）</w:t>
            </w:r>
          </w:p>
        </w:tc>
      </w:tr>
      <w:tr w14:paraId="41863A4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76" w:hRule="atLeast"/>
          <w:jc w:val="center"/>
        </w:trPr>
        <w:tc>
          <w:tcPr>
            <w:tcW w:w="590" w:type="dxa"/>
            <w:shd w:val="clear" w:color="auto" w:fill="auto"/>
            <w:vAlign w:val="center"/>
          </w:tcPr>
          <w:p w14:paraId="1A1F4BD6">
            <w:pPr>
              <w:wordWrap w:val="0"/>
              <w:ind w:left="-46" w:leftChars="-23" w:right="-62" w:rightChars="-31"/>
              <w:jc w:val="center"/>
              <w:rPr>
                <w:b/>
                <w:sz w:val="24"/>
                <w:szCs w:val="24"/>
                <w:highlight w:val="none"/>
              </w:rPr>
            </w:pPr>
            <w:r>
              <w:rPr>
                <w:rFonts w:hint="eastAsia"/>
                <w:b/>
                <w:sz w:val="24"/>
                <w:szCs w:val="24"/>
                <w:highlight w:val="none"/>
              </w:rPr>
              <w:t>1</w:t>
            </w:r>
          </w:p>
        </w:tc>
        <w:tc>
          <w:tcPr>
            <w:tcW w:w="2378" w:type="dxa"/>
            <w:shd w:val="clear" w:color="auto" w:fill="auto"/>
            <w:vAlign w:val="center"/>
          </w:tcPr>
          <w:p w14:paraId="2F7A761E">
            <w:pPr>
              <w:wordWrap w:val="0"/>
              <w:ind w:left="-46" w:leftChars="-23" w:right="-62" w:rightChars="-31"/>
              <w:jc w:val="center"/>
              <w:rPr>
                <w:sz w:val="24"/>
                <w:szCs w:val="24"/>
                <w:highlight w:val="none"/>
              </w:rPr>
            </w:pPr>
            <w:r>
              <w:rPr>
                <w:rFonts w:hint="eastAsia"/>
                <w:sz w:val="24"/>
                <w:szCs w:val="24"/>
                <w:highlight w:val="none"/>
                <w:lang w:eastAsia="zh-CN"/>
              </w:rPr>
              <w:t>服务（货物）</w:t>
            </w:r>
            <w:r>
              <w:rPr>
                <w:rFonts w:hint="eastAsia"/>
                <w:sz w:val="24"/>
                <w:szCs w:val="24"/>
                <w:highlight w:val="none"/>
              </w:rPr>
              <w:t>名称1</w:t>
            </w:r>
          </w:p>
        </w:tc>
        <w:tc>
          <w:tcPr>
            <w:tcW w:w="1132" w:type="dxa"/>
            <w:shd w:val="clear" w:color="auto" w:fill="auto"/>
            <w:vAlign w:val="center"/>
          </w:tcPr>
          <w:p w14:paraId="47E3469F">
            <w:pPr>
              <w:wordWrap w:val="0"/>
              <w:ind w:left="-46" w:leftChars="-23" w:right="-62" w:rightChars="-31"/>
              <w:rPr>
                <w:rFonts w:cs="宋体"/>
                <w:sz w:val="24"/>
                <w:szCs w:val="24"/>
                <w:highlight w:val="none"/>
              </w:rPr>
            </w:pPr>
          </w:p>
        </w:tc>
        <w:tc>
          <w:tcPr>
            <w:tcW w:w="655" w:type="dxa"/>
            <w:tcBorders>
              <w:right w:val="single" w:color="auto" w:sz="4" w:space="0"/>
            </w:tcBorders>
            <w:shd w:val="clear" w:color="auto" w:fill="auto"/>
            <w:vAlign w:val="center"/>
          </w:tcPr>
          <w:p w14:paraId="59E3A048">
            <w:pPr>
              <w:wordWrap w:val="0"/>
              <w:ind w:left="-46" w:leftChars="-23" w:right="-358" w:rightChars="-179"/>
              <w:jc w:val="center"/>
              <w:rPr>
                <w:rFonts w:cs="宋体"/>
                <w:sz w:val="24"/>
                <w:szCs w:val="24"/>
                <w:highlight w:val="none"/>
              </w:rPr>
            </w:pPr>
          </w:p>
        </w:tc>
        <w:tc>
          <w:tcPr>
            <w:tcW w:w="627" w:type="dxa"/>
            <w:tcBorders>
              <w:left w:val="single" w:color="auto" w:sz="4" w:space="0"/>
            </w:tcBorders>
            <w:shd w:val="clear" w:color="auto" w:fill="auto"/>
            <w:vAlign w:val="center"/>
          </w:tcPr>
          <w:p w14:paraId="318A227C">
            <w:pPr>
              <w:wordWrap w:val="0"/>
              <w:ind w:left="-46" w:leftChars="-23" w:right="-358" w:rightChars="-179"/>
              <w:jc w:val="center"/>
              <w:rPr>
                <w:rFonts w:cs="宋体"/>
                <w:sz w:val="24"/>
                <w:szCs w:val="24"/>
                <w:highlight w:val="none"/>
              </w:rPr>
            </w:pPr>
          </w:p>
        </w:tc>
        <w:tc>
          <w:tcPr>
            <w:tcW w:w="859" w:type="dxa"/>
            <w:shd w:val="clear" w:color="auto" w:fill="auto"/>
            <w:vAlign w:val="center"/>
          </w:tcPr>
          <w:p w14:paraId="4B641DA8">
            <w:pPr>
              <w:wordWrap w:val="0"/>
              <w:ind w:left="-46" w:leftChars="-23" w:right="-62" w:rightChars="-31"/>
              <w:jc w:val="center"/>
              <w:rPr>
                <w:rFonts w:cs="宋体"/>
                <w:sz w:val="24"/>
                <w:szCs w:val="24"/>
                <w:highlight w:val="none"/>
              </w:rPr>
            </w:pPr>
          </w:p>
        </w:tc>
        <w:tc>
          <w:tcPr>
            <w:tcW w:w="1425" w:type="dxa"/>
            <w:shd w:val="clear" w:color="auto" w:fill="auto"/>
            <w:vAlign w:val="center"/>
          </w:tcPr>
          <w:p w14:paraId="177706F8">
            <w:pPr>
              <w:wordWrap w:val="0"/>
              <w:ind w:left="-46" w:leftChars="-23" w:right="-62" w:rightChars="-31"/>
              <w:rPr>
                <w:rFonts w:cs="宋体"/>
                <w:sz w:val="24"/>
                <w:szCs w:val="24"/>
                <w:highlight w:val="none"/>
              </w:rPr>
            </w:pPr>
          </w:p>
        </w:tc>
        <w:tc>
          <w:tcPr>
            <w:tcW w:w="1134" w:type="dxa"/>
            <w:shd w:val="clear" w:color="auto" w:fill="auto"/>
            <w:vAlign w:val="center"/>
          </w:tcPr>
          <w:p w14:paraId="08942371">
            <w:pPr>
              <w:wordWrap w:val="0"/>
              <w:ind w:left="-46" w:leftChars="-23" w:right="-62" w:rightChars="-31"/>
              <w:jc w:val="center"/>
              <w:rPr>
                <w:rFonts w:cs="宋体"/>
                <w:sz w:val="24"/>
                <w:szCs w:val="24"/>
                <w:highlight w:val="none"/>
              </w:rPr>
            </w:pPr>
          </w:p>
        </w:tc>
      </w:tr>
      <w:tr w14:paraId="53F4DB3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76" w:hRule="atLeast"/>
          <w:jc w:val="center"/>
        </w:trPr>
        <w:tc>
          <w:tcPr>
            <w:tcW w:w="590" w:type="dxa"/>
            <w:shd w:val="clear" w:color="auto" w:fill="auto"/>
            <w:vAlign w:val="center"/>
          </w:tcPr>
          <w:p w14:paraId="00E951FD">
            <w:pPr>
              <w:wordWrap w:val="0"/>
              <w:ind w:left="-46" w:leftChars="-23" w:right="-62" w:rightChars="-31"/>
              <w:jc w:val="center"/>
              <w:rPr>
                <w:b/>
                <w:sz w:val="24"/>
                <w:szCs w:val="24"/>
                <w:highlight w:val="none"/>
              </w:rPr>
            </w:pPr>
            <w:r>
              <w:rPr>
                <w:rFonts w:hint="eastAsia"/>
                <w:b/>
                <w:sz w:val="24"/>
                <w:szCs w:val="24"/>
                <w:highlight w:val="none"/>
              </w:rPr>
              <w:t>2</w:t>
            </w:r>
          </w:p>
        </w:tc>
        <w:tc>
          <w:tcPr>
            <w:tcW w:w="2378" w:type="dxa"/>
            <w:shd w:val="clear" w:color="auto" w:fill="auto"/>
            <w:vAlign w:val="center"/>
          </w:tcPr>
          <w:p w14:paraId="7BA2BBC9">
            <w:pPr>
              <w:wordWrap w:val="0"/>
              <w:ind w:left="-46" w:leftChars="-23" w:right="-62" w:rightChars="-31"/>
              <w:jc w:val="center"/>
              <w:rPr>
                <w:sz w:val="24"/>
                <w:szCs w:val="24"/>
                <w:highlight w:val="none"/>
              </w:rPr>
            </w:pPr>
            <w:r>
              <w:rPr>
                <w:rFonts w:hint="eastAsia"/>
                <w:sz w:val="24"/>
                <w:szCs w:val="24"/>
                <w:highlight w:val="none"/>
                <w:lang w:eastAsia="zh-CN"/>
              </w:rPr>
              <w:t>服务（货物）</w:t>
            </w:r>
            <w:r>
              <w:rPr>
                <w:rFonts w:hint="eastAsia"/>
                <w:sz w:val="24"/>
                <w:szCs w:val="24"/>
                <w:highlight w:val="none"/>
              </w:rPr>
              <w:t>名称2</w:t>
            </w:r>
          </w:p>
        </w:tc>
        <w:tc>
          <w:tcPr>
            <w:tcW w:w="1132" w:type="dxa"/>
            <w:shd w:val="clear" w:color="auto" w:fill="auto"/>
            <w:vAlign w:val="center"/>
          </w:tcPr>
          <w:p w14:paraId="769965CD">
            <w:pPr>
              <w:wordWrap w:val="0"/>
              <w:ind w:left="-46" w:leftChars="-23" w:right="-62" w:rightChars="-31"/>
              <w:rPr>
                <w:rFonts w:cs="宋体"/>
                <w:sz w:val="24"/>
                <w:szCs w:val="24"/>
                <w:highlight w:val="none"/>
              </w:rPr>
            </w:pPr>
          </w:p>
        </w:tc>
        <w:tc>
          <w:tcPr>
            <w:tcW w:w="655" w:type="dxa"/>
            <w:tcBorders>
              <w:right w:val="single" w:color="auto" w:sz="4" w:space="0"/>
            </w:tcBorders>
            <w:shd w:val="clear" w:color="auto" w:fill="auto"/>
            <w:vAlign w:val="center"/>
          </w:tcPr>
          <w:p w14:paraId="1AEED697">
            <w:pPr>
              <w:wordWrap w:val="0"/>
              <w:ind w:left="-46" w:leftChars="-23" w:right="-62" w:rightChars="-31"/>
              <w:jc w:val="center"/>
              <w:rPr>
                <w:rFonts w:cs="宋体"/>
                <w:sz w:val="24"/>
                <w:szCs w:val="24"/>
                <w:highlight w:val="none"/>
              </w:rPr>
            </w:pPr>
          </w:p>
        </w:tc>
        <w:tc>
          <w:tcPr>
            <w:tcW w:w="627" w:type="dxa"/>
            <w:tcBorders>
              <w:left w:val="single" w:color="auto" w:sz="4" w:space="0"/>
            </w:tcBorders>
            <w:shd w:val="clear" w:color="auto" w:fill="auto"/>
            <w:vAlign w:val="center"/>
          </w:tcPr>
          <w:p w14:paraId="5135294D">
            <w:pPr>
              <w:wordWrap w:val="0"/>
              <w:ind w:left="-46" w:leftChars="-23" w:right="-62" w:rightChars="-31"/>
              <w:jc w:val="center"/>
              <w:rPr>
                <w:rFonts w:cs="宋体"/>
                <w:sz w:val="24"/>
                <w:szCs w:val="24"/>
                <w:highlight w:val="none"/>
              </w:rPr>
            </w:pPr>
          </w:p>
        </w:tc>
        <w:tc>
          <w:tcPr>
            <w:tcW w:w="859" w:type="dxa"/>
            <w:shd w:val="clear" w:color="auto" w:fill="auto"/>
            <w:vAlign w:val="center"/>
          </w:tcPr>
          <w:p w14:paraId="7BFE38A0">
            <w:pPr>
              <w:wordWrap w:val="0"/>
              <w:ind w:left="-46" w:leftChars="-23" w:right="-62" w:rightChars="-31"/>
              <w:jc w:val="center"/>
              <w:rPr>
                <w:rFonts w:cs="宋体"/>
                <w:sz w:val="24"/>
                <w:szCs w:val="24"/>
                <w:highlight w:val="none"/>
              </w:rPr>
            </w:pPr>
          </w:p>
        </w:tc>
        <w:tc>
          <w:tcPr>
            <w:tcW w:w="1425" w:type="dxa"/>
            <w:shd w:val="clear" w:color="auto" w:fill="auto"/>
            <w:vAlign w:val="center"/>
          </w:tcPr>
          <w:p w14:paraId="1C33AA07">
            <w:pPr>
              <w:wordWrap w:val="0"/>
              <w:ind w:left="-46" w:leftChars="-23" w:right="-62" w:rightChars="-31"/>
              <w:rPr>
                <w:rFonts w:cs="宋体"/>
                <w:sz w:val="24"/>
                <w:szCs w:val="24"/>
                <w:highlight w:val="none"/>
              </w:rPr>
            </w:pPr>
          </w:p>
        </w:tc>
        <w:tc>
          <w:tcPr>
            <w:tcW w:w="1134" w:type="dxa"/>
            <w:shd w:val="clear" w:color="auto" w:fill="auto"/>
            <w:vAlign w:val="center"/>
          </w:tcPr>
          <w:p w14:paraId="238A050C">
            <w:pPr>
              <w:wordWrap w:val="0"/>
              <w:ind w:left="-46" w:leftChars="-23" w:right="-62" w:rightChars="-31"/>
              <w:jc w:val="center"/>
              <w:rPr>
                <w:rFonts w:cs="宋体"/>
                <w:sz w:val="24"/>
                <w:szCs w:val="24"/>
                <w:highlight w:val="none"/>
              </w:rPr>
            </w:pPr>
          </w:p>
        </w:tc>
      </w:tr>
      <w:tr w14:paraId="3300B7A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590" w:type="dxa"/>
            <w:shd w:val="clear" w:color="auto" w:fill="auto"/>
            <w:vAlign w:val="center"/>
          </w:tcPr>
          <w:p w14:paraId="4DCBE47D">
            <w:pPr>
              <w:wordWrap w:val="0"/>
              <w:ind w:left="-46" w:leftChars="-23" w:right="-62" w:rightChars="-31"/>
              <w:jc w:val="center"/>
              <w:rPr>
                <w:sz w:val="24"/>
                <w:szCs w:val="24"/>
                <w:highlight w:val="none"/>
              </w:rPr>
            </w:pPr>
            <w:r>
              <w:rPr>
                <w:rFonts w:hint="eastAsia"/>
                <w:sz w:val="24"/>
                <w:szCs w:val="24"/>
                <w:highlight w:val="none"/>
              </w:rPr>
              <w:t>…</w:t>
            </w:r>
          </w:p>
        </w:tc>
        <w:tc>
          <w:tcPr>
            <w:tcW w:w="2378" w:type="dxa"/>
            <w:shd w:val="clear" w:color="auto" w:fill="auto"/>
            <w:vAlign w:val="center"/>
          </w:tcPr>
          <w:p w14:paraId="336B70D8">
            <w:pPr>
              <w:wordWrap w:val="0"/>
              <w:ind w:left="-46" w:leftChars="-23" w:right="-62" w:rightChars="-31"/>
              <w:jc w:val="center"/>
              <w:rPr>
                <w:rFonts w:cs="宋体"/>
                <w:sz w:val="24"/>
                <w:szCs w:val="24"/>
                <w:highlight w:val="none"/>
              </w:rPr>
            </w:pPr>
            <w:r>
              <w:rPr>
                <w:rFonts w:hint="eastAsia"/>
                <w:sz w:val="24"/>
                <w:szCs w:val="24"/>
                <w:highlight w:val="none"/>
              </w:rPr>
              <w:t>……</w:t>
            </w:r>
          </w:p>
        </w:tc>
        <w:tc>
          <w:tcPr>
            <w:tcW w:w="1132" w:type="dxa"/>
            <w:shd w:val="clear" w:color="auto" w:fill="auto"/>
            <w:vAlign w:val="center"/>
          </w:tcPr>
          <w:p w14:paraId="1D6C3DDF">
            <w:pPr>
              <w:wordWrap w:val="0"/>
              <w:ind w:left="-46" w:leftChars="-23" w:right="-62" w:rightChars="-31"/>
              <w:rPr>
                <w:rFonts w:cs="宋体"/>
                <w:sz w:val="24"/>
                <w:szCs w:val="24"/>
                <w:highlight w:val="none"/>
              </w:rPr>
            </w:pPr>
            <w:r>
              <w:rPr>
                <w:rFonts w:hint="eastAsia"/>
                <w:sz w:val="24"/>
                <w:szCs w:val="24"/>
                <w:highlight w:val="none"/>
              </w:rPr>
              <w:t>…</w:t>
            </w:r>
          </w:p>
        </w:tc>
        <w:tc>
          <w:tcPr>
            <w:tcW w:w="655" w:type="dxa"/>
            <w:tcBorders>
              <w:right w:val="single" w:color="auto" w:sz="4" w:space="0"/>
            </w:tcBorders>
            <w:shd w:val="clear" w:color="auto" w:fill="auto"/>
            <w:vAlign w:val="center"/>
          </w:tcPr>
          <w:p w14:paraId="36DF5E87">
            <w:pPr>
              <w:wordWrap w:val="0"/>
              <w:ind w:left="-46" w:leftChars="-23" w:right="-62" w:rightChars="-31"/>
              <w:jc w:val="center"/>
              <w:rPr>
                <w:rFonts w:cs="宋体"/>
                <w:sz w:val="24"/>
                <w:szCs w:val="24"/>
                <w:highlight w:val="none"/>
              </w:rPr>
            </w:pPr>
            <w:r>
              <w:rPr>
                <w:rFonts w:hint="eastAsia"/>
                <w:sz w:val="24"/>
                <w:szCs w:val="24"/>
                <w:highlight w:val="none"/>
              </w:rPr>
              <w:t>…</w:t>
            </w:r>
          </w:p>
        </w:tc>
        <w:tc>
          <w:tcPr>
            <w:tcW w:w="627" w:type="dxa"/>
            <w:tcBorders>
              <w:left w:val="single" w:color="auto" w:sz="4" w:space="0"/>
            </w:tcBorders>
            <w:shd w:val="clear" w:color="auto" w:fill="auto"/>
            <w:vAlign w:val="center"/>
          </w:tcPr>
          <w:p w14:paraId="70D50753">
            <w:pPr>
              <w:wordWrap w:val="0"/>
              <w:ind w:left="-46" w:leftChars="-23" w:right="-62" w:rightChars="-31"/>
              <w:jc w:val="center"/>
              <w:rPr>
                <w:rFonts w:cs="宋体"/>
                <w:sz w:val="24"/>
                <w:szCs w:val="24"/>
                <w:highlight w:val="none"/>
              </w:rPr>
            </w:pPr>
            <w:r>
              <w:rPr>
                <w:rFonts w:hint="eastAsia"/>
                <w:sz w:val="24"/>
                <w:szCs w:val="24"/>
                <w:highlight w:val="none"/>
              </w:rPr>
              <w:t>…</w:t>
            </w:r>
          </w:p>
        </w:tc>
        <w:tc>
          <w:tcPr>
            <w:tcW w:w="859" w:type="dxa"/>
            <w:shd w:val="clear" w:color="auto" w:fill="auto"/>
            <w:vAlign w:val="center"/>
          </w:tcPr>
          <w:p w14:paraId="08A6236F">
            <w:pPr>
              <w:wordWrap w:val="0"/>
              <w:ind w:left="-46" w:leftChars="-23" w:right="-62" w:rightChars="-31"/>
              <w:jc w:val="center"/>
              <w:rPr>
                <w:rFonts w:cs="宋体"/>
                <w:sz w:val="24"/>
                <w:szCs w:val="24"/>
                <w:highlight w:val="none"/>
              </w:rPr>
            </w:pPr>
            <w:r>
              <w:rPr>
                <w:rFonts w:hint="eastAsia"/>
                <w:sz w:val="24"/>
                <w:szCs w:val="24"/>
                <w:highlight w:val="none"/>
              </w:rPr>
              <w:t>…</w:t>
            </w:r>
          </w:p>
        </w:tc>
        <w:tc>
          <w:tcPr>
            <w:tcW w:w="1425" w:type="dxa"/>
            <w:shd w:val="clear" w:color="auto" w:fill="auto"/>
            <w:vAlign w:val="center"/>
          </w:tcPr>
          <w:p w14:paraId="6A7F1AA7">
            <w:pPr>
              <w:wordWrap w:val="0"/>
              <w:ind w:left="-46" w:leftChars="-23" w:right="-62" w:rightChars="-31"/>
              <w:rPr>
                <w:rFonts w:cs="宋体"/>
                <w:sz w:val="24"/>
                <w:szCs w:val="24"/>
                <w:highlight w:val="none"/>
              </w:rPr>
            </w:pPr>
            <w:r>
              <w:rPr>
                <w:rFonts w:hint="eastAsia"/>
                <w:sz w:val="24"/>
                <w:szCs w:val="24"/>
                <w:highlight w:val="none"/>
              </w:rPr>
              <w:t>…</w:t>
            </w:r>
          </w:p>
        </w:tc>
        <w:tc>
          <w:tcPr>
            <w:tcW w:w="1134" w:type="dxa"/>
            <w:shd w:val="clear" w:color="auto" w:fill="auto"/>
            <w:vAlign w:val="center"/>
          </w:tcPr>
          <w:p w14:paraId="651D3E99">
            <w:pPr>
              <w:wordWrap w:val="0"/>
              <w:ind w:left="-46" w:leftChars="-23" w:right="-62" w:rightChars="-31"/>
              <w:jc w:val="center"/>
              <w:rPr>
                <w:rFonts w:cs="宋体"/>
                <w:sz w:val="24"/>
                <w:szCs w:val="24"/>
                <w:highlight w:val="none"/>
              </w:rPr>
            </w:pPr>
            <w:r>
              <w:rPr>
                <w:rFonts w:hint="eastAsia"/>
                <w:sz w:val="24"/>
                <w:szCs w:val="24"/>
                <w:highlight w:val="none"/>
              </w:rPr>
              <w:t>…</w:t>
            </w:r>
          </w:p>
        </w:tc>
      </w:tr>
      <w:tr w14:paraId="217531D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85" w:hRule="atLeast"/>
          <w:jc w:val="center"/>
        </w:trPr>
        <w:tc>
          <w:tcPr>
            <w:tcW w:w="6241" w:type="dxa"/>
            <w:gridSpan w:val="6"/>
            <w:shd w:val="clear" w:color="auto" w:fill="auto"/>
            <w:vAlign w:val="center"/>
          </w:tcPr>
          <w:p w14:paraId="43CE202F">
            <w:pPr>
              <w:wordWrap w:val="0"/>
              <w:ind w:left="-46" w:leftChars="-23" w:right="-62" w:rightChars="-31"/>
              <w:jc w:val="center"/>
              <w:rPr>
                <w:rFonts w:cs="宋体"/>
                <w:b/>
                <w:sz w:val="24"/>
                <w:szCs w:val="24"/>
                <w:highlight w:val="none"/>
              </w:rPr>
            </w:pPr>
            <w:r>
              <w:rPr>
                <w:rFonts w:hint="eastAsia" w:cs="宋体"/>
                <w:b/>
                <w:sz w:val="24"/>
                <w:szCs w:val="24"/>
                <w:highlight w:val="none"/>
              </w:rPr>
              <w:t>合计</w:t>
            </w:r>
          </w:p>
        </w:tc>
        <w:tc>
          <w:tcPr>
            <w:tcW w:w="2559" w:type="dxa"/>
            <w:gridSpan w:val="2"/>
            <w:shd w:val="clear" w:color="auto" w:fill="auto"/>
            <w:vAlign w:val="center"/>
          </w:tcPr>
          <w:p w14:paraId="68EBDC66">
            <w:pPr>
              <w:wordWrap w:val="0"/>
              <w:ind w:left="-46" w:leftChars="-23" w:right="-62" w:rightChars="-31"/>
              <w:rPr>
                <w:rFonts w:cs="宋体"/>
                <w:sz w:val="24"/>
                <w:szCs w:val="24"/>
                <w:highlight w:val="none"/>
              </w:rPr>
            </w:pPr>
          </w:p>
        </w:tc>
      </w:tr>
    </w:tbl>
    <w:p w14:paraId="74F6939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zh-CN"/>
        </w:rPr>
      </w:pPr>
      <w:r>
        <w:rPr>
          <w:rFonts w:hint="eastAsia" w:ascii="宋体" w:hAnsi="宋体" w:eastAsia="宋体" w:cs="宋体"/>
          <w:sz w:val="24"/>
          <w:szCs w:val="24"/>
          <w:lang w:val="en-US" w:eastAsia="zh-CN"/>
        </w:rPr>
        <w:t>三、</w:t>
      </w:r>
      <w:r>
        <w:rPr>
          <w:rFonts w:hint="eastAsia" w:ascii="宋体" w:hAnsi="宋体" w:eastAsia="宋体" w:cs="宋体"/>
          <w:sz w:val="24"/>
          <w:szCs w:val="24"/>
          <w:lang w:val="zh-CN"/>
        </w:rPr>
        <w:t>服务（货物）质量</w:t>
      </w:r>
    </w:p>
    <w:p w14:paraId="4CBF346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zh-CN" w:eastAsia="zh-CN"/>
        </w:rPr>
      </w:pPr>
      <w:r>
        <w:rPr>
          <w:rFonts w:hint="eastAsia" w:ascii="宋体" w:hAnsi="宋体" w:eastAsia="宋体" w:cs="宋体"/>
          <w:sz w:val="24"/>
          <w:szCs w:val="24"/>
        </w:rPr>
        <w:t>(以</w:t>
      </w:r>
      <w:r>
        <w:rPr>
          <w:rFonts w:hint="eastAsia" w:ascii="宋体" w:hAnsi="宋体" w:eastAsia="宋体" w:cs="宋体"/>
          <w:sz w:val="24"/>
          <w:szCs w:val="24"/>
          <w:lang w:eastAsia="zh-CN"/>
        </w:rPr>
        <w:t>磋商文件</w:t>
      </w:r>
      <w:r>
        <w:rPr>
          <w:rFonts w:hint="eastAsia" w:ascii="宋体" w:hAnsi="宋体" w:eastAsia="宋体" w:cs="宋体"/>
          <w:sz w:val="24"/>
          <w:szCs w:val="24"/>
        </w:rPr>
        <w:t>要求以及</w:t>
      </w:r>
      <w:r>
        <w:rPr>
          <w:rFonts w:hint="eastAsia" w:ascii="宋体" w:hAnsi="宋体" w:eastAsia="宋体" w:cs="宋体"/>
          <w:sz w:val="24"/>
          <w:szCs w:val="24"/>
          <w:lang w:eastAsia="zh-CN"/>
        </w:rPr>
        <w:t>响应文件</w:t>
      </w:r>
      <w:r>
        <w:rPr>
          <w:rFonts w:hint="eastAsia" w:ascii="宋体" w:hAnsi="宋体" w:eastAsia="宋体" w:cs="宋体"/>
          <w:sz w:val="24"/>
          <w:szCs w:val="24"/>
        </w:rPr>
        <w:t>的响应)。</w:t>
      </w:r>
    </w:p>
    <w:p w14:paraId="4FF3CC9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zh-CN"/>
        </w:rPr>
      </w:pPr>
      <w:r>
        <w:rPr>
          <w:rFonts w:hint="eastAsia" w:ascii="宋体" w:hAnsi="宋体" w:eastAsia="宋体" w:cs="宋体"/>
          <w:sz w:val="24"/>
          <w:szCs w:val="24"/>
          <w:lang w:val="en-US" w:eastAsia="zh-CN"/>
        </w:rPr>
        <w:t>四、</w:t>
      </w:r>
      <w:r>
        <w:rPr>
          <w:rFonts w:hint="eastAsia" w:ascii="宋体" w:hAnsi="宋体" w:eastAsia="宋体" w:cs="宋体"/>
          <w:sz w:val="24"/>
          <w:szCs w:val="24"/>
          <w:lang w:val="zh-CN"/>
        </w:rPr>
        <w:t>合同履行时间（期限）、地点和方式</w:t>
      </w:r>
    </w:p>
    <w:p w14:paraId="485B975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1.合同履行时间：</w:t>
      </w:r>
      <w:r>
        <w:rPr>
          <w:rFonts w:hint="eastAsia" w:ascii="宋体" w:hAnsi="宋体" w:eastAsia="宋体" w:cs="宋体"/>
          <w:sz w:val="24"/>
          <w:szCs w:val="24"/>
          <w:lang w:val="zh-CN"/>
        </w:rPr>
        <w:t>自</w:t>
      </w:r>
      <w:r>
        <w:rPr>
          <w:rFonts w:hint="eastAsia" w:ascii="宋体" w:hAnsi="宋体" w:eastAsia="宋体" w:cs="宋体"/>
          <w:sz w:val="24"/>
          <w:szCs w:val="24"/>
        </w:rPr>
        <w:t>年月日至年月日止。</w:t>
      </w:r>
    </w:p>
    <w:p w14:paraId="32BE00B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2.交付或服务地点及方式：(见</w:t>
      </w:r>
      <w:r>
        <w:rPr>
          <w:rFonts w:hint="eastAsia" w:ascii="宋体" w:hAnsi="宋体" w:eastAsia="宋体" w:cs="宋体"/>
          <w:sz w:val="24"/>
          <w:szCs w:val="24"/>
          <w:lang w:eastAsia="zh-CN"/>
        </w:rPr>
        <w:t>磋商文件</w:t>
      </w:r>
      <w:r>
        <w:rPr>
          <w:rFonts w:hint="eastAsia" w:ascii="宋体" w:hAnsi="宋体" w:eastAsia="宋体" w:cs="宋体"/>
          <w:sz w:val="24"/>
          <w:szCs w:val="24"/>
        </w:rPr>
        <w:t>)。</w:t>
      </w:r>
    </w:p>
    <w:p w14:paraId="5B7ABAA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zh-CN"/>
        </w:rPr>
      </w:pPr>
      <w:r>
        <w:rPr>
          <w:rFonts w:hint="eastAsia" w:ascii="宋体" w:hAnsi="宋体" w:eastAsia="宋体" w:cs="宋体"/>
          <w:sz w:val="24"/>
          <w:szCs w:val="24"/>
          <w:lang w:val="en-US" w:eastAsia="zh-CN"/>
        </w:rPr>
        <w:t>五</w:t>
      </w:r>
      <w:r>
        <w:rPr>
          <w:rFonts w:hint="eastAsia" w:ascii="宋体" w:hAnsi="宋体" w:eastAsia="宋体" w:cs="宋体"/>
          <w:sz w:val="24"/>
          <w:szCs w:val="24"/>
          <w:lang w:val="zh-CN" w:eastAsia="zh-CN"/>
        </w:rPr>
        <w:t>、</w:t>
      </w:r>
      <w:r>
        <w:rPr>
          <w:rFonts w:hint="eastAsia" w:ascii="宋体" w:hAnsi="宋体" w:eastAsia="宋体" w:cs="宋体"/>
          <w:sz w:val="24"/>
          <w:szCs w:val="24"/>
          <w:lang w:val="zh-CN"/>
        </w:rPr>
        <w:t>包装及运输</w:t>
      </w:r>
    </w:p>
    <w:p w14:paraId="25A9786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(见</w:t>
      </w:r>
      <w:r>
        <w:rPr>
          <w:rFonts w:hint="eastAsia" w:ascii="宋体" w:hAnsi="宋体" w:eastAsia="宋体" w:cs="宋体"/>
          <w:sz w:val="24"/>
          <w:szCs w:val="24"/>
          <w:lang w:eastAsia="zh-CN"/>
        </w:rPr>
        <w:t>磋商文件</w:t>
      </w:r>
      <w:r>
        <w:rPr>
          <w:rFonts w:hint="eastAsia" w:ascii="宋体" w:hAnsi="宋体" w:eastAsia="宋体" w:cs="宋体"/>
          <w:sz w:val="24"/>
          <w:szCs w:val="24"/>
        </w:rPr>
        <w:t>)。</w:t>
      </w:r>
    </w:p>
    <w:p w14:paraId="2AE419B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zh-CN"/>
        </w:rPr>
      </w:pPr>
      <w:r>
        <w:rPr>
          <w:rFonts w:hint="eastAsia" w:ascii="宋体" w:hAnsi="宋体" w:eastAsia="宋体" w:cs="宋体"/>
          <w:sz w:val="24"/>
          <w:szCs w:val="24"/>
          <w:lang w:val="en-US" w:eastAsia="zh-CN"/>
        </w:rPr>
        <w:t>六</w:t>
      </w:r>
      <w:r>
        <w:rPr>
          <w:rFonts w:hint="eastAsia" w:ascii="宋体" w:hAnsi="宋体" w:eastAsia="宋体" w:cs="宋体"/>
          <w:sz w:val="24"/>
          <w:szCs w:val="24"/>
          <w:lang w:val="zh-CN" w:eastAsia="zh-CN"/>
        </w:rPr>
        <w:t>、</w:t>
      </w:r>
      <w:r>
        <w:rPr>
          <w:rFonts w:hint="eastAsia" w:ascii="宋体" w:hAnsi="宋体" w:eastAsia="宋体" w:cs="宋体"/>
          <w:sz w:val="24"/>
          <w:szCs w:val="24"/>
          <w:lang w:val="zh-CN"/>
        </w:rPr>
        <w:t>合同价款</w:t>
      </w:r>
    </w:p>
    <w:p w14:paraId="71F19EA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zh-CN"/>
        </w:rPr>
        <w:t>1.本合同金额为（大写）：人民币</w:t>
      </w:r>
      <w:r>
        <w:rPr>
          <w:rFonts w:hint="eastAsia" w:ascii="宋体" w:hAnsi="宋体" w:eastAsia="宋体" w:cs="宋体"/>
          <w:sz w:val="24"/>
          <w:szCs w:val="24"/>
        </w:rPr>
        <w:t>(见</w:t>
      </w:r>
      <w:r>
        <w:rPr>
          <w:rFonts w:hint="eastAsia" w:ascii="宋体" w:hAnsi="宋体" w:eastAsia="宋体" w:cs="宋体"/>
          <w:sz w:val="24"/>
          <w:szCs w:val="24"/>
          <w:lang w:eastAsia="zh-CN"/>
        </w:rPr>
        <w:t>响应文件</w:t>
      </w:r>
      <w:r>
        <w:rPr>
          <w:rFonts w:hint="eastAsia" w:ascii="宋体" w:hAnsi="宋体" w:eastAsia="宋体" w:cs="宋体"/>
          <w:sz w:val="24"/>
          <w:szCs w:val="24"/>
        </w:rPr>
        <w:t>)元（¥：）</w:t>
      </w:r>
    </w:p>
    <w:p w14:paraId="30EE08D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2.合同金额包括乙方完成本合同约定的全部工作可能发生的所有费用（含市场变化等可能发生的费用），即总报价为“交钥匙”价</w:t>
      </w:r>
      <w:r>
        <w:rPr>
          <w:rFonts w:hint="eastAsia" w:ascii="宋体" w:hAnsi="宋体" w:eastAsia="宋体" w:cs="宋体"/>
          <w:sz w:val="24"/>
          <w:szCs w:val="24"/>
          <w:lang w:val="zh-CN"/>
        </w:rPr>
        <w:t>。</w:t>
      </w:r>
      <w:r>
        <w:rPr>
          <w:rFonts w:hint="eastAsia" w:ascii="宋体" w:hAnsi="宋体" w:eastAsia="宋体" w:cs="宋体"/>
          <w:sz w:val="24"/>
          <w:szCs w:val="24"/>
        </w:rPr>
        <w:t>甲方在支付此金额后，不再因本合同支付任何其它费用。</w:t>
      </w:r>
    </w:p>
    <w:p w14:paraId="1AA4781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w:t>
      </w:r>
    </w:p>
    <w:p w14:paraId="510A626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zh-CN"/>
        </w:rPr>
      </w:pPr>
      <w:r>
        <w:rPr>
          <w:rFonts w:hint="eastAsia" w:ascii="宋体" w:hAnsi="宋体" w:eastAsia="宋体" w:cs="宋体"/>
          <w:sz w:val="24"/>
          <w:szCs w:val="24"/>
          <w:lang w:val="en-US" w:eastAsia="zh-CN"/>
        </w:rPr>
        <w:t>七</w:t>
      </w:r>
      <w:r>
        <w:rPr>
          <w:rFonts w:hint="eastAsia" w:ascii="宋体" w:hAnsi="宋体" w:eastAsia="宋体" w:cs="宋体"/>
          <w:sz w:val="24"/>
          <w:szCs w:val="24"/>
          <w:lang w:val="zh-CN" w:eastAsia="zh-CN"/>
        </w:rPr>
        <w:t>、</w:t>
      </w:r>
      <w:r>
        <w:rPr>
          <w:rFonts w:hint="eastAsia" w:ascii="宋体" w:hAnsi="宋体" w:eastAsia="宋体" w:cs="宋体"/>
          <w:sz w:val="24"/>
          <w:szCs w:val="24"/>
          <w:lang w:val="zh-CN"/>
        </w:rPr>
        <w:t>资金支付方式及安排</w:t>
      </w:r>
    </w:p>
    <w:p w14:paraId="3E241F7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(见</w:t>
      </w:r>
      <w:r>
        <w:rPr>
          <w:rFonts w:hint="eastAsia" w:ascii="宋体" w:hAnsi="宋体" w:eastAsia="宋体" w:cs="宋体"/>
          <w:sz w:val="24"/>
          <w:szCs w:val="24"/>
          <w:lang w:eastAsia="zh-CN"/>
        </w:rPr>
        <w:t>磋商文件</w:t>
      </w:r>
      <w:r>
        <w:rPr>
          <w:rFonts w:hint="eastAsia" w:ascii="宋体" w:hAnsi="宋体" w:eastAsia="宋体" w:cs="宋体"/>
          <w:sz w:val="24"/>
          <w:szCs w:val="24"/>
        </w:rPr>
        <w:t>)。</w:t>
      </w:r>
    </w:p>
    <w:p w14:paraId="513049C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zh-CN"/>
        </w:rPr>
      </w:pPr>
      <w:r>
        <w:rPr>
          <w:rFonts w:hint="eastAsia" w:ascii="宋体" w:hAnsi="宋体" w:eastAsia="宋体" w:cs="宋体"/>
          <w:sz w:val="24"/>
          <w:szCs w:val="24"/>
          <w:lang w:val="en-US" w:eastAsia="zh-CN"/>
        </w:rPr>
        <w:t>八</w:t>
      </w:r>
      <w:r>
        <w:rPr>
          <w:rFonts w:hint="eastAsia" w:ascii="宋体" w:hAnsi="宋体" w:eastAsia="宋体" w:cs="宋体"/>
          <w:sz w:val="24"/>
          <w:szCs w:val="24"/>
          <w:lang w:val="zh-CN" w:eastAsia="zh-CN"/>
        </w:rPr>
        <w:t>、</w:t>
      </w:r>
      <w:r>
        <w:rPr>
          <w:rFonts w:hint="eastAsia" w:ascii="宋体" w:hAnsi="宋体" w:eastAsia="宋体" w:cs="宋体"/>
          <w:sz w:val="24"/>
          <w:szCs w:val="24"/>
          <w:lang w:val="zh-CN"/>
        </w:rPr>
        <w:t>交付标准、方法和验收方案</w:t>
      </w:r>
    </w:p>
    <w:p w14:paraId="09F85AB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zh-CN"/>
        </w:rPr>
        <w:t>交付标准、方法：</w:t>
      </w:r>
      <w:r>
        <w:rPr>
          <w:rFonts w:hint="eastAsia" w:ascii="宋体" w:hAnsi="宋体" w:eastAsia="宋体" w:cs="宋体"/>
          <w:sz w:val="24"/>
          <w:szCs w:val="24"/>
        </w:rPr>
        <w:t>(见</w:t>
      </w:r>
      <w:r>
        <w:rPr>
          <w:rFonts w:hint="eastAsia" w:ascii="宋体" w:hAnsi="宋体" w:eastAsia="宋体" w:cs="宋体"/>
          <w:sz w:val="24"/>
          <w:szCs w:val="24"/>
          <w:lang w:eastAsia="zh-CN"/>
        </w:rPr>
        <w:t>磋商文件</w:t>
      </w:r>
      <w:r>
        <w:rPr>
          <w:rFonts w:hint="eastAsia" w:ascii="宋体" w:hAnsi="宋体" w:eastAsia="宋体" w:cs="宋体"/>
          <w:sz w:val="24"/>
          <w:szCs w:val="24"/>
        </w:rPr>
        <w:t>)</w:t>
      </w:r>
      <w:r>
        <w:rPr>
          <w:rFonts w:hint="eastAsia" w:ascii="宋体" w:hAnsi="宋体" w:eastAsia="宋体" w:cs="宋体"/>
          <w:sz w:val="24"/>
          <w:szCs w:val="24"/>
          <w:lang w:val="zh-CN"/>
        </w:rPr>
        <w:t>。</w:t>
      </w:r>
    </w:p>
    <w:p w14:paraId="34D4C93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zh-CN"/>
        </w:rPr>
        <w:t>验收方案：</w:t>
      </w:r>
      <w:r>
        <w:rPr>
          <w:rFonts w:hint="eastAsia" w:ascii="宋体" w:hAnsi="宋体" w:eastAsia="宋体" w:cs="宋体"/>
          <w:sz w:val="24"/>
          <w:szCs w:val="24"/>
        </w:rPr>
        <w:t>(见</w:t>
      </w:r>
      <w:r>
        <w:rPr>
          <w:rFonts w:hint="eastAsia" w:ascii="宋体" w:hAnsi="宋体" w:eastAsia="宋体" w:cs="宋体"/>
          <w:sz w:val="24"/>
          <w:szCs w:val="24"/>
          <w:lang w:eastAsia="zh-CN"/>
        </w:rPr>
        <w:t>磋商文件</w:t>
      </w:r>
      <w:r>
        <w:rPr>
          <w:rFonts w:hint="eastAsia" w:ascii="宋体" w:hAnsi="宋体" w:eastAsia="宋体" w:cs="宋体"/>
          <w:sz w:val="24"/>
          <w:szCs w:val="24"/>
        </w:rPr>
        <w:t>)。</w:t>
      </w:r>
    </w:p>
    <w:p w14:paraId="5E8D3A2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zh-CN"/>
        </w:rPr>
      </w:pPr>
      <w:r>
        <w:rPr>
          <w:rFonts w:hint="eastAsia" w:ascii="宋体" w:hAnsi="宋体" w:eastAsia="宋体" w:cs="宋体"/>
          <w:sz w:val="24"/>
          <w:szCs w:val="24"/>
          <w:lang w:val="zh-CN" w:eastAsia="zh-CN"/>
        </w:rPr>
        <w:t>九、</w:t>
      </w:r>
      <w:r>
        <w:rPr>
          <w:rFonts w:hint="eastAsia" w:ascii="宋体" w:hAnsi="宋体" w:eastAsia="宋体" w:cs="宋体"/>
          <w:sz w:val="24"/>
          <w:szCs w:val="24"/>
          <w:lang w:val="zh-CN"/>
        </w:rPr>
        <w:t>质保（服务）期及质保（服务）范围和要求</w:t>
      </w:r>
    </w:p>
    <w:p w14:paraId="53A3F11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1.质保（服务)期：(见</w:t>
      </w:r>
      <w:r>
        <w:rPr>
          <w:rFonts w:hint="eastAsia" w:ascii="宋体" w:hAnsi="宋体" w:eastAsia="宋体" w:cs="宋体"/>
          <w:sz w:val="24"/>
          <w:szCs w:val="24"/>
          <w:lang w:eastAsia="zh-CN"/>
        </w:rPr>
        <w:t>磋商文件</w:t>
      </w:r>
      <w:r>
        <w:rPr>
          <w:rFonts w:hint="eastAsia" w:ascii="宋体" w:hAnsi="宋体" w:eastAsia="宋体" w:cs="宋体"/>
          <w:sz w:val="24"/>
          <w:szCs w:val="24"/>
        </w:rPr>
        <w:t>)。</w:t>
      </w:r>
    </w:p>
    <w:p w14:paraId="5A0C0D8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2.质保（服务）范围：(见</w:t>
      </w:r>
      <w:r>
        <w:rPr>
          <w:rFonts w:hint="eastAsia" w:ascii="宋体" w:hAnsi="宋体" w:eastAsia="宋体" w:cs="宋体"/>
          <w:sz w:val="24"/>
          <w:szCs w:val="24"/>
          <w:lang w:eastAsia="zh-CN"/>
        </w:rPr>
        <w:t>磋商文件</w:t>
      </w:r>
      <w:r>
        <w:rPr>
          <w:rFonts w:hint="eastAsia" w:ascii="宋体" w:hAnsi="宋体" w:eastAsia="宋体" w:cs="宋体"/>
          <w:sz w:val="24"/>
          <w:szCs w:val="24"/>
        </w:rPr>
        <w:t>)</w:t>
      </w:r>
      <w:r>
        <w:rPr>
          <w:rFonts w:hint="eastAsia" w:ascii="宋体" w:hAnsi="宋体" w:eastAsia="宋体" w:cs="宋体"/>
          <w:sz w:val="24"/>
          <w:szCs w:val="24"/>
          <w:lang w:val="zh-CN"/>
        </w:rPr>
        <w:t>。</w:t>
      </w:r>
    </w:p>
    <w:p w14:paraId="3E1D243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3.质保（服务）要求：(见</w:t>
      </w:r>
      <w:r>
        <w:rPr>
          <w:rFonts w:hint="eastAsia" w:ascii="宋体" w:hAnsi="宋体" w:eastAsia="宋体" w:cs="宋体"/>
          <w:sz w:val="24"/>
          <w:szCs w:val="24"/>
          <w:lang w:eastAsia="zh-CN"/>
        </w:rPr>
        <w:t>磋商文件</w:t>
      </w:r>
      <w:r>
        <w:rPr>
          <w:rFonts w:hint="eastAsia" w:ascii="宋体" w:hAnsi="宋体" w:eastAsia="宋体" w:cs="宋体"/>
          <w:sz w:val="24"/>
          <w:szCs w:val="24"/>
        </w:rPr>
        <w:t>)</w:t>
      </w:r>
      <w:r>
        <w:rPr>
          <w:rFonts w:hint="eastAsia" w:ascii="宋体" w:hAnsi="宋体" w:eastAsia="宋体" w:cs="宋体"/>
          <w:sz w:val="24"/>
          <w:szCs w:val="24"/>
          <w:lang w:val="zh-CN"/>
        </w:rPr>
        <w:t>。</w:t>
      </w:r>
    </w:p>
    <w:p w14:paraId="0393506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zh-CN"/>
        </w:rPr>
      </w:pPr>
      <w:r>
        <w:rPr>
          <w:rFonts w:hint="eastAsia" w:ascii="宋体" w:hAnsi="宋体" w:eastAsia="宋体" w:cs="宋体"/>
          <w:sz w:val="24"/>
          <w:szCs w:val="24"/>
          <w:lang w:val="zh-CN" w:eastAsia="zh-CN"/>
        </w:rPr>
        <w:t>十、</w:t>
      </w:r>
      <w:r>
        <w:rPr>
          <w:rFonts w:hint="eastAsia" w:ascii="宋体" w:hAnsi="宋体" w:eastAsia="宋体" w:cs="宋体"/>
          <w:sz w:val="24"/>
          <w:szCs w:val="24"/>
          <w:lang w:val="zh-CN"/>
        </w:rPr>
        <w:t>项目培训</w:t>
      </w:r>
    </w:p>
    <w:p w14:paraId="4F19E99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(见</w:t>
      </w:r>
      <w:r>
        <w:rPr>
          <w:rFonts w:hint="eastAsia" w:ascii="宋体" w:hAnsi="宋体" w:eastAsia="宋体" w:cs="宋体"/>
          <w:sz w:val="24"/>
          <w:szCs w:val="24"/>
          <w:lang w:eastAsia="zh-CN"/>
        </w:rPr>
        <w:t>响应文件</w:t>
      </w:r>
      <w:r>
        <w:rPr>
          <w:rFonts w:hint="eastAsia" w:ascii="宋体" w:hAnsi="宋体" w:eastAsia="宋体" w:cs="宋体"/>
          <w:sz w:val="24"/>
          <w:szCs w:val="24"/>
        </w:rPr>
        <w:t>)。</w:t>
      </w:r>
    </w:p>
    <w:p w14:paraId="5F12A06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zh-CN"/>
        </w:rPr>
      </w:pPr>
      <w:r>
        <w:rPr>
          <w:rFonts w:hint="eastAsia" w:ascii="宋体" w:hAnsi="宋体" w:eastAsia="宋体" w:cs="宋体"/>
          <w:sz w:val="24"/>
          <w:szCs w:val="24"/>
          <w:lang w:val="en-US" w:eastAsia="zh-CN"/>
        </w:rPr>
        <w:t>十一</w:t>
      </w:r>
      <w:r>
        <w:rPr>
          <w:rFonts w:hint="eastAsia" w:ascii="宋体" w:hAnsi="宋体" w:eastAsia="宋体" w:cs="宋体"/>
          <w:sz w:val="24"/>
          <w:szCs w:val="24"/>
          <w:lang w:val="zh-CN" w:eastAsia="zh-CN"/>
        </w:rPr>
        <w:t>、</w:t>
      </w:r>
      <w:r>
        <w:rPr>
          <w:rFonts w:hint="eastAsia" w:ascii="宋体" w:hAnsi="宋体" w:eastAsia="宋体" w:cs="宋体"/>
          <w:sz w:val="24"/>
          <w:szCs w:val="24"/>
          <w:lang w:val="zh-CN"/>
        </w:rPr>
        <w:t>知识产权归属、处理方式</w:t>
      </w:r>
    </w:p>
    <w:p w14:paraId="469E053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(见</w:t>
      </w:r>
      <w:r>
        <w:rPr>
          <w:rFonts w:hint="eastAsia" w:ascii="宋体" w:hAnsi="宋体" w:eastAsia="宋体" w:cs="宋体"/>
          <w:sz w:val="24"/>
          <w:szCs w:val="24"/>
          <w:lang w:eastAsia="zh-CN"/>
        </w:rPr>
        <w:t>磋商文件</w:t>
      </w:r>
      <w:r>
        <w:rPr>
          <w:rFonts w:hint="eastAsia" w:ascii="宋体" w:hAnsi="宋体" w:eastAsia="宋体" w:cs="宋体"/>
          <w:sz w:val="24"/>
          <w:szCs w:val="24"/>
        </w:rPr>
        <w:t>)。</w:t>
      </w:r>
    </w:p>
    <w:p w14:paraId="5D14154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zh-CN"/>
        </w:rPr>
      </w:pPr>
      <w:r>
        <w:rPr>
          <w:rFonts w:hint="eastAsia" w:ascii="宋体" w:hAnsi="宋体" w:eastAsia="宋体" w:cs="宋体"/>
          <w:sz w:val="24"/>
          <w:szCs w:val="24"/>
          <w:lang w:val="en-US" w:eastAsia="zh-CN"/>
        </w:rPr>
        <w:t>十二</w:t>
      </w:r>
      <w:r>
        <w:rPr>
          <w:rFonts w:hint="eastAsia" w:ascii="宋体" w:hAnsi="宋体" w:eastAsia="宋体" w:cs="宋体"/>
          <w:sz w:val="24"/>
          <w:szCs w:val="24"/>
          <w:lang w:val="zh-CN" w:eastAsia="zh-CN"/>
        </w:rPr>
        <w:t>、</w:t>
      </w:r>
      <w:r>
        <w:rPr>
          <w:rFonts w:hint="eastAsia" w:ascii="宋体" w:hAnsi="宋体" w:eastAsia="宋体" w:cs="宋体"/>
          <w:sz w:val="24"/>
          <w:szCs w:val="24"/>
          <w:lang w:val="zh-CN"/>
        </w:rPr>
        <w:t>双方的权利和义务</w:t>
      </w:r>
    </w:p>
    <w:p w14:paraId="4644BF1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1.甲方的</w:t>
      </w:r>
      <w:r>
        <w:rPr>
          <w:rFonts w:hint="eastAsia" w:ascii="宋体" w:hAnsi="宋体" w:cs="宋体"/>
          <w:sz w:val="24"/>
          <w:szCs w:val="24"/>
          <w:lang w:eastAsia="zh-CN"/>
        </w:rPr>
        <w:t>权利</w:t>
      </w:r>
      <w:r>
        <w:rPr>
          <w:rFonts w:hint="eastAsia" w:ascii="宋体" w:hAnsi="宋体" w:eastAsia="宋体" w:cs="宋体"/>
          <w:sz w:val="24"/>
          <w:szCs w:val="24"/>
        </w:rPr>
        <w:t>和义务：。</w:t>
      </w:r>
    </w:p>
    <w:p w14:paraId="67785C4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2.乙方的</w:t>
      </w:r>
      <w:r>
        <w:rPr>
          <w:rFonts w:hint="eastAsia" w:ascii="宋体" w:hAnsi="宋体" w:cs="宋体"/>
          <w:sz w:val="24"/>
          <w:szCs w:val="24"/>
          <w:lang w:eastAsia="zh-CN"/>
        </w:rPr>
        <w:t>权利</w:t>
      </w:r>
      <w:r>
        <w:rPr>
          <w:rFonts w:hint="eastAsia" w:ascii="宋体" w:hAnsi="宋体" w:eastAsia="宋体" w:cs="宋体"/>
          <w:sz w:val="24"/>
          <w:szCs w:val="24"/>
        </w:rPr>
        <w:t>和义务：。</w:t>
      </w:r>
    </w:p>
    <w:p w14:paraId="730B19B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zh-CN"/>
        </w:rPr>
      </w:pPr>
      <w:r>
        <w:rPr>
          <w:rFonts w:hint="eastAsia" w:ascii="宋体" w:hAnsi="宋体" w:eastAsia="宋体" w:cs="宋体"/>
          <w:sz w:val="24"/>
          <w:szCs w:val="24"/>
          <w:lang w:val="zh-CN" w:eastAsia="zh-CN"/>
        </w:rPr>
        <w:t>十三、</w:t>
      </w:r>
      <w:r>
        <w:rPr>
          <w:rFonts w:hint="eastAsia" w:ascii="宋体" w:hAnsi="宋体" w:eastAsia="宋体" w:cs="宋体"/>
          <w:sz w:val="24"/>
          <w:szCs w:val="24"/>
          <w:lang w:val="zh-CN"/>
        </w:rPr>
        <w:t>违约责任</w:t>
      </w:r>
    </w:p>
    <w:p w14:paraId="0BC14ED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zh-CN"/>
        </w:rPr>
        <w:t>甲方的违约责任</w:t>
      </w:r>
      <w:r>
        <w:rPr>
          <w:rFonts w:hint="eastAsia" w:ascii="宋体" w:hAnsi="宋体" w:eastAsia="宋体" w:cs="宋体"/>
          <w:sz w:val="24"/>
          <w:szCs w:val="24"/>
        </w:rPr>
        <w:t>：。</w:t>
      </w:r>
    </w:p>
    <w:p w14:paraId="50861DA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2.乙方的违约责任：(见</w:t>
      </w:r>
      <w:r>
        <w:rPr>
          <w:rFonts w:hint="eastAsia" w:ascii="宋体" w:hAnsi="宋体" w:eastAsia="宋体" w:cs="宋体"/>
          <w:sz w:val="24"/>
          <w:szCs w:val="24"/>
          <w:lang w:eastAsia="zh-CN"/>
        </w:rPr>
        <w:t>磋商文件</w:t>
      </w:r>
      <w:r>
        <w:rPr>
          <w:rFonts w:hint="eastAsia" w:ascii="宋体" w:hAnsi="宋体" w:eastAsia="宋体" w:cs="宋体"/>
          <w:sz w:val="24"/>
          <w:szCs w:val="24"/>
        </w:rPr>
        <w:t>)。</w:t>
      </w:r>
    </w:p>
    <w:p w14:paraId="6E7836D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zh-CN"/>
        </w:rPr>
      </w:pPr>
      <w:r>
        <w:rPr>
          <w:rFonts w:hint="eastAsia" w:ascii="宋体" w:hAnsi="宋体" w:eastAsia="宋体" w:cs="宋体"/>
          <w:sz w:val="24"/>
          <w:szCs w:val="24"/>
          <w:lang w:val="en-US" w:eastAsia="zh-CN"/>
        </w:rPr>
        <w:t>十四</w:t>
      </w:r>
      <w:r>
        <w:rPr>
          <w:rFonts w:hint="eastAsia" w:ascii="宋体" w:hAnsi="宋体" w:eastAsia="宋体" w:cs="宋体"/>
          <w:sz w:val="24"/>
          <w:szCs w:val="24"/>
          <w:lang w:val="zh-CN" w:eastAsia="zh-CN"/>
        </w:rPr>
        <w:t>、</w:t>
      </w:r>
      <w:r>
        <w:rPr>
          <w:rFonts w:hint="eastAsia" w:ascii="宋体" w:hAnsi="宋体" w:eastAsia="宋体" w:cs="宋体"/>
          <w:sz w:val="24"/>
          <w:szCs w:val="24"/>
          <w:lang w:val="zh-CN"/>
        </w:rPr>
        <w:t>保密条款</w:t>
      </w:r>
    </w:p>
    <w:p w14:paraId="7081D75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(见</w:t>
      </w:r>
      <w:r>
        <w:rPr>
          <w:rFonts w:hint="eastAsia" w:ascii="宋体" w:hAnsi="宋体" w:eastAsia="宋体" w:cs="宋体"/>
          <w:sz w:val="24"/>
          <w:szCs w:val="24"/>
          <w:lang w:eastAsia="zh-CN"/>
        </w:rPr>
        <w:t>磋商文件</w:t>
      </w:r>
      <w:r>
        <w:rPr>
          <w:rFonts w:hint="eastAsia" w:ascii="宋体" w:hAnsi="宋体" w:eastAsia="宋体" w:cs="宋体"/>
          <w:sz w:val="24"/>
          <w:szCs w:val="24"/>
        </w:rPr>
        <w:t>)。</w:t>
      </w:r>
    </w:p>
    <w:p w14:paraId="1618FF9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十五、</w:t>
      </w:r>
      <w:r>
        <w:rPr>
          <w:rFonts w:hint="eastAsia" w:ascii="宋体" w:hAnsi="宋体" w:eastAsia="宋体" w:cs="宋体"/>
          <w:sz w:val="24"/>
          <w:szCs w:val="24"/>
          <w:lang w:val="zh-CN"/>
        </w:rPr>
        <w:t>其它补充条款</w:t>
      </w:r>
      <w:r>
        <w:rPr>
          <w:rFonts w:hint="eastAsia" w:ascii="宋体" w:hAnsi="宋体" w:eastAsia="宋体" w:cs="宋体"/>
          <w:sz w:val="24"/>
          <w:szCs w:val="24"/>
        </w:rPr>
        <w:t>。</w:t>
      </w:r>
    </w:p>
    <w:p w14:paraId="7731C8E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zh-CN"/>
        </w:rPr>
      </w:pPr>
      <w:r>
        <w:rPr>
          <w:rFonts w:hint="eastAsia" w:ascii="宋体" w:hAnsi="宋体" w:eastAsia="宋体" w:cs="宋体"/>
          <w:sz w:val="24"/>
          <w:szCs w:val="24"/>
          <w:lang w:val="zh-CN" w:eastAsia="zh-CN"/>
        </w:rPr>
        <w:t>十六、</w:t>
      </w:r>
      <w:r>
        <w:rPr>
          <w:rFonts w:hint="eastAsia" w:ascii="宋体" w:hAnsi="宋体" w:eastAsia="宋体" w:cs="宋体"/>
          <w:sz w:val="24"/>
          <w:szCs w:val="24"/>
          <w:lang w:val="zh-CN"/>
        </w:rPr>
        <w:t>不可抗力</w:t>
      </w:r>
    </w:p>
    <w:p w14:paraId="1DAEE09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任何一方由于不可抗力原因不能履行合同时，应在不可抗力事件结束后日内以书面形式通知对方，以减轻可能给对方造成的损失，在取得有关机构的不可抗力证明或双方谅解确认后，允许延期履行或修订合同，并根据情况可部分或全部免于承担违约责任。</w:t>
      </w:r>
    </w:p>
    <w:p w14:paraId="0E4C7BD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zh-CN"/>
        </w:rPr>
      </w:pPr>
      <w:r>
        <w:rPr>
          <w:rFonts w:hint="eastAsia" w:ascii="宋体" w:hAnsi="宋体" w:eastAsia="宋体" w:cs="宋体"/>
          <w:sz w:val="24"/>
          <w:szCs w:val="24"/>
          <w:lang w:val="zh-CN" w:eastAsia="zh-CN"/>
        </w:rPr>
        <w:t>十</w:t>
      </w:r>
      <w:r>
        <w:rPr>
          <w:rFonts w:hint="eastAsia" w:ascii="宋体" w:hAnsi="宋体" w:eastAsia="宋体" w:cs="宋体"/>
          <w:sz w:val="24"/>
          <w:szCs w:val="24"/>
          <w:lang w:val="en-US" w:eastAsia="zh-CN"/>
        </w:rPr>
        <w:t>七</w:t>
      </w:r>
      <w:r>
        <w:rPr>
          <w:rFonts w:hint="eastAsia" w:ascii="宋体" w:hAnsi="宋体" w:eastAsia="宋体" w:cs="宋体"/>
          <w:sz w:val="24"/>
          <w:szCs w:val="24"/>
          <w:lang w:val="zh-CN" w:eastAsia="zh-CN"/>
        </w:rPr>
        <w:t>、</w:t>
      </w:r>
      <w:r>
        <w:rPr>
          <w:rFonts w:hint="eastAsia" w:ascii="宋体" w:hAnsi="宋体" w:eastAsia="宋体" w:cs="宋体"/>
          <w:sz w:val="24"/>
          <w:szCs w:val="24"/>
          <w:lang w:val="zh-CN"/>
        </w:rPr>
        <w:t>解决争议的方法</w:t>
      </w:r>
    </w:p>
    <w:p w14:paraId="67C29AE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一切由执行合同引起的或与本合同有关的争执，双方应通过友好协商解决，如协商不能解决应提交甲方所在地有管辖权的人民法院诉讼解决。</w:t>
      </w:r>
    </w:p>
    <w:p w14:paraId="0FC6E17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zh-CN"/>
        </w:rPr>
      </w:pPr>
      <w:r>
        <w:rPr>
          <w:rFonts w:hint="eastAsia" w:ascii="宋体" w:hAnsi="宋体" w:eastAsia="宋体" w:cs="宋体"/>
          <w:sz w:val="24"/>
          <w:szCs w:val="24"/>
          <w:lang w:val="zh-CN" w:eastAsia="zh-CN"/>
        </w:rPr>
        <w:t>十</w:t>
      </w:r>
      <w:r>
        <w:rPr>
          <w:rFonts w:hint="eastAsia" w:ascii="宋体" w:hAnsi="宋体" w:eastAsia="宋体" w:cs="宋体"/>
          <w:sz w:val="24"/>
          <w:szCs w:val="24"/>
          <w:lang w:val="en-US" w:eastAsia="zh-CN"/>
        </w:rPr>
        <w:t>八</w:t>
      </w:r>
      <w:r>
        <w:rPr>
          <w:rFonts w:hint="eastAsia" w:ascii="宋体" w:hAnsi="宋体" w:eastAsia="宋体" w:cs="宋体"/>
          <w:sz w:val="24"/>
          <w:szCs w:val="24"/>
          <w:lang w:val="zh-CN" w:eastAsia="zh-CN"/>
        </w:rPr>
        <w:t>、</w:t>
      </w:r>
      <w:r>
        <w:rPr>
          <w:rFonts w:hint="eastAsia" w:ascii="宋体" w:hAnsi="宋体" w:eastAsia="宋体" w:cs="宋体"/>
          <w:sz w:val="24"/>
          <w:szCs w:val="24"/>
          <w:lang w:val="zh-CN"/>
        </w:rPr>
        <w:t>合同组成</w:t>
      </w:r>
    </w:p>
    <w:p w14:paraId="0DA8459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zh-CN"/>
        </w:rPr>
      </w:pPr>
      <w:r>
        <w:rPr>
          <w:rFonts w:hint="eastAsia" w:ascii="宋体" w:hAnsi="宋体" w:eastAsia="宋体" w:cs="宋体"/>
          <w:sz w:val="24"/>
          <w:szCs w:val="24"/>
        </w:rPr>
        <w:t>下列文件为本合同不可分割的部分：</w:t>
      </w:r>
    </w:p>
    <w:p w14:paraId="3889C9F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zh-CN"/>
        </w:rPr>
      </w:pPr>
      <w:r>
        <w:rPr>
          <w:rFonts w:hint="eastAsia" w:ascii="宋体" w:hAnsi="宋体" w:eastAsia="宋体" w:cs="宋体"/>
          <w:sz w:val="24"/>
          <w:szCs w:val="24"/>
        </w:rPr>
        <w:t>1.</w:t>
      </w:r>
      <w:r>
        <w:rPr>
          <w:rFonts w:hint="eastAsia" w:ascii="宋体" w:hAnsi="宋体" w:eastAsia="宋体" w:cs="宋体"/>
          <w:sz w:val="24"/>
          <w:szCs w:val="24"/>
          <w:lang w:val="zh-CN"/>
        </w:rPr>
        <w:t>合同书；</w:t>
      </w:r>
    </w:p>
    <w:p w14:paraId="7D20772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2.</w:t>
      </w:r>
      <w:r>
        <w:rPr>
          <w:rFonts w:hint="eastAsia" w:ascii="宋体" w:hAnsi="宋体" w:eastAsia="宋体" w:cs="宋体"/>
          <w:sz w:val="24"/>
          <w:szCs w:val="24"/>
          <w:lang w:val="zh-CN"/>
        </w:rPr>
        <w:t>代理机构发出的中标或成交通知书；</w:t>
      </w:r>
    </w:p>
    <w:p w14:paraId="5C0DE3D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zh-CN"/>
        </w:rPr>
      </w:pPr>
      <w:r>
        <w:rPr>
          <w:rFonts w:hint="eastAsia" w:ascii="宋体" w:hAnsi="宋体" w:eastAsia="宋体" w:cs="宋体"/>
          <w:sz w:val="24"/>
          <w:szCs w:val="24"/>
        </w:rPr>
        <w:t>3.</w:t>
      </w:r>
      <w:r>
        <w:rPr>
          <w:rFonts w:hint="eastAsia" w:ascii="宋体" w:hAnsi="宋体" w:eastAsia="宋体" w:cs="宋体"/>
          <w:sz w:val="24"/>
          <w:szCs w:val="24"/>
          <w:lang w:val="zh-CN"/>
        </w:rPr>
        <w:t>经双方确认并共同签字的补充文件、技术协议等；</w:t>
      </w:r>
    </w:p>
    <w:p w14:paraId="04DE698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zh-CN"/>
        </w:rPr>
      </w:pPr>
      <w:r>
        <w:rPr>
          <w:rFonts w:hint="eastAsia" w:ascii="宋体" w:hAnsi="宋体" w:eastAsia="宋体" w:cs="宋体"/>
          <w:sz w:val="24"/>
          <w:szCs w:val="24"/>
        </w:rPr>
        <w:t>4.</w:t>
      </w:r>
      <w:r>
        <w:rPr>
          <w:rFonts w:hint="eastAsia" w:ascii="宋体" w:hAnsi="宋体" w:eastAsia="宋体" w:cs="宋体"/>
          <w:sz w:val="24"/>
          <w:szCs w:val="24"/>
          <w:lang w:val="zh-CN"/>
        </w:rPr>
        <w:t>乙方的投标或响应文件（含附件、补充文件、图纸等）；</w:t>
      </w:r>
    </w:p>
    <w:p w14:paraId="18BC3FC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zh-CN"/>
        </w:rPr>
      </w:pPr>
      <w:r>
        <w:rPr>
          <w:rFonts w:hint="eastAsia" w:ascii="宋体" w:hAnsi="宋体" w:eastAsia="宋体" w:cs="宋体"/>
          <w:sz w:val="24"/>
          <w:szCs w:val="24"/>
        </w:rPr>
        <w:t>5.</w:t>
      </w:r>
      <w:r>
        <w:rPr>
          <w:rFonts w:hint="eastAsia" w:ascii="宋体" w:hAnsi="宋体" w:eastAsia="宋体" w:cs="宋体"/>
          <w:sz w:val="24"/>
          <w:szCs w:val="24"/>
          <w:lang w:val="zh-CN"/>
        </w:rPr>
        <w:t>采购文件（含附件、补充文件、图纸等</w:t>
      </w:r>
      <w:r>
        <w:rPr>
          <w:rFonts w:hint="eastAsia" w:ascii="宋体" w:hAnsi="宋体" w:eastAsia="宋体" w:cs="宋体"/>
          <w:sz w:val="24"/>
          <w:szCs w:val="24"/>
        </w:rPr>
        <w:t>）。</w:t>
      </w:r>
    </w:p>
    <w:p w14:paraId="766DE49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zh-CN"/>
        </w:rPr>
      </w:pPr>
      <w:r>
        <w:rPr>
          <w:rFonts w:hint="eastAsia" w:ascii="宋体" w:hAnsi="宋体" w:eastAsia="宋体" w:cs="宋体"/>
          <w:sz w:val="24"/>
          <w:szCs w:val="24"/>
          <w:lang w:val="en-US" w:eastAsia="zh-CN"/>
        </w:rPr>
        <w:t>十九、</w:t>
      </w:r>
      <w:r>
        <w:rPr>
          <w:rFonts w:hint="eastAsia" w:ascii="宋体" w:hAnsi="宋体" w:eastAsia="宋体" w:cs="宋体"/>
          <w:sz w:val="24"/>
          <w:szCs w:val="24"/>
          <w:lang w:val="zh-CN"/>
        </w:rPr>
        <w:t>合同生效与终止</w:t>
      </w:r>
    </w:p>
    <w:p w14:paraId="1600BA0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1.本合同经甲乙双方授权代表签字和加盖公章（或合同专用章）后生效。如招标申请公证的，合同需经公证机构公证后生效。</w:t>
      </w:r>
    </w:p>
    <w:p w14:paraId="690E2B7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2.双方履行完各自权利和义务后合同自行终止。</w:t>
      </w:r>
    </w:p>
    <w:p w14:paraId="707B4C5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3.本合同规定可以终止合同的情形。</w:t>
      </w:r>
    </w:p>
    <w:p w14:paraId="55DA25D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zh-CN"/>
        </w:rPr>
      </w:pPr>
      <w:r>
        <w:rPr>
          <w:rFonts w:hint="eastAsia" w:ascii="宋体" w:hAnsi="宋体" w:eastAsia="宋体" w:cs="宋体"/>
          <w:sz w:val="24"/>
          <w:szCs w:val="24"/>
          <w:lang w:val="en-US" w:eastAsia="zh-CN"/>
        </w:rPr>
        <w:t>二十</w:t>
      </w:r>
      <w:r>
        <w:rPr>
          <w:rFonts w:hint="eastAsia" w:ascii="宋体" w:hAnsi="宋体" w:eastAsia="宋体" w:cs="宋体"/>
          <w:sz w:val="24"/>
          <w:szCs w:val="24"/>
          <w:lang w:val="zh-CN" w:eastAsia="zh-CN"/>
        </w:rPr>
        <w:t>、</w:t>
      </w:r>
      <w:r>
        <w:rPr>
          <w:rFonts w:hint="eastAsia" w:ascii="宋体" w:hAnsi="宋体" w:eastAsia="宋体" w:cs="宋体"/>
          <w:sz w:val="24"/>
          <w:szCs w:val="24"/>
          <w:lang w:val="zh-CN"/>
        </w:rPr>
        <w:t>通知与送达</w:t>
      </w:r>
    </w:p>
    <w:p w14:paraId="5A9ACEF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1.就本合同有关事项，双方应通过本合同约定的联系方式向对方发送相关通知，本合同约定的送达地址同时作为有效司法送达地址。</w:t>
      </w:r>
    </w:p>
    <w:p w14:paraId="3596B70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2.一方变更通知或通讯地址，应自变更之日起日内，以书面形式通知对方，否则，由未通知方承担由此而引起的相关责任。</w:t>
      </w:r>
    </w:p>
    <w:p w14:paraId="7EBC51C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zh-CN"/>
        </w:rPr>
      </w:pPr>
      <w:r>
        <w:rPr>
          <w:rFonts w:hint="eastAsia" w:ascii="宋体" w:hAnsi="宋体" w:eastAsia="宋体" w:cs="宋体"/>
          <w:sz w:val="24"/>
          <w:szCs w:val="24"/>
          <w:lang w:val="en-US" w:eastAsia="zh-CN"/>
        </w:rPr>
        <w:t>二十一</w:t>
      </w:r>
      <w:r>
        <w:rPr>
          <w:rFonts w:hint="eastAsia" w:ascii="宋体" w:hAnsi="宋体" w:eastAsia="宋体" w:cs="宋体"/>
          <w:sz w:val="24"/>
          <w:szCs w:val="24"/>
          <w:lang w:val="zh-CN" w:eastAsia="zh-CN"/>
        </w:rPr>
        <w:t>、</w:t>
      </w:r>
      <w:r>
        <w:rPr>
          <w:rFonts w:hint="eastAsia" w:ascii="宋体" w:hAnsi="宋体" w:eastAsia="宋体" w:cs="宋体"/>
          <w:sz w:val="24"/>
          <w:szCs w:val="24"/>
          <w:lang w:val="zh-CN"/>
        </w:rPr>
        <w:t>其它</w:t>
      </w:r>
    </w:p>
    <w:p w14:paraId="505FAE7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本合同正本一式份，甲方执　份，乙方执　份；副本一式　份，甲方执　份，乙方执　份。</w:t>
      </w:r>
    </w:p>
    <w:tbl>
      <w:tblPr>
        <w:tblStyle w:val="88"/>
        <w:tblpPr w:leftFromText="180" w:rightFromText="180" w:vertAnchor="text" w:tblpXSpec="center" w:tblpY="251"/>
        <w:tblW w:w="8739" w:type="dxa"/>
        <w:jc w:val="center"/>
        <w:tblLayout w:type="fixed"/>
        <w:tblCellMar>
          <w:top w:w="0" w:type="dxa"/>
          <w:left w:w="108" w:type="dxa"/>
          <w:bottom w:w="0" w:type="dxa"/>
          <w:right w:w="108" w:type="dxa"/>
        </w:tblCellMar>
      </w:tblPr>
      <w:tblGrid>
        <w:gridCol w:w="4363"/>
        <w:gridCol w:w="4376"/>
      </w:tblGrid>
      <w:tr w14:paraId="51E99283">
        <w:tblPrEx>
          <w:tblCellMar>
            <w:top w:w="0" w:type="dxa"/>
            <w:left w:w="108" w:type="dxa"/>
            <w:bottom w:w="0" w:type="dxa"/>
            <w:right w:w="108" w:type="dxa"/>
          </w:tblCellMar>
        </w:tblPrEx>
        <w:trPr>
          <w:trHeight w:val="499" w:hRule="atLeast"/>
          <w:jc w:val="center"/>
        </w:trPr>
        <w:tc>
          <w:tcPr>
            <w:tcW w:w="4363" w:type="dxa"/>
            <w:noWrap w:val="0"/>
            <w:vAlign w:val="top"/>
          </w:tcPr>
          <w:p w14:paraId="54570BA1">
            <w:pPr>
              <w:spacing w:line="360" w:lineRule="exact"/>
              <w:rPr>
                <w:rFonts w:hint="default" w:eastAsia="宋体"/>
                <w:spacing w:val="-10"/>
                <w:sz w:val="24"/>
                <w:szCs w:val="24"/>
                <w:highlight w:val="none"/>
                <w:lang w:val="en-US" w:eastAsia="zh-CN"/>
              </w:rPr>
            </w:pPr>
            <w:r>
              <w:rPr>
                <w:rFonts w:hint="default" w:eastAsia="宋体"/>
                <w:spacing w:val="-10"/>
                <w:sz w:val="24"/>
                <w:szCs w:val="24"/>
                <w:highlight w:val="none"/>
                <w:lang w:val="en-US" w:eastAsia="zh-CN"/>
              </w:rPr>
              <w:t>甲　　方：</w:t>
            </w:r>
          </w:p>
        </w:tc>
        <w:tc>
          <w:tcPr>
            <w:tcW w:w="4376" w:type="dxa"/>
            <w:noWrap w:val="0"/>
            <w:vAlign w:val="top"/>
          </w:tcPr>
          <w:p w14:paraId="0FEFD1C0">
            <w:pPr>
              <w:spacing w:line="360" w:lineRule="exact"/>
              <w:rPr>
                <w:rFonts w:hint="default" w:eastAsia="宋体"/>
                <w:spacing w:val="-10"/>
                <w:sz w:val="24"/>
                <w:szCs w:val="24"/>
                <w:highlight w:val="none"/>
                <w:lang w:val="en-US" w:eastAsia="zh-CN"/>
              </w:rPr>
            </w:pPr>
            <w:r>
              <w:rPr>
                <w:rFonts w:hint="default" w:eastAsia="宋体"/>
                <w:spacing w:val="-10"/>
                <w:sz w:val="24"/>
                <w:szCs w:val="24"/>
                <w:highlight w:val="none"/>
                <w:lang w:val="en-US" w:eastAsia="zh-CN"/>
              </w:rPr>
              <w:t>乙　　方：</w:t>
            </w:r>
          </w:p>
        </w:tc>
      </w:tr>
      <w:tr w14:paraId="4ADA8BFA">
        <w:tblPrEx>
          <w:tblCellMar>
            <w:top w:w="0" w:type="dxa"/>
            <w:left w:w="108" w:type="dxa"/>
            <w:bottom w:w="0" w:type="dxa"/>
            <w:right w:w="108" w:type="dxa"/>
          </w:tblCellMar>
        </w:tblPrEx>
        <w:trPr>
          <w:trHeight w:val="487" w:hRule="atLeast"/>
          <w:jc w:val="center"/>
        </w:trPr>
        <w:tc>
          <w:tcPr>
            <w:tcW w:w="4363" w:type="dxa"/>
            <w:noWrap w:val="0"/>
            <w:vAlign w:val="top"/>
          </w:tcPr>
          <w:p w14:paraId="345776D4">
            <w:pPr>
              <w:spacing w:line="360" w:lineRule="exact"/>
              <w:rPr>
                <w:rFonts w:hint="eastAsia"/>
                <w:spacing w:val="-10"/>
                <w:sz w:val="24"/>
                <w:szCs w:val="24"/>
                <w:highlight w:val="none"/>
              </w:rPr>
            </w:pPr>
            <w:r>
              <w:rPr>
                <w:rFonts w:hint="eastAsia" w:ascii="宋体" w:hAnsi="宋体"/>
                <w:spacing w:val="-10"/>
                <w:sz w:val="24"/>
                <w:szCs w:val="24"/>
                <w:highlight w:val="none"/>
              </w:rPr>
              <w:t xml:space="preserve">单位名称（盖章）：   </w:t>
            </w:r>
          </w:p>
        </w:tc>
        <w:tc>
          <w:tcPr>
            <w:tcW w:w="4376" w:type="dxa"/>
            <w:noWrap w:val="0"/>
            <w:vAlign w:val="top"/>
          </w:tcPr>
          <w:p w14:paraId="17F2FBCD">
            <w:pPr>
              <w:spacing w:line="360" w:lineRule="exact"/>
              <w:rPr>
                <w:rFonts w:hint="eastAsia"/>
                <w:spacing w:val="-10"/>
                <w:sz w:val="24"/>
                <w:szCs w:val="24"/>
                <w:highlight w:val="none"/>
              </w:rPr>
            </w:pPr>
            <w:r>
              <w:rPr>
                <w:rFonts w:hint="eastAsia"/>
                <w:spacing w:val="-10"/>
                <w:sz w:val="24"/>
                <w:szCs w:val="24"/>
                <w:highlight w:val="none"/>
              </w:rPr>
              <w:t>单位名称（盖章）：</w:t>
            </w:r>
          </w:p>
        </w:tc>
      </w:tr>
      <w:tr w14:paraId="1535D683">
        <w:tblPrEx>
          <w:tblCellMar>
            <w:top w:w="0" w:type="dxa"/>
            <w:left w:w="108" w:type="dxa"/>
            <w:bottom w:w="0" w:type="dxa"/>
            <w:right w:w="108" w:type="dxa"/>
          </w:tblCellMar>
        </w:tblPrEx>
        <w:trPr>
          <w:trHeight w:val="487" w:hRule="atLeast"/>
          <w:jc w:val="center"/>
        </w:trPr>
        <w:tc>
          <w:tcPr>
            <w:tcW w:w="4363" w:type="dxa"/>
            <w:noWrap w:val="0"/>
            <w:vAlign w:val="top"/>
          </w:tcPr>
          <w:p w14:paraId="2AF4D084">
            <w:pPr>
              <w:spacing w:line="360" w:lineRule="exact"/>
              <w:rPr>
                <w:rFonts w:hint="eastAsia" w:ascii="宋体" w:hAnsi="宋体"/>
                <w:spacing w:val="-10"/>
                <w:sz w:val="24"/>
                <w:szCs w:val="24"/>
                <w:highlight w:val="none"/>
              </w:rPr>
            </w:pPr>
            <w:r>
              <w:rPr>
                <w:rFonts w:hint="eastAsia" w:ascii="宋体" w:hAnsi="宋体"/>
                <w:spacing w:val="-10"/>
                <w:sz w:val="24"/>
                <w:szCs w:val="24"/>
                <w:highlight w:val="none"/>
              </w:rPr>
              <w:t xml:space="preserve">单位地址： </w:t>
            </w:r>
          </w:p>
        </w:tc>
        <w:tc>
          <w:tcPr>
            <w:tcW w:w="4376" w:type="dxa"/>
            <w:noWrap w:val="0"/>
            <w:vAlign w:val="top"/>
          </w:tcPr>
          <w:p w14:paraId="78AEAD26">
            <w:pPr>
              <w:spacing w:line="360" w:lineRule="exact"/>
              <w:rPr>
                <w:rFonts w:hint="eastAsia" w:ascii="宋体" w:hAnsi="宋体"/>
                <w:spacing w:val="-10"/>
                <w:sz w:val="24"/>
                <w:szCs w:val="24"/>
                <w:highlight w:val="none"/>
              </w:rPr>
            </w:pPr>
            <w:r>
              <w:rPr>
                <w:rFonts w:hint="eastAsia" w:ascii="宋体" w:hAnsi="宋体"/>
                <w:spacing w:val="-10"/>
                <w:sz w:val="24"/>
                <w:szCs w:val="24"/>
                <w:highlight w:val="none"/>
              </w:rPr>
              <w:t xml:space="preserve">单位地址： </w:t>
            </w:r>
          </w:p>
        </w:tc>
      </w:tr>
      <w:tr w14:paraId="5C9E3FF3">
        <w:tblPrEx>
          <w:tblCellMar>
            <w:top w:w="0" w:type="dxa"/>
            <w:left w:w="108" w:type="dxa"/>
            <w:bottom w:w="0" w:type="dxa"/>
            <w:right w:w="108" w:type="dxa"/>
          </w:tblCellMar>
        </w:tblPrEx>
        <w:trPr>
          <w:trHeight w:val="486" w:hRule="atLeast"/>
          <w:jc w:val="center"/>
        </w:trPr>
        <w:tc>
          <w:tcPr>
            <w:tcW w:w="4363" w:type="dxa"/>
            <w:noWrap w:val="0"/>
            <w:vAlign w:val="top"/>
          </w:tcPr>
          <w:p w14:paraId="358E49AE">
            <w:pPr>
              <w:spacing w:line="360" w:lineRule="exact"/>
              <w:rPr>
                <w:rFonts w:hint="eastAsia"/>
                <w:spacing w:val="-10"/>
                <w:sz w:val="24"/>
                <w:szCs w:val="24"/>
                <w:highlight w:val="none"/>
              </w:rPr>
            </w:pPr>
            <w:r>
              <w:rPr>
                <w:rFonts w:hint="eastAsia" w:ascii="宋体" w:hAnsi="宋体"/>
                <w:spacing w:val="-10"/>
                <w:sz w:val="24"/>
                <w:szCs w:val="24"/>
                <w:highlight w:val="none"/>
              </w:rPr>
              <w:t xml:space="preserve">法人代表授权人(签字)： </w:t>
            </w:r>
          </w:p>
        </w:tc>
        <w:tc>
          <w:tcPr>
            <w:tcW w:w="4376" w:type="dxa"/>
            <w:noWrap w:val="0"/>
            <w:vAlign w:val="top"/>
          </w:tcPr>
          <w:p w14:paraId="7EB79C63">
            <w:pPr>
              <w:spacing w:line="360" w:lineRule="exact"/>
              <w:rPr>
                <w:rFonts w:hint="eastAsia"/>
                <w:spacing w:val="-10"/>
                <w:sz w:val="24"/>
                <w:szCs w:val="24"/>
                <w:highlight w:val="none"/>
              </w:rPr>
            </w:pPr>
            <w:r>
              <w:rPr>
                <w:rFonts w:hint="eastAsia" w:ascii="宋体" w:hAnsi="宋体"/>
                <w:spacing w:val="-10"/>
                <w:sz w:val="24"/>
                <w:szCs w:val="24"/>
                <w:highlight w:val="none"/>
              </w:rPr>
              <w:t xml:space="preserve">法人代表授权人(签字)： </w:t>
            </w:r>
          </w:p>
        </w:tc>
      </w:tr>
      <w:tr w14:paraId="04DC756B">
        <w:tblPrEx>
          <w:tblCellMar>
            <w:top w:w="0" w:type="dxa"/>
            <w:left w:w="108" w:type="dxa"/>
            <w:bottom w:w="0" w:type="dxa"/>
            <w:right w:w="108" w:type="dxa"/>
          </w:tblCellMar>
        </w:tblPrEx>
        <w:trPr>
          <w:trHeight w:val="495" w:hRule="atLeast"/>
          <w:jc w:val="center"/>
        </w:trPr>
        <w:tc>
          <w:tcPr>
            <w:tcW w:w="4363" w:type="dxa"/>
            <w:noWrap w:val="0"/>
            <w:vAlign w:val="top"/>
          </w:tcPr>
          <w:p w14:paraId="3B03460D">
            <w:pPr>
              <w:spacing w:line="360" w:lineRule="exact"/>
              <w:rPr>
                <w:rFonts w:hint="eastAsia"/>
                <w:spacing w:val="-10"/>
                <w:sz w:val="24"/>
                <w:szCs w:val="24"/>
                <w:highlight w:val="none"/>
              </w:rPr>
            </w:pPr>
            <w:r>
              <w:rPr>
                <w:rFonts w:hint="eastAsia"/>
                <w:spacing w:val="-10"/>
                <w:sz w:val="24"/>
                <w:szCs w:val="24"/>
                <w:highlight w:val="none"/>
              </w:rPr>
              <w:t>联 系 人：</w:t>
            </w:r>
          </w:p>
        </w:tc>
        <w:tc>
          <w:tcPr>
            <w:tcW w:w="4376" w:type="dxa"/>
            <w:noWrap w:val="0"/>
            <w:vAlign w:val="top"/>
          </w:tcPr>
          <w:p w14:paraId="7A0F12C6">
            <w:pPr>
              <w:spacing w:line="360" w:lineRule="exact"/>
              <w:rPr>
                <w:rFonts w:hint="eastAsia"/>
                <w:spacing w:val="-10"/>
                <w:sz w:val="24"/>
                <w:szCs w:val="24"/>
                <w:highlight w:val="none"/>
              </w:rPr>
            </w:pPr>
            <w:r>
              <w:rPr>
                <w:rFonts w:hint="eastAsia"/>
                <w:spacing w:val="-10"/>
                <w:sz w:val="24"/>
                <w:szCs w:val="24"/>
                <w:highlight w:val="none"/>
              </w:rPr>
              <w:t>联 系 人：</w:t>
            </w:r>
          </w:p>
        </w:tc>
      </w:tr>
      <w:tr w14:paraId="1F58C058">
        <w:tblPrEx>
          <w:tblCellMar>
            <w:top w:w="0" w:type="dxa"/>
            <w:left w:w="108" w:type="dxa"/>
            <w:bottom w:w="0" w:type="dxa"/>
            <w:right w:w="108" w:type="dxa"/>
          </w:tblCellMar>
        </w:tblPrEx>
        <w:trPr>
          <w:trHeight w:val="446" w:hRule="atLeast"/>
          <w:jc w:val="center"/>
        </w:trPr>
        <w:tc>
          <w:tcPr>
            <w:tcW w:w="4363" w:type="dxa"/>
            <w:noWrap w:val="0"/>
            <w:vAlign w:val="top"/>
          </w:tcPr>
          <w:p w14:paraId="5BB5C66E">
            <w:pPr>
              <w:spacing w:line="360" w:lineRule="exact"/>
              <w:rPr>
                <w:rFonts w:hint="eastAsia"/>
                <w:spacing w:val="-10"/>
                <w:sz w:val="24"/>
                <w:szCs w:val="24"/>
                <w:highlight w:val="none"/>
              </w:rPr>
            </w:pPr>
            <w:r>
              <w:rPr>
                <w:rFonts w:hint="eastAsia"/>
                <w:spacing w:val="-10"/>
                <w:sz w:val="24"/>
                <w:szCs w:val="24"/>
                <w:highlight w:val="none"/>
              </w:rPr>
              <w:t>电　　话：</w:t>
            </w:r>
          </w:p>
        </w:tc>
        <w:tc>
          <w:tcPr>
            <w:tcW w:w="4376" w:type="dxa"/>
            <w:noWrap w:val="0"/>
            <w:vAlign w:val="top"/>
          </w:tcPr>
          <w:p w14:paraId="7380D436">
            <w:pPr>
              <w:spacing w:line="360" w:lineRule="exact"/>
              <w:rPr>
                <w:rFonts w:hint="eastAsia"/>
                <w:spacing w:val="-10"/>
                <w:sz w:val="24"/>
                <w:szCs w:val="24"/>
                <w:highlight w:val="none"/>
              </w:rPr>
            </w:pPr>
            <w:r>
              <w:rPr>
                <w:rFonts w:hint="eastAsia"/>
                <w:spacing w:val="-10"/>
                <w:sz w:val="24"/>
                <w:szCs w:val="24"/>
                <w:highlight w:val="none"/>
              </w:rPr>
              <w:t>电　　话：</w:t>
            </w:r>
          </w:p>
        </w:tc>
      </w:tr>
      <w:tr w14:paraId="1F8214ED">
        <w:tblPrEx>
          <w:tblCellMar>
            <w:top w:w="0" w:type="dxa"/>
            <w:left w:w="108" w:type="dxa"/>
            <w:bottom w:w="0" w:type="dxa"/>
            <w:right w:w="108" w:type="dxa"/>
          </w:tblCellMar>
        </w:tblPrEx>
        <w:trPr>
          <w:trHeight w:val="487" w:hRule="atLeast"/>
          <w:jc w:val="center"/>
        </w:trPr>
        <w:tc>
          <w:tcPr>
            <w:tcW w:w="4363" w:type="dxa"/>
            <w:noWrap w:val="0"/>
            <w:vAlign w:val="top"/>
          </w:tcPr>
          <w:p w14:paraId="3A24B86C">
            <w:pPr>
              <w:spacing w:line="360" w:lineRule="exact"/>
              <w:rPr>
                <w:rFonts w:hint="eastAsia"/>
                <w:spacing w:val="-10"/>
                <w:sz w:val="24"/>
                <w:szCs w:val="24"/>
                <w:highlight w:val="none"/>
              </w:rPr>
            </w:pPr>
            <w:r>
              <w:rPr>
                <w:rFonts w:hint="eastAsia" w:ascii="宋体" w:hAnsi="宋体"/>
                <w:spacing w:val="-10"/>
                <w:sz w:val="24"/>
                <w:szCs w:val="24"/>
                <w:highlight w:val="none"/>
              </w:rPr>
              <w:t xml:space="preserve">传    真： </w:t>
            </w:r>
          </w:p>
        </w:tc>
        <w:tc>
          <w:tcPr>
            <w:tcW w:w="4376" w:type="dxa"/>
            <w:noWrap w:val="0"/>
            <w:vAlign w:val="top"/>
          </w:tcPr>
          <w:p w14:paraId="1E044A5F">
            <w:pPr>
              <w:spacing w:line="360" w:lineRule="exact"/>
              <w:rPr>
                <w:rFonts w:hint="eastAsia"/>
                <w:spacing w:val="-10"/>
                <w:sz w:val="24"/>
                <w:szCs w:val="24"/>
                <w:highlight w:val="none"/>
              </w:rPr>
            </w:pPr>
            <w:r>
              <w:rPr>
                <w:rFonts w:hint="eastAsia" w:ascii="宋体" w:hAnsi="宋体"/>
                <w:spacing w:val="-10"/>
                <w:sz w:val="24"/>
                <w:szCs w:val="24"/>
                <w:highlight w:val="none"/>
              </w:rPr>
              <w:t xml:space="preserve">传    真： </w:t>
            </w:r>
          </w:p>
        </w:tc>
      </w:tr>
      <w:tr w14:paraId="703471B1">
        <w:tblPrEx>
          <w:tblCellMar>
            <w:top w:w="0" w:type="dxa"/>
            <w:left w:w="108" w:type="dxa"/>
            <w:bottom w:w="0" w:type="dxa"/>
            <w:right w:w="108" w:type="dxa"/>
          </w:tblCellMar>
        </w:tblPrEx>
        <w:trPr>
          <w:trHeight w:val="486" w:hRule="atLeast"/>
          <w:jc w:val="center"/>
        </w:trPr>
        <w:tc>
          <w:tcPr>
            <w:tcW w:w="4363" w:type="dxa"/>
            <w:noWrap w:val="0"/>
            <w:vAlign w:val="top"/>
          </w:tcPr>
          <w:p w14:paraId="3E8CE44E">
            <w:pPr>
              <w:spacing w:line="360" w:lineRule="exact"/>
              <w:rPr>
                <w:rFonts w:hint="eastAsia"/>
                <w:spacing w:val="-10"/>
                <w:sz w:val="24"/>
                <w:szCs w:val="24"/>
                <w:highlight w:val="none"/>
              </w:rPr>
            </w:pPr>
            <w:r>
              <w:rPr>
                <w:rFonts w:hint="eastAsia"/>
                <w:spacing w:val="-10"/>
                <w:sz w:val="24"/>
                <w:szCs w:val="24"/>
                <w:highlight w:val="none"/>
              </w:rPr>
              <w:t>邮政编码：</w:t>
            </w:r>
          </w:p>
        </w:tc>
        <w:tc>
          <w:tcPr>
            <w:tcW w:w="4376" w:type="dxa"/>
            <w:noWrap w:val="0"/>
            <w:vAlign w:val="top"/>
          </w:tcPr>
          <w:p w14:paraId="040C6EEA">
            <w:pPr>
              <w:spacing w:line="360" w:lineRule="exact"/>
              <w:rPr>
                <w:rFonts w:hint="eastAsia"/>
                <w:spacing w:val="-10"/>
                <w:sz w:val="24"/>
                <w:szCs w:val="24"/>
                <w:highlight w:val="none"/>
              </w:rPr>
            </w:pPr>
            <w:r>
              <w:rPr>
                <w:rFonts w:hint="eastAsia"/>
                <w:spacing w:val="-10"/>
                <w:sz w:val="24"/>
                <w:szCs w:val="24"/>
                <w:highlight w:val="none"/>
              </w:rPr>
              <w:t>邮政编码：</w:t>
            </w:r>
          </w:p>
        </w:tc>
      </w:tr>
      <w:tr w14:paraId="458CE72A">
        <w:tblPrEx>
          <w:tblCellMar>
            <w:top w:w="0" w:type="dxa"/>
            <w:left w:w="108" w:type="dxa"/>
            <w:bottom w:w="0" w:type="dxa"/>
            <w:right w:w="108" w:type="dxa"/>
          </w:tblCellMar>
        </w:tblPrEx>
        <w:trPr>
          <w:trHeight w:val="513" w:hRule="atLeast"/>
          <w:jc w:val="center"/>
        </w:trPr>
        <w:tc>
          <w:tcPr>
            <w:tcW w:w="4363" w:type="dxa"/>
            <w:noWrap w:val="0"/>
            <w:vAlign w:val="top"/>
          </w:tcPr>
          <w:p w14:paraId="4EE4E077">
            <w:pPr>
              <w:spacing w:line="360" w:lineRule="exact"/>
              <w:rPr>
                <w:rFonts w:hint="eastAsia"/>
                <w:spacing w:val="-10"/>
                <w:sz w:val="24"/>
                <w:szCs w:val="24"/>
                <w:highlight w:val="none"/>
              </w:rPr>
            </w:pPr>
            <w:r>
              <w:rPr>
                <w:rFonts w:hint="eastAsia" w:ascii="宋体" w:hAnsi="宋体"/>
                <w:spacing w:val="-10"/>
                <w:sz w:val="24"/>
                <w:szCs w:val="24"/>
                <w:highlight w:val="none"/>
              </w:rPr>
              <w:t xml:space="preserve">开户银行： </w:t>
            </w:r>
          </w:p>
        </w:tc>
        <w:tc>
          <w:tcPr>
            <w:tcW w:w="4376" w:type="dxa"/>
            <w:noWrap w:val="0"/>
            <w:vAlign w:val="top"/>
          </w:tcPr>
          <w:p w14:paraId="6104379A">
            <w:pPr>
              <w:spacing w:line="360" w:lineRule="exact"/>
              <w:rPr>
                <w:rFonts w:hint="eastAsia"/>
                <w:spacing w:val="-10"/>
                <w:sz w:val="24"/>
                <w:szCs w:val="24"/>
                <w:highlight w:val="none"/>
              </w:rPr>
            </w:pPr>
            <w:r>
              <w:rPr>
                <w:rFonts w:hint="eastAsia" w:ascii="宋体" w:hAnsi="宋体"/>
                <w:spacing w:val="-10"/>
                <w:sz w:val="24"/>
                <w:szCs w:val="24"/>
                <w:highlight w:val="none"/>
              </w:rPr>
              <w:t xml:space="preserve">开户银行： </w:t>
            </w:r>
          </w:p>
        </w:tc>
      </w:tr>
      <w:tr w14:paraId="4A412AD4">
        <w:tblPrEx>
          <w:tblCellMar>
            <w:top w:w="0" w:type="dxa"/>
            <w:left w:w="108" w:type="dxa"/>
            <w:bottom w:w="0" w:type="dxa"/>
            <w:right w:w="108" w:type="dxa"/>
          </w:tblCellMar>
        </w:tblPrEx>
        <w:trPr>
          <w:trHeight w:val="513" w:hRule="atLeast"/>
          <w:jc w:val="center"/>
        </w:trPr>
        <w:tc>
          <w:tcPr>
            <w:tcW w:w="4363" w:type="dxa"/>
            <w:noWrap w:val="0"/>
            <w:vAlign w:val="top"/>
          </w:tcPr>
          <w:p w14:paraId="0A3DCC9E">
            <w:pPr>
              <w:spacing w:line="360" w:lineRule="exact"/>
              <w:rPr>
                <w:rFonts w:hint="eastAsia" w:ascii="宋体" w:hAnsi="宋体"/>
                <w:spacing w:val="-10"/>
                <w:sz w:val="24"/>
                <w:szCs w:val="24"/>
                <w:highlight w:val="none"/>
              </w:rPr>
            </w:pPr>
            <w:r>
              <w:rPr>
                <w:rFonts w:hint="eastAsia" w:ascii="宋体" w:hAnsi="宋体"/>
                <w:spacing w:val="-10"/>
                <w:sz w:val="24"/>
                <w:szCs w:val="24"/>
                <w:highlight w:val="none"/>
              </w:rPr>
              <w:t>账　　号：</w:t>
            </w:r>
          </w:p>
        </w:tc>
        <w:tc>
          <w:tcPr>
            <w:tcW w:w="4376" w:type="dxa"/>
            <w:noWrap w:val="0"/>
            <w:vAlign w:val="top"/>
          </w:tcPr>
          <w:p w14:paraId="0F796BB4">
            <w:pPr>
              <w:spacing w:line="360" w:lineRule="exact"/>
              <w:rPr>
                <w:rFonts w:hint="eastAsia" w:ascii="宋体" w:hAnsi="宋体"/>
                <w:spacing w:val="-10"/>
                <w:sz w:val="24"/>
                <w:szCs w:val="24"/>
                <w:highlight w:val="none"/>
              </w:rPr>
            </w:pPr>
            <w:r>
              <w:rPr>
                <w:rFonts w:hint="eastAsia" w:ascii="宋体" w:hAnsi="宋体"/>
                <w:spacing w:val="-10"/>
                <w:sz w:val="24"/>
                <w:szCs w:val="24"/>
                <w:highlight w:val="none"/>
              </w:rPr>
              <w:t>账　　号：</w:t>
            </w:r>
          </w:p>
        </w:tc>
      </w:tr>
      <w:tr w14:paraId="03FF08D9">
        <w:tblPrEx>
          <w:tblCellMar>
            <w:top w:w="0" w:type="dxa"/>
            <w:left w:w="108" w:type="dxa"/>
            <w:bottom w:w="0" w:type="dxa"/>
            <w:right w:w="108" w:type="dxa"/>
          </w:tblCellMar>
        </w:tblPrEx>
        <w:trPr>
          <w:trHeight w:val="513" w:hRule="atLeast"/>
          <w:jc w:val="center"/>
        </w:trPr>
        <w:tc>
          <w:tcPr>
            <w:tcW w:w="4363" w:type="dxa"/>
            <w:noWrap w:val="0"/>
            <w:vAlign w:val="top"/>
          </w:tcPr>
          <w:p w14:paraId="72A8E57F">
            <w:pPr>
              <w:spacing w:line="360" w:lineRule="exact"/>
              <w:rPr>
                <w:rFonts w:hint="eastAsia" w:ascii="宋体" w:hAnsi="宋体"/>
                <w:spacing w:val="-10"/>
                <w:sz w:val="24"/>
                <w:szCs w:val="24"/>
                <w:highlight w:val="none"/>
              </w:rPr>
            </w:pPr>
            <w:r>
              <w:rPr>
                <w:rFonts w:hint="eastAsia" w:ascii="宋体" w:hAnsi="宋体"/>
                <w:spacing w:val="-10"/>
                <w:sz w:val="24"/>
                <w:szCs w:val="24"/>
                <w:highlight w:val="none"/>
              </w:rPr>
              <w:t>税　　号：</w:t>
            </w:r>
          </w:p>
        </w:tc>
        <w:tc>
          <w:tcPr>
            <w:tcW w:w="4376" w:type="dxa"/>
            <w:noWrap w:val="0"/>
            <w:vAlign w:val="top"/>
          </w:tcPr>
          <w:p w14:paraId="7D89AC40">
            <w:pPr>
              <w:spacing w:line="360" w:lineRule="exact"/>
              <w:rPr>
                <w:rFonts w:hint="eastAsia" w:ascii="宋体" w:hAnsi="宋体"/>
                <w:spacing w:val="-10"/>
                <w:sz w:val="24"/>
                <w:szCs w:val="24"/>
                <w:highlight w:val="none"/>
              </w:rPr>
            </w:pPr>
            <w:r>
              <w:rPr>
                <w:rFonts w:hint="eastAsia" w:ascii="宋体" w:hAnsi="宋体"/>
                <w:spacing w:val="-10"/>
                <w:sz w:val="24"/>
                <w:szCs w:val="24"/>
                <w:highlight w:val="none"/>
              </w:rPr>
              <w:t>税　　号：</w:t>
            </w:r>
          </w:p>
        </w:tc>
      </w:tr>
    </w:tbl>
    <w:p w14:paraId="3BD5A268">
      <w:pPr>
        <w:keepNext w:val="0"/>
        <w:keepLines w:val="0"/>
        <w:pageBreakBefore w:val="0"/>
        <w:kinsoku/>
        <w:wordWrap/>
        <w:overflowPunct/>
        <w:topLinePunct w:val="0"/>
        <w:autoSpaceDE/>
        <w:autoSpaceDN/>
        <w:bidi w:val="0"/>
        <w:adjustRightInd w:val="0"/>
        <w:snapToGrid/>
        <w:spacing w:beforeAutospacing="0" w:afterAutospacing="0" w:line="360" w:lineRule="auto"/>
        <w:ind w:left="0" w:leftChars="0" w:right="0" w:rightChars="0" w:firstLine="482" w:firstLineChars="0"/>
        <w:jc w:val="right"/>
        <w:rPr>
          <w:rFonts w:hint="eastAsia" w:ascii="宋体" w:hAnsi="宋体" w:eastAsia="宋体" w:cs="宋体"/>
          <w:sz w:val="24"/>
        </w:rPr>
      </w:pPr>
      <w:r>
        <w:rPr>
          <w:rFonts w:hint="eastAsia" w:ascii="宋体" w:hAnsi="宋体" w:eastAsia="宋体" w:cs="宋体"/>
          <w:sz w:val="24"/>
        </w:rPr>
        <w:br w:type="page"/>
      </w:r>
    </w:p>
    <w:p w14:paraId="73A75C7C">
      <w:pPr>
        <w:pStyle w:val="3"/>
        <w:snapToGrid/>
        <w:spacing w:before="200" w:beforeAutospacing="0" w:after="100" w:afterAutospacing="0" w:line="240" w:lineRule="auto"/>
        <w:ind w:left="0" w:leftChars="0" w:right="0" w:rightChars="0" w:firstLine="0" w:firstLineChars="0"/>
        <w:jc w:val="center"/>
        <w:outlineLvl w:val="0"/>
        <w:rPr>
          <w:rFonts w:hint="eastAsia" w:ascii="宋体" w:hAnsi="宋体" w:eastAsia="宋体" w:cs="宋体"/>
          <w:b w:val="0"/>
          <w:sz w:val="32"/>
          <w:szCs w:val="32"/>
        </w:rPr>
      </w:pPr>
      <w:bookmarkStart w:id="645" w:name="_Toc109899998"/>
      <w:bookmarkStart w:id="646" w:name="_Toc109900417"/>
      <w:bookmarkStart w:id="647" w:name="_Toc1445"/>
      <w:bookmarkStart w:id="648" w:name="_Toc109897480"/>
      <w:r>
        <w:rPr>
          <w:rFonts w:hint="eastAsia" w:ascii="宋体" w:hAnsi="宋体" w:eastAsia="宋体" w:cs="宋体"/>
          <w:b w:val="0"/>
          <w:sz w:val="28"/>
          <w:szCs w:val="28"/>
        </w:rPr>
        <w:t xml:space="preserve">第五章 </w:t>
      </w:r>
      <w:bookmarkEnd w:id="620"/>
      <w:r>
        <w:rPr>
          <w:rFonts w:hint="eastAsia" w:ascii="宋体" w:hAnsi="宋体" w:eastAsia="宋体" w:cs="宋体"/>
          <w:b w:val="0"/>
          <w:sz w:val="28"/>
          <w:szCs w:val="28"/>
        </w:rPr>
        <w:t>评审程序、方法及标准</w:t>
      </w:r>
      <w:bookmarkEnd w:id="645"/>
      <w:bookmarkEnd w:id="646"/>
      <w:bookmarkEnd w:id="647"/>
      <w:bookmarkEnd w:id="648"/>
    </w:p>
    <w:p w14:paraId="792E6957">
      <w:pPr>
        <w:pStyle w:val="4"/>
        <w:pageBreakBefore w:val="0"/>
        <w:widowControl w:val="0"/>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left"/>
        <w:textAlignment w:val="auto"/>
        <w:outlineLvl w:val="1"/>
        <w:rPr>
          <w:rFonts w:hint="eastAsia" w:ascii="宋体" w:hAnsi="宋体" w:eastAsia="宋体" w:cs="宋体"/>
          <w:b w:val="0"/>
          <w:bCs w:val="0"/>
          <w:sz w:val="24"/>
          <w:szCs w:val="24"/>
        </w:rPr>
      </w:pPr>
      <w:bookmarkStart w:id="649" w:name="_Toc109897481"/>
      <w:bookmarkStart w:id="650" w:name="_Toc109899999"/>
      <w:bookmarkStart w:id="651" w:name="_Toc25945"/>
      <w:bookmarkStart w:id="652" w:name="_Toc109900418"/>
      <w:bookmarkStart w:id="653" w:name="_Toc470172701"/>
      <w:r>
        <w:rPr>
          <w:rFonts w:hint="eastAsia" w:ascii="宋体" w:hAnsi="宋体" w:eastAsia="宋体" w:cs="宋体"/>
          <w:b w:val="0"/>
          <w:bCs w:val="0"/>
          <w:sz w:val="24"/>
          <w:szCs w:val="24"/>
        </w:rPr>
        <w:t>一、评审方法</w:t>
      </w:r>
      <w:bookmarkEnd w:id="649"/>
      <w:bookmarkEnd w:id="650"/>
      <w:bookmarkEnd w:id="651"/>
      <w:bookmarkEnd w:id="652"/>
    </w:p>
    <w:p w14:paraId="2074FE88">
      <w:pPr>
        <w:pStyle w:val="21"/>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本次评审采用综合评分法（百分制），即响应文件满足磋商文件全部实质性要求且按评审因素的量化指标评审得分最高的供应商为成交候选供应商的评审方法。</w:t>
      </w:r>
    </w:p>
    <w:p w14:paraId="41C37630">
      <w:pPr>
        <w:pStyle w:val="21"/>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综合评分法中的价格分统一采用低价优先法计算，即满足磋商文件要求且最后报价最低的供应商的价格为磋商基准价，其价格分为满分。其他供应商的价格分统一按照下列公式计算：</w:t>
      </w:r>
    </w:p>
    <w:p w14:paraId="29B84D6C">
      <w:pPr>
        <w:pStyle w:val="21"/>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磋商报价得分=（磋商基准价/最后磋商报价）×价格权值×100</w:t>
      </w:r>
    </w:p>
    <w:p w14:paraId="5A2FA754">
      <w:pPr>
        <w:pStyle w:val="21"/>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项目评审过程中，不得去掉最后报价中的最高报价和最低报价。</w:t>
      </w:r>
    </w:p>
    <w:p w14:paraId="7455A029">
      <w:pPr>
        <w:pStyle w:val="21"/>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推荐成交候选供应商的方法：磋商小组按评审后得分由高到低顺序进行推荐。得分相同的，按最后报价由低到高顺序排列；得分且最后报价相同的，按技术指标优劣顺序排列。</w:t>
      </w:r>
    </w:p>
    <w:p w14:paraId="460F8FFA">
      <w:pPr>
        <w:keepNext/>
        <w:keepLines/>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outlineLvl w:val="1"/>
        <w:rPr>
          <w:rFonts w:hint="eastAsia" w:ascii="宋体" w:hAnsi="宋体" w:eastAsia="宋体" w:cs="宋体"/>
          <w:b w:val="0"/>
          <w:sz w:val="24"/>
          <w:szCs w:val="24"/>
        </w:rPr>
      </w:pPr>
      <w:bookmarkStart w:id="654" w:name="_Toc109897482"/>
      <w:bookmarkStart w:id="655" w:name="_Toc44425308"/>
      <w:bookmarkStart w:id="656" w:name="_Toc25225"/>
      <w:bookmarkStart w:id="657" w:name="_Toc109900419"/>
      <w:bookmarkStart w:id="658" w:name="_Toc109900000"/>
      <w:bookmarkStart w:id="659" w:name="_Toc2251986"/>
      <w:r>
        <w:rPr>
          <w:rFonts w:hint="eastAsia" w:ascii="宋体" w:hAnsi="宋体" w:eastAsia="宋体" w:cs="宋体"/>
          <w:b w:val="0"/>
          <w:sz w:val="24"/>
          <w:szCs w:val="24"/>
        </w:rPr>
        <w:t>二、评审程序</w:t>
      </w:r>
      <w:bookmarkEnd w:id="654"/>
      <w:bookmarkEnd w:id="655"/>
      <w:bookmarkEnd w:id="656"/>
      <w:bookmarkEnd w:id="657"/>
      <w:bookmarkEnd w:id="658"/>
      <w:bookmarkEnd w:id="659"/>
    </w:p>
    <w:p w14:paraId="2E623CFE">
      <w:pPr>
        <w:keepNext/>
        <w:keepLines/>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2" w:firstLineChars="200"/>
        <w:jc w:val="left"/>
        <w:textAlignment w:val="auto"/>
        <w:outlineLvl w:val="1"/>
        <w:rPr>
          <w:rFonts w:hint="eastAsia" w:ascii="宋体" w:hAnsi="宋体" w:eastAsia="宋体" w:cs="宋体"/>
          <w:b/>
          <w:sz w:val="24"/>
          <w:szCs w:val="24"/>
        </w:rPr>
      </w:pPr>
      <w:bookmarkStart w:id="660" w:name="_Toc48846165"/>
      <w:bookmarkStart w:id="661" w:name="_Toc109900001"/>
      <w:bookmarkStart w:id="662" w:name="_Toc52962783"/>
      <w:bookmarkStart w:id="663" w:name="_Toc109900420"/>
      <w:bookmarkStart w:id="664" w:name="_Toc9922"/>
      <w:bookmarkStart w:id="665" w:name="_Toc51674267"/>
      <w:bookmarkStart w:id="666" w:name="_Toc52960609"/>
      <w:bookmarkStart w:id="667" w:name="_Toc48688848"/>
      <w:bookmarkStart w:id="668" w:name="_Toc46772286"/>
      <w:bookmarkStart w:id="669" w:name="_Toc109897483"/>
      <w:bookmarkStart w:id="670" w:name="_Toc492403840"/>
      <w:r>
        <w:rPr>
          <w:rFonts w:hint="eastAsia" w:ascii="宋体" w:hAnsi="宋体" w:eastAsia="宋体" w:cs="宋体"/>
          <w:b/>
          <w:sz w:val="24"/>
          <w:szCs w:val="24"/>
        </w:rPr>
        <w:t>（一）资格审查表</w:t>
      </w:r>
      <w:bookmarkEnd w:id="660"/>
      <w:bookmarkEnd w:id="661"/>
      <w:bookmarkEnd w:id="662"/>
      <w:bookmarkEnd w:id="663"/>
      <w:bookmarkEnd w:id="664"/>
      <w:bookmarkEnd w:id="665"/>
      <w:bookmarkEnd w:id="666"/>
      <w:bookmarkEnd w:id="667"/>
      <w:bookmarkEnd w:id="668"/>
      <w:bookmarkEnd w:id="669"/>
      <w:bookmarkEnd w:id="670"/>
    </w:p>
    <w:tbl>
      <w:tblPr>
        <w:tblStyle w:val="88"/>
        <w:tblW w:w="84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784"/>
        <w:gridCol w:w="2619"/>
        <w:gridCol w:w="5058"/>
      </w:tblGrid>
      <w:tr w14:paraId="7B02F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84" w:type="dxa"/>
            <w:vAlign w:val="center"/>
          </w:tcPr>
          <w:p w14:paraId="6E3F08F2">
            <w:pPr>
              <w:keepNext w:val="0"/>
              <w:keepLines w:val="0"/>
              <w:pageBreakBefore w:val="0"/>
              <w:widowControl/>
              <w:kinsoku/>
              <w:wordWrap/>
              <w:overflowPunct/>
              <w:topLinePunct w:val="0"/>
              <w:autoSpaceDE/>
              <w:autoSpaceDN/>
              <w:bidi w:val="0"/>
              <w:adjustRightInd w:val="0"/>
              <w:snapToGrid w:val="0"/>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序号</w:t>
            </w:r>
          </w:p>
        </w:tc>
        <w:tc>
          <w:tcPr>
            <w:tcW w:w="2619" w:type="dxa"/>
            <w:vAlign w:val="center"/>
          </w:tcPr>
          <w:p w14:paraId="1FF76FD7">
            <w:pPr>
              <w:keepNext w:val="0"/>
              <w:keepLines w:val="0"/>
              <w:pageBreakBefore w:val="0"/>
              <w:kinsoku/>
              <w:wordWrap/>
              <w:overflowPunct/>
              <w:topLinePunct w:val="0"/>
              <w:autoSpaceDE/>
              <w:autoSpaceDN/>
              <w:bidi w:val="0"/>
              <w:adjustRightInd w:val="0"/>
              <w:snapToGrid w:val="0"/>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资格要求</w:t>
            </w:r>
          </w:p>
        </w:tc>
        <w:tc>
          <w:tcPr>
            <w:tcW w:w="5058" w:type="dxa"/>
            <w:vAlign w:val="center"/>
          </w:tcPr>
          <w:p w14:paraId="186EC460">
            <w:pPr>
              <w:keepNext w:val="0"/>
              <w:keepLines w:val="0"/>
              <w:pageBreakBefore w:val="0"/>
              <w:widowControl/>
              <w:kinsoku/>
              <w:wordWrap/>
              <w:overflowPunct/>
              <w:topLinePunct w:val="0"/>
              <w:autoSpaceDE/>
              <w:autoSpaceDN/>
              <w:bidi w:val="0"/>
              <w:adjustRightInd w:val="0"/>
              <w:snapToGrid w:val="0"/>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须提供的资料</w:t>
            </w:r>
          </w:p>
        </w:tc>
      </w:tr>
      <w:tr w14:paraId="49F6F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784" w:type="dxa"/>
            <w:vMerge w:val="restart"/>
            <w:vAlign w:val="center"/>
          </w:tcPr>
          <w:p w14:paraId="34125AA7">
            <w:pPr>
              <w:keepNext w:val="0"/>
              <w:keepLines w:val="0"/>
              <w:pageBreakBefore w:val="0"/>
              <w:widowControl/>
              <w:numPr>
                <w:ilvl w:val="0"/>
                <w:numId w:val="0"/>
              </w:numPr>
              <w:kinsoku/>
              <w:wordWrap/>
              <w:overflowPunct/>
              <w:topLinePunct w:val="0"/>
              <w:autoSpaceDE/>
              <w:autoSpaceDN/>
              <w:bidi w:val="0"/>
              <w:adjustRightInd w:val="0"/>
              <w:snapToGrid w:val="0"/>
              <w:ind w:left="420" w:leftChars="0" w:hanging="420" w:firstLineChars="0"/>
              <w:jc w:val="both"/>
              <w:textAlignment w:val="auto"/>
              <w:rPr>
                <w:rFonts w:hint="eastAsia" w:ascii="宋体" w:hAnsi="宋体" w:eastAsia="宋体" w:cs="宋体"/>
                <w:sz w:val="22"/>
                <w:szCs w:val="22"/>
              </w:rPr>
            </w:pPr>
            <w:r>
              <w:rPr>
                <w:rFonts w:hint="eastAsia" w:ascii="宋体" w:hAnsi="宋体" w:eastAsia="宋体" w:cs="宋体"/>
                <w:kern w:val="0"/>
                <w:sz w:val="22"/>
                <w:szCs w:val="22"/>
                <w:lang w:val="en-US" w:eastAsia="zh-CN" w:bidi="ar-SA"/>
              </w:rPr>
              <w:t>1.</w:t>
            </w:r>
          </w:p>
        </w:tc>
        <w:tc>
          <w:tcPr>
            <w:tcW w:w="2619" w:type="dxa"/>
            <w:vAlign w:val="center"/>
          </w:tcPr>
          <w:p w14:paraId="6AD24788">
            <w:pPr>
              <w:keepNext w:val="0"/>
              <w:keepLines w:val="0"/>
              <w:pageBreakBefore w:val="0"/>
              <w:kinsoku/>
              <w:wordWrap/>
              <w:overflowPunct/>
              <w:topLinePunct w:val="0"/>
              <w:autoSpaceDE/>
              <w:autoSpaceDN/>
              <w:bidi w:val="0"/>
              <w:snapToGrid w:val="0"/>
              <w:jc w:val="both"/>
              <w:textAlignment w:val="auto"/>
              <w:rPr>
                <w:rFonts w:hint="eastAsia" w:ascii="宋体" w:hAnsi="宋体" w:eastAsia="宋体" w:cs="宋体"/>
                <w:sz w:val="22"/>
                <w:szCs w:val="22"/>
                <w:lang w:val="hr-HR"/>
              </w:rPr>
            </w:pPr>
            <w:r>
              <w:rPr>
                <w:rFonts w:hint="eastAsia" w:ascii="宋体" w:hAnsi="宋体" w:eastAsia="宋体" w:cs="宋体"/>
                <w:sz w:val="22"/>
                <w:szCs w:val="22"/>
                <w:lang w:val="hr-HR"/>
              </w:rPr>
              <w:t xml:space="preserve">具有独立承担民事责任的能力 </w:t>
            </w:r>
          </w:p>
        </w:tc>
        <w:tc>
          <w:tcPr>
            <w:tcW w:w="5058" w:type="dxa"/>
            <w:vAlign w:val="center"/>
          </w:tcPr>
          <w:p w14:paraId="12F406CA">
            <w:pPr>
              <w:keepNext w:val="0"/>
              <w:keepLines w:val="0"/>
              <w:pageBreakBefore w:val="0"/>
              <w:kinsoku/>
              <w:wordWrap/>
              <w:overflowPunct/>
              <w:topLinePunct w:val="0"/>
              <w:autoSpaceDE/>
              <w:autoSpaceDN/>
              <w:bidi w:val="0"/>
              <w:snapToGrid w:val="0"/>
              <w:jc w:val="both"/>
              <w:textAlignment w:val="auto"/>
              <w:rPr>
                <w:rFonts w:hint="eastAsia" w:ascii="宋体" w:hAnsi="宋体" w:eastAsia="宋体" w:cs="宋体"/>
                <w:bCs/>
                <w:sz w:val="22"/>
                <w:szCs w:val="22"/>
              </w:rPr>
            </w:pPr>
            <w:r>
              <w:rPr>
                <w:rFonts w:hint="eastAsia" w:ascii="宋体" w:hAnsi="宋体" w:eastAsia="宋体" w:cs="宋体"/>
                <w:bCs/>
                <w:sz w:val="22"/>
                <w:szCs w:val="22"/>
                <w:highlight w:val="none"/>
              </w:rPr>
              <w:t>如</w:t>
            </w:r>
            <w:r>
              <w:rPr>
                <w:rFonts w:hint="eastAsia" w:ascii="宋体" w:hAnsi="宋体" w:eastAsia="宋体" w:cs="宋体"/>
                <w:bCs/>
                <w:sz w:val="22"/>
                <w:szCs w:val="22"/>
                <w:highlight w:val="none"/>
                <w:lang w:eastAsia="zh-CN"/>
              </w:rPr>
              <w:t>供应商</w:t>
            </w:r>
            <w:r>
              <w:rPr>
                <w:rFonts w:hint="eastAsia" w:ascii="宋体" w:hAnsi="宋体" w:eastAsia="宋体" w:cs="宋体"/>
                <w:bCs/>
                <w:sz w:val="22"/>
                <w:szCs w:val="22"/>
                <w:highlight w:val="none"/>
              </w:rPr>
              <w:t>是企业（包括合伙企业），应提供在工商部门注册的有效“企业法人营业执照”或“营业执照”；如</w:t>
            </w:r>
            <w:r>
              <w:rPr>
                <w:rFonts w:hint="eastAsia" w:ascii="宋体" w:hAnsi="宋体" w:eastAsia="宋体" w:cs="宋体"/>
                <w:bCs/>
                <w:sz w:val="22"/>
                <w:szCs w:val="22"/>
                <w:highlight w:val="none"/>
                <w:lang w:eastAsia="zh-CN"/>
              </w:rPr>
              <w:t>供应商</w:t>
            </w:r>
            <w:r>
              <w:rPr>
                <w:rFonts w:hint="eastAsia" w:ascii="宋体" w:hAnsi="宋体" w:eastAsia="宋体" w:cs="宋体"/>
                <w:bCs/>
                <w:sz w:val="22"/>
                <w:szCs w:val="22"/>
                <w:highlight w:val="none"/>
              </w:rPr>
              <w:t>是事业单位，应提供有效的“事业单位法人证书”；</w:t>
            </w:r>
            <w:r>
              <w:rPr>
                <w:rFonts w:hint="eastAsia" w:ascii="宋体" w:hAnsi="宋体" w:eastAsia="宋体" w:cs="宋体"/>
                <w:bCs/>
                <w:sz w:val="22"/>
                <w:szCs w:val="22"/>
                <w:highlight w:val="none"/>
                <w:lang w:eastAsia="zh-CN"/>
              </w:rPr>
              <w:t>供应商</w:t>
            </w:r>
            <w:r>
              <w:rPr>
                <w:rFonts w:hint="eastAsia" w:ascii="宋体" w:hAnsi="宋体" w:eastAsia="宋体" w:cs="宋体"/>
                <w:bCs/>
                <w:sz w:val="22"/>
                <w:szCs w:val="22"/>
                <w:highlight w:val="none"/>
              </w:rPr>
              <w:t>是非企业专业服务机构的，应提供执业许可证等证明文件；如</w:t>
            </w:r>
            <w:r>
              <w:rPr>
                <w:rFonts w:hint="eastAsia" w:ascii="宋体" w:hAnsi="宋体" w:eastAsia="宋体" w:cs="宋体"/>
                <w:bCs/>
                <w:sz w:val="22"/>
                <w:szCs w:val="22"/>
                <w:highlight w:val="none"/>
                <w:lang w:eastAsia="zh-CN"/>
              </w:rPr>
              <w:t>供应商</w:t>
            </w:r>
            <w:r>
              <w:rPr>
                <w:rFonts w:hint="eastAsia" w:ascii="宋体" w:hAnsi="宋体" w:eastAsia="宋体" w:cs="宋体"/>
                <w:bCs/>
                <w:sz w:val="22"/>
                <w:szCs w:val="22"/>
                <w:highlight w:val="none"/>
              </w:rPr>
              <w:t>是个体工商户，应提供有效的“个体工商户营业执照”；如</w:t>
            </w:r>
            <w:r>
              <w:rPr>
                <w:rFonts w:hint="eastAsia" w:ascii="宋体" w:hAnsi="宋体" w:eastAsia="宋体" w:cs="宋体"/>
                <w:bCs/>
                <w:sz w:val="22"/>
                <w:szCs w:val="22"/>
                <w:highlight w:val="none"/>
                <w:lang w:eastAsia="zh-CN"/>
              </w:rPr>
              <w:t>供应商</w:t>
            </w:r>
            <w:r>
              <w:rPr>
                <w:rFonts w:hint="eastAsia" w:ascii="宋体" w:hAnsi="宋体" w:eastAsia="宋体" w:cs="宋体"/>
                <w:bCs/>
                <w:sz w:val="22"/>
                <w:szCs w:val="22"/>
                <w:highlight w:val="none"/>
              </w:rPr>
              <w:t>是自然人，应提供有效的自然人身份证明。</w:t>
            </w:r>
          </w:p>
        </w:tc>
      </w:tr>
      <w:tr w14:paraId="5C31E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784" w:type="dxa"/>
            <w:vMerge w:val="continue"/>
            <w:vAlign w:val="center"/>
          </w:tcPr>
          <w:p w14:paraId="5EAE1821">
            <w:pPr>
              <w:keepNext w:val="0"/>
              <w:keepLines w:val="0"/>
              <w:pageBreakBefore w:val="0"/>
              <w:widowControl/>
              <w:numPr>
                <w:ilvl w:val="0"/>
                <w:numId w:val="9"/>
              </w:numPr>
              <w:kinsoku/>
              <w:wordWrap/>
              <w:overflowPunct/>
              <w:topLinePunct w:val="0"/>
              <w:autoSpaceDE/>
              <w:autoSpaceDN/>
              <w:bidi w:val="0"/>
              <w:adjustRightInd w:val="0"/>
              <w:snapToGrid w:val="0"/>
              <w:jc w:val="both"/>
              <w:textAlignment w:val="auto"/>
              <w:rPr>
                <w:rFonts w:hint="eastAsia" w:ascii="宋体" w:hAnsi="宋体" w:eastAsia="宋体" w:cs="宋体"/>
                <w:sz w:val="22"/>
                <w:szCs w:val="22"/>
              </w:rPr>
            </w:pPr>
          </w:p>
        </w:tc>
        <w:tc>
          <w:tcPr>
            <w:tcW w:w="2619" w:type="dxa"/>
            <w:vAlign w:val="center"/>
          </w:tcPr>
          <w:p w14:paraId="12F12CEE">
            <w:pPr>
              <w:keepNext w:val="0"/>
              <w:keepLines w:val="0"/>
              <w:pageBreakBefore w:val="0"/>
              <w:widowControl/>
              <w:kinsoku/>
              <w:wordWrap/>
              <w:overflowPunct/>
              <w:topLinePunct w:val="0"/>
              <w:autoSpaceDE/>
              <w:autoSpaceDN/>
              <w:bidi w:val="0"/>
              <w:adjustRightInd w:val="0"/>
              <w:snapToGrid w:val="0"/>
              <w:jc w:val="both"/>
              <w:textAlignment w:val="auto"/>
              <w:rPr>
                <w:rFonts w:hint="eastAsia" w:ascii="宋体" w:hAnsi="宋体" w:eastAsia="宋体" w:cs="宋体"/>
                <w:sz w:val="22"/>
                <w:szCs w:val="22"/>
              </w:rPr>
            </w:pPr>
            <w:r>
              <w:rPr>
                <w:rFonts w:hint="eastAsia" w:ascii="宋体" w:hAnsi="宋体" w:eastAsia="宋体" w:cs="宋体"/>
                <w:sz w:val="22"/>
                <w:szCs w:val="22"/>
                <w:lang w:val="hr-HR"/>
              </w:rPr>
              <w:t>具有良好的商业信誉和健全的财务会计制度</w:t>
            </w:r>
          </w:p>
        </w:tc>
        <w:tc>
          <w:tcPr>
            <w:tcW w:w="5058" w:type="dxa"/>
            <w:vAlign w:val="center"/>
          </w:tcPr>
          <w:p w14:paraId="5B2AA82F">
            <w:pPr>
              <w:keepNext w:val="0"/>
              <w:keepLines w:val="0"/>
              <w:pageBreakBefore w:val="0"/>
              <w:kinsoku/>
              <w:wordWrap/>
              <w:overflowPunct/>
              <w:topLinePunct w:val="0"/>
              <w:autoSpaceDE/>
              <w:autoSpaceDN/>
              <w:bidi w:val="0"/>
              <w:adjustRightInd w:val="0"/>
              <w:snapToGrid w:val="0"/>
              <w:jc w:val="both"/>
              <w:textAlignment w:val="auto"/>
              <w:rPr>
                <w:rFonts w:hint="eastAsia" w:ascii="宋体" w:hAnsi="宋体" w:eastAsia="宋体" w:cs="宋体"/>
                <w:b/>
                <w:bCs/>
                <w:sz w:val="22"/>
                <w:szCs w:val="22"/>
                <w:highlight w:val="none"/>
              </w:rPr>
            </w:pPr>
            <w:r>
              <w:rPr>
                <w:rFonts w:hint="eastAsia" w:ascii="宋体" w:hAnsi="宋体" w:eastAsia="宋体" w:cs="宋体"/>
                <w:b/>
                <w:sz w:val="22"/>
                <w:szCs w:val="22"/>
                <w:highlight w:val="none"/>
              </w:rPr>
              <w:t>由</w:t>
            </w:r>
            <w:r>
              <w:rPr>
                <w:rFonts w:hint="eastAsia" w:ascii="宋体" w:hAnsi="宋体" w:eastAsia="宋体" w:cs="宋体"/>
                <w:b/>
                <w:sz w:val="22"/>
                <w:szCs w:val="22"/>
                <w:highlight w:val="none"/>
                <w:lang w:eastAsia="zh-CN"/>
              </w:rPr>
              <w:t>供应商</w:t>
            </w:r>
            <w:r>
              <w:rPr>
                <w:rFonts w:hint="eastAsia" w:ascii="宋体" w:hAnsi="宋体" w:eastAsia="宋体" w:cs="宋体"/>
                <w:b/>
                <w:sz w:val="22"/>
                <w:szCs w:val="22"/>
                <w:highlight w:val="none"/>
              </w:rPr>
              <w:t>对以下内容提供</w:t>
            </w:r>
            <w:r>
              <w:rPr>
                <w:rFonts w:hint="eastAsia" w:ascii="宋体" w:hAnsi="宋体" w:eastAsia="宋体" w:cs="宋体"/>
                <w:b/>
                <w:sz w:val="22"/>
                <w:szCs w:val="22"/>
                <w:highlight w:val="none"/>
                <w:lang w:eastAsia="zh-CN"/>
              </w:rPr>
              <w:t>书面承诺（格式自拟）</w:t>
            </w:r>
            <w:r>
              <w:rPr>
                <w:rFonts w:hint="eastAsia" w:ascii="宋体" w:hAnsi="宋体" w:eastAsia="宋体" w:cs="宋体"/>
                <w:b/>
                <w:sz w:val="22"/>
                <w:szCs w:val="22"/>
                <w:highlight w:val="none"/>
              </w:rPr>
              <w:t>，或提供相应证明材料。</w:t>
            </w:r>
          </w:p>
          <w:p w14:paraId="1883E794">
            <w:pPr>
              <w:keepNext w:val="0"/>
              <w:keepLines w:val="0"/>
              <w:pageBreakBefore w:val="0"/>
              <w:kinsoku/>
              <w:wordWrap/>
              <w:overflowPunct/>
              <w:topLinePunct w:val="0"/>
              <w:autoSpaceDE/>
              <w:autoSpaceDN/>
              <w:bidi w:val="0"/>
              <w:adjustRightInd w:val="0"/>
              <w:snapToGrid w:val="0"/>
              <w:jc w:val="both"/>
              <w:textAlignment w:val="auto"/>
              <w:rPr>
                <w:rFonts w:hint="eastAsia" w:ascii="宋体" w:hAnsi="宋体" w:eastAsia="宋体" w:cs="宋体"/>
                <w:bCs/>
                <w:sz w:val="22"/>
                <w:szCs w:val="22"/>
                <w:highlight w:val="none"/>
              </w:rPr>
            </w:pPr>
            <w:r>
              <w:rPr>
                <w:rFonts w:hint="eastAsia" w:ascii="宋体" w:hAnsi="宋体" w:eastAsia="宋体" w:cs="宋体"/>
                <w:bCs/>
                <w:sz w:val="22"/>
                <w:szCs w:val="22"/>
                <w:highlight w:val="none"/>
                <w:lang w:eastAsia="zh-CN"/>
              </w:rPr>
              <w:t>供应商</w:t>
            </w:r>
            <w:r>
              <w:rPr>
                <w:rFonts w:hint="eastAsia" w:ascii="宋体" w:hAnsi="宋体" w:eastAsia="宋体" w:cs="宋体"/>
                <w:bCs/>
                <w:sz w:val="22"/>
                <w:szCs w:val="22"/>
                <w:highlight w:val="none"/>
              </w:rPr>
              <w:t>是法人的，应具有上一年度（</w:t>
            </w:r>
            <w:r>
              <w:rPr>
                <w:rFonts w:hint="eastAsia" w:ascii="宋体" w:hAnsi="宋体" w:eastAsia="宋体" w:cs="宋体"/>
                <w:bCs/>
                <w:sz w:val="22"/>
                <w:szCs w:val="22"/>
                <w:highlight w:val="none"/>
                <w:lang w:eastAsia="zh-CN"/>
              </w:rPr>
              <w:t>2023年度或2024年度</w:t>
            </w:r>
            <w:r>
              <w:rPr>
                <w:rFonts w:hint="eastAsia" w:ascii="宋体" w:hAnsi="宋体" w:eastAsia="宋体" w:cs="宋体"/>
                <w:bCs/>
                <w:sz w:val="22"/>
                <w:szCs w:val="22"/>
                <w:highlight w:val="none"/>
              </w:rPr>
              <w:t>）经审计的财务报告，或其基本开户银行出具的资信证明。其他组织和自然人，没有经审计的财务报告，应具有银行出具的资信证明。</w:t>
            </w:r>
          </w:p>
          <w:p w14:paraId="32E9409C">
            <w:pPr>
              <w:keepNext w:val="0"/>
              <w:keepLines w:val="0"/>
              <w:pageBreakBefore w:val="0"/>
              <w:kinsoku/>
              <w:wordWrap/>
              <w:overflowPunct/>
              <w:topLinePunct w:val="0"/>
              <w:autoSpaceDE/>
              <w:autoSpaceDN/>
              <w:bidi w:val="0"/>
              <w:adjustRightInd w:val="0"/>
              <w:snapToGrid w:val="0"/>
              <w:jc w:val="both"/>
              <w:textAlignment w:val="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有专业担保机构对</w:t>
            </w:r>
            <w:r>
              <w:rPr>
                <w:rFonts w:hint="eastAsia" w:ascii="宋体" w:hAnsi="宋体" w:eastAsia="宋体" w:cs="宋体"/>
                <w:bCs/>
                <w:sz w:val="22"/>
                <w:szCs w:val="22"/>
                <w:highlight w:val="none"/>
                <w:lang w:eastAsia="zh-CN"/>
              </w:rPr>
              <w:t>供应商</w:t>
            </w:r>
            <w:r>
              <w:rPr>
                <w:rFonts w:hint="eastAsia" w:ascii="宋体" w:hAnsi="宋体" w:eastAsia="宋体" w:cs="宋体"/>
                <w:bCs/>
                <w:sz w:val="22"/>
                <w:szCs w:val="22"/>
                <w:highlight w:val="none"/>
              </w:rPr>
              <w:t>进行资信审查后出具投标担保函的，可以不用具备经审计的财务报告和银行资信证明文件。</w:t>
            </w:r>
          </w:p>
          <w:p w14:paraId="0BD71DE5">
            <w:pPr>
              <w:keepNext w:val="0"/>
              <w:keepLines w:val="0"/>
              <w:pageBreakBefore w:val="0"/>
              <w:kinsoku/>
              <w:wordWrap/>
              <w:overflowPunct/>
              <w:topLinePunct w:val="0"/>
              <w:autoSpaceDE/>
              <w:autoSpaceDN/>
              <w:bidi w:val="0"/>
              <w:adjustRightInd w:val="0"/>
              <w:snapToGrid w:val="0"/>
              <w:jc w:val="both"/>
              <w:textAlignment w:val="auto"/>
              <w:rPr>
                <w:rFonts w:hint="eastAsia" w:ascii="宋体" w:hAnsi="宋体" w:eastAsia="宋体" w:cs="宋体"/>
                <w:bCs/>
                <w:sz w:val="22"/>
                <w:szCs w:val="22"/>
              </w:rPr>
            </w:pPr>
            <w:r>
              <w:rPr>
                <w:rFonts w:hint="eastAsia" w:ascii="宋体" w:hAnsi="宋体" w:eastAsia="宋体" w:cs="宋体"/>
                <w:b/>
                <w:sz w:val="22"/>
                <w:szCs w:val="22"/>
                <w:highlight w:val="none"/>
              </w:rPr>
              <w:t>备注：如果</w:t>
            </w:r>
            <w:r>
              <w:rPr>
                <w:rFonts w:hint="eastAsia" w:ascii="宋体" w:hAnsi="宋体" w:eastAsia="宋体" w:cs="宋体"/>
                <w:b/>
                <w:sz w:val="22"/>
                <w:szCs w:val="22"/>
                <w:highlight w:val="none"/>
                <w:lang w:eastAsia="zh-CN"/>
              </w:rPr>
              <w:t>供应商</w:t>
            </w:r>
            <w:r>
              <w:rPr>
                <w:rFonts w:hint="eastAsia" w:ascii="宋体" w:hAnsi="宋体" w:eastAsia="宋体" w:cs="宋体"/>
                <w:b/>
                <w:sz w:val="22"/>
                <w:szCs w:val="22"/>
                <w:highlight w:val="none"/>
              </w:rPr>
              <w:t>同时提供了1）</w:t>
            </w:r>
            <w:r>
              <w:rPr>
                <w:rFonts w:hint="eastAsia" w:ascii="宋体" w:hAnsi="宋体" w:eastAsia="宋体" w:cs="宋体"/>
                <w:b/>
                <w:sz w:val="22"/>
                <w:szCs w:val="22"/>
                <w:highlight w:val="none"/>
                <w:lang w:eastAsia="zh-CN"/>
              </w:rPr>
              <w:t>书面承诺（格式自拟）</w:t>
            </w:r>
            <w:r>
              <w:rPr>
                <w:rFonts w:hint="eastAsia" w:ascii="宋体" w:hAnsi="宋体" w:eastAsia="宋体" w:cs="宋体"/>
                <w:b/>
                <w:sz w:val="22"/>
                <w:szCs w:val="22"/>
                <w:highlight w:val="none"/>
              </w:rPr>
              <w:t>、2）相应证明材料，且二者内容不一致的，</w:t>
            </w:r>
            <w:r>
              <w:rPr>
                <w:rFonts w:hint="eastAsia" w:ascii="宋体" w:hAnsi="宋体" w:eastAsia="宋体" w:cs="宋体"/>
                <w:b/>
                <w:sz w:val="22"/>
                <w:szCs w:val="22"/>
                <w:highlight w:val="none"/>
                <w:lang w:val="hr-HR"/>
              </w:rPr>
              <w:t>采购人或者采购代理机构</w:t>
            </w:r>
            <w:r>
              <w:rPr>
                <w:rFonts w:hint="eastAsia" w:ascii="宋体" w:hAnsi="宋体" w:eastAsia="宋体" w:cs="宋体"/>
                <w:b/>
                <w:sz w:val="22"/>
                <w:szCs w:val="22"/>
                <w:highlight w:val="none"/>
              </w:rPr>
              <w:t>有权任选其中一种进行评审，由</w:t>
            </w:r>
            <w:r>
              <w:rPr>
                <w:rFonts w:hint="eastAsia" w:ascii="宋体" w:hAnsi="宋体" w:eastAsia="宋体" w:cs="宋体"/>
                <w:b/>
                <w:sz w:val="22"/>
                <w:szCs w:val="22"/>
                <w:highlight w:val="none"/>
                <w:lang w:eastAsia="zh-CN"/>
              </w:rPr>
              <w:t>供应商</w:t>
            </w:r>
            <w:r>
              <w:rPr>
                <w:rFonts w:hint="eastAsia" w:ascii="宋体" w:hAnsi="宋体" w:eastAsia="宋体" w:cs="宋体"/>
                <w:b/>
                <w:sz w:val="22"/>
                <w:szCs w:val="22"/>
                <w:highlight w:val="none"/>
              </w:rPr>
              <w:t>自行承担一切后果。</w:t>
            </w:r>
          </w:p>
        </w:tc>
      </w:tr>
      <w:tr w14:paraId="1C627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784" w:type="dxa"/>
            <w:vMerge w:val="continue"/>
            <w:vAlign w:val="center"/>
          </w:tcPr>
          <w:p w14:paraId="43A6B454">
            <w:pPr>
              <w:keepNext w:val="0"/>
              <w:keepLines w:val="0"/>
              <w:pageBreakBefore w:val="0"/>
              <w:widowControl/>
              <w:numPr>
                <w:ilvl w:val="0"/>
                <w:numId w:val="9"/>
              </w:numPr>
              <w:kinsoku/>
              <w:wordWrap/>
              <w:overflowPunct/>
              <w:topLinePunct w:val="0"/>
              <w:autoSpaceDE/>
              <w:autoSpaceDN/>
              <w:bidi w:val="0"/>
              <w:adjustRightInd w:val="0"/>
              <w:snapToGrid w:val="0"/>
              <w:jc w:val="both"/>
              <w:textAlignment w:val="auto"/>
              <w:rPr>
                <w:rFonts w:hint="eastAsia" w:ascii="宋体" w:hAnsi="宋体" w:eastAsia="宋体" w:cs="宋体"/>
                <w:sz w:val="22"/>
                <w:szCs w:val="22"/>
              </w:rPr>
            </w:pPr>
          </w:p>
        </w:tc>
        <w:tc>
          <w:tcPr>
            <w:tcW w:w="2619" w:type="dxa"/>
            <w:vAlign w:val="center"/>
          </w:tcPr>
          <w:p w14:paraId="7A8B765F">
            <w:pPr>
              <w:keepNext w:val="0"/>
              <w:keepLines w:val="0"/>
              <w:pageBreakBefore w:val="0"/>
              <w:widowControl/>
              <w:kinsoku/>
              <w:wordWrap/>
              <w:overflowPunct/>
              <w:topLinePunct w:val="0"/>
              <w:autoSpaceDE/>
              <w:autoSpaceDN/>
              <w:bidi w:val="0"/>
              <w:adjustRightInd w:val="0"/>
              <w:snapToGrid w:val="0"/>
              <w:jc w:val="both"/>
              <w:textAlignment w:val="auto"/>
              <w:rPr>
                <w:rFonts w:hint="eastAsia" w:ascii="宋体" w:hAnsi="宋体" w:eastAsia="宋体" w:cs="宋体"/>
                <w:sz w:val="22"/>
                <w:szCs w:val="22"/>
                <w:lang w:val="hr-HR"/>
              </w:rPr>
            </w:pPr>
            <w:r>
              <w:rPr>
                <w:rFonts w:hint="eastAsia" w:ascii="宋体" w:hAnsi="宋体" w:eastAsia="宋体" w:cs="宋体"/>
                <w:sz w:val="22"/>
                <w:szCs w:val="22"/>
                <w:lang w:val="hr-HR"/>
              </w:rPr>
              <w:t>具有履行合同所必需的设备和专业技术能力</w:t>
            </w:r>
          </w:p>
        </w:tc>
        <w:tc>
          <w:tcPr>
            <w:tcW w:w="5058" w:type="dxa"/>
            <w:vAlign w:val="center"/>
          </w:tcPr>
          <w:p w14:paraId="0B7F8E36">
            <w:pPr>
              <w:keepNext w:val="0"/>
              <w:keepLines w:val="0"/>
              <w:pageBreakBefore w:val="0"/>
              <w:kinsoku/>
              <w:wordWrap/>
              <w:overflowPunct/>
              <w:topLinePunct w:val="0"/>
              <w:autoSpaceDE/>
              <w:autoSpaceDN/>
              <w:bidi w:val="0"/>
              <w:adjustRightInd w:val="0"/>
              <w:snapToGrid w:val="0"/>
              <w:jc w:val="both"/>
              <w:textAlignment w:val="auto"/>
              <w:rPr>
                <w:rFonts w:hint="eastAsia" w:ascii="宋体" w:hAnsi="宋体" w:eastAsia="宋体" w:cs="宋体"/>
                <w:bCs/>
                <w:sz w:val="22"/>
                <w:szCs w:val="22"/>
              </w:rPr>
            </w:pPr>
            <w:r>
              <w:rPr>
                <w:rFonts w:hint="eastAsia" w:ascii="宋体" w:hAnsi="宋体" w:eastAsia="宋体" w:cs="宋体"/>
                <w:bCs/>
                <w:sz w:val="22"/>
                <w:szCs w:val="22"/>
                <w:highlight w:val="none"/>
              </w:rPr>
              <w:t>由</w:t>
            </w:r>
            <w:r>
              <w:rPr>
                <w:rFonts w:hint="eastAsia" w:ascii="宋体" w:hAnsi="宋体" w:eastAsia="宋体" w:cs="宋体"/>
                <w:bCs/>
                <w:sz w:val="22"/>
                <w:szCs w:val="22"/>
                <w:highlight w:val="none"/>
                <w:lang w:eastAsia="zh-CN"/>
              </w:rPr>
              <w:t>供应商</w:t>
            </w:r>
            <w:r>
              <w:rPr>
                <w:rFonts w:hint="eastAsia" w:ascii="宋体" w:hAnsi="宋体" w:eastAsia="宋体" w:cs="宋体"/>
                <w:bCs/>
                <w:sz w:val="22"/>
                <w:szCs w:val="22"/>
                <w:highlight w:val="none"/>
              </w:rPr>
              <w:t>提供</w:t>
            </w:r>
            <w:r>
              <w:rPr>
                <w:rFonts w:hint="eastAsia" w:ascii="宋体" w:hAnsi="宋体" w:eastAsia="宋体" w:cs="宋体"/>
                <w:bCs/>
                <w:sz w:val="22"/>
                <w:szCs w:val="22"/>
                <w:highlight w:val="none"/>
                <w:lang w:eastAsia="zh-CN"/>
              </w:rPr>
              <w:t>书面承诺（格式自拟）</w:t>
            </w:r>
            <w:r>
              <w:rPr>
                <w:rFonts w:hint="eastAsia" w:ascii="宋体" w:hAnsi="宋体" w:eastAsia="宋体" w:cs="宋体"/>
                <w:sz w:val="22"/>
                <w:szCs w:val="22"/>
                <w:highlight w:val="none"/>
              </w:rPr>
              <w:t>，或提供相应证明材料。</w:t>
            </w:r>
          </w:p>
        </w:tc>
      </w:tr>
      <w:tr w14:paraId="3888F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784" w:type="dxa"/>
            <w:vMerge w:val="continue"/>
            <w:vAlign w:val="center"/>
          </w:tcPr>
          <w:p w14:paraId="3DBE50B5">
            <w:pPr>
              <w:keepNext w:val="0"/>
              <w:keepLines w:val="0"/>
              <w:pageBreakBefore w:val="0"/>
              <w:widowControl/>
              <w:numPr>
                <w:ilvl w:val="0"/>
                <w:numId w:val="9"/>
              </w:numPr>
              <w:kinsoku/>
              <w:wordWrap/>
              <w:overflowPunct/>
              <w:topLinePunct w:val="0"/>
              <w:autoSpaceDE/>
              <w:autoSpaceDN/>
              <w:bidi w:val="0"/>
              <w:adjustRightInd w:val="0"/>
              <w:snapToGrid w:val="0"/>
              <w:jc w:val="both"/>
              <w:textAlignment w:val="auto"/>
              <w:rPr>
                <w:rFonts w:hint="eastAsia" w:ascii="宋体" w:hAnsi="宋体" w:eastAsia="宋体" w:cs="宋体"/>
                <w:sz w:val="22"/>
                <w:szCs w:val="22"/>
              </w:rPr>
            </w:pPr>
          </w:p>
        </w:tc>
        <w:tc>
          <w:tcPr>
            <w:tcW w:w="2619" w:type="dxa"/>
            <w:vAlign w:val="center"/>
          </w:tcPr>
          <w:p w14:paraId="2F40E556">
            <w:pPr>
              <w:keepNext w:val="0"/>
              <w:keepLines w:val="0"/>
              <w:pageBreakBefore w:val="0"/>
              <w:widowControl/>
              <w:kinsoku/>
              <w:wordWrap/>
              <w:overflowPunct/>
              <w:topLinePunct w:val="0"/>
              <w:autoSpaceDE/>
              <w:autoSpaceDN/>
              <w:bidi w:val="0"/>
              <w:adjustRightInd w:val="0"/>
              <w:snapToGrid w:val="0"/>
              <w:jc w:val="both"/>
              <w:textAlignment w:val="auto"/>
              <w:rPr>
                <w:rFonts w:hint="eastAsia" w:ascii="宋体" w:hAnsi="宋体" w:eastAsia="宋体" w:cs="宋体"/>
                <w:sz w:val="22"/>
                <w:szCs w:val="22"/>
                <w:lang w:val="hr-HR"/>
              </w:rPr>
            </w:pPr>
            <w:r>
              <w:rPr>
                <w:rFonts w:hint="eastAsia" w:ascii="宋体" w:hAnsi="宋体" w:eastAsia="宋体" w:cs="宋体"/>
                <w:sz w:val="22"/>
                <w:szCs w:val="22"/>
                <w:lang w:val="hr-HR"/>
              </w:rPr>
              <w:t>有依法缴纳税收和社会保障资金的良好记录</w:t>
            </w:r>
          </w:p>
        </w:tc>
        <w:tc>
          <w:tcPr>
            <w:tcW w:w="5058" w:type="dxa"/>
            <w:vAlign w:val="center"/>
          </w:tcPr>
          <w:p w14:paraId="1695D90E">
            <w:pPr>
              <w:keepNext w:val="0"/>
              <w:keepLines w:val="0"/>
              <w:pageBreakBefore w:val="0"/>
              <w:kinsoku/>
              <w:wordWrap/>
              <w:overflowPunct/>
              <w:topLinePunct w:val="0"/>
              <w:autoSpaceDE/>
              <w:autoSpaceDN/>
              <w:bidi w:val="0"/>
              <w:adjustRightInd w:val="0"/>
              <w:snapToGrid w:val="0"/>
              <w:jc w:val="both"/>
              <w:textAlignment w:val="auto"/>
              <w:rPr>
                <w:rFonts w:hint="eastAsia" w:ascii="宋体" w:hAnsi="宋体" w:eastAsia="宋体" w:cs="宋体"/>
                <w:b/>
                <w:bCs/>
                <w:sz w:val="22"/>
                <w:szCs w:val="22"/>
                <w:highlight w:val="none"/>
              </w:rPr>
            </w:pPr>
            <w:r>
              <w:rPr>
                <w:rFonts w:hint="eastAsia" w:ascii="宋体" w:hAnsi="宋体" w:eastAsia="宋体" w:cs="宋体"/>
                <w:b/>
                <w:sz w:val="22"/>
                <w:szCs w:val="22"/>
                <w:highlight w:val="none"/>
              </w:rPr>
              <w:t>由</w:t>
            </w:r>
            <w:r>
              <w:rPr>
                <w:rFonts w:hint="eastAsia" w:ascii="宋体" w:hAnsi="宋体" w:eastAsia="宋体" w:cs="宋体"/>
                <w:b/>
                <w:sz w:val="22"/>
                <w:szCs w:val="22"/>
                <w:highlight w:val="none"/>
                <w:lang w:eastAsia="zh-CN"/>
              </w:rPr>
              <w:t>供应商</w:t>
            </w:r>
            <w:r>
              <w:rPr>
                <w:rFonts w:hint="eastAsia" w:ascii="宋体" w:hAnsi="宋体" w:eastAsia="宋体" w:cs="宋体"/>
                <w:b/>
                <w:sz w:val="22"/>
                <w:szCs w:val="22"/>
                <w:highlight w:val="none"/>
              </w:rPr>
              <w:t>对以下内容提供</w:t>
            </w:r>
            <w:r>
              <w:rPr>
                <w:rFonts w:hint="eastAsia" w:ascii="宋体" w:hAnsi="宋体" w:eastAsia="宋体" w:cs="宋体"/>
                <w:b/>
                <w:sz w:val="22"/>
                <w:szCs w:val="22"/>
                <w:highlight w:val="none"/>
                <w:lang w:eastAsia="zh-CN"/>
              </w:rPr>
              <w:t>书面承诺（格式自拟）</w:t>
            </w:r>
            <w:r>
              <w:rPr>
                <w:rFonts w:hint="eastAsia" w:ascii="宋体" w:hAnsi="宋体" w:eastAsia="宋体" w:cs="宋体"/>
                <w:b/>
                <w:sz w:val="22"/>
                <w:szCs w:val="22"/>
                <w:highlight w:val="none"/>
              </w:rPr>
              <w:t>，或提供相应证明材料。</w:t>
            </w:r>
          </w:p>
          <w:p w14:paraId="164AFCCF">
            <w:pPr>
              <w:keepNext w:val="0"/>
              <w:keepLines w:val="0"/>
              <w:pageBreakBefore w:val="0"/>
              <w:kinsoku/>
              <w:wordWrap/>
              <w:overflowPunct/>
              <w:topLinePunct w:val="0"/>
              <w:autoSpaceDE/>
              <w:autoSpaceDN/>
              <w:bidi w:val="0"/>
              <w:adjustRightInd w:val="0"/>
              <w:snapToGrid w:val="0"/>
              <w:ind w:firstLine="440" w:firstLineChars="200"/>
              <w:jc w:val="both"/>
              <w:textAlignment w:val="auto"/>
              <w:rPr>
                <w:rFonts w:hint="eastAsia" w:ascii="宋体" w:hAnsi="宋体" w:eastAsia="宋体" w:cs="宋体"/>
                <w:sz w:val="22"/>
                <w:szCs w:val="22"/>
                <w:highlight w:val="none"/>
                <w:lang w:val="hr-HR"/>
              </w:rPr>
            </w:pPr>
            <w:r>
              <w:rPr>
                <w:rFonts w:hint="eastAsia" w:ascii="宋体" w:hAnsi="宋体" w:eastAsia="宋体" w:cs="宋体"/>
                <w:sz w:val="22"/>
                <w:szCs w:val="22"/>
                <w:highlight w:val="none"/>
                <w:lang w:val="hr-HR" w:eastAsia="zh-CN"/>
              </w:rPr>
              <w:t>供应商</w:t>
            </w:r>
            <w:r>
              <w:rPr>
                <w:rFonts w:hint="eastAsia" w:ascii="宋体" w:hAnsi="宋体" w:eastAsia="宋体" w:cs="宋体"/>
                <w:sz w:val="22"/>
                <w:szCs w:val="22"/>
                <w:highlight w:val="none"/>
                <w:lang w:val="hr-HR"/>
              </w:rPr>
              <w:t>依法缴纳税收：本项目公告发布时间前</w:t>
            </w:r>
            <w:r>
              <w:rPr>
                <w:rFonts w:hint="eastAsia" w:ascii="宋体" w:hAnsi="宋体" w:eastAsia="宋体" w:cs="宋体"/>
                <w:sz w:val="22"/>
                <w:szCs w:val="22"/>
                <w:highlight w:val="none"/>
              </w:rPr>
              <w:t>12个月内</w:t>
            </w:r>
            <w:r>
              <w:rPr>
                <w:rFonts w:hint="eastAsia" w:ascii="宋体" w:hAnsi="宋体" w:eastAsia="宋体" w:cs="宋体"/>
                <w:sz w:val="22"/>
                <w:szCs w:val="22"/>
                <w:highlight w:val="none"/>
                <w:lang w:val="hr-HR"/>
              </w:rPr>
              <w:t>（至少有1个月）缴纳税收的凭据（完税证、缴款书、印花税票、银行代扣（代缴）转账凭证等均可）；</w:t>
            </w:r>
          </w:p>
          <w:p w14:paraId="3919596A">
            <w:pPr>
              <w:keepNext w:val="0"/>
              <w:keepLines w:val="0"/>
              <w:pageBreakBefore w:val="0"/>
              <w:kinsoku/>
              <w:wordWrap/>
              <w:overflowPunct/>
              <w:topLinePunct w:val="0"/>
              <w:autoSpaceDE/>
              <w:autoSpaceDN/>
              <w:bidi w:val="0"/>
              <w:adjustRightInd w:val="0"/>
              <w:snapToGrid w:val="0"/>
              <w:ind w:firstLine="440" w:firstLineChars="200"/>
              <w:jc w:val="both"/>
              <w:textAlignment w:val="auto"/>
              <w:rPr>
                <w:rFonts w:hint="eastAsia" w:ascii="宋体" w:hAnsi="宋体" w:eastAsia="宋体" w:cs="宋体"/>
                <w:sz w:val="22"/>
                <w:szCs w:val="22"/>
                <w:highlight w:val="none"/>
                <w:lang w:val="hr-HR"/>
              </w:rPr>
            </w:pPr>
            <w:r>
              <w:rPr>
                <w:rFonts w:hint="eastAsia" w:ascii="宋体" w:hAnsi="宋体" w:eastAsia="宋体" w:cs="宋体"/>
                <w:sz w:val="22"/>
                <w:szCs w:val="22"/>
                <w:highlight w:val="none"/>
                <w:lang w:val="hr-HR" w:eastAsia="zh-CN"/>
              </w:rPr>
              <w:t>供应商</w:t>
            </w:r>
            <w:r>
              <w:rPr>
                <w:rFonts w:hint="eastAsia" w:ascii="宋体" w:hAnsi="宋体" w:eastAsia="宋体" w:cs="宋体"/>
                <w:sz w:val="22"/>
                <w:szCs w:val="22"/>
                <w:highlight w:val="none"/>
                <w:lang w:val="hr-HR"/>
              </w:rPr>
              <w:t>依法缴纳社会保障资金：本项目公告发布时间前</w:t>
            </w:r>
            <w:r>
              <w:rPr>
                <w:rFonts w:hint="eastAsia" w:ascii="宋体" w:hAnsi="宋体" w:eastAsia="宋体" w:cs="宋体"/>
                <w:sz w:val="22"/>
                <w:szCs w:val="22"/>
                <w:highlight w:val="none"/>
              </w:rPr>
              <w:t>12个月内</w:t>
            </w:r>
            <w:r>
              <w:rPr>
                <w:rFonts w:hint="eastAsia" w:ascii="宋体" w:hAnsi="宋体" w:eastAsia="宋体" w:cs="宋体"/>
                <w:sz w:val="22"/>
                <w:szCs w:val="22"/>
                <w:highlight w:val="none"/>
                <w:lang w:val="hr-HR"/>
              </w:rPr>
              <w:t>（至少有1个月）缴纳社会保险的凭据（专用收据或社会保险交纳清单）；</w:t>
            </w:r>
          </w:p>
          <w:p w14:paraId="19D32557">
            <w:pPr>
              <w:keepNext w:val="0"/>
              <w:keepLines w:val="0"/>
              <w:pageBreakBefore w:val="0"/>
              <w:kinsoku/>
              <w:wordWrap/>
              <w:overflowPunct/>
              <w:topLinePunct w:val="0"/>
              <w:autoSpaceDE/>
              <w:autoSpaceDN/>
              <w:bidi w:val="0"/>
              <w:adjustRightInd w:val="0"/>
              <w:snapToGrid w:val="0"/>
              <w:ind w:firstLine="440" w:firstLineChars="200"/>
              <w:jc w:val="both"/>
              <w:textAlignment w:val="auto"/>
              <w:rPr>
                <w:rFonts w:hint="eastAsia" w:ascii="宋体" w:hAnsi="宋体" w:eastAsia="宋体" w:cs="宋体"/>
                <w:sz w:val="22"/>
                <w:szCs w:val="22"/>
                <w:highlight w:val="none"/>
                <w:lang w:val="hr-HR"/>
              </w:rPr>
            </w:pPr>
            <w:r>
              <w:rPr>
                <w:rFonts w:hint="eastAsia" w:ascii="宋体" w:hAnsi="宋体" w:eastAsia="宋体" w:cs="宋体"/>
                <w:sz w:val="22"/>
                <w:szCs w:val="22"/>
                <w:highlight w:val="none"/>
                <w:lang w:val="hr-HR" w:eastAsia="zh-CN"/>
              </w:rPr>
              <w:t>供应商</w:t>
            </w:r>
            <w:r>
              <w:rPr>
                <w:rFonts w:hint="eastAsia" w:ascii="宋体" w:hAnsi="宋体" w:eastAsia="宋体" w:cs="宋体"/>
                <w:sz w:val="22"/>
                <w:szCs w:val="22"/>
                <w:highlight w:val="none"/>
                <w:lang w:val="hr-HR"/>
              </w:rPr>
              <w:t>为其他组织或自然人的，也应满足以上要求；</w:t>
            </w:r>
          </w:p>
          <w:p w14:paraId="58D7E0C4">
            <w:pPr>
              <w:keepNext w:val="0"/>
              <w:keepLines w:val="0"/>
              <w:pageBreakBefore w:val="0"/>
              <w:kinsoku/>
              <w:wordWrap/>
              <w:overflowPunct/>
              <w:topLinePunct w:val="0"/>
              <w:autoSpaceDE/>
              <w:autoSpaceDN/>
              <w:bidi w:val="0"/>
              <w:adjustRightInd w:val="0"/>
              <w:snapToGrid w:val="0"/>
              <w:ind w:firstLine="440" w:firstLineChars="200"/>
              <w:jc w:val="both"/>
              <w:textAlignment w:val="auto"/>
              <w:rPr>
                <w:rFonts w:hint="eastAsia" w:ascii="宋体" w:hAnsi="宋体" w:eastAsia="宋体" w:cs="宋体"/>
                <w:sz w:val="22"/>
                <w:szCs w:val="22"/>
                <w:highlight w:val="none"/>
                <w:lang w:val="hr-HR"/>
              </w:rPr>
            </w:pPr>
            <w:r>
              <w:rPr>
                <w:rFonts w:hint="eastAsia" w:ascii="宋体" w:hAnsi="宋体" w:eastAsia="宋体" w:cs="宋体"/>
                <w:sz w:val="22"/>
                <w:szCs w:val="22"/>
                <w:highlight w:val="none"/>
                <w:lang w:val="hr-HR"/>
              </w:rPr>
              <w:t>递交</w:t>
            </w:r>
            <w:r>
              <w:rPr>
                <w:rFonts w:hint="eastAsia" w:ascii="宋体" w:hAnsi="宋体" w:cs="宋体"/>
                <w:sz w:val="22"/>
                <w:szCs w:val="22"/>
                <w:highlight w:val="none"/>
                <w:lang w:val="hr-HR" w:eastAsia="zh-CN"/>
              </w:rPr>
              <w:t>响应文件</w:t>
            </w:r>
            <w:r>
              <w:rPr>
                <w:rFonts w:hint="eastAsia" w:ascii="宋体" w:hAnsi="宋体" w:eastAsia="宋体" w:cs="宋体"/>
                <w:sz w:val="22"/>
                <w:szCs w:val="22"/>
                <w:highlight w:val="none"/>
                <w:lang w:val="hr-HR"/>
              </w:rPr>
              <w:t>截止时间的当月成立但因税务机关原因导致其尚未依法缴纳税收的</w:t>
            </w:r>
            <w:r>
              <w:rPr>
                <w:rFonts w:hint="eastAsia" w:ascii="宋体" w:hAnsi="宋体" w:eastAsia="宋体" w:cs="宋体"/>
                <w:sz w:val="22"/>
                <w:szCs w:val="22"/>
                <w:highlight w:val="none"/>
                <w:lang w:val="hr-HR" w:eastAsia="zh-CN"/>
              </w:rPr>
              <w:t>供应商</w:t>
            </w:r>
            <w:r>
              <w:rPr>
                <w:rFonts w:hint="eastAsia" w:ascii="宋体" w:hAnsi="宋体" w:eastAsia="宋体" w:cs="宋体"/>
                <w:sz w:val="22"/>
                <w:szCs w:val="22"/>
                <w:highlight w:val="none"/>
                <w:lang w:val="hr-HR"/>
              </w:rPr>
              <w:t>，提供将依法缴纳税收承诺书原件（格式自拟），该承诺书视同税收缴纳凭据。</w:t>
            </w:r>
          </w:p>
          <w:p w14:paraId="48BF6E23">
            <w:pPr>
              <w:keepNext w:val="0"/>
              <w:keepLines w:val="0"/>
              <w:pageBreakBefore w:val="0"/>
              <w:kinsoku/>
              <w:wordWrap/>
              <w:overflowPunct/>
              <w:topLinePunct w:val="0"/>
              <w:autoSpaceDE/>
              <w:autoSpaceDN/>
              <w:bidi w:val="0"/>
              <w:adjustRightInd w:val="0"/>
              <w:snapToGrid w:val="0"/>
              <w:ind w:firstLine="440" w:firstLineChars="200"/>
              <w:jc w:val="both"/>
              <w:textAlignment w:val="auto"/>
              <w:rPr>
                <w:rFonts w:hint="eastAsia" w:ascii="宋体" w:hAnsi="宋体" w:eastAsia="宋体" w:cs="宋体"/>
                <w:sz w:val="22"/>
                <w:szCs w:val="22"/>
                <w:highlight w:val="none"/>
                <w:lang w:val="hr-HR"/>
              </w:rPr>
            </w:pPr>
            <w:r>
              <w:rPr>
                <w:rFonts w:hint="eastAsia" w:ascii="宋体" w:hAnsi="宋体" w:eastAsia="宋体" w:cs="宋体"/>
                <w:sz w:val="22"/>
                <w:szCs w:val="22"/>
                <w:highlight w:val="none"/>
                <w:lang w:val="hr-HR"/>
              </w:rPr>
              <w:t>递交</w:t>
            </w:r>
            <w:r>
              <w:rPr>
                <w:rFonts w:hint="eastAsia" w:ascii="宋体" w:hAnsi="宋体" w:cs="宋体"/>
                <w:sz w:val="22"/>
                <w:szCs w:val="22"/>
                <w:highlight w:val="none"/>
                <w:lang w:val="hr-HR" w:eastAsia="zh-CN"/>
              </w:rPr>
              <w:t>响应文件</w:t>
            </w:r>
            <w:r>
              <w:rPr>
                <w:rFonts w:hint="eastAsia" w:ascii="宋体" w:hAnsi="宋体" w:eastAsia="宋体" w:cs="宋体"/>
                <w:sz w:val="22"/>
                <w:szCs w:val="22"/>
                <w:highlight w:val="none"/>
                <w:lang w:val="hr-HR"/>
              </w:rPr>
              <w:t>截止时间的当月成立但因社会保障资金管理机关原因导致其尚未依法缴纳社会保障资金的</w:t>
            </w:r>
            <w:r>
              <w:rPr>
                <w:rFonts w:hint="eastAsia" w:ascii="宋体" w:hAnsi="宋体" w:eastAsia="宋体" w:cs="宋体"/>
                <w:sz w:val="22"/>
                <w:szCs w:val="22"/>
                <w:highlight w:val="none"/>
                <w:lang w:val="hr-HR" w:eastAsia="zh-CN"/>
              </w:rPr>
              <w:t>供应商</w:t>
            </w:r>
            <w:r>
              <w:rPr>
                <w:rFonts w:hint="eastAsia" w:ascii="宋体" w:hAnsi="宋体" w:eastAsia="宋体" w:cs="宋体"/>
                <w:sz w:val="22"/>
                <w:szCs w:val="22"/>
                <w:highlight w:val="none"/>
                <w:lang w:val="hr-HR"/>
              </w:rPr>
              <w:t>，提供将依法缴纳社会保障资金承诺书原件（格式自拟），该承诺书视同社会保险凭据。</w:t>
            </w:r>
          </w:p>
          <w:p w14:paraId="0A3C6A0C">
            <w:pPr>
              <w:keepNext w:val="0"/>
              <w:keepLines w:val="0"/>
              <w:pageBreakBefore w:val="0"/>
              <w:kinsoku/>
              <w:wordWrap/>
              <w:overflowPunct/>
              <w:topLinePunct w:val="0"/>
              <w:autoSpaceDE/>
              <w:autoSpaceDN/>
              <w:bidi w:val="0"/>
              <w:adjustRightInd w:val="0"/>
              <w:snapToGrid w:val="0"/>
              <w:ind w:firstLine="440" w:firstLineChars="200"/>
              <w:jc w:val="both"/>
              <w:textAlignment w:val="auto"/>
              <w:rPr>
                <w:rFonts w:hint="eastAsia" w:ascii="宋体" w:hAnsi="宋体" w:eastAsia="宋体" w:cs="宋体"/>
                <w:sz w:val="22"/>
                <w:szCs w:val="22"/>
                <w:highlight w:val="none"/>
                <w:lang w:val="hr-HR"/>
              </w:rPr>
            </w:pPr>
            <w:r>
              <w:rPr>
                <w:rFonts w:hint="eastAsia" w:ascii="宋体" w:hAnsi="宋体" w:eastAsia="宋体" w:cs="宋体"/>
                <w:sz w:val="22"/>
                <w:szCs w:val="22"/>
                <w:highlight w:val="none"/>
                <w:lang w:val="hr-HR"/>
              </w:rPr>
              <w:t>依法免税或不需要缴纳社会保障资金的</w:t>
            </w:r>
            <w:r>
              <w:rPr>
                <w:rFonts w:hint="eastAsia" w:ascii="宋体" w:hAnsi="宋体" w:eastAsia="宋体" w:cs="宋体"/>
                <w:sz w:val="22"/>
                <w:szCs w:val="22"/>
                <w:highlight w:val="none"/>
                <w:lang w:val="hr-HR" w:eastAsia="zh-CN"/>
              </w:rPr>
              <w:t>供应商</w:t>
            </w:r>
            <w:r>
              <w:rPr>
                <w:rFonts w:hint="eastAsia" w:ascii="宋体" w:hAnsi="宋体" w:eastAsia="宋体" w:cs="宋体"/>
                <w:sz w:val="22"/>
                <w:szCs w:val="22"/>
                <w:highlight w:val="none"/>
                <w:lang w:val="hr-HR"/>
              </w:rPr>
              <w:t>，具有相应文件证明其依法免税或不需要交纳社会保障资金。</w:t>
            </w:r>
          </w:p>
          <w:p w14:paraId="30D92038">
            <w:pPr>
              <w:keepNext w:val="0"/>
              <w:keepLines w:val="0"/>
              <w:pageBreakBefore w:val="0"/>
              <w:kinsoku/>
              <w:wordWrap/>
              <w:overflowPunct/>
              <w:topLinePunct w:val="0"/>
              <w:autoSpaceDE/>
              <w:autoSpaceDN/>
              <w:bidi w:val="0"/>
              <w:adjustRightInd w:val="0"/>
              <w:snapToGrid w:val="0"/>
              <w:jc w:val="both"/>
              <w:textAlignment w:val="auto"/>
              <w:rPr>
                <w:rFonts w:hint="eastAsia" w:ascii="宋体" w:hAnsi="宋体" w:eastAsia="宋体" w:cs="宋体"/>
                <w:bCs/>
                <w:sz w:val="22"/>
                <w:szCs w:val="22"/>
              </w:rPr>
            </w:pPr>
            <w:r>
              <w:rPr>
                <w:rFonts w:hint="eastAsia" w:ascii="宋体" w:hAnsi="宋体" w:eastAsia="宋体" w:cs="宋体"/>
                <w:b/>
                <w:sz w:val="22"/>
                <w:szCs w:val="22"/>
                <w:highlight w:val="none"/>
                <w:lang w:val="hr-HR"/>
              </w:rPr>
              <w:t>备注：如果</w:t>
            </w:r>
            <w:r>
              <w:rPr>
                <w:rFonts w:hint="eastAsia" w:ascii="宋体" w:hAnsi="宋体" w:eastAsia="宋体" w:cs="宋体"/>
                <w:b/>
                <w:sz w:val="22"/>
                <w:szCs w:val="22"/>
                <w:highlight w:val="none"/>
                <w:lang w:val="hr-HR" w:eastAsia="zh-CN"/>
              </w:rPr>
              <w:t>供应商</w:t>
            </w:r>
            <w:r>
              <w:rPr>
                <w:rFonts w:hint="eastAsia" w:ascii="宋体" w:hAnsi="宋体" w:eastAsia="宋体" w:cs="宋体"/>
                <w:b/>
                <w:sz w:val="22"/>
                <w:szCs w:val="22"/>
                <w:highlight w:val="none"/>
                <w:lang w:val="hr-HR"/>
              </w:rPr>
              <w:t>同时提供了1）</w:t>
            </w:r>
            <w:r>
              <w:rPr>
                <w:rFonts w:hint="eastAsia" w:ascii="宋体" w:hAnsi="宋体" w:eastAsia="宋体" w:cs="宋体"/>
                <w:b/>
                <w:sz w:val="22"/>
                <w:szCs w:val="22"/>
                <w:highlight w:val="none"/>
                <w:lang w:val="hr-HR" w:eastAsia="zh-CN"/>
              </w:rPr>
              <w:t>书面承诺（格式自拟）</w:t>
            </w:r>
            <w:r>
              <w:rPr>
                <w:rFonts w:hint="eastAsia" w:ascii="宋体" w:hAnsi="宋体" w:eastAsia="宋体" w:cs="宋体"/>
                <w:b/>
                <w:sz w:val="22"/>
                <w:szCs w:val="22"/>
                <w:highlight w:val="none"/>
                <w:lang w:val="hr-HR"/>
              </w:rPr>
              <w:t>、2）相应证明材料，且二者内容不一致的，采购人或者采购代理机构有权任选其中一种进行评审，由</w:t>
            </w:r>
            <w:r>
              <w:rPr>
                <w:rFonts w:hint="eastAsia" w:ascii="宋体" w:hAnsi="宋体" w:eastAsia="宋体" w:cs="宋体"/>
                <w:b/>
                <w:sz w:val="22"/>
                <w:szCs w:val="22"/>
                <w:highlight w:val="none"/>
                <w:lang w:val="hr-HR" w:eastAsia="zh-CN"/>
              </w:rPr>
              <w:t>供应商</w:t>
            </w:r>
            <w:r>
              <w:rPr>
                <w:rFonts w:hint="eastAsia" w:ascii="宋体" w:hAnsi="宋体" w:eastAsia="宋体" w:cs="宋体"/>
                <w:b/>
                <w:sz w:val="22"/>
                <w:szCs w:val="22"/>
                <w:highlight w:val="none"/>
                <w:lang w:val="hr-HR"/>
              </w:rPr>
              <w:t>自行承担一切后果。</w:t>
            </w:r>
          </w:p>
        </w:tc>
      </w:tr>
      <w:tr w14:paraId="59C33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784" w:type="dxa"/>
            <w:vMerge w:val="continue"/>
            <w:vAlign w:val="center"/>
          </w:tcPr>
          <w:p w14:paraId="3719C0E4">
            <w:pPr>
              <w:keepNext w:val="0"/>
              <w:keepLines w:val="0"/>
              <w:pageBreakBefore w:val="0"/>
              <w:widowControl/>
              <w:numPr>
                <w:ilvl w:val="0"/>
                <w:numId w:val="9"/>
              </w:numPr>
              <w:kinsoku/>
              <w:wordWrap/>
              <w:overflowPunct/>
              <w:topLinePunct w:val="0"/>
              <w:autoSpaceDE/>
              <w:autoSpaceDN/>
              <w:bidi w:val="0"/>
              <w:adjustRightInd w:val="0"/>
              <w:snapToGrid w:val="0"/>
              <w:jc w:val="both"/>
              <w:textAlignment w:val="auto"/>
              <w:rPr>
                <w:rFonts w:hint="eastAsia" w:ascii="宋体" w:hAnsi="宋体" w:eastAsia="宋体" w:cs="宋体"/>
                <w:sz w:val="22"/>
                <w:szCs w:val="22"/>
              </w:rPr>
            </w:pPr>
          </w:p>
        </w:tc>
        <w:tc>
          <w:tcPr>
            <w:tcW w:w="2619" w:type="dxa"/>
            <w:vAlign w:val="center"/>
          </w:tcPr>
          <w:p w14:paraId="7429150F">
            <w:pPr>
              <w:keepNext w:val="0"/>
              <w:keepLines w:val="0"/>
              <w:pageBreakBefore w:val="0"/>
              <w:widowControl/>
              <w:kinsoku/>
              <w:wordWrap/>
              <w:overflowPunct/>
              <w:topLinePunct w:val="0"/>
              <w:autoSpaceDE/>
              <w:autoSpaceDN/>
              <w:bidi w:val="0"/>
              <w:adjustRightInd w:val="0"/>
              <w:snapToGrid w:val="0"/>
              <w:jc w:val="both"/>
              <w:textAlignment w:val="auto"/>
              <w:rPr>
                <w:rFonts w:hint="eastAsia" w:ascii="宋体" w:hAnsi="宋体" w:eastAsia="宋体" w:cs="宋体"/>
                <w:sz w:val="22"/>
                <w:szCs w:val="22"/>
                <w:lang w:val="hr-HR"/>
              </w:rPr>
            </w:pPr>
            <w:r>
              <w:rPr>
                <w:rFonts w:hint="eastAsia" w:ascii="宋体" w:hAnsi="宋体" w:eastAsia="宋体" w:cs="宋体"/>
                <w:sz w:val="22"/>
                <w:szCs w:val="22"/>
                <w:lang w:val="hr-HR"/>
              </w:rPr>
              <w:t>参加政府采购活动前三年内，在经营活动中没有重大违法记录</w:t>
            </w:r>
          </w:p>
        </w:tc>
        <w:tc>
          <w:tcPr>
            <w:tcW w:w="5058" w:type="dxa"/>
            <w:vAlign w:val="center"/>
          </w:tcPr>
          <w:p w14:paraId="5AD13DFD">
            <w:pPr>
              <w:keepNext w:val="0"/>
              <w:keepLines w:val="0"/>
              <w:pageBreakBefore w:val="0"/>
              <w:widowControl/>
              <w:kinsoku/>
              <w:wordWrap/>
              <w:overflowPunct/>
              <w:topLinePunct w:val="0"/>
              <w:autoSpaceDE/>
              <w:autoSpaceDN/>
              <w:bidi w:val="0"/>
              <w:adjustRightInd w:val="0"/>
              <w:snapToGrid w:val="0"/>
              <w:jc w:val="both"/>
              <w:textAlignment w:val="auto"/>
              <w:rPr>
                <w:rFonts w:hint="eastAsia" w:ascii="宋体" w:hAnsi="宋体" w:eastAsia="宋体" w:cs="宋体"/>
                <w:sz w:val="22"/>
                <w:szCs w:val="22"/>
                <w:lang w:val="hr-HR"/>
              </w:rPr>
            </w:pPr>
            <w:r>
              <w:rPr>
                <w:rFonts w:hint="eastAsia" w:ascii="宋体" w:hAnsi="宋体" w:eastAsia="宋体" w:cs="宋体"/>
                <w:bCs/>
                <w:sz w:val="22"/>
                <w:szCs w:val="22"/>
                <w:highlight w:val="none"/>
              </w:rPr>
              <w:t>由</w:t>
            </w:r>
            <w:r>
              <w:rPr>
                <w:rFonts w:hint="eastAsia" w:ascii="宋体" w:hAnsi="宋体" w:eastAsia="宋体" w:cs="宋体"/>
                <w:bCs/>
                <w:sz w:val="22"/>
                <w:szCs w:val="22"/>
                <w:highlight w:val="none"/>
                <w:lang w:eastAsia="zh-CN"/>
              </w:rPr>
              <w:t>供应商</w:t>
            </w:r>
            <w:r>
              <w:rPr>
                <w:rFonts w:hint="eastAsia" w:ascii="宋体" w:hAnsi="宋体" w:eastAsia="宋体" w:cs="宋体"/>
                <w:bCs/>
                <w:sz w:val="22"/>
                <w:szCs w:val="22"/>
                <w:highlight w:val="none"/>
              </w:rPr>
              <w:t>提供</w:t>
            </w:r>
            <w:r>
              <w:rPr>
                <w:rFonts w:hint="eastAsia" w:ascii="宋体" w:hAnsi="宋体" w:eastAsia="宋体" w:cs="宋体"/>
                <w:bCs/>
                <w:sz w:val="22"/>
                <w:szCs w:val="22"/>
                <w:highlight w:val="none"/>
                <w:lang w:eastAsia="zh-CN"/>
              </w:rPr>
              <w:t>书面承诺（格式自拟）</w:t>
            </w:r>
            <w:r>
              <w:rPr>
                <w:rFonts w:hint="eastAsia" w:ascii="宋体" w:hAnsi="宋体" w:eastAsia="宋体" w:cs="宋体"/>
                <w:sz w:val="22"/>
                <w:szCs w:val="22"/>
                <w:highlight w:val="none"/>
              </w:rPr>
              <w:t>，或提供相应证明材料。</w:t>
            </w:r>
          </w:p>
        </w:tc>
      </w:tr>
      <w:tr w14:paraId="72FF8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784" w:type="dxa"/>
            <w:vMerge w:val="continue"/>
            <w:vAlign w:val="center"/>
          </w:tcPr>
          <w:p w14:paraId="22C73A54">
            <w:pPr>
              <w:keepNext w:val="0"/>
              <w:keepLines w:val="0"/>
              <w:pageBreakBefore w:val="0"/>
              <w:widowControl/>
              <w:numPr>
                <w:ilvl w:val="0"/>
                <w:numId w:val="9"/>
              </w:numPr>
              <w:kinsoku/>
              <w:wordWrap/>
              <w:overflowPunct/>
              <w:topLinePunct w:val="0"/>
              <w:autoSpaceDE/>
              <w:autoSpaceDN/>
              <w:bidi w:val="0"/>
              <w:adjustRightInd w:val="0"/>
              <w:snapToGrid w:val="0"/>
              <w:jc w:val="both"/>
              <w:textAlignment w:val="auto"/>
              <w:rPr>
                <w:rFonts w:hint="eastAsia" w:ascii="宋体" w:hAnsi="宋体" w:eastAsia="宋体" w:cs="宋体"/>
                <w:sz w:val="22"/>
                <w:szCs w:val="22"/>
              </w:rPr>
            </w:pPr>
          </w:p>
        </w:tc>
        <w:tc>
          <w:tcPr>
            <w:tcW w:w="2619" w:type="dxa"/>
            <w:vAlign w:val="center"/>
          </w:tcPr>
          <w:p w14:paraId="7CDD9667">
            <w:pPr>
              <w:keepNext w:val="0"/>
              <w:keepLines w:val="0"/>
              <w:pageBreakBefore w:val="0"/>
              <w:widowControl/>
              <w:kinsoku/>
              <w:wordWrap/>
              <w:overflowPunct/>
              <w:topLinePunct w:val="0"/>
              <w:autoSpaceDE/>
              <w:autoSpaceDN/>
              <w:bidi w:val="0"/>
              <w:adjustRightInd w:val="0"/>
              <w:snapToGrid w:val="0"/>
              <w:jc w:val="both"/>
              <w:textAlignment w:val="auto"/>
              <w:rPr>
                <w:rFonts w:hint="eastAsia" w:ascii="宋体" w:hAnsi="宋体" w:eastAsia="宋体" w:cs="宋体"/>
                <w:sz w:val="22"/>
                <w:szCs w:val="22"/>
                <w:lang w:val="hr-HR"/>
              </w:rPr>
            </w:pPr>
            <w:r>
              <w:rPr>
                <w:rFonts w:hint="eastAsia" w:ascii="宋体" w:hAnsi="宋体" w:eastAsia="宋体" w:cs="宋体"/>
                <w:sz w:val="22"/>
                <w:szCs w:val="22"/>
                <w:lang w:val="hr-HR"/>
              </w:rPr>
              <w:t>法律、行政法规规定的其他条件</w:t>
            </w:r>
          </w:p>
        </w:tc>
        <w:tc>
          <w:tcPr>
            <w:tcW w:w="5058" w:type="dxa"/>
            <w:vAlign w:val="center"/>
          </w:tcPr>
          <w:p w14:paraId="328420E6">
            <w:pPr>
              <w:keepNext w:val="0"/>
              <w:keepLines w:val="0"/>
              <w:pageBreakBefore w:val="0"/>
              <w:kinsoku/>
              <w:wordWrap/>
              <w:overflowPunct/>
              <w:topLinePunct w:val="0"/>
              <w:autoSpaceDE/>
              <w:autoSpaceDN/>
              <w:bidi w:val="0"/>
              <w:adjustRightInd w:val="0"/>
              <w:snapToGrid w:val="0"/>
              <w:jc w:val="both"/>
              <w:textAlignment w:val="auto"/>
              <w:rPr>
                <w:rFonts w:hint="eastAsia" w:ascii="宋体" w:hAnsi="宋体" w:eastAsia="宋体" w:cs="宋体"/>
                <w:sz w:val="22"/>
                <w:szCs w:val="22"/>
                <w:lang w:val="hr-HR"/>
              </w:rPr>
            </w:pPr>
            <w:r>
              <w:rPr>
                <w:rFonts w:hint="eastAsia" w:ascii="宋体" w:hAnsi="宋体" w:eastAsia="宋体" w:cs="宋体"/>
                <w:bCs/>
                <w:sz w:val="22"/>
                <w:szCs w:val="22"/>
                <w:highlight w:val="none"/>
              </w:rPr>
              <w:t>由</w:t>
            </w:r>
            <w:r>
              <w:rPr>
                <w:rFonts w:hint="eastAsia" w:ascii="宋体" w:hAnsi="宋体" w:eastAsia="宋体" w:cs="宋体"/>
                <w:bCs/>
                <w:sz w:val="22"/>
                <w:szCs w:val="22"/>
                <w:highlight w:val="none"/>
                <w:lang w:eastAsia="zh-CN"/>
              </w:rPr>
              <w:t>供应商</w:t>
            </w:r>
            <w:r>
              <w:rPr>
                <w:rFonts w:hint="eastAsia" w:ascii="宋体" w:hAnsi="宋体" w:eastAsia="宋体" w:cs="宋体"/>
                <w:bCs/>
                <w:sz w:val="22"/>
                <w:szCs w:val="22"/>
                <w:highlight w:val="none"/>
              </w:rPr>
              <w:t>提供</w:t>
            </w:r>
            <w:r>
              <w:rPr>
                <w:rFonts w:hint="eastAsia" w:ascii="宋体" w:hAnsi="宋体" w:eastAsia="宋体" w:cs="宋体"/>
                <w:bCs/>
                <w:sz w:val="22"/>
                <w:szCs w:val="22"/>
                <w:highlight w:val="none"/>
                <w:lang w:eastAsia="zh-CN"/>
              </w:rPr>
              <w:t>书面承诺（格式自拟）</w:t>
            </w:r>
            <w:r>
              <w:rPr>
                <w:rFonts w:hint="eastAsia" w:ascii="宋体" w:hAnsi="宋体" w:eastAsia="宋体" w:cs="宋体"/>
                <w:sz w:val="22"/>
                <w:szCs w:val="22"/>
                <w:highlight w:val="none"/>
              </w:rPr>
              <w:t>，或提供相应证明材料。</w:t>
            </w:r>
          </w:p>
        </w:tc>
      </w:tr>
      <w:tr w14:paraId="721D6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784" w:type="dxa"/>
            <w:vAlign w:val="center"/>
          </w:tcPr>
          <w:p w14:paraId="2B096B62">
            <w:pPr>
              <w:keepNext w:val="0"/>
              <w:keepLines w:val="0"/>
              <w:pageBreakBefore w:val="0"/>
              <w:widowControl/>
              <w:numPr>
                <w:ilvl w:val="0"/>
                <w:numId w:val="0"/>
              </w:numPr>
              <w:kinsoku/>
              <w:wordWrap/>
              <w:overflowPunct/>
              <w:topLinePunct w:val="0"/>
              <w:autoSpaceDE/>
              <w:autoSpaceDN/>
              <w:bidi w:val="0"/>
              <w:adjustRightInd w:val="0"/>
              <w:snapToGrid w:val="0"/>
              <w:ind w:left="420" w:leftChars="0" w:hanging="420" w:firstLineChars="0"/>
              <w:jc w:val="both"/>
              <w:textAlignment w:val="auto"/>
              <w:rPr>
                <w:rFonts w:hint="eastAsia" w:ascii="宋体" w:hAnsi="宋体" w:eastAsia="宋体" w:cs="宋体"/>
                <w:sz w:val="22"/>
                <w:szCs w:val="22"/>
              </w:rPr>
            </w:pPr>
            <w:r>
              <w:rPr>
                <w:rFonts w:hint="eastAsia" w:ascii="宋体" w:hAnsi="宋体" w:eastAsia="宋体" w:cs="宋体"/>
                <w:kern w:val="0"/>
                <w:sz w:val="22"/>
                <w:szCs w:val="22"/>
                <w:lang w:val="en-US" w:eastAsia="zh-CN" w:bidi="ar-SA"/>
              </w:rPr>
              <w:t>2.</w:t>
            </w:r>
          </w:p>
        </w:tc>
        <w:tc>
          <w:tcPr>
            <w:tcW w:w="2619" w:type="dxa"/>
            <w:vAlign w:val="center"/>
          </w:tcPr>
          <w:p w14:paraId="17553B91">
            <w:pPr>
              <w:keepNext w:val="0"/>
              <w:keepLines w:val="0"/>
              <w:pageBreakBefore w:val="0"/>
              <w:widowControl/>
              <w:kinsoku/>
              <w:wordWrap/>
              <w:overflowPunct/>
              <w:topLinePunct w:val="0"/>
              <w:autoSpaceDE/>
              <w:autoSpaceDN/>
              <w:bidi w:val="0"/>
              <w:adjustRightInd w:val="0"/>
              <w:snapToGrid w:val="0"/>
              <w:jc w:val="both"/>
              <w:textAlignment w:val="auto"/>
              <w:rPr>
                <w:rFonts w:hint="eastAsia" w:ascii="宋体" w:hAnsi="宋体" w:eastAsia="宋体" w:cs="宋体"/>
                <w:sz w:val="22"/>
                <w:szCs w:val="22"/>
                <w:lang w:val="hr-HR"/>
              </w:rPr>
            </w:pPr>
            <w:r>
              <w:rPr>
                <w:rFonts w:hint="eastAsia" w:ascii="宋体" w:hAnsi="宋体" w:eastAsia="宋体" w:cs="宋体"/>
                <w:sz w:val="22"/>
                <w:szCs w:val="22"/>
              </w:rPr>
              <w:t>单位负责人为同一人或者存在直接控股、管理关系的不同的供应商，不得参加本项目同一合同项下的政府采购活动</w:t>
            </w:r>
          </w:p>
        </w:tc>
        <w:tc>
          <w:tcPr>
            <w:tcW w:w="5058" w:type="dxa"/>
            <w:vAlign w:val="center"/>
          </w:tcPr>
          <w:p w14:paraId="79694502">
            <w:pPr>
              <w:keepNext w:val="0"/>
              <w:keepLines w:val="0"/>
              <w:pageBreakBefore w:val="0"/>
              <w:widowControl/>
              <w:kinsoku/>
              <w:wordWrap/>
              <w:overflowPunct/>
              <w:topLinePunct w:val="0"/>
              <w:autoSpaceDE/>
              <w:autoSpaceDN/>
              <w:bidi w:val="0"/>
              <w:adjustRightInd w:val="0"/>
              <w:snapToGrid w:val="0"/>
              <w:jc w:val="both"/>
              <w:textAlignment w:val="auto"/>
              <w:rPr>
                <w:rFonts w:hint="eastAsia" w:ascii="宋体" w:hAnsi="宋体" w:eastAsia="宋体" w:cs="宋体"/>
                <w:sz w:val="22"/>
                <w:szCs w:val="22"/>
                <w:lang w:val="hr-HR"/>
              </w:rPr>
            </w:pPr>
            <w:r>
              <w:rPr>
                <w:rFonts w:hint="eastAsia" w:ascii="宋体" w:hAnsi="宋体" w:eastAsia="宋体" w:cs="宋体"/>
                <w:sz w:val="22"/>
                <w:szCs w:val="22"/>
                <w:highlight w:val="none"/>
                <w:lang w:val="hr-HR"/>
              </w:rPr>
              <w:t>由</w:t>
            </w:r>
            <w:r>
              <w:rPr>
                <w:rFonts w:hint="eastAsia" w:ascii="宋体" w:hAnsi="宋体" w:eastAsia="宋体" w:cs="宋体"/>
                <w:sz w:val="22"/>
                <w:szCs w:val="22"/>
                <w:highlight w:val="none"/>
                <w:lang w:val="hr-HR" w:eastAsia="zh-CN"/>
              </w:rPr>
              <w:t>供应商</w:t>
            </w:r>
            <w:r>
              <w:rPr>
                <w:rFonts w:hint="eastAsia" w:ascii="宋体" w:hAnsi="宋体" w:eastAsia="宋体" w:cs="宋体"/>
                <w:sz w:val="22"/>
                <w:szCs w:val="22"/>
                <w:highlight w:val="none"/>
                <w:lang w:val="hr-HR"/>
              </w:rPr>
              <w:t>在《</w:t>
            </w:r>
            <w:r>
              <w:rPr>
                <w:rFonts w:hint="eastAsia" w:ascii="宋体" w:hAnsi="宋体" w:eastAsia="宋体" w:cs="宋体"/>
                <w:sz w:val="22"/>
                <w:szCs w:val="22"/>
                <w:highlight w:val="none"/>
                <w:lang w:val="hr-HR" w:eastAsia="zh-CN"/>
              </w:rPr>
              <w:t>磋商书</w:t>
            </w:r>
            <w:r>
              <w:rPr>
                <w:rFonts w:hint="eastAsia" w:ascii="宋体" w:hAnsi="宋体" w:eastAsia="宋体" w:cs="宋体"/>
                <w:sz w:val="22"/>
                <w:szCs w:val="22"/>
                <w:highlight w:val="none"/>
                <w:lang w:val="hr-HR"/>
              </w:rPr>
              <w:t>》中声明</w:t>
            </w:r>
          </w:p>
        </w:tc>
      </w:tr>
      <w:tr w14:paraId="2E73A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784" w:type="dxa"/>
            <w:vAlign w:val="center"/>
          </w:tcPr>
          <w:p w14:paraId="22945D01">
            <w:pPr>
              <w:keepNext w:val="0"/>
              <w:keepLines w:val="0"/>
              <w:pageBreakBefore w:val="0"/>
              <w:widowControl/>
              <w:numPr>
                <w:ilvl w:val="0"/>
                <w:numId w:val="0"/>
              </w:numPr>
              <w:kinsoku/>
              <w:wordWrap/>
              <w:overflowPunct/>
              <w:topLinePunct w:val="0"/>
              <w:autoSpaceDE/>
              <w:autoSpaceDN/>
              <w:bidi w:val="0"/>
              <w:adjustRightInd w:val="0"/>
              <w:snapToGrid w:val="0"/>
              <w:ind w:left="420" w:leftChars="0" w:hanging="420" w:firstLineChars="0"/>
              <w:jc w:val="both"/>
              <w:textAlignment w:val="auto"/>
              <w:rPr>
                <w:rFonts w:hint="eastAsia" w:ascii="宋体" w:hAnsi="宋体" w:eastAsia="宋体" w:cs="宋体"/>
                <w:sz w:val="22"/>
                <w:szCs w:val="22"/>
              </w:rPr>
            </w:pPr>
            <w:r>
              <w:rPr>
                <w:rFonts w:hint="eastAsia" w:ascii="宋体" w:hAnsi="宋体" w:eastAsia="宋体" w:cs="宋体"/>
                <w:kern w:val="0"/>
                <w:sz w:val="22"/>
                <w:szCs w:val="22"/>
                <w:lang w:val="en-US" w:eastAsia="zh-CN" w:bidi="ar-SA"/>
              </w:rPr>
              <w:t>3.</w:t>
            </w:r>
          </w:p>
        </w:tc>
        <w:tc>
          <w:tcPr>
            <w:tcW w:w="2619" w:type="dxa"/>
            <w:vAlign w:val="center"/>
          </w:tcPr>
          <w:p w14:paraId="123CE81C">
            <w:pPr>
              <w:keepNext w:val="0"/>
              <w:keepLines w:val="0"/>
              <w:pageBreakBefore w:val="0"/>
              <w:widowControl/>
              <w:kinsoku/>
              <w:wordWrap/>
              <w:overflowPunct/>
              <w:topLinePunct w:val="0"/>
              <w:autoSpaceDE/>
              <w:autoSpaceDN/>
              <w:bidi w:val="0"/>
              <w:adjustRightInd w:val="0"/>
              <w:snapToGrid w:val="0"/>
              <w:jc w:val="both"/>
              <w:textAlignment w:val="auto"/>
              <w:rPr>
                <w:rFonts w:hint="eastAsia" w:ascii="宋体" w:hAnsi="宋体" w:eastAsia="宋体" w:cs="宋体"/>
                <w:sz w:val="22"/>
                <w:szCs w:val="22"/>
              </w:rPr>
            </w:pPr>
            <w:r>
              <w:rPr>
                <w:rFonts w:hint="eastAsia" w:ascii="宋体" w:hAnsi="宋体" w:eastAsia="宋体" w:cs="宋体"/>
                <w:sz w:val="22"/>
                <w:szCs w:val="22"/>
              </w:rPr>
              <w:t>为本采购项目提供整体设计、规范编制或者项目管理、监理、检测等服务的，不得再参加本项目的其他招标采购活动。</w:t>
            </w:r>
          </w:p>
        </w:tc>
        <w:tc>
          <w:tcPr>
            <w:tcW w:w="5058" w:type="dxa"/>
            <w:vAlign w:val="center"/>
          </w:tcPr>
          <w:p w14:paraId="180AC08F">
            <w:pPr>
              <w:keepNext w:val="0"/>
              <w:keepLines w:val="0"/>
              <w:pageBreakBefore w:val="0"/>
              <w:widowControl/>
              <w:kinsoku/>
              <w:wordWrap/>
              <w:overflowPunct/>
              <w:topLinePunct w:val="0"/>
              <w:autoSpaceDE/>
              <w:autoSpaceDN/>
              <w:bidi w:val="0"/>
              <w:adjustRightInd w:val="0"/>
              <w:snapToGrid w:val="0"/>
              <w:jc w:val="both"/>
              <w:textAlignment w:val="auto"/>
              <w:rPr>
                <w:rFonts w:hint="eastAsia" w:ascii="宋体" w:hAnsi="宋体" w:eastAsia="宋体" w:cs="宋体"/>
                <w:sz w:val="22"/>
                <w:szCs w:val="22"/>
                <w:lang w:val="hr-HR"/>
              </w:rPr>
            </w:pPr>
            <w:r>
              <w:rPr>
                <w:rFonts w:hint="eastAsia" w:ascii="宋体" w:hAnsi="宋体" w:eastAsia="宋体" w:cs="宋体"/>
                <w:sz w:val="22"/>
                <w:szCs w:val="22"/>
                <w:highlight w:val="none"/>
                <w:lang w:val="hr-HR"/>
              </w:rPr>
              <w:t>由</w:t>
            </w:r>
            <w:r>
              <w:rPr>
                <w:rFonts w:hint="eastAsia" w:ascii="宋体" w:hAnsi="宋体" w:eastAsia="宋体" w:cs="宋体"/>
                <w:sz w:val="22"/>
                <w:szCs w:val="22"/>
                <w:highlight w:val="none"/>
                <w:lang w:val="hr-HR" w:eastAsia="zh-CN"/>
              </w:rPr>
              <w:t>供应商</w:t>
            </w:r>
            <w:r>
              <w:rPr>
                <w:rFonts w:hint="eastAsia" w:ascii="宋体" w:hAnsi="宋体" w:eastAsia="宋体" w:cs="宋体"/>
                <w:sz w:val="22"/>
                <w:szCs w:val="22"/>
                <w:highlight w:val="none"/>
                <w:lang w:val="hr-HR"/>
              </w:rPr>
              <w:t>在《</w:t>
            </w:r>
            <w:r>
              <w:rPr>
                <w:rFonts w:hint="eastAsia" w:ascii="宋体" w:hAnsi="宋体" w:eastAsia="宋体" w:cs="宋体"/>
                <w:sz w:val="22"/>
                <w:szCs w:val="22"/>
                <w:highlight w:val="none"/>
                <w:lang w:val="hr-HR" w:eastAsia="zh-CN"/>
              </w:rPr>
              <w:t>磋商书</w:t>
            </w:r>
            <w:r>
              <w:rPr>
                <w:rFonts w:hint="eastAsia" w:ascii="宋体" w:hAnsi="宋体" w:eastAsia="宋体" w:cs="宋体"/>
                <w:sz w:val="22"/>
                <w:szCs w:val="22"/>
                <w:highlight w:val="none"/>
                <w:lang w:val="hr-HR"/>
              </w:rPr>
              <w:t>》中声明</w:t>
            </w:r>
          </w:p>
        </w:tc>
      </w:tr>
      <w:tr w14:paraId="4A3B7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784" w:type="dxa"/>
            <w:vAlign w:val="center"/>
          </w:tcPr>
          <w:p w14:paraId="3BD0AC72">
            <w:pPr>
              <w:keepNext w:val="0"/>
              <w:keepLines w:val="0"/>
              <w:pageBreakBefore w:val="0"/>
              <w:widowControl/>
              <w:numPr>
                <w:ilvl w:val="0"/>
                <w:numId w:val="0"/>
              </w:numPr>
              <w:kinsoku/>
              <w:wordWrap/>
              <w:overflowPunct/>
              <w:topLinePunct w:val="0"/>
              <w:autoSpaceDE/>
              <w:autoSpaceDN/>
              <w:bidi w:val="0"/>
              <w:adjustRightInd w:val="0"/>
              <w:snapToGrid w:val="0"/>
              <w:ind w:left="420" w:leftChars="0" w:hanging="420" w:firstLineChars="0"/>
              <w:jc w:val="both"/>
              <w:textAlignment w:val="auto"/>
              <w:rPr>
                <w:rFonts w:hint="eastAsia" w:ascii="宋体" w:hAnsi="宋体" w:eastAsia="宋体" w:cs="宋体"/>
                <w:sz w:val="22"/>
                <w:szCs w:val="22"/>
              </w:rPr>
            </w:pPr>
            <w:r>
              <w:rPr>
                <w:rFonts w:hint="eastAsia" w:ascii="宋体" w:hAnsi="宋体" w:eastAsia="宋体" w:cs="宋体"/>
                <w:kern w:val="0"/>
                <w:sz w:val="22"/>
                <w:szCs w:val="22"/>
                <w:lang w:val="en-US" w:eastAsia="zh-CN" w:bidi="ar-SA"/>
              </w:rPr>
              <w:t>4.</w:t>
            </w:r>
          </w:p>
        </w:tc>
        <w:tc>
          <w:tcPr>
            <w:tcW w:w="2619" w:type="dxa"/>
            <w:vAlign w:val="center"/>
          </w:tcPr>
          <w:p w14:paraId="7B530C31">
            <w:pPr>
              <w:keepNext w:val="0"/>
              <w:keepLines w:val="0"/>
              <w:pageBreakBefore w:val="0"/>
              <w:widowControl/>
              <w:kinsoku/>
              <w:wordWrap/>
              <w:overflowPunct/>
              <w:topLinePunct w:val="0"/>
              <w:autoSpaceDE/>
              <w:autoSpaceDN/>
              <w:bidi w:val="0"/>
              <w:adjustRightInd w:val="0"/>
              <w:snapToGrid w:val="0"/>
              <w:jc w:val="both"/>
              <w:textAlignment w:val="auto"/>
              <w:rPr>
                <w:rFonts w:hint="eastAsia" w:ascii="宋体" w:hAnsi="宋体" w:eastAsia="宋体" w:cs="宋体"/>
                <w:sz w:val="22"/>
                <w:szCs w:val="22"/>
              </w:rPr>
            </w:pPr>
            <w:r>
              <w:rPr>
                <w:rFonts w:hint="eastAsia" w:ascii="宋体" w:hAnsi="宋体" w:eastAsia="宋体" w:cs="宋体"/>
                <w:sz w:val="22"/>
                <w:szCs w:val="22"/>
              </w:rPr>
              <w:t>未被列入失信被执行人、</w:t>
            </w:r>
            <w:r>
              <w:rPr>
                <w:rFonts w:hint="eastAsia" w:ascii="宋体" w:hAnsi="宋体" w:eastAsia="宋体" w:cs="宋体"/>
                <w:sz w:val="22"/>
                <w:szCs w:val="22"/>
                <w:lang w:eastAsia="zh-CN"/>
              </w:rPr>
              <w:t>重大税收违法失信主体</w:t>
            </w:r>
            <w:r>
              <w:rPr>
                <w:rFonts w:hint="eastAsia" w:ascii="宋体" w:hAnsi="宋体" w:eastAsia="宋体" w:cs="宋体"/>
                <w:sz w:val="22"/>
                <w:szCs w:val="22"/>
              </w:rPr>
              <w:t>，未被列入政府采购严重违法失信行为记录名单。</w:t>
            </w:r>
          </w:p>
        </w:tc>
        <w:tc>
          <w:tcPr>
            <w:tcW w:w="5058" w:type="dxa"/>
            <w:vAlign w:val="center"/>
          </w:tcPr>
          <w:p w14:paraId="251BAE6D">
            <w:pPr>
              <w:keepNext w:val="0"/>
              <w:keepLines w:val="0"/>
              <w:pageBreakBefore w:val="0"/>
              <w:widowControl/>
              <w:kinsoku/>
              <w:wordWrap/>
              <w:overflowPunct/>
              <w:topLinePunct w:val="0"/>
              <w:autoSpaceDE/>
              <w:autoSpaceDN/>
              <w:bidi w:val="0"/>
              <w:adjustRightInd w:val="0"/>
              <w:snapToGrid w:val="0"/>
              <w:jc w:val="both"/>
              <w:textAlignment w:val="auto"/>
              <w:rPr>
                <w:rFonts w:hint="eastAsia" w:ascii="宋体" w:hAnsi="宋体" w:eastAsia="宋体" w:cs="宋体"/>
                <w:sz w:val="22"/>
                <w:szCs w:val="22"/>
                <w:lang w:val="hr-HR"/>
              </w:rPr>
            </w:pPr>
            <w:r>
              <w:rPr>
                <w:rFonts w:hint="eastAsia" w:ascii="宋体" w:hAnsi="宋体" w:eastAsia="宋体" w:cs="宋体"/>
                <w:sz w:val="22"/>
                <w:szCs w:val="22"/>
                <w:highlight w:val="none"/>
                <w:lang w:val="hr-HR"/>
              </w:rPr>
              <w:t>以采购人和采购代理机构在投标截止日在“信用中国”网站（www.creditchina.gov.cn）及中国政府采购网(www.ccgp.gov.cn)查询的</w:t>
            </w:r>
            <w:r>
              <w:rPr>
                <w:rFonts w:hint="eastAsia" w:ascii="宋体" w:hAnsi="宋体" w:eastAsia="宋体" w:cs="宋体"/>
                <w:sz w:val="22"/>
                <w:szCs w:val="22"/>
                <w:highlight w:val="none"/>
                <w:lang w:val="hr-HR" w:eastAsia="zh-CN"/>
              </w:rPr>
              <w:t>供应商</w:t>
            </w:r>
            <w:r>
              <w:rPr>
                <w:rFonts w:hint="eastAsia" w:ascii="宋体" w:hAnsi="宋体" w:eastAsia="宋体" w:cs="宋体"/>
                <w:sz w:val="22"/>
                <w:szCs w:val="22"/>
                <w:highlight w:val="none"/>
                <w:lang w:val="hr-HR"/>
              </w:rPr>
              <w:t>参加政府采购活动前三年内的结果为准（采购人和采购代理机构对信用信息查询记录和证据截图或下载存档）。</w:t>
            </w:r>
          </w:p>
        </w:tc>
      </w:tr>
      <w:tr w14:paraId="12E49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784" w:type="dxa"/>
            <w:vAlign w:val="center"/>
          </w:tcPr>
          <w:p w14:paraId="7F8463BC">
            <w:pPr>
              <w:keepNext w:val="0"/>
              <w:keepLines w:val="0"/>
              <w:pageBreakBefore w:val="0"/>
              <w:widowControl/>
              <w:numPr>
                <w:ilvl w:val="0"/>
                <w:numId w:val="0"/>
              </w:numPr>
              <w:kinsoku/>
              <w:wordWrap/>
              <w:overflowPunct/>
              <w:topLinePunct w:val="0"/>
              <w:autoSpaceDE/>
              <w:autoSpaceDN/>
              <w:bidi w:val="0"/>
              <w:adjustRightInd w:val="0"/>
              <w:snapToGrid w:val="0"/>
              <w:ind w:left="420" w:leftChars="0" w:hanging="420" w:firstLineChars="0"/>
              <w:jc w:val="both"/>
              <w:textAlignment w:val="auto"/>
              <w:rPr>
                <w:rFonts w:hint="eastAsia" w:ascii="宋体" w:hAnsi="宋体" w:eastAsia="宋体" w:cs="宋体"/>
                <w:sz w:val="22"/>
                <w:szCs w:val="22"/>
              </w:rPr>
            </w:pPr>
            <w:r>
              <w:rPr>
                <w:rFonts w:hint="eastAsia" w:ascii="宋体" w:hAnsi="宋体" w:eastAsia="宋体" w:cs="宋体"/>
                <w:kern w:val="0"/>
                <w:sz w:val="22"/>
                <w:szCs w:val="22"/>
                <w:lang w:val="en-US" w:eastAsia="zh-CN" w:bidi="ar-SA"/>
              </w:rPr>
              <w:t>5.</w:t>
            </w:r>
          </w:p>
        </w:tc>
        <w:tc>
          <w:tcPr>
            <w:tcW w:w="2619" w:type="dxa"/>
            <w:vAlign w:val="center"/>
          </w:tcPr>
          <w:p w14:paraId="09E93B1B">
            <w:pPr>
              <w:keepNext w:val="0"/>
              <w:keepLines w:val="0"/>
              <w:pageBreakBefore w:val="0"/>
              <w:widowControl/>
              <w:kinsoku/>
              <w:wordWrap/>
              <w:overflowPunct/>
              <w:topLinePunct w:val="0"/>
              <w:autoSpaceDE/>
              <w:autoSpaceDN/>
              <w:bidi w:val="0"/>
              <w:adjustRightInd w:val="0"/>
              <w:snapToGrid w:val="0"/>
              <w:jc w:val="both"/>
              <w:textAlignment w:val="auto"/>
              <w:rPr>
                <w:rFonts w:hint="eastAsia" w:ascii="宋体" w:hAnsi="宋体" w:eastAsia="宋体" w:cs="宋体"/>
                <w:sz w:val="22"/>
                <w:szCs w:val="22"/>
              </w:rPr>
            </w:pPr>
            <w:r>
              <w:rPr>
                <w:rFonts w:hint="eastAsia" w:ascii="宋体" w:hAnsi="宋体" w:eastAsia="宋体" w:cs="宋体"/>
                <w:sz w:val="22"/>
                <w:szCs w:val="22"/>
              </w:rPr>
              <w:t>落实政府采购政策需满足的资格要求</w:t>
            </w:r>
          </w:p>
        </w:tc>
        <w:tc>
          <w:tcPr>
            <w:tcW w:w="5058" w:type="dxa"/>
            <w:vAlign w:val="center"/>
          </w:tcPr>
          <w:p w14:paraId="1ED0B919">
            <w:pPr>
              <w:keepNext w:val="0"/>
              <w:keepLines w:val="0"/>
              <w:pageBreakBefore w:val="0"/>
              <w:kinsoku/>
              <w:wordWrap/>
              <w:overflowPunct/>
              <w:topLinePunct w:val="0"/>
              <w:autoSpaceDE/>
              <w:autoSpaceDN/>
              <w:bidi w:val="0"/>
              <w:jc w:val="both"/>
              <w:textAlignment w:val="auto"/>
              <w:rPr>
                <w:rFonts w:hint="eastAsia" w:ascii="宋体" w:hAnsi="宋体" w:eastAsia="宋体" w:cs="宋体"/>
                <w:sz w:val="22"/>
                <w:szCs w:val="22"/>
                <w:lang w:eastAsia="zh-CN"/>
              </w:rPr>
            </w:pPr>
            <w:r>
              <w:rPr>
                <w:rFonts w:hint="eastAsia" w:ascii="宋体" w:hAnsi="宋体" w:eastAsia="宋体" w:cs="宋体"/>
                <w:sz w:val="22"/>
                <w:szCs w:val="22"/>
                <w:highlight w:val="none"/>
                <w:lang w:eastAsia="zh-CN"/>
              </w:rPr>
              <w:t>本政府采购项目是专门面向中小微企业项目（所属行业：软件和信息技术服务业），供应商需提供中小企业声明函（财库[2020]46号文附件）。（根据财库[2017]141号和财库[2014]68号文件的要求，监狱企业和残疾人政府采购政策等同于中小微企业政策）。</w:t>
            </w:r>
          </w:p>
        </w:tc>
      </w:tr>
      <w:tr w14:paraId="1649C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784" w:type="dxa"/>
            <w:vAlign w:val="center"/>
          </w:tcPr>
          <w:p w14:paraId="3328BE4A">
            <w:pPr>
              <w:keepNext w:val="0"/>
              <w:keepLines w:val="0"/>
              <w:pageBreakBefore w:val="0"/>
              <w:widowControl/>
              <w:numPr>
                <w:ilvl w:val="0"/>
                <w:numId w:val="0"/>
              </w:numPr>
              <w:kinsoku/>
              <w:wordWrap/>
              <w:overflowPunct/>
              <w:topLinePunct w:val="0"/>
              <w:autoSpaceDE/>
              <w:autoSpaceDN/>
              <w:bidi w:val="0"/>
              <w:adjustRightInd w:val="0"/>
              <w:snapToGrid w:val="0"/>
              <w:ind w:left="420" w:leftChars="0" w:hanging="420" w:firstLineChars="0"/>
              <w:jc w:val="both"/>
              <w:textAlignment w:val="auto"/>
              <w:rPr>
                <w:rFonts w:hint="eastAsia" w:ascii="宋体" w:hAnsi="宋体" w:eastAsia="宋体" w:cs="宋体"/>
                <w:sz w:val="22"/>
                <w:szCs w:val="22"/>
              </w:rPr>
            </w:pPr>
            <w:r>
              <w:rPr>
                <w:rFonts w:hint="eastAsia" w:ascii="宋体" w:hAnsi="宋体" w:eastAsia="宋体" w:cs="宋体"/>
                <w:kern w:val="0"/>
                <w:sz w:val="22"/>
                <w:szCs w:val="22"/>
                <w:lang w:val="en-US" w:eastAsia="zh-CN" w:bidi="ar-SA"/>
              </w:rPr>
              <w:t>6.</w:t>
            </w:r>
          </w:p>
        </w:tc>
        <w:tc>
          <w:tcPr>
            <w:tcW w:w="2619" w:type="dxa"/>
            <w:vAlign w:val="center"/>
          </w:tcPr>
          <w:p w14:paraId="279624D6">
            <w:pPr>
              <w:keepNext w:val="0"/>
              <w:keepLines w:val="0"/>
              <w:pageBreakBefore w:val="0"/>
              <w:widowControl/>
              <w:kinsoku/>
              <w:wordWrap/>
              <w:overflowPunct/>
              <w:topLinePunct w:val="0"/>
              <w:autoSpaceDE/>
              <w:autoSpaceDN/>
              <w:bidi w:val="0"/>
              <w:adjustRightInd w:val="0"/>
              <w:snapToGrid w:val="0"/>
              <w:jc w:val="both"/>
              <w:textAlignment w:val="auto"/>
              <w:rPr>
                <w:rFonts w:hint="eastAsia" w:ascii="宋体" w:hAnsi="宋体" w:eastAsia="宋体" w:cs="宋体"/>
                <w:sz w:val="22"/>
                <w:szCs w:val="22"/>
                <w:lang w:val="hr-HR"/>
              </w:rPr>
            </w:pPr>
            <w:r>
              <w:rPr>
                <w:rFonts w:hint="eastAsia" w:ascii="宋体" w:hAnsi="宋体" w:eastAsia="宋体" w:cs="宋体"/>
                <w:sz w:val="22"/>
                <w:szCs w:val="22"/>
                <w:lang w:val="hr-HR"/>
              </w:rPr>
              <w:t>本项目的特定资格要求</w:t>
            </w:r>
          </w:p>
        </w:tc>
        <w:tc>
          <w:tcPr>
            <w:tcW w:w="5058" w:type="dxa"/>
            <w:vAlign w:val="center"/>
          </w:tcPr>
          <w:p w14:paraId="4889DFA9">
            <w:pPr>
              <w:keepNext w:val="0"/>
              <w:keepLines w:val="0"/>
              <w:pageBreakBefore w:val="0"/>
              <w:kinsoku/>
              <w:wordWrap/>
              <w:overflowPunct/>
              <w:topLinePunct w:val="0"/>
              <w:autoSpaceDE/>
              <w:autoSpaceDN/>
              <w:bidi w:val="0"/>
              <w:jc w:val="both"/>
              <w:textAlignment w:val="auto"/>
              <w:rPr>
                <w:rFonts w:hint="eastAsia" w:ascii="宋体" w:hAnsi="宋体" w:eastAsia="宋体" w:cs="宋体"/>
                <w:sz w:val="22"/>
                <w:szCs w:val="22"/>
                <w:lang w:eastAsia="zh-CN"/>
              </w:rPr>
            </w:pPr>
            <w:r>
              <w:rPr>
                <w:rFonts w:hint="eastAsia" w:ascii="宋体" w:hAnsi="宋体" w:eastAsia="宋体" w:cs="宋体"/>
                <w:sz w:val="22"/>
                <w:szCs w:val="22"/>
              </w:rPr>
              <w:t>供应商未被列入“信用中国”网站(www.creditchina.gov.cn)失信被执行人、重大税收违法失信主体、政府采购严重违法失信行为记录名单和“中国政府采购”网站（www.ccgp.gov.cn）政府采购严重违法失信行为记录名单。</w:t>
            </w:r>
          </w:p>
        </w:tc>
      </w:tr>
    </w:tbl>
    <w:p w14:paraId="5ED8445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rPr>
      </w:pPr>
      <w:r>
        <w:rPr>
          <w:rFonts w:hint="eastAsia" w:ascii="宋体" w:hAnsi="宋体" w:eastAsia="宋体" w:cs="宋体"/>
          <w:sz w:val="24"/>
        </w:rPr>
        <w:t>备注：</w:t>
      </w:r>
    </w:p>
    <w:p w14:paraId="2C4554E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rPr>
      </w:pPr>
      <w:r>
        <w:rPr>
          <w:rFonts w:hint="eastAsia" w:ascii="宋体" w:hAnsi="宋体" w:eastAsia="宋体" w:cs="宋体"/>
          <w:sz w:val="24"/>
        </w:rPr>
        <w:t>1.所有证书、证明文件包括按要求提供的官网截图必须是真实、有效、可查证的。资格证明文件应为原件的扫描件，响应文件中须编入清晰的扫描件或复印件。所有证明材料须清晰可辨认，如因证明材料模糊无法辨认，缺页、漏页导致无法进行评审认定的责任由供应商自负。如发现弄虚作假将按照有关规定严肃处理。</w:t>
      </w:r>
    </w:p>
    <w:p w14:paraId="139BA77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rPr>
      </w:pPr>
      <w:r>
        <w:rPr>
          <w:rFonts w:hint="eastAsia" w:ascii="宋体" w:hAnsi="宋体" w:eastAsia="宋体" w:cs="宋体"/>
          <w:sz w:val="24"/>
        </w:rPr>
        <w:t>证明材料仅限于供应商单位本身，参股或控股单位及独立法人子公司的材料不能作为证明材料，但供应商单位兼并的企业的材料可作为证明材料。</w:t>
      </w:r>
    </w:p>
    <w:p w14:paraId="26F51C6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rPr>
      </w:pPr>
      <w:r>
        <w:rPr>
          <w:rFonts w:hint="eastAsia" w:ascii="宋体" w:hAnsi="宋体" w:eastAsia="宋体" w:cs="宋体"/>
          <w:sz w:val="24"/>
        </w:rPr>
        <w:t>2.对于响应文件中有任意一条不满足上表要求的将导致其投标无效，不进入下一项评审。</w:t>
      </w:r>
    </w:p>
    <w:p w14:paraId="24ED63FF">
      <w:pPr>
        <w:snapToGrid/>
        <w:spacing w:beforeAutospacing="0" w:afterAutospacing="0" w:line="560" w:lineRule="exact"/>
        <w:ind w:left="0" w:leftChars="0" w:right="0" w:rightChars="0" w:firstLine="482" w:firstLineChars="0"/>
        <w:jc w:val="left"/>
        <w:rPr>
          <w:rFonts w:hint="eastAsia" w:ascii="宋体" w:hAnsi="宋体" w:eastAsia="宋体" w:cs="宋体"/>
          <w:sz w:val="24"/>
        </w:rPr>
      </w:pPr>
    </w:p>
    <w:p w14:paraId="2575E831">
      <w:pPr>
        <w:keepNext w:val="0"/>
        <w:keepLines w:val="0"/>
        <w:pageBreakBefore/>
        <w:widowControl w:val="0"/>
        <w:kinsoku/>
        <w:wordWrap/>
        <w:overflowPunct/>
        <w:topLinePunct w:val="0"/>
        <w:autoSpaceDE/>
        <w:autoSpaceDN/>
        <w:bidi w:val="0"/>
        <w:adjustRightInd/>
        <w:snapToGrid/>
        <w:spacing w:beforeAutospacing="0" w:afterAutospacing="0" w:line="560" w:lineRule="exact"/>
        <w:ind w:left="0" w:leftChars="0" w:right="0" w:rightChars="0" w:firstLine="482" w:firstLineChars="0"/>
        <w:jc w:val="left"/>
        <w:textAlignment w:val="auto"/>
        <w:outlineLvl w:val="1"/>
        <w:rPr>
          <w:rFonts w:hint="eastAsia" w:ascii="宋体" w:hAnsi="宋体" w:eastAsia="宋体" w:cs="宋体"/>
          <w:b/>
          <w:sz w:val="24"/>
        </w:rPr>
      </w:pPr>
      <w:bookmarkStart w:id="671" w:name="_Toc48688849"/>
      <w:bookmarkStart w:id="672" w:name="_Toc46772287"/>
      <w:bookmarkStart w:id="673" w:name="_Toc52962784"/>
      <w:bookmarkStart w:id="674" w:name="_Toc48846166"/>
      <w:bookmarkStart w:id="675" w:name="_Toc52960610"/>
      <w:bookmarkStart w:id="676" w:name="_Toc13479"/>
      <w:bookmarkStart w:id="677" w:name="_Toc109897484"/>
      <w:bookmarkStart w:id="678" w:name="_Toc51674268"/>
      <w:bookmarkStart w:id="679" w:name="_Toc109900002"/>
      <w:bookmarkStart w:id="680" w:name="_Toc109900421"/>
      <w:r>
        <w:rPr>
          <w:rFonts w:hint="eastAsia" w:ascii="宋体" w:hAnsi="宋体" w:eastAsia="宋体" w:cs="宋体"/>
          <w:b/>
          <w:sz w:val="24"/>
        </w:rPr>
        <w:t>（二）符合性检查表</w:t>
      </w:r>
      <w:bookmarkEnd w:id="671"/>
      <w:bookmarkEnd w:id="672"/>
      <w:bookmarkEnd w:id="673"/>
      <w:bookmarkEnd w:id="674"/>
      <w:bookmarkEnd w:id="675"/>
      <w:bookmarkEnd w:id="676"/>
      <w:bookmarkEnd w:id="677"/>
      <w:bookmarkEnd w:id="678"/>
      <w:bookmarkEnd w:id="679"/>
      <w:bookmarkEnd w:id="680"/>
    </w:p>
    <w:tbl>
      <w:tblPr>
        <w:tblStyle w:val="88"/>
        <w:tblW w:w="8303" w:type="dxa"/>
        <w:jc w:val="center"/>
        <w:tblLayout w:type="fixed"/>
        <w:tblCellMar>
          <w:top w:w="0" w:type="dxa"/>
          <w:left w:w="108" w:type="dxa"/>
          <w:bottom w:w="0" w:type="dxa"/>
          <w:right w:w="108" w:type="dxa"/>
        </w:tblCellMar>
      </w:tblPr>
      <w:tblGrid>
        <w:gridCol w:w="1013"/>
        <w:gridCol w:w="7290"/>
      </w:tblGrid>
      <w:tr w14:paraId="08E0CCA6">
        <w:tblPrEx>
          <w:tblCellMar>
            <w:top w:w="0" w:type="dxa"/>
            <w:left w:w="108" w:type="dxa"/>
            <w:bottom w:w="0" w:type="dxa"/>
            <w:right w:w="108" w:type="dxa"/>
          </w:tblCellMar>
        </w:tblPrEx>
        <w:trPr>
          <w:trHeight w:val="567" w:hRule="atLeast"/>
          <w:jc w:val="center"/>
        </w:trPr>
        <w:tc>
          <w:tcPr>
            <w:tcW w:w="101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7DDCB2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2"/>
                <w:szCs w:val="22"/>
                <w:lang w:val="hr-HR"/>
              </w:rPr>
            </w:pPr>
            <w:bookmarkStart w:id="681" w:name="_Hlk56711845"/>
            <w:r>
              <w:rPr>
                <w:rFonts w:hint="eastAsia" w:ascii="宋体" w:hAnsi="宋体" w:eastAsia="宋体" w:cs="宋体"/>
                <w:b/>
                <w:bCs/>
                <w:sz w:val="22"/>
                <w:szCs w:val="22"/>
                <w:lang w:val="hr-HR"/>
              </w:rPr>
              <w:t>序号</w:t>
            </w:r>
          </w:p>
        </w:tc>
        <w:tc>
          <w:tcPr>
            <w:tcW w:w="729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9E30B2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2"/>
                <w:szCs w:val="22"/>
                <w:lang w:val="hr-HR"/>
              </w:rPr>
            </w:pPr>
            <w:r>
              <w:rPr>
                <w:rFonts w:hint="eastAsia" w:ascii="宋体" w:hAnsi="宋体" w:eastAsia="宋体" w:cs="宋体"/>
                <w:b/>
                <w:bCs/>
                <w:sz w:val="22"/>
                <w:szCs w:val="22"/>
                <w:lang w:val="hr-HR"/>
              </w:rPr>
              <w:t>审核内容</w:t>
            </w:r>
          </w:p>
        </w:tc>
      </w:tr>
      <w:tr w14:paraId="70432228">
        <w:tblPrEx>
          <w:tblCellMar>
            <w:top w:w="0" w:type="dxa"/>
            <w:left w:w="108" w:type="dxa"/>
            <w:bottom w:w="0" w:type="dxa"/>
            <w:right w:w="108" w:type="dxa"/>
          </w:tblCellMar>
        </w:tblPrEx>
        <w:trPr>
          <w:trHeight w:val="454" w:hRule="atLeast"/>
          <w:jc w:val="center"/>
        </w:trPr>
        <w:tc>
          <w:tcPr>
            <w:tcW w:w="1013" w:type="dxa"/>
            <w:tcBorders>
              <w:top w:val="single" w:color="auto" w:sz="4" w:space="0"/>
              <w:left w:val="single" w:color="auto" w:sz="4" w:space="0"/>
              <w:bottom w:val="single" w:color="auto" w:sz="4" w:space="0"/>
              <w:right w:val="single" w:color="auto" w:sz="4" w:space="0"/>
            </w:tcBorders>
            <w:vAlign w:val="center"/>
          </w:tcPr>
          <w:p w14:paraId="4111776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lang w:val="hr-HR"/>
              </w:rPr>
            </w:pPr>
            <w:r>
              <w:rPr>
                <w:rFonts w:hint="eastAsia" w:ascii="宋体" w:hAnsi="宋体" w:eastAsia="宋体" w:cs="宋体"/>
                <w:sz w:val="22"/>
                <w:szCs w:val="22"/>
                <w:lang w:val="hr-HR"/>
              </w:rPr>
              <w:t>1</w:t>
            </w:r>
          </w:p>
        </w:tc>
        <w:tc>
          <w:tcPr>
            <w:tcW w:w="7290" w:type="dxa"/>
            <w:tcBorders>
              <w:top w:val="single" w:color="auto" w:sz="4" w:space="0"/>
              <w:left w:val="single" w:color="auto" w:sz="4" w:space="0"/>
              <w:bottom w:val="single" w:color="auto" w:sz="4" w:space="0"/>
              <w:right w:val="single" w:color="auto" w:sz="4" w:space="0"/>
            </w:tcBorders>
            <w:vAlign w:val="center"/>
          </w:tcPr>
          <w:p w14:paraId="206589F0">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hr-HR"/>
              </w:rPr>
            </w:pPr>
            <w:r>
              <w:rPr>
                <w:rFonts w:hint="eastAsia" w:ascii="宋体" w:hAnsi="宋体" w:eastAsia="宋体" w:cs="宋体"/>
                <w:sz w:val="22"/>
                <w:szCs w:val="22"/>
                <w:lang w:val="hr-HR"/>
              </w:rPr>
              <w:t>按照磋商文件规定要求签署、盖章；</w:t>
            </w:r>
          </w:p>
        </w:tc>
      </w:tr>
      <w:tr w14:paraId="378B6C05">
        <w:tblPrEx>
          <w:tblCellMar>
            <w:top w:w="0" w:type="dxa"/>
            <w:left w:w="108" w:type="dxa"/>
            <w:bottom w:w="0" w:type="dxa"/>
            <w:right w:w="108" w:type="dxa"/>
          </w:tblCellMar>
        </w:tblPrEx>
        <w:trPr>
          <w:trHeight w:val="454" w:hRule="atLeast"/>
          <w:jc w:val="center"/>
        </w:trPr>
        <w:tc>
          <w:tcPr>
            <w:tcW w:w="1013" w:type="dxa"/>
            <w:tcBorders>
              <w:top w:val="single" w:color="auto" w:sz="4" w:space="0"/>
              <w:left w:val="single" w:color="auto" w:sz="4" w:space="0"/>
              <w:bottom w:val="single" w:color="auto" w:sz="4" w:space="0"/>
              <w:right w:val="single" w:color="auto" w:sz="4" w:space="0"/>
            </w:tcBorders>
            <w:vAlign w:val="center"/>
          </w:tcPr>
          <w:p w14:paraId="4F47E1E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lang w:val="hr-HR"/>
              </w:rPr>
            </w:pPr>
            <w:r>
              <w:rPr>
                <w:rFonts w:hint="eastAsia" w:ascii="宋体" w:hAnsi="宋体" w:eastAsia="宋体" w:cs="宋体"/>
                <w:sz w:val="22"/>
                <w:szCs w:val="22"/>
                <w:lang w:val="hr-HR"/>
              </w:rPr>
              <w:t>2</w:t>
            </w:r>
          </w:p>
        </w:tc>
        <w:tc>
          <w:tcPr>
            <w:tcW w:w="7290" w:type="dxa"/>
            <w:tcBorders>
              <w:top w:val="single" w:color="auto" w:sz="4" w:space="0"/>
              <w:left w:val="single" w:color="auto" w:sz="4" w:space="0"/>
              <w:bottom w:val="single" w:color="auto" w:sz="4" w:space="0"/>
              <w:right w:val="single" w:color="auto" w:sz="4" w:space="0"/>
            </w:tcBorders>
            <w:vAlign w:val="center"/>
          </w:tcPr>
          <w:p w14:paraId="38F7F671">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按磋商文件要求进行报价，未超过最高限价；</w:t>
            </w:r>
          </w:p>
        </w:tc>
      </w:tr>
      <w:tr w14:paraId="1DE5AAC6">
        <w:tblPrEx>
          <w:tblCellMar>
            <w:top w:w="0" w:type="dxa"/>
            <w:left w:w="108" w:type="dxa"/>
            <w:bottom w:w="0" w:type="dxa"/>
            <w:right w:w="108" w:type="dxa"/>
          </w:tblCellMar>
        </w:tblPrEx>
        <w:trPr>
          <w:trHeight w:val="454" w:hRule="atLeast"/>
          <w:jc w:val="center"/>
        </w:trPr>
        <w:tc>
          <w:tcPr>
            <w:tcW w:w="1013" w:type="dxa"/>
            <w:tcBorders>
              <w:top w:val="single" w:color="auto" w:sz="4" w:space="0"/>
              <w:left w:val="single" w:color="auto" w:sz="4" w:space="0"/>
              <w:bottom w:val="single" w:color="auto" w:sz="4" w:space="0"/>
              <w:right w:val="single" w:color="auto" w:sz="4" w:space="0"/>
            </w:tcBorders>
            <w:vAlign w:val="center"/>
          </w:tcPr>
          <w:p w14:paraId="0DD496F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lang w:val="hr-HR"/>
              </w:rPr>
            </w:pPr>
            <w:r>
              <w:rPr>
                <w:rFonts w:hint="eastAsia" w:ascii="宋体" w:hAnsi="宋体" w:eastAsia="宋体" w:cs="宋体"/>
                <w:sz w:val="22"/>
                <w:szCs w:val="22"/>
                <w:lang w:val="hr-HR"/>
              </w:rPr>
              <w:t>3</w:t>
            </w:r>
          </w:p>
        </w:tc>
        <w:tc>
          <w:tcPr>
            <w:tcW w:w="7290" w:type="dxa"/>
            <w:tcBorders>
              <w:top w:val="single" w:color="auto" w:sz="4" w:space="0"/>
              <w:left w:val="single" w:color="auto" w:sz="4" w:space="0"/>
              <w:bottom w:val="single" w:color="auto" w:sz="4" w:space="0"/>
              <w:right w:val="single" w:color="auto" w:sz="4" w:space="0"/>
            </w:tcBorders>
            <w:vAlign w:val="center"/>
          </w:tcPr>
          <w:p w14:paraId="123296AE">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hr-HR"/>
              </w:rPr>
            </w:pPr>
            <w:r>
              <w:rPr>
                <w:rFonts w:hint="eastAsia" w:ascii="宋体" w:hAnsi="宋体" w:eastAsia="宋体" w:cs="宋体"/>
                <w:sz w:val="22"/>
                <w:szCs w:val="22"/>
                <w:lang w:val="hr-HR"/>
              </w:rPr>
              <w:t>磋商有效期满足磋商文件规定；</w:t>
            </w:r>
          </w:p>
        </w:tc>
      </w:tr>
      <w:tr w14:paraId="3E80778C">
        <w:tblPrEx>
          <w:tblCellMar>
            <w:top w:w="0" w:type="dxa"/>
            <w:left w:w="108" w:type="dxa"/>
            <w:bottom w:w="0" w:type="dxa"/>
            <w:right w:w="108" w:type="dxa"/>
          </w:tblCellMar>
        </w:tblPrEx>
        <w:trPr>
          <w:trHeight w:val="454" w:hRule="atLeast"/>
          <w:jc w:val="center"/>
        </w:trPr>
        <w:tc>
          <w:tcPr>
            <w:tcW w:w="1013" w:type="dxa"/>
            <w:tcBorders>
              <w:top w:val="single" w:color="auto" w:sz="4" w:space="0"/>
              <w:left w:val="single" w:color="auto" w:sz="4" w:space="0"/>
              <w:bottom w:val="single" w:color="auto" w:sz="4" w:space="0"/>
              <w:right w:val="single" w:color="auto" w:sz="4" w:space="0"/>
            </w:tcBorders>
            <w:vAlign w:val="center"/>
          </w:tcPr>
          <w:p w14:paraId="00359E6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lang w:val="hr-HR"/>
              </w:rPr>
            </w:pPr>
            <w:r>
              <w:rPr>
                <w:rFonts w:hint="eastAsia" w:ascii="宋体" w:hAnsi="宋体" w:eastAsia="宋体" w:cs="宋体"/>
                <w:sz w:val="22"/>
                <w:szCs w:val="22"/>
                <w:lang w:val="hr-HR"/>
              </w:rPr>
              <w:t>4</w:t>
            </w:r>
          </w:p>
        </w:tc>
        <w:tc>
          <w:tcPr>
            <w:tcW w:w="7290" w:type="dxa"/>
            <w:tcBorders>
              <w:top w:val="single" w:color="auto" w:sz="4" w:space="0"/>
              <w:left w:val="single" w:color="auto" w:sz="4" w:space="0"/>
              <w:bottom w:val="single" w:color="auto" w:sz="4" w:space="0"/>
              <w:right w:val="single" w:color="auto" w:sz="4" w:space="0"/>
            </w:tcBorders>
            <w:vAlign w:val="center"/>
          </w:tcPr>
          <w:p w14:paraId="29CD768D">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hr-HR"/>
              </w:rPr>
            </w:pPr>
            <w:r>
              <w:rPr>
                <w:rFonts w:hint="eastAsia" w:ascii="宋体" w:hAnsi="宋体" w:eastAsia="宋体" w:cs="宋体"/>
                <w:sz w:val="22"/>
                <w:szCs w:val="22"/>
                <w:lang w:val="hr-HR"/>
              </w:rPr>
              <w:t>响应文件中未附有采购人不能接受条件；</w:t>
            </w:r>
          </w:p>
        </w:tc>
      </w:tr>
      <w:tr w14:paraId="7725CB2C">
        <w:tblPrEx>
          <w:tblCellMar>
            <w:top w:w="0" w:type="dxa"/>
            <w:left w:w="108" w:type="dxa"/>
            <w:bottom w:w="0" w:type="dxa"/>
            <w:right w:w="108" w:type="dxa"/>
          </w:tblCellMar>
        </w:tblPrEx>
        <w:trPr>
          <w:trHeight w:val="454" w:hRule="atLeast"/>
          <w:jc w:val="center"/>
        </w:trPr>
        <w:tc>
          <w:tcPr>
            <w:tcW w:w="1013" w:type="dxa"/>
            <w:tcBorders>
              <w:top w:val="single" w:color="auto" w:sz="4" w:space="0"/>
              <w:left w:val="single" w:color="auto" w:sz="4" w:space="0"/>
              <w:bottom w:val="single" w:color="auto" w:sz="4" w:space="0"/>
              <w:right w:val="single" w:color="auto" w:sz="4" w:space="0"/>
            </w:tcBorders>
            <w:vAlign w:val="center"/>
          </w:tcPr>
          <w:p w14:paraId="3960041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lang w:val="hr-HR"/>
              </w:rPr>
            </w:pPr>
            <w:r>
              <w:rPr>
                <w:rFonts w:hint="eastAsia" w:ascii="宋体" w:hAnsi="宋体" w:eastAsia="宋体" w:cs="宋体"/>
                <w:sz w:val="22"/>
                <w:szCs w:val="22"/>
                <w:lang w:val="hr-HR"/>
              </w:rPr>
              <w:t>5</w:t>
            </w:r>
          </w:p>
        </w:tc>
        <w:tc>
          <w:tcPr>
            <w:tcW w:w="7290" w:type="dxa"/>
            <w:tcBorders>
              <w:top w:val="single" w:color="auto" w:sz="4" w:space="0"/>
              <w:left w:val="single" w:color="auto" w:sz="4" w:space="0"/>
              <w:bottom w:val="single" w:color="auto" w:sz="4" w:space="0"/>
              <w:right w:val="single" w:color="auto" w:sz="4" w:space="0"/>
            </w:tcBorders>
            <w:vAlign w:val="center"/>
          </w:tcPr>
          <w:p w14:paraId="2B41CCF2">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hr-HR"/>
              </w:rPr>
            </w:pPr>
            <w:r>
              <w:rPr>
                <w:rFonts w:hint="eastAsia" w:ascii="宋体" w:hAnsi="宋体" w:eastAsia="宋体" w:cs="宋体"/>
                <w:sz w:val="22"/>
                <w:szCs w:val="22"/>
                <w:lang w:val="hr-HR"/>
              </w:rPr>
              <w:t>响应文件满足磋商文件商务、技术等实质性要求；</w:t>
            </w:r>
          </w:p>
        </w:tc>
      </w:tr>
      <w:tr w14:paraId="07608FF7">
        <w:tblPrEx>
          <w:tblCellMar>
            <w:top w:w="0" w:type="dxa"/>
            <w:left w:w="108" w:type="dxa"/>
            <w:bottom w:w="0" w:type="dxa"/>
            <w:right w:w="108" w:type="dxa"/>
          </w:tblCellMar>
        </w:tblPrEx>
        <w:trPr>
          <w:trHeight w:val="454" w:hRule="atLeast"/>
          <w:jc w:val="center"/>
        </w:trPr>
        <w:tc>
          <w:tcPr>
            <w:tcW w:w="1013" w:type="dxa"/>
            <w:tcBorders>
              <w:top w:val="single" w:color="auto" w:sz="4" w:space="0"/>
              <w:left w:val="single" w:color="auto" w:sz="4" w:space="0"/>
              <w:bottom w:val="single" w:color="auto" w:sz="4" w:space="0"/>
              <w:right w:val="single" w:color="auto" w:sz="4" w:space="0"/>
            </w:tcBorders>
            <w:vAlign w:val="center"/>
          </w:tcPr>
          <w:p w14:paraId="5F48648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lang w:val="hr-HR"/>
              </w:rPr>
            </w:pPr>
            <w:r>
              <w:rPr>
                <w:rFonts w:hint="eastAsia" w:ascii="宋体" w:hAnsi="宋体" w:eastAsia="宋体" w:cs="宋体"/>
                <w:sz w:val="22"/>
                <w:szCs w:val="22"/>
                <w:lang w:val="hr-HR"/>
              </w:rPr>
              <w:t>6</w:t>
            </w:r>
          </w:p>
        </w:tc>
        <w:tc>
          <w:tcPr>
            <w:tcW w:w="7290" w:type="dxa"/>
            <w:tcBorders>
              <w:top w:val="single" w:color="auto" w:sz="4" w:space="0"/>
              <w:left w:val="single" w:color="auto" w:sz="4" w:space="0"/>
              <w:bottom w:val="single" w:color="auto" w:sz="4" w:space="0"/>
              <w:right w:val="single" w:color="auto" w:sz="4" w:space="0"/>
            </w:tcBorders>
            <w:vAlign w:val="center"/>
          </w:tcPr>
          <w:p w14:paraId="6272022E">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hr-HR"/>
              </w:rPr>
            </w:pPr>
            <w:r>
              <w:rPr>
                <w:rFonts w:hint="eastAsia" w:ascii="宋体" w:hAnsi="宋体" w:eastAsia="宋体" w:cs="宋体"/>
                <w:sz w:val="22"/>
                <w:szCs w:val="22"/>
                <w:lang w:val="hr-HR"/>
              </w:rPr>
              <w:t>供应商未出现磋商文件中规定无效投标的其它条款；</w:t>
            </w:r>
          </w:p>
        </w:tc>
      </w:tr>
      <w:tr w14:paraId="74B4748B">
        <w:tblPrEx>
          <w:tblCellMar>
            <w:top w:w="0" w:type="dxa"/>
            <w:left w:w="108" w:type="dxa"/>
            <w:bottom w:w="0" w:type="dxa"/>
            <w:right w:w="108" w:type="dxa"/>
          </w:tblCellMar>
        </w:tblPrEx>
        <w:trPr>
          <w:trHeight w:val="454" w:hRule="atLeast"/>
          <w:jc w:val="center"/>
        </w:trPr>
        <w:tc>
          <w:tcPr>
            <w:tcW w:w="1013" w:type="dxa"/>
            <w:tcBorders>
              <w:top w:val="single" w:color="auto" w:sz="4" w:space="0"/>
              <w:left w:val="single" w:color="auto" w:sz="4" w:space="0"/>
              <w:bottom w:val="single" w:color="auto" w:sz="4" w:space="0"/>
              <w:right w:val="single" w:color="auto" w:sz="4" w:space="0"/>
            </w:tcBorders>
            <w:vAlign w:val="center"/>
          </w:tcPr>
          <w:p w14:paraId="6B274FA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lang w:val="hr-HR"/>
              </w:rPr>
            </w:pPr>
            <w:r>
              <w:rPr>
                <w:rFonts w:hint="eastAsia" w:ascii="宋体" w:hAnsi="宋体" w:eastAsia="宋体" w:cs="宋体"/>
                <w:sz w:val="22"/>
                <w:szCs w:val="22"/>
                <w:lang w:val="hr-HR"/>
              </w:rPr>
              <w:t>7</w:t>
            </w:r>
          </w:p>
        </w:tc>
        <w:tc>
          <w:tcPr>
            <w:tcW w:w="7290" w:type="dxa"/>
            <w:tcBorders>
              <w:top w:val="single" w:color="auto" w:sz="4" w:space="0"/>
              <w:left w:val="single" w:color="auto" w:sz="4" w:space="0"/>
              <w:bottom w:val="single" w:color="auto" w:sz="4" w:space="0"/>
              <w:right w:val="single" w:color="auto" w:sz="4" w:space="0"/>
            </w:tcBorders>
            <w:vAlign w:val="center"/>
          </w:tcPr>
          <w:p w14:paraId="6F29EA91">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hr-HR"/>
              </w:rPr>
            </w:pPr>
            <w:r>
              <w:rPr>
                <w:rFonts w:hint="eastAsia" w:ascii="宋体" w:hAnsi="宋体" w:eastAsia="宋体" w:cs="宋体"/>
                <w:sz w:val="22"/>
                <w:szCs w:val="22"/>
                <w:lang w:val="hr-HR"/>
              </w:rPr>
              <w:t>供应商未有下列任一情形：</w:t>
            </w:r>
          </w:p>
          <w:p w14:paraId="7BBBAF39">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hr-HR"/>
              </w:rPr>
            </w:pPr>
            <w:r>
              <w:rPr>
                <w:rFonts w:hint="eastAsia" w:ascii="宋体" w:hAnsi="宋体" w:eastAsia="宋体" w:cs="宋体"/>
                <w:sz w:val="22"/>
                <w:szCs w:val="22"/>
                <w:lang w:val="hr-HR"/>
              </w:rPr>
              <w:t>（1）不同供应商的响应文件由同一单位或者个人编制；</w:t>
            </w:r>
          </w:p>
          <w:p w14:paraId="3402A274">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hr-HR"/>
              </w:rPr>
            </w:pPr>
            <w:r>
              <w:rPr>
                <w:rFonts w:hint="eastAsia" w:ascii="宋体" w:hAnsi="宋体" w:eastAsia="宋体" w:cs="宋体"/>
                <w:sz w:val="22"/>
                <w:szCs w:val="22"/>
                <w:lang w:val="hr-HR"/>
              </w:rPr>
              <w:t>（2）不同供应商委托同一单位或者个人办理投标事宜；</w:t>
            </w:r>
          </w:p>
          <w:p w14:paraId="3878757A">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hr-HR"/>
              </w:rPr>
            </w:pPr>
            <w:r>
              <w:rPr>
                <w:rFonts w:hint="eastAsia" w:ascii="宋体" w:hAnsi="宋体" w:eastAsia="宋体" w:cs="宋体"/>
                <w:sz w:val="22"/>
                <w:szCs w:val="22"/>
                <w:lang w:val="hr-HR"/>
              </w:rPr>
              <w:t>（3）不同供应商的响应文件载明的项目管理成员或者联系人员为同一人；</w:t>
            </w:r>
          </w:p>
          <w:p w14:paraId="5A25CF5B">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hr-HR"/>
              </w:rPr>
            </w:pPr>
            <w:r>
              <w:rPr>
                <w:rFonts w:hint="eastAsia" w:ascii="宋体" w:hAnsi="宋体" w:eastAsia="宋体" w:cs="宋体"/>
                <w:sz w:val="22"/>
                <w:szCs w:val="22"/>
                <w:lang w:val="hr-HR"/>
              </w:rPr>
              <w:t>（4）不同供应商的响应文件异常一致或者投标报价呈规律性差异；</w:t>
            </w:r>
          </w:p>
          <w:p w14:paraId="4B69F29C">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hr-HR"/>
              </w:rPr>
            </w:pPr>
            <w:r>
              <w:rPr>
                <w:rFonts w:hint="eastAsia" w:ascii="宋体" w:hAnsi="宋体" w:eastAsia="宋体" w:cs="宋体"/>
                <w:sz w:val="22"/>
                <w:szCs w:val="22"/>
                <w:lang w:val="hr-HR"/>
              </w:rPr>
              <w:t>（5）不同供应商的响应文件相互混装。</w:t>
            </w:r>
          </w:p>
        </w:tc>
      </w:tr>
      <w:bookmarkEnd w:id="681"/>
    </w:tbl>
    <w:p w14:paraId="6F3D7F4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rPr>
      </w:pPr>
      <w:r>
        <w:rPr>
          <w:rFonts w:hint="eastAsia" w:ascii="宋体" w:hAnsi="宋体" w:eastAsia="宋体" w:cs="宋体"/>
          <w:sz w:val="24"/>
        </w:rPr>
        <w:t>备注：</w:t>
      </w:r>
    </w:p>
    <w:p w14:paraId="660DA90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rPr>
      </w:pPr>
      <w:r>
        <w:rPr>
          <w:rFonts w:hint="eastAsia" w:ascii="宋体" w:hAnsi="宋体" w:eastAsia="宋体" w:cs="宋体"/>
          <w:sz w:val="24"/>
        </w:rPr>
        <w:t>1.评标委员会分别对每一响应文件依据上表进行检查。</w:t>
      </w:r>
    </w:p>
    <w:p w14:paraId="3155043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rPr>
      </w:pPr>
      <w:r>
        <w:rPr>
          <w:rFonts w:hint="eastAsia" w:ascii="宋体" w:hAnsi="宋体" w:eastAsia="宋体" w:cs="宋体"/>
          <w:sz w:val="24"/>
        </w:rPr>
        <w:t>2.评标委员会决定投标的响应性只根据响应文件本身的真实无误的内容，而不依据外部的证据，但响应文件有不真实不正确的内容时除外。</w:t>
      </w:r>
    </w:p>
    <w:p w14:paraId="49735AF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rPr>
      </w:pPr>
      <w:r>
        <w:rPr>
          <w:rFonts w:hint="eastAsia" w:ascii="宋体" w:hAnsi="宋体" w:eastAsia="宋体" w:cs="宋体"/>
          <w:sz w:val="24"/>
        </w:rPr>
        <w:t>3.满足要求的条款打“√”，否则为“×”。</w:t>
      </w:r>
    </w:p>
    <w:p w14:paraId="23BAC91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rPr>
      </w:pPr>
      <w:r>
        <w:rPr>
          <w:rFonts w:hint="eastAsia" w:ascii="宋体" w:hAnsi="宋体" w:eastAsia="宋体" w:cs="宋体"/>
          <w:sz w:val="24"/>
        </w:rPr>
        <w:t>4.对于响应文件中有任意一条不满足要求将导致其投标无效，不进入下一项评审。</w:t>
      </w:r>
    </w:p>
    <w:p w14:paraId="550D5765">
      <w:pPr>
        <w:keepNext w:val="0"/>
        <w:keepLines w:val="0"/>
        <w:pageBreakBefore/>
        <w:widowControl w:val="0"/>
        <w:kinsoku/>
        <w:wordWrap/>
        <w:overflowPunct/>
        <w:topLinePunct w:val="0"/>
        <w:autoSpaceDE/>
        <w:autoSpaceDN/>
        <w:bidi w:val="0"/>
        <w:adjustRightInd/>
        <w:snapToGrid/>
        <w:spacing w:beforeAutospacing="0" w:afterAutospacing="0" w:line="560" w:lineRule="exact"/>
        <w:ind w:left="0" w:leftChars="0" w:right="0" w:rightChars="0" w:firstLine="482" w:firstLineChars="0"/>
        <w:jc w:val="left"/>
        <w:textAlignment w:val="auto"/>
        <w:outlineLvl w:val="1"/>
        <w:rPr>
          <w:rFonts w:hint="eastAsia" w:ascii="宋体" w:hAnsi="宋体" w:eastAsia="宋体" w:cs="宋体"/>
          <w:b/>
          <w:sz w:val="24"/>
        </w:rPr>
      </w:pPr>
      <w:bookmarkStart w:id="682" w:name="_Toc109900003"/>
      <w:bookmarkStart w:id="683" w:name="_Toc52960611"/>
      <w:bookmarkStart w:id="684" w:name="_Toc4473"/>
      <w:bookmarkStart w:id="685" w:name="_Toc109900422"/>
      <w:bookmarkStart w:id="686" w:name="_Toc51674269"/>
      <w:bookmarkStart w:id="687" w:name="_Toc48688850"/>
      <w:bookmarkStart w:id="688" w:name="_Toc48846167"/>
      <w:bookmarkStart w:id="689" w:name="_Toc46772288"/>
      <w:bookmarkStart w:id="690" w:name="_Toc52962785"/>
      <w:bookmarkStart w:id="691" w:name="_Toc109897485"/>
      <w:r>
        <w:rPr>
          <w:rFonts w:hint="eastAsia" w:ascii="宋体" w:hAnsi="宋体" w:eastAsia="宋体" w:cs="宋体"/>
          <w:b/>
          <w:sz w:val="24"/>
        </w:rPr>
        <w:t>（三）详细评审</w:t>
      </w:r>
      <w:bookmarkEnd w:id="682"/>
      <w:bookmarkEnd w:id="683"/>
      <w:bookmarkEnd w:id="684"/>
      <w:bookmarkEnd w:id="685"/>
      <w:bookmarkEnd w:id="686"/>
      <w:bookmarkEnd w:id="687"/>
      <w:bookmarkEnd w:id="688"/>
      <w:bookmarkEnd w:id="689"/>
      <w:bookmarkEnd w:id="690"/>
      <w:bookmarkEnd w:id="691"/>
    </w:p>
    <w:tbl>
      <w:tblPr>
        <w:tblStyle w:val="88"/>
        <w:tblW w:w="99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1185"/>
        <w:gridCol w:w="1661"/>
        <w:gridCol w:w="598"/>
        <w:gridCol w:w="5843"/>
      </w:tblGrid>
      <w:tr w14:paraId="4E2D2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650" w:type="dxa"/>
            <w:noWrap w:val="0"/>
            <w:vAlign w:val="center"/>
          </w:tcPr>
          <w:p w14:paraId="25628C38">
            <w:pPr>
              <w:keepNext w:val="0"/>
              <w:keepLines w:val="0"/>
              <w:pageBreakBefore w:val="0"/>
              <w:kinsoku/>
              <w:wordWrap/>
              <w:overflowPunct/>
              <w:topLinePunct w:val="0"/>
              <w:autoSpaceDE/>
              <w:autoSpaceDN/>
              <w:bidi w:val="0"/>
              <w:snapToGrid w:val="0"/>
              <w:spacing w:line="360" w:lineRule="auto"/>
              <w:ind w:left="0" w:firstLine="0" w:firstLineChars="0"/>
              <w:jc w:val="center"/>
              <w:outlineLvl w:val="9"/>
              <w:rPr>
                <w:rFonts w:hint="eastAsia" w:ascii="宋体" w:hAnsi="宋体" w:eastAsia="宋体" w:cs="宋体"/>
                <w:caps/>
                <w:color w:val="auto"/>
                <w:sz w:val="24"/>
                <w:szCs w:val="24"/>
                <w:highlight w:val="none"/>
              </w:rPr>
            </w:pPr>
            <w:bookmarkStart w:id="692" w:name="_Toc109897486"/>
            <w:bookmarkStart w:id="693" w:name="_Toc490552765"/>
            <w:bookmarkStart w:id="694" w:name="_Toc109900423"/>
            <w:bookmarkStart w:id="695" w:name="_Toc109900004"/>
            <w:bookmarkStart w:id="696" w:name="_Toc44425309"/>
            <w:r>
              <w:rPr>
                <w:rFonts w:hint="eastAsia" w:ascii="宋体" w:hAnsi="宋体" w:eastAsia="宋体" w:cs="宋体"/>
                <w:caps/>
                <w:color w:val="auto"/>
                <w:sz w:val="24"/>
                <w:szCs w:val="24"/>
                <w:highlight w:val="none"/>
              </w:rPr>
              <w:t>序号</w:t>
            </w:r>
          </w:p>
        </w:tc>
        <w:tc>
          <w:tcPr>
            <w:tcW w:w="1185" w:type="dxa"/>
            <w:noWrap w:val="0"/>
            <w:vAlign w:val="center"/>
          </w:tcPr>
          <w:p w14:paraId="0151F15A">
            <w:pPr>
              <w:keepNext w:val="0"/>
              <w:keepLines w:val="0"/>
              <w:pageBreakBefore w:val="0"/>
              <w:kinsoku/>
              <w:wordWrap/>
              <w:overflowPunct/>
              <w:topLinePunct w:val="0"/>
              <w:autoSpaceDE/>
              <w:autoSpaceDN/>
              <w:bidi w:val="0"/>
              <w:snapToGrid w:val="0"/>
              <w:spacing w:line="360" w:lineRule="auto"/>
              <w:ind w:left="0" w:firstLine="0" w:firstLineChars="0"/>
              <w:jc w:val="center"/>
              <w:outlineLvl w:val="9"/>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评审项</w:t>
            </w:r>
          </w:p>
        </w:tc>
        <w:tc>
          <w:tcPr>
            <w:tcW w:w="1661" w:type="dxa"/>
            <w:noWrap w:val="0"/>
            <w:vAlign w:val="center"/>
          </w:tcPr>
          <w:p w14:paraId="3449F9C3">
            <w:pPr>
              <w:keepNext w:val="0"/>
              <w:keepLines w:val="0"/>
              <w:pageBreakBefore w:val="0"/>
              <w:kinsoku/>
              <w:wordWrap/>
              <w:overflowPunct/>
              <w:topLinePunct w:val="0"/>
              <w:autoSpaceDE/>
              <w:autoSpaceDN/>
              <w:bidi w:val="0"/>
              <w:snapToGrid w:val="0"/>
              <w:spacing w:line="360" w:lineRule="auto"/>
              <w:ind w:left="0" w:firstLine="0" w:firstLineChars="0"/>
              <w:jc w:val="center"/>
              <w:outlineLvl w:val="9"/>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评审内容</w:t>
            </w:r>
          </w:p>
        </w:tc>
        <w:tc>
          <w:tcPr>
            <w:tcW w:w="598" w:type="dxa"/>
            <w:noWrap w:val="0"/>
            <w:vAlign w:val="center"/>
          </w:tcPr>
          <w:p w14:paraId="204F6F79">
            <w:pPr>
              <w:keepNext w:val="0"/>
              <w:keepLines w:val="0"/>
              <w:pageBreakBefore w:val="0"/>
              <w:kinsoku/>
              <w:wordWrap/>
              <w:overflowPunct/>
              <w:topLinePunct w:val="0"/>
              <w:autoSpaceDE/>
              <w:autoSpaceDN/>
              <w:bidi w:val="0"/>
              <w:snapToGrid w:val="0"/>
              <w:spacing w:line="360" w:lineRule="auto"/>
              <w:ind w:left="0" w:firstLine="0" w:firstLineChars="0"/>
              <w:jc w:val="center"/>
              <w:outlineLvl w:val="9"/>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得分</w:t>
            </w:r>
          </w:p>
        </w:tc>
        <w:tc>
          <w:tcPr>
            <w:tcW w:w="5843" w:type="dxa"/>
            <w:noWrap w:val="0"/>
            <w:vAlign w:val="center"/>
          </w:tcPr>
          <w:p w14:paraId="437C2DAF">
            <w:pPr>
              <w:keepNext w:val="0"/>
              <w:keepLines w:val="0"/>
              <w:pageBreakBefore w:val="0"/>
              <w:kinsoku/>
              <w:wordWrap/>
              <w:overflowPunct/>
              <w:topLinePunct w:val="0"/>
              <w:autoSpaceDE/>
              <w:autoSpaceDN/>
              <w:bidi w:val="0"/>
              <w:snapToGrid w:val="0"/>
              <w:spacing w:line="360" w:lineRule="auto"/>
              <w:ind w:left="0" w:firstLine="0" w:firstLineChars="0"/>
              <w:jc w:val="center"/>
              <w:outlineLvl w:val="9"/>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评  审  标  准</w:t>
            </w:r>
          </w:p>
        </w:tc>
      </w:tr>
      <w:tr w14:paraId="575C2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650" w:type="dxa"/>
            <w:noWrap w:val="0"/>
            <w:vAlign w:val="center"/>
          </w:tcPr>
          <w:p w14:paraId="724BA034">
            <w:pPr>
              <w:keepNext w:val="0"/>
              <w:keepLines w:val="0"/>
              <w:pageBreakBefore w:val="0"/>
              <w:tabs>
                <w:tab w:val="left" w:pos="-94"/>
                <w:tab w:val="left" w:pos="1620"/>
              </w:tabs>
              <w:kinsoku/>
              <w:wordWrap/>
              <w:overflowPunct/>
              <w:topLinePunct w:val="0"/>
              <w:autoSpaceDE/>
              <w:autoSpaceDN/>
              <w:bidi w:val="0"/>
              <w:adjustRightInd w:val="0"/>
              <w:snapToGrid w:val="0"/>
              <w:spacing w:line="360" w:lineRule="auto"/>
              <w:ind w:left="0" w:firstLine="0" w:firstLineChars="0"/>
              <w:jc w:val="center"/>
              <w:textAlignment w:val="baseline"/>
              <w:outlineLvl w:val="9"/>
              <w:rPr>
                <w:rFonts w:hint="eastAsia" w:ascii="宋体" w:hAnsi="宋体" w:eastAsia="宋体" w:cs="宋体"/>
                <w:color w:val="auto"/>
                <w:sz w:val="24"/>
                <w:szCs w:val="24"/>
                <w:highlight w:val="none"/>
              </w:rPr>
            </w:pPr>
            <w:bookmarkStart w:id="697" w:name="_Toc120"/>
            <w:bookmarkStart w:id="698" w:name="_Toc15296"/>
            <w:r>
              <w:rPr>
                <w:rFonts w:hint="eastAsia" w:ascii="宋体" w:hAnsi="宋体" w:eastAsia="宋体" w:cs="宋体"/>
                <w:color w:val="auto"/>
                <w:sz w:val="24"/>
                <w:szCs w:val="24"/>
                <w:highlight w:val="none"/>
              </w:rPr>
              <w:t>1</w:t>
            </w:r>
            <w:bookmarkEnd w:id="697"/>
            <w:bookmarkEnd w:id="698"/>
          </w:p>
        </w:tc>
        <w:tc>
          <w:tcPr>
            <w:tcW w:w="1185" w:type="dxa"/>
            <w:noWrap w:val="0"/>
            <w:vAlign w:val="center"/>
          </w:tcPr>
          <w:p w14:paraId="6AD8C270">
            <w:pPr>
              <w:keepNext w:val="0"/>
              <w:keepLines w:val="0"/>
              <w:pageBreakBefore w:val="0"/>
              <w:kinsoku/>
              <w:wordWrap/>
              <w:overflowPunct/>
              <w:topLinePunct w:val="0"/>
              <w:autoSpaceDE/>
              <w:autoSpaceDN/>
              <w:bidi w:val="0"/>
              <w:snapToGrid w:val="0"/>
              <w:spacing w:line="360" w:lineRule="auto"/>
              <w:ind w:left="0" w:firstLine="0" w:firstLineChars="0"/>
              <w:jc w:val="center"/>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报价</w:t>
            </w:r>
          </w:p>
          <w:p w14:paraId="47F46A33">
            <w:pPr>
              <w:keepNext w:val="0"/>
              <w:keepLines w:val="0"/>
              <w:pageBreakBefore w:val="0"/>
              <w:kinsoku/>
              <w:wordWrap/>
              <w:overflowPunct/>
              <w:topLinePunct w:val="0"/>
              <w:autoSpaceDE/>
              <w:autoSpaceDN/>
              <w:bidi w:val="0"/>
              <w:snapToGrid w:val="0"/>
              <w:spacing w:line="360" w:lineRule="auto"/>
              <w:ind w:left="0" w:firstLine="0" w:firstLineChars="0"/>
              <w:jc w:val="center"/>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val="en-US" w:eastAsia="zh-CN"/>
              </w:rPr>
              <w:t>30</w:t>
            </w:r>
            <w:r>
              <w:rPr>
                <w:rFonts w:hint="eastAsia" w:ascii="宋体" w:hAnsi="宋体" w:eastAsia="宋体" w:cs="宋体"/>
                <w:color w:val="auto"/>
                <w:kern w:val="0"/>
                <w:sz w:val="24"/>
                <w:szCs w:val="24"/>
                <w:highlight w:val="none"/>
              </w:rPr>
              <w:t>分）</w:t>
            </w:r>
          </w:p>
        </w:tc>
        <w:tc>
          <w:tcPr>
            <w:tcW w:w="1661" w:type="dxa"/>
            <w:noWrap w:val="0"/>
            <w:vAlign w:val="center"/>
          </w:tcPr>
          <w:p w14:paraId="7B69AEA8">
            <w:pPr>
              <w:keepNext w:val="0"/>
              <w:keepLines w:val="0"/>
              <w:pageBreakBefore w:val="0"/>
              <w:widowControl/>
              <w:kinsoku/>
              <w:wordWrap/>
              <w:overflowPunct/>
              <w:topLinePunct w:val="0"/>
              <w:autoSpaceDE/>
              <w:autoSpaceDN/>
              <w:bidi w:val="0"/>
              <w:spacing w:line="360" w:lineRule="auto"/>
              <w:ind w:left="0" w:firstLine="0" w:firstLineChars="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响应报价评分标准</w:t>
            </w:r>
          </w:p>
        </w:tc>
        <w:tc>
          <w:tcPr>
            <w:tcW w:w="598" w:type="dxa"/>
            <w:noWrap w:val="0"/>
            <w:vAlign w:val="center"/>
          </w:tcPr>
          <w:p w14:paraId="63355C77">
            <w:pPr>
              <w:keepNext w:val="0"/>
              <w:keepLines w:val="0"/>
              <w:pageBreakBefore w:val="0"/>
              <w:tabs>
                <w:tab w:val="left" w:pos="-94"/>
                <w:tab w:val="left" w:pos="1620"/>
              </w:tabs>
              <w:kinsoku/>
              <w:wordWrap/>
              <w:overflowPunct/>
              <w:topLinePunct w:val="0"/>
              <w:autoSpaceDE/>
              <w:autoSpaceDN/>
              <w:bidi w:val="0"/>
              <w:adjustRightInd w:val="0"/>
              <w:snapToGrid w:val="0"/>
              <w:spacing w:line="360" w:lineRule="auto"/>
              <w:ind w:left="0" w:firstLine="0" w:firstLineChars="0"/>
              <w:jc w:val="center"/>
              <w:textAlignment w:val="baseline"/>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30</w:t>
            </w:r>
          </w:p>
        </w:tc>
        <w:tc>
          <w:tcPr>
            <w:tcW w:w="5843" w:type="dxa"/>
            <w:noWrap w:val="0"/>
            <w:vAlign w:val="center"/>
          </w:tcPr>
          <w:p w14:paraId="3F943737">
            <w:pPr>
              <w:adjustRightInd w:val="0"/>
              <w:snapToGrid w:val="0"/>
              <w:spacing w:line="360" w:lineRule="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价格评分的计算方法如下：</w:t>
            </w:r>
          </w:p>
          <w:p w14:paraId="5C471A13">
            <w:pPr>
              <w:adjustRightInd w:val="0"/>
              <w:snapToGrid w:val="0"/>
              <w:spacing w:line="360" w:lineRule="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1、满足磋商文件要求且最后磋商报价最低的报价为磋商基准价（D），其价格分为满分；</w:t>
            </w:r>
          </w:p>
          <w:p w14:paraId="5C1C8FA0">
            <w:pPr>
              <w:adjustRightInd w:val="0"/>
              <w:snapToGrid w:val="0"/>
              <w:spacing w:line="360" w:lineRule="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2、其他合格供应商的磋商报价得分按如下公式计算：磋商报价得分=（磋商基准价D/最后磋商报价V）×价格权值×100</w:t>
            </w:r>
          </w:p>
          <w:p w14:paraId="13AA1C33">
            <w:pPr>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SA"/>
              </w:rPr>
              <w:t xml:space="preserve">价格权值= </w:t>
            </w:r>
            <w:r>
              <w:rPr>
                <w:rFonts w:hint="eastAsia" w:ascii="宋体" w:hAnsi="宋体" w:cs="宋体"/>
                <w:color w:val="auto"/>
                <w:kern w:val="0"/>
                <w:sz w:val="24"/>
                <w:szCs w:val="24"/>
                <w:highlight w:val="none"/>
                <w:lang w:val="en-US" w:eastAsia="zh-CN"/>
              </w:rPr>
              <w:t>30</w:t>
            </w:r>
            <w:r>
              <w:rPr>
                <w:rFonts w:hint="eastAsia" w:ascii="宋体" w:hAnsi="宋体" w:eastAsia="宋体" w:cs="宋体"/>
                <w:color w:val="auto"/>
                <w:kern w:val="0"/>
                <w:sz w:val="24"/>
                <w:szCs w:val="24"/>
                <w:highlight w:val="none"/>
                <w:lang w:val="en-US" w:eastAsia="zh-CN" w:bidi="ar-SA"/>
              </w:rPr>
              <w:t>%</w:t>
            </w:r>
          </w:p>
        </w:tc>
      </w:tr>
      <w:tr w14:paraId="73B41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7" w:hRule="atLeast"/>
          <w:jc w:val="center"/>
        </w:trPr>
        <w:tc>
          <w:tcPr>
            <w:tcW w:w="650" w:type="dxa"/>
            <w:vMerge w:val="restart"/>
            <w:noWrap w:val="0"/>
            <w:vAlign w:val="center"/>
          </w:tcPr>
          <w:p w14:paraId="0B091ECE">
            <w:pPr>
              <w:keepNext w:val="0"/>
              <w:keepLines w:val="0"/>
              <w:pageBreakBefore w:val="0"/>
              <w:tabs>
                <w:tab w:val="left" w:pos="-94"/>
                <w:tab w:val="left" w:pos="1620"/>
              </w:tabs>
              <w:kinsoku/>
              <w:wordWrap/>
              <w:overflowPunct/>
              <w:topLinePunct w:val="0"/>
              <w:autoSpaceDE/>
              <w:autoSpaceDN/>
              <w:bidi w:val="0"/>
              <w:adjustRightInd w:val="0"/>
              <w:snapToGrid w:val="0"/>
              <w:spacing w:line="360" w:lineRule="auto"/>
              <w:ind w:left="0" w:firstLine="0" w:firstLineChars="0"/>
              <w:jc w:val="center"/>
              <w:textAlignment w:val="baseline"/>
              <w:outlineLvl w:val="9"/>
              <w:rPr>
                <w:rFonts w:hint="eastAsia" w:ascii="宋体" w:hAnsi="宋体" w:eastAsia="宋体" w:cs="宋体"/>
                <w:color w:val="auto"/>
                <w:sz w:val="24"/>
                <w:szCs w:val="24"/>
                <w:highlight w:val="none"/>
              </w:rPr>
            </w:pPr>
            <w:bookmarkStart w:id="699" w:name="_Toc22381"/>
            <w:bookmarkStart w:id="700" w:name="_Toc10089"/>
            <w:r>
              <w:rPr>
                <w:rFonts w:hint="eastAsia" w:ascii="宋体" w:hAnsi="宋体" w:eastAsia="宋体" w:cs="宋体"/>
                <w:color w:val="auto"/>
                <w:sz w:val="24"/>
                <w:szCs w:val="24"/>
                <w:highlight w:val="none"/>
              </w:rPr>
              <w:t>2</w:t>
            </w:r>
            <w:bookmarkEnd w:id="699"/>
            <w:bookmarkEnd w:id="700"/>
          </w:p>
        </w:tc>
        <w:tc>
          <w:tcPr>
            <w:tcW w:w="1185" w:type="dxa"/>
            <w:vMerge w:val="restart"/>
            <w:noWrap w:val="0"/>
            <w:vAlign w:val="center"/>
          </w:tcPr>
          <w:p w14:paraId="07EAACCE">
            <w:pPr>
              <w:keepNext w:val="0"/>
              <w:keepLines w:val="0"/>
              <w:pageBreakBefore w:val="0"/>
              <w:widowControl/>
              <w:kinsoku/>
              <w:wordWrap/>
              <w:overflowPunct/>
              <w:topLinePunct w:val="0"/>
              <w:autoSpaceDE/>
              <w:autoSpaceDN/>
              <w:bidi w:val="0"/>
              <w:spacing w:line="360" w:lineRule="auto"/>
              <w:ind w:left="0" w:firstLine="0" w:firstLineChars="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商务部分（</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c>
          <w:tcPr>
            <w:tcW w:w="1661" w:type="dxa"/>
            <w:noWrap w:val="0"/>
            <w:vAlign w:val="center"/>
          </w:tcPr>
          <w:p w14:paraId="2CB91221">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center"/>
              <w:textAlignment w:val="auto"/>
              <w:outlineLvl w:val="9"/>
              <w:rPr>
                <w:rFonts w:hint="default"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企业认证</w:t>
            </w:r>
          </w:p>
        </w:tc>
        <w:tc>
          <w:tcPr>
            <w:tcW w:w="598" w:type="dxa"/>
            <w:noWrap w:val="0"/>
            <w:vAlign w:val="center"/>
          </w:tcPr>
          <w:p w14:paraId="73535FEA">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center"/>
              <w:textAlignment w:val="auto"/>
              <w:outlineLvl w:val="9"/>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2</w:t>
            </w:r>
          </w:p>
        </w:tc>
        <w:tc>
          <w:tcPr>
            <w:tcW w:w="5843" w:type="dxa"/>
            <w:noWrap w:val="0"/>
            <w:vAlign w:val="center"/>
          </w:tcPr>
          <w:p w14:paraId="755F587C">
            <w:pPr>
              <w:numPr>
                <w:ilvl w:val="0"/>
                <w:numId w:val="10"/>
              </w:numPr>
              <w:adjustRightInd w:val="0"/>
              <w:snapToGrid w:val="0"/>
              <w:spacing w:line="360" w:lineRule="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供应商提供所投产品至少与一种国产操作系统的适配证明得</w:t>
            </w:r>
            <w:r>
              <w:rPr>
                <w:rFonts w:hint="eastAsia" w:ascii="宋体" w:hAnsi="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zh-CN" w:eastAsia="zh-CN" w:bidi="ar-SA"/>
              </w:rPr>
              <w:t>分,否则不得分。</w:t>
            </w:r>
          </w:p>
          <w:p w14:paraId="22496229">
            <w:pPr>
              <w:numPr>
                <w:ilvl w:val="0"/>
                <w:numId w:val="0"/>
              </w:numPr>
              <w:adjustRightInd w:val="0"/>
              <w:snapToGrid w:val="0"/>
              <w:spacing w:line="360" w:lineRule="auto"/>
              <w:rPr>
                <w:rFonts w:hint="eastAsia" w:ascii="宋体" w:hAnsi="宋体" w:eastAsia="宋体" w:cs="宋体"/>
                <w:color w:val="auto"/>
                <w:kern w:val="2"/>
                <w:sz w:val="24"/>
                <w:szCs w:val="24"/>
                <w:highlight w:val="none"/>
                <w:lang w:val="zh-CN" w:eastAsia="zh-CN" w:bidi="ar-SA"/>
              </w:rPr>
            </w:pPr>
            <w:r>
              <w:rPr>
                <w:rFonts w:hint="eastAsia" w:ascii="宋体" w:hAnsi="宋体" w:cs="宋体"/>
                <w:color w:val="auto"/>
                <w:kern w:val="2"/>
                <w:sz w:val="24"/>
                <w:szCs w:val="24"/>
                <w:highlight w:val="none"/>
                <w:lang w:val="en-US" w:eastAsia="zh-CN" w:bidi="ar-SA"/>
              </w:rPr>
              <w:t>注：</w:t>
            </w:r>
            <w:r>
              <w:rPr>
                <w:rFonts w:hint="eastAsia" w:ascii="宋体" w:hAnsi="宋体" w:eastAsia="宋体" w:cs="宋体"/>
                <w:color w:val="auto"/>
                <w:kern w:val="2"/>
                <w:sz w:val="24"/>
                <w:szCs w:val="24"/>
                <w:highlight w:val="none"/>
                <w:lang w:val="zh-CN" w:eastAsia="zh-CN" w:bidi="ar-SA"/>
              </w:rPr>
              <w:t>需提供适配证明材料，未提供的不得分。</w:t>
            </w:r>
          </w:p>
          <w:p w14:paraId="1AE94F73">
            <w:pPr>
              <w:adjustRightInd w:val="0"/>
              <w:snapToGrid w:val="0"/>
              <w:spacing w:line="360" w:lineRule="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2.供应商具有质量管理体系证书或信息安全管理体系证书中的任意一项，得</w:t>
            </w:r>
            <w:r>
              <w:rPr>
                <w:rFonts w:hint="eastAsia" w:ascii="宋体" w:hAnsi="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zh-CN" w:eastAsia="zh-CN" w:bidi="ar-SA"/>
              </w:rPr>
              <w:t>分，缺项不得分。</w:t>
            </w:r>
          </w:p>
          <w:p w14:paraId="0DF751CA">
            <w:pPr>
              <w:adjustRightInd w:val="0"/>
              <w:snapToGrid w:val="0"/>
              <w:spacing w:line="360" w:lineRule="auto"/>
              <w:rPr>
                <w:rFonts w:hint="eastAsia" w:ascii="宋体" w:hAnsi="宋体" w:eastAsia="宋体" w:cs="宋体"/>
                <w:color w:val="auto"/>
                <w:kern w:val="2"/>
                <w:sz w:val="24"/>
                <w:szCs w:val="24"/>
                <w:highlight w:val="none"/>
                <w:lang w:val="zh-CN" w:eastAsia="zh-CN" w:bidi="ar-SA"/>
              </w:rPr>
            </w:pPr>
            <w:r>
              <w:rPr>
                <w:rFonts w:hint="eastAsia" w:ascii="宋体" w:hAnsi="宋体" w:cs="宋体"/>
                <w:color w:val="auto"/>
                <w:kern w:val="2"/>
                <w:sz w:val="24"/>
                <w:szCs w:val="24"/>
                <w:highlight w:val="none"/>
                <w:lang w:val="en-US" w:eastAsia="zh-CN" w:bidi="ar-SA"/>
              </w:rPr>
              <w:t>注：</w:t>
            </w:r>
            <w:r>
              <w:rPr>
                <w:rFonts w:hint="eastAsia" w:ascii="宋体" w:hAnsi="宋体" w:eastAsia="宋体" w:cs="宋体"/>
                <w:color w:val="auto"/>
                <w:kern w:val="2"/>
                <w:sz w:val="24"/>
                <w:szCs w:val="24"/>
                <w:highlight w:val="none"/>
                <w:lang w:val="zh-CN" w:eastAsia="zh-CN" w:bidi="ar-SA"/>
              </w:rPr>
              <w:t>相关证书复印件并加盖供应商公章，未提供的不得分。</w:t>
            </w:r>
          </w:p>
        </w:tc>
      </w:tr>
      <w:tr w14:paraId="5A375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650" w:type="dxa"/>
            <w:vMerge w:val="continue"/>
            <w:noWrap w:val="0"/>
            <w:vAlign w:val="center"/>
          </w:tcPr>
          <w:p w14:paraId="2955955B">
            <w:pPr>
              <w:keepNext w:val="0"/>
              <w:keepLines w:val="0"/>
              <w:pageBreakBefore w:val="0"/>
              <w:tabs>
                <w:tab w:val="left" w:pos="-94"/>
                <w:tab w:val="left" w:pos="1620"/>
              </w:tabs>
              <w:kinsoku/>
              <w:wordWrap/>
              <w:overflowPunct/>
              <w:topLinePunct w:val="0"/>
              <w:autoSpaceDE/>
              <w:autoSpaceDN/>
              <w:bidi w:val="0"/>
              <w:adjustRightInd w:val="0"/>
              <w:snapToGrid w:val="0"/>
              <w:spacing w:line="360" w:lineRule="auto"/>
              <w:ind w:left="0" w:firstLine="0" w:firstLineChars="0"/>
              <w:jc w:val="center"/>
              <w:textAlignment w:val="baseline"/>
              <w:outlineLvl w:val="9"/>
              <w:rPr>
                <w:rFonts w:hint="eastAsia" w:ascii="宋体" w:hAnsi="宋体" w:eastAsia="宋体" w:cs="宋体"/>
                <w:color w:val="auto"/>
                <w:sz w:val="24"/>
                <w:szCs w:val="24"/>
                <w:highlight w:val="none"/>
              </w:rPr>
            </w:pPr>
          </w:p>
        </w:tc>
        <w:tc>
          <w:tcPr>
            <w:tcW w:w="1185" w:type="dxa"/>
            <w:vMerge w:val="continue"/>
            <w:noWrap w:val="0"/>
            <w:vAlign w:val="center"/>
          </w:tcPr>
          <w:p w14:paraId="0BE4CBBB">
            <w:pPr>
              <w:keepNext w:val="0"/>
              <w:keepLines w:val="0"/>
              <w:pageBreakBefore w:val="0"/>
              <w:widowControl/>
              <w:kinsoku/>
              <w:wordWrap/>
              <w:overflowPunct/>
              <w:topLinePunct w:val="0"/>
              <w:autoSpaceDE/>
              <w:autoSpaceDN/>
              <w:bidi w:val="0"/>
              <w:spacing w:line="360" w:lineRule="auto"/>
              <w:ind w:left="0" w:firstLine="0" w:firstLineChars="0"/>
              <w:jc w:val="center"/>
              <w:outlineLvl w:val="9"/>
              <w:rPr>
                <w:rFonts w:hint="eastAsia" w:ascii="宋体" w:hAnsi="宋体" w:eastAsia="宋体" w:cs="宋体"/>
                <w:color w:val="auto"/>
                <w:sz w:val="24"/>
                <w:szCs w:val="24"/>
                <w:highlight w:val="none"/>
              </w:rPr>
            </w:pPr>
          </w:p>
        </w:tc>
        <w:tc>
          <w:tcPr>
            <w:tcW w:w="1661" w:type="dxa"/>
            <w:noWrap w:val="0"/>
            <w:vAlign w:val="center"/>
          </w:tcPr>
          <w:p w14:paraId="3978533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类似项目经验</w:t>
            </w:r>
          </w:p>
        </w:tc>
        <w:tc>
          <w:tcPr>
            <w:tcW w:w="598" w:type="dxa"/>
            <w:noWrap w:val="0"/>
            <w:vAlign w:val="center"/>
          </w:tcPr>
          <w:p w14:paraId="279778D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4</w:t>
            </w:r>
          </w:p>
        </w:tc>
        <w:tc>
          <w:tcPr>
            <w:tcW w:w="5843" w:type="dxa"/>
            <w:noWrap w:val="0"/>
            <w:vAlign w:val="center"/>
          </w:tcPr>
          <w:p w14:paraId="69229A06">
            <w:pPr>
              <w:adjustRightInd w:val="0"/>
              <w:snapToGrid w:val="0"/>
              <w:spacing w:line="360" w:lineRule="auto"/>
              <w:rPr>
                <w:rFonts w:hint="eastAsia" w:ascii="宋体" w:hAnsi="宋体" w:eastAsia="宋体" w:cs="宋体"/>
                <w:color w:val="auto"/>
                <w:kern w:val="0"/>
                <w:sz w:val="24"/>
                <w:szCs w:val="24"/>
                <w:highlight w:val="none"/>
                <w:lang w:val="zh-CN" w:eastAsia="zh-CN" w:bidi="ar-SA"/>
              </w:rPr>
            </w:pPr>
            <w:r>
              <w:rPr>
                <w:rFonts w:hint="eastAsia" w:ascii="宋体" w:hAnsi="宋体" w:cs="宋体"/>
                <w:color w:val="auto"/>
                <w:kern w:val="0"/>
                <w:sz w:val="24"/>
                <w:szCs w:val="24"/>
                <w:highlight w:val="none"/>
                <w:lang w:val="en-US" w:eastAsia="zh-CN" w:bidi="ar-SA"/>
              </w:rPr>
              <w:t>供应商近三年（从磋商截止之日往前推36个月，</w:t>
            </w:r>
            <w:r>
              <w:rPr>
                <w:rFonts w:hint="eastAsia" w:ascii="宋体" w:hAnsi="宋体" w:eastAsia="宋体" w:cs="宋体"/>
                <w:color w:val="auto"/>
                <w:kern w:val="0"/>
                <w:sz w:val="24"/>
                <w:szCs w:val="24"/>
                <w:highlight w:val="none"/>
                <w:lang w:val="en-US" w:eastAsia="zh-CN" w:bidi="ar-SA"/>
              </w:rPr>
              <w:t>以合同协议书签订时间为准</w:t>
            </w:r>
            <w:r>
              <w:rPr>
                <w:rFonts w:hint="eastAsia" w:ascii="宋体" w:hAnsi="宋体" w:cs="宋体"/>
                <w:color w:val="auto"/>
                <w:kern w:val="0"/>
                <w:sz w:val="24"/>
                <w:szCs w:val="24"/>
                <w:highlight w:val="none"/>
                <w:lang w:val="en-US" w:eastAsia="zh-CN" w:bidi="ar-SA"/>
              </w:rPr>
              <w:t>）以来</w:t>
            </w:r>
            <w:r>
              <w:rPr>
                <w:rFonts w:hint="eastAsia" w:ascii="宋体" w:hAnsi="宋体" w:eastAsia="宋体" w:cs="宋体"/>
                <w:color w:val="auto"/>
                <w:kern w:val="0"/>
                <w:sz w:val="24"/>
                <w:szCs w:val="24"/>
                <w:highlight w:val="none"/>
                <w:lang w:val="zh-CN" w:eastAsia="zh-CN" w:bidi="ar-SA"/>
              </w:rPr>
              <w:t>承担完成过类似业绩</w:t>
            </w:r>
            <w:r>
              <w:rPr>
                <w:rFonts w:hint="eastAsia" w:ascii="宋体" w:hAnsi="宋体" w:cs="宋体"/>
                <w:color w:val="auto"/>
                <w:kern w:val="0"/>
                <w:sz w:val="24"/>
                <w:szCs w:val="24"/>
                <w:highlight w:val="none"/>
                <w:lang w:val="zh-CN" w:eastAsia="zh-CN" w:bidi="ar-SA"/>
              </w:rPr>
              <w:t>，</w:t>
            </w:r>
            <w:r>
              <w:rPr>
                <w:rFonts w:hint="eastAsia" w:ascii="宋体" w:hAnsi="宋体" w:cs="宋体"/>
                <w:color w:val="auto"/>
                <w:kern w:val="0"/>
                <w:sz w:val="24"/>
                <w:szCs w:val="24"/>
                <w:highlight w:val="none"/>
                <w:lang w:val="en-US" w:eastAsia="zh-CN" w:bidi="ar-SA"/>
              </w:rPr>
              <w:t>每有一项</w:t>
            </w:r>
            <w:r>
              <w:rPr>
                <w:rFonts w:hint="eastAsia" w:ascii="宋体" w:hAnsi="宋体" w:eastAsia="宋体" w:cs="宋体"/>
                <w:color w:val="auto"/>
                <w:kern w:val="0"/>
                <w:sz w:val="24"/>
                <w:szCs w:val="24"/>
                <w:highlight w:val="none"/>
                <w:lang w:val="zh-CN" w:eastAsia="zh-CN" w:bidi="ar-SA"/>
              </w:rPr>
              <w:t>得</w:t>
            </w:r>
            <w:r>
              <w:rPr>
                <w:rFonts w:hint="eastAsia" w:ascii="宋体" w:hAnsi="宋体" w:cs="宋体"/>
                <w:color w:val="auto"/>
                <w:sz w:val="24"/>
                <w:szCs w:val="24"/>
                <w:highlight w:val="none"/>
                <w:lang w:val="en-US" w:eastAsia="zh-CN"/>
              </w:rPr>
              <w:t>1</w:t>
            </w:r>
            <w:r>
              <w:rPr>
                <w:rFonts w:hint="eastAsia" w:ascii="宋体" w:hAnsi="宋体" w:eastAsia="宋体" w:cs="宋体"/>
                <w:color w:val="auto"/>
                <w:kern w:val="0"/>
                <w:sz w:val="24"/>
                <w:szCs w:val="24"/>
                <w:highlight w:val="none"/>
                <w:lang w:val="zh-CN" w:eastAsia="zh-CN" w:bidi="ar-SA"/>
              </w:rPr>
              <w:t>分，</w:t>
            </w:r>
            <w:r>
              <w:rPr>
                <w:rFonts w:hint="eastAsia" w:ascii="宋体" w:hAnsi="宋体" w:eastAsia="宋体" w:cs="宋体"/>
                <w:color w:val="auto"/>
                <w:kern w:val="0"/>
                <w:sz w:val="24"/>
                <w:szCs w:val="24"/>
                <w:highlight w:val="none"/>
                <w:lang w:val="en-US" w:eastAsia="zh-CN" w:bidi="ar-SA"/>
              </w:rPr>
              <w:t>本项最高</w:t>
            </w:r>
            <w:r>
              <w:rPr>
                <w:rFonts w:hint="eastAsia" w:ascii="宋体" w:hAnsi="宋体" w:eastAsia="宋体" w:cs="宋体"/>
                <w:color w:val="auto"/>
                <w:kern w:val="0"/>
                <w:sz w:val="24"/>
                <w:szCs w:val="24"/>
                <w:highlight w:val="none"/>
                <w:lang w:val="zh-CN" w:eastAsia="zh-CN" w:bidi="ar-SA"/>
              </w:rPr>
              <w:t>得</w:t>
            </w:r>
            <w:r>
              <w:rPr>
                <w:rFonts w:hint="eastAsia" w:ascii="宋体" w:hAnsi="宋体" w:cs="宋体"/>
                <w:color w:val="auto"/>
                <w:sz w:val="24"/>
                <w:szCs w:val="24"/>
                <w:highlight w:val="none"/>
                <w:lang w:val="en-US" w:eastAsia="zh-CN"/>
              </w:rPr>
              <w:t>4</w:t>
            </w:r>
            <w:r>
              <w:rPr>
                <w:rFonts w:hint="eastAsia" w:ascii="宋体" w:hAnsi="宋体" w:eastAsia="宋体" w:cs="宋体"/>
                <w:color w:val="auto"/>
                <w:kern w:val="0"/>
                <w:sz w:val="24"/>
                <w:szCs w:val="24"/>
                <w:highlight w:val="none"/>
                <w:lang w:val="zh-CN" w:eastAsia="zh-CN" w:bidi="ar-SA"/>
              </w:rPr>
              <w:t xml:space="preserve">分。 </w:t>
            </w:r>
          </w:p>
          <w:p w14:paraId="145D1CA4">
            <w:pPr>
              <w:adjustRightInd w:val="0"/>
              <w:snapToGrid w:val="0"/>
              <w:spacing w:line="360" w:lineRule="auto"/>
              <w:rPr>
                <w:rFonts w:hint="eastAsia" w:ascii="宋体" w:hAnsi="宋体" w:eastAsia="宋体" w:cs="宋体"/>
                <w:color w:val="auto"/>
                <w:kern w:val="2"/>
                <w:sz w:val="24"/>
                <w:szCs w:val="24"/>
                <w:highlight w:val="none"/>
                <w:lang w:val="zh-CN" w:eastAsia="zh-CN" w:bidi="ar-SA"/>
              </w:rPr>
            </w:pPr>
            <w:r>
              <w:rPr>
                <w:rFonts w:hint="eastAsia" w:ascii="宋体" w:hAnsi="宋体" w:cs="宋体"/>
                <w:color w:val="auto"/>
                <w:kern w:val="2"/>
                <w:sz w:val="24"/>
                <w:szCs w:val="24"/>
                <w:highlight w:val="none"/>
                <w:lang w:val="en-US" w:eastAsia="zh-CN" w:bidi="ar-SA"/>
              </w:rPr>
              <w:t>注：</w:t>
            </w:r>
            <w:r>
              <w:rPr>
                <w:rFonts w:hint="eastAsia" w:ascii="宋体" w:hAnsi="宋体" w:eastAsia="宋体" w:cs="宋体"/>
                <w:color w:val="auto"/>
                <w:kern w:val="0"/>
                <w:sz w:val="24"/>
                <w:szCs w:val="24"/>
                <w:highlight w:val="none"/>
                <w:lang w:val="zh-CN" w:eastAsia="zh-CN" w:bidi="ar-SA"/>
              </w:rPr>
              <w:t>业绩证明材料</w:t>
            </w:r>
            <w:r>
              <w:rPr>
                <w:rFonts w:hint="eastAsia" w:ascii="宋体" w:hAnsi="宋体" w:cs="宋体"/>
                <w:color w:val="auto"/>
                <w:kern w:val="0"/>
                <w:sz w:val="24"/>
                <w:szCs w:val="24"/>
                <w:highlight w:val="none"/>
                <w:lang w:val="en-US" w:eastAsia="zh-CN" w:bidi="ar-SA"/>
              </w:rPr>
              <w:t>包括</w:t>
            </w:r>
            <w:r>
              <w:rPr>
                <w:rFonts w:hint="eastAsia" w:ascii="宋体" w:hAnsi="宋体" w:eastAsia="宋体" w:cs="宋体"/>
                <w:color w:val="auto"/>
                <w:kern w:val="0"/>
                <w:sz w:val="24"/>
                <w:szCs w:val="24"/>
                <w:highlight w:val="none"/>
                <w:lang w:val="zh-CN" w:eastAsia="zh-CN" w:bidi="ar-SA"/>
              </w:rPr>
              <w:t>合同协议书（须提供包含但不限于合同名称、合同签订双方名称及落款盖章、合同内容、合同金额、签订时间等）</w:t>
            </w:r>
            <w:r>
              <w:rPr>
                <w:rFonts w:hint="eastAsia" w:ascii="宋体" w:hAnsi="宋体" w:cs="宋体"/>
                <w:color w:val="auto"/>
                <w:kern w:val="0"/>
                <w:sz w:val="24"/>
                <w:szCs w:val="24"/>
                <w:highlight w:val="none"/>
                <w:lang w:val="en-US" w:eastAsia="zh-CN" w:bidi="ar-SA"/>
              </w:rPr>
              <w:t>或中标（成交）通知书</w:t>
            </w:r>
            <w:r>
              <w:rPr>
                <w:rFonts w:hint="eastAsia" w:ascii="宋体" w:hAnsi="宋体" w:eastAsia="宋体" w:cs="宋体"/>
                <w:color w:val="auto"/>
                <w:kern w:val="0"/>
                <w:sz w:val="24"/>
                <w:szCs w:val="24"/>
                <w:highlight w:val="none"/>
                <w:lang w:val="zh-CN" w:eastAsia="zh-CN" w:bidi="ar-SA"/>
              </w:rPr>
              <w:t>。合同必须体现出服务内容或供货的具体内容（需包含实验室</w:t>
            </w:r>
            <w:r>
              <w:rPr>
                <w:rFonts w:hint="eastAsia" w:ascii="宋体" w:hAnsi="宋体" w:cs="宋体"/>
                <w:color w:val="auto"/>
                <w:kern w:val="0"/>
                <w:sz w:val="24"/>
                <w:szCs w:val="24"/>
                <w:highlight w:val="none"/>
                <w:lang w:val="en-US" w:eastAsia="zh-CN" w:bidi="ar-SA"/>
              </w:rPr>
              <w:t>安全</w:t>
            </w:r>
            <w:r>
              <w:rPr>
                <w:rFonts w:hint="eastAsia" w:ascii="宋体" w:hAnsi="宋体" w:eastAsia="宋体" w:cs="宋体"/>
                <w:color w:val="auto"/>
                <w:kern w:val="0"/>
                <w:sz w:val="24"/>
                <w:szCs w:val="24"/>
                <w:highlight w:val="none"/>
                <w:lang w:val="zh-CN" w:eastAsia="zh-CN" w:bidi="ar-SA"/>
              </w:rPr>
              <w:t>管理相关软件系统）以上资料须全部提供并加盖供应商公章，未按要求提供或未提供的不得分。</w:t>
            </w:r>
          </w:p>
        </w:tc>
      </w:tr>
      <w:tr w14:paraId="2DA29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650" w:type="dxa"/>
            <w:vMerge w:val="continue"/>
            <w:noWrap w:val="0"/>
            <w:vAlign w:val="center"/>
          </w:tcPr>
          <w:p w14:paraId="02C7C239">
            <w:pPr>
              <w:keepNext w:val="0"/>
              <w:keepLines w:val="0"/>
              <w:pageBreakBefore w:val="0"/>
              <w:tabs>
                <w:tab w:val="left" w:pos="-94"/>
                <w:tab w:val="left" w:pos="1620"/>
              </w:tabs>
              <w:kinsoku/>
              <w:wordWrap/>
              <w:overflowPunct/>
              <w:topLinePunct w:val="0"/>
              <w:autoSpaceDE/>
              <w:autoSpaceDN/>
              <w:bidi w:val="0"/>
              <w:adjustRightInd w:val="0"/>
              <w:snapToGrid w:val="0"/>
              <w:spacing w:line="360" w:lineRule="auto"/>
              <w:ind w:left="0" w:firstLine="0" w:firstLineChars="0"/>
              <w:jc w:val="left"/>
              <w:textAlignment w:val="baseline"/>
              <w:outlineLvl w:val="9"/>
              <w:rPr>
                <w:rFonts w:hint="eastAsia" w:ascii="宋体" w:hAnsi="宋体" w:eastAsia="宋体" w:cs="宋体"/>
                <w:color w:val="auto"/>
                <w:sz w:val="24"/>
                <w:szCs w:val="24"/>
                <w:highlight w:val="none"/>
              </w:rPr>
            </w:pPr>
          </w:p>
        </w:tc>
        <w:tc>
          <w:tcPr>
            <w:tcW w:w="1185" w:type="dxa"/>
            <w:vMerge w:val="continue"/>
            <w:noWrap w:val="0"/>
            <w:vAlign w:val="center"/>
          </w:tcPr>
          <w:p w14:paraId="06DA67E5">
            <w:pPr>
              <w:keepNext w:val="0"/>
              <w:keepLines w:val="0"/>
              <w:pageBreakBefore w:val="0"/>
              <w:widowControl/>
              <w:kinsoku/>
              <w:wordWrap/>
              <w:overflowPunct/>
              <w:topLinePunct w:val="0"/>
              <w:autoSpaceDE/>
              <w:autoSpaceDN/>
              <w:bidi w:val="0"/>
              <w:spacing w:line="360" w:lineRule="auto"/>
              <w:ind w:left="0" w:firstLine="0" w:firstLineChars="0"/>
              <w:jc w:val="left"/>
              <w:outlineLvl w:val="9"/>
              <w:rPr>
                <w:rFonts w:hint="eastAsia" w:ascii="宋体" w:hAnsi="宋体" w:eastAsia="宋体" w:cs="宋体"/>
                <w:color w:val="auto"/>
                <w:sz w:val="24"/>
                <w:szCs w:val="24"/>
                <w:highlight w:val="none"/>
              </w:rPr>
            </w:pPr>
          </w:p>
        </w:tc>
        <w:tc>
          <w:tcPr>
            <w:tcW w:w="1661" w:type="dxa"/>
            <w:noWrap w:val="0"/>
            <w:vAlign w:val="center"/>
          </w:tcPr>
          <w:p w14:paraId="4BCFE9EE">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center"/>
              <w:textAlignment w:val="auto"/>
              <w:outlineLvl w:val="9"/>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项目负责人</w:t>
            </w:r>
          </w:p>
        </w:tc>
        <w:tc>
          <w:tcPr>
            <w:tcW w:w="598" w:type="dxa"/>
            <w:noWrap w:val="0"/>
            <w:vAlign w:val="center"/>
          </w:tcPr>
          <w:p w14:paraId="79987FDE">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center"/>
              <w:textAlignment w:val="auto"/>
              <w:outlineLvl w:val="9"/>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4</w:t>
            </w:r>
          </w:p>
        </w:tc>
        <w:tc>
          <w:tcPr>
            <w:tcW w:w="5843" w:type="dxa"/>
            <w:noWrap w:val="0"/>
            <w:vAlign w:val="center"/>
          </w:tcPr>
          <w:p w14:paraId="5176F9B0">
            <w:pPr>
              <w:pStyle w:val="28"/>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项目负责人近三年（磋商截止之日往前推算36个月</w:t>
            </w:r>
            <w:r>
              <w:rPr>
                <w:rFonts w:hint="eastAsia" w:ascii="宋体" w:hAnsi="宋体" w:cs="宋体"/>
                <w:color w:val="auto"/>
                <w:kern w:val="0"/>
                <w:sz w:val="24"/>
                <w:szCs w:val="24"/>
                <w:highlight w:val="none"/>
                <w:lang w:val="en-US" w:eastAsia="zh-CN" w:bidi="ar-SA"/>
              </w:rPr>
              <w:t>，</w:t>
            </w:r>
            <w:r>
              <w:rPr>
                <w:rFonts w:hint="eastAsia" w:ascii="宋体" w:hAnsi="宋体" w:eastAsia="宋体" w:cs="宋体"/>
                <w:color w:val="auto"/>
                <w:kern w:val="0"/>
                <w:sz w:val="24"/>
                <w:szCs w:val="24"/>
                <w:highlight w:val="none"/>
                <w:lang w:val="en-US" w:eastAsia="zh-CN" w:bidi="ar-SA"/>
              </w:rPr>
              <w:t>以合同协议书签订时间为准</w:t>
            </w:r>
            <w:r>
              <w:rPr>
                <w:rFonts w:hint="eastAsia" w:ascii="宋体" w:hAnsi="宋体" w:cs="宋体"/>
                <w:color w:val="auto"/>
                <w:kern w:val="0"/>
                <w:sz w:val="24"/>
                <w:szCs w:val="24"/>
                <w:highlight w:val="none"/>
                <w:lang w:val="en-US" w:eastAsia="zh-CN" w:bidi="ar-SA"/>
              </w:rPr>
              <w:t>，</w:t>
            </w:r>
            <w:r>
              <w:rPr>
                <w:rFonts w:hint="eastAsia" w:ascii="宋体" w:hAnsi="宋体" w:eastAsia="宋体" w:cs="宋体"/>
                <w:color w:val="auto"/>
                <w:kern w:val="0"/>
                <w:sz w:val="24"/>
                <w:szCs w:val="24"/>
                <w:highlight w:val="none"/>
                <w:lang w:val="en-US" w:eastAsia="zh-CN" w:bidi="ar-SA"/>
              </w:rPr>
              <w:t>合同</w:t>
            </w:r>
            <w:r>
              <w:rPr>
                <w:rFonts w:hint="eastAsia" w:ascii="宋体" w:hAnsi="宋体" w:eastAsia="宋体" w:cs="宋体"/>
                <w:color w:val="auto"/>
                <w:kern w:val="2"/>
                <w:sz w:val="24"/>
                <w:szCs w:val="24"/>
                <w:highlight w:val="none"/>
                <w:lang w:val="en-US" w:eastAsia="zh-CN" w:bidi="ar-SA"/>
              </w:rPr>
              <w:t>需体现出相关人员信息（如合同无法体现，可由合同甲方单位出具相关说明材料并加盖甲方单位公章或甲方使用部门公章）</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有类似项目</w:t>
            </w:r>
            <w:r>
              <w:rPr>
                <w:rFonts w:hint="eastAsia" w:ascii="宋体" w:hAnsi="宋体" w:eastAsia="宋体" w:cs="宋体"/>
                <w:color w:val="auto"/>
                <w:kern w:val="0"/>
                <w:sz w:val="24"/>
                <w:szCs w:val="24"/>
                <w:highlight w:val="none"/>
                <w:lang w:val="zh-CN" w:eastAsia="zh-CN" w:bidi="ar-SA"/>
              </w:rPr>
              <w:t>（需包含实验室</w:t>
            </w:r>
            <w:r>
              <w:rPr>
                <w:rFonts w:hint="eastAsia" w:ascii="宋体" w:hAnsi="宋体" w:cs="宋体"/>
                <w:color w:val="auto"/>
                <w:kern w:val="0"/>
                <w:sz w:val="24"/>
                <w:szCs w:val="24"/>
                <w:highlight w:val="none"/>
                <w:lang w:val="en-US" w:eastAsia="zh-CN" w:bidi="ar-SA"/>
              </w:rPr>
              <w:t>安全</w:t>
            </w:r>
            <w:r>
              <w:rPr>
                <w:rFonts w:hint="eastAsia" w:ascii="宋体" w:hAnsi="宋体" w:eastAsia="宋体" w:cs="宋体"/>
                <w:color w:val="auto"/>
                <w:kern w:val="0"/>
                <w:sz w:val="24"/>
                <w:szCs w:val="24"/>
                <w:highlight w:val="none"/>
                <w:lang w:val="zh-CN" w:eastAsia="zh-CN" w:bidi="ar-SA"/>
              </w:rPr>
              <w:t>管理相关软件系统）</w:t>
            </w:r>
            <w:r>
              <w:rPr>
                <w:rFonts w:hint="eastAsia" w:ascii="宋体" w:hAnsi="宋体" w:eastAsia="宋体" w:cs="宋体"/>
                <w:color w:val="auto"/>
                <w:kern w:val="2"/>
                <w:sz w:val="24"/>
                <w:szCs w:val="24"/>
                <w:highlight w:val="none"/>
                <w:lang w:val="en-US" w:eastAsia="zh-CN" w:bidi="ar-SA"/>
              </w:rPr>
              <w:t>的管理经验</w:t>
            </w:r>
            <w:r>
              <w:rPr>
                <w:rFonts w:hint="eastAsia" w:ascii="宋体" w:hAnsi="宋体" w:cs="宋体"/>
                <w:color w:val="auto"/>
                <w:kern w:val="2"/>
                <w:sz w:val="24"/>
                <w:szCs w:val="24"/>
                <w:highlight w:val="none"/>
                <w:lang w:val="en-US" w:eastAsia="zh-CN" w:bidi="ar-SA"/>
              </w:rPr>
              <w:t>，每有1项得1分，本项最高得2分。</w:t>
            </w:r>
          </w:p>
          <w:p w14:paraId="72554A80">
            <w:pPr>
              <w:pStyle w:val="28"/>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具有相关项目管理证书（信息系统项目管理师证书或项目管理职业资格认证（PMP）资格证书），得</w:t>
            </w:r>
            <w:r>
              <w:rPr>
                <w:rFonts w:hint="eastAsia" w:ascii="宋体" w:hAnsi="宋体" w:cs="宋体"/>
                <w:color w:val="auto"/>
                <w:sz w:val="24"/>
                <w:szCs w:val="24"/>
                <w:highlight w:val="none"/>
                <w:lang w:val="en-US" w:eastAsia="zh-CN"/>
              </w:rPr>
              <w:t>2</w:t>
            </w:r>
            <w:r>
              <w:rPr>
                <w:rFonts w:hint="eastAsia" w:ascii="宋体" w:hAnsi="宋体" w:eastAsia="宋体" w:cs="宋体"/>
                <w:color w:val="auto"/>
                <w:kern w:val="2"/>
                <w:sz w:val="24"/>
                <w:szCs w:val="24"/>
                <w:highlight w:val="none"/>
                <w:lang w:val="en-US" w:eastAsia="zh-CN" w:bidi="ar-SA"/>
              </w:rPr>
              <w:t>分。</w:t>
            </w:r>
          </w:p>
          <w:p w14:paraId="3F30BB9E">
            <w:pPr>
              <w:pStyle w:val="2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注：</w:t>
            </w:r>
            <w:r>
              <w:rPr>
                <w:rFonts w:hint="eastAsia" w:ascii="宋体" w:hAnsi="宋体" w:eastAsia="宋体" w:cs="宋体"/>
                <w:color w:val="auto"/>
                <w:kern w:val="2"/>
                <w:sz w:val="24"/>
                <w:szCs w:val="24"/>
                <w:highlight w:val="none"/>
                <w:lang w:val="en-US" w:eastAsia="zh-CN" w:bidi="ar-SA"/>
              </w:rPr>
              <w:t>需提供相关证书复印件及</w:t>
            </w:r>
            <w:r>
              <w:rPr>
                <w:rFonts w:hint="eastAsia" w:ascii="宋体" w:hAnsi="宋体" w:eastAsia="宋体" w:cs="宋体"/>
                <w:color w:val="000000"/>
                <w:sz w:val="24"/>
                <w:szCs w:val="24"/>
                <w:lang w:val="en-US" w:eastAsia="zh-CN"/>
              </w:rPr>
              <w:t>提供</w:t>
            </w:r>
            <w:r>
              <w:rPr>
                <w:rFonts w:hint="eastAsia" w:ascii="宋体" w:hAnsi="宋体" w:cs="宋体"/>
                <w:color w:val="000000"/>
                <w:sz w:val="24"/>
                <w:szCs w:val="24"/>
                <w:lang w:val="en-US" w:eastAsia="zh-CN"/>
              </w:rPr>
              <w:t>磋商截止之日</w:t>
            </w:r>
            <w:r>
              <w:rPr>
                <w:rFonts w:hint="eastAsia" w:ascii="宋体" w:hAnsi="宋体" w:eastAsia="宋体" w:cs="宋体"/>
                <w:color w:val="000000"/>
                <w:sz w:val="24"/>
                <w:szCs w:val="24"/>
                <w:lang w:val="en-US" w:eastAsia="zh-CN"/>
              </w:rPr>
              <w:t>前6个月内任意1个月为其缴纳的社保证明</w:t>
            </w:r>
            <w:r>
              <w:rPr>
                <w:rFonts w:hint="eastAsia" w:ascii="宋体" w:hAnsi="宋体" w:eastAsia="宋体" w:cs="宋体"/>
                <w:color w:val="auto"/>
                <w:kern w:val="2"/>
                <w:sz w:val="24"/>
                <w:szCs w:val="24"/>
                <w:highlight w:val="none"/>
                <w:lang w:val="en-US" w:eastAsia="zh-CN" w:bidi="ar-SA"/>
              </w:rPr>
              <w:t>并加盖公章，未提供不得分。</w:t>
            </w:r>
          </w:p>
        </w:tc>
      </w:tr>
      <w:tr w14:paraId="64414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650" w:type="dxa"/>
            <w:vMerge w:val="restart"/>
            <w:noWrap w:val="0"/>
            <w:vAlign w:val="center"/>
          </w:tcPr>
          <w:p w14:paraId="3B388FF4">
            <w:pPr>
              <w:keepNext w:val="0"/>
              <w:keepLines w:val="0"/>
              <w:pageBreakBefore w:val="0"/>
              <w:tabs>
                <w:tab w:val="left" w:pos="-94"/>
                <w:tab w:val="left" w:pos="1620"/>
              </w:tabs>
              <w:kinsoku/>
              <w:wordWrap/>
              <w:overflowPunct/>
              <w:topLinePunct w:val="0"/>
              <w:autoSpaceDE/>
              <w:autoSpaceDN/>
              <w:bidi w:val="0"/>
              <w:adjustRightInd w:val="0"/>
              <w:snapToGrid w:val="0"/>
              <w:spacing w:line="360" w:lineRule="auto"/>
              <w:ind w:left="0" w:firstLine="0" w:firstLineChars="0"/>
              <w:jc w:val="center"/>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185" w:type="dxa"/>
            <w:vMerge w:val="restart"/>
            <w:noWrap w:val="0"/>
            <w:vAlign w:val="center"/>
          </w:tcPr>
          <w:p w14:paraId="2B77D231">
            <w:pPr>
              <w:keepNext w:val="0"/>
              <w:keepLines w:val="0"/>
              <w:pageBreakBefore w:val="0"/>
              <w:widowControl/>
              <w:kinsoku/>
              <w:wordWrap/>
              <w:overflowPunct/>
              <w:topLinePunct w:val="0"/>
              <w:autoSpaceDE/>
              <w:autoSpaceDN/>
              <w:bidi w:val="0"/>
              <w:spacing w:line="360" w:lineRule="auto"/>
              <w:ind w:left="0" w:firstLine="0" w:firstLineChars="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技术</w:t>
            </w:r>
            <w:r>
              <w:rPr>
                <w:rFonts w:hint="eastAsia" w:ascii="宋体" w:hAnsi="宋体" w:eastAsia="宋体" w:cs="宋体"/>
                <w:color w:val="auto"/>
                <w:sz w:val="24"/>
                <w:szCs w:val="24"/>
                <w:highlight w:val="none"/>
              </w:rPr>
              <w:t>部分（</w:t>
            </w:r>
            <w:r>
              <w:rPr>
                <w:rFonts w:hint="eastAsia" w:ascii="宋体" w:hAnsi="宋体" w:cs="宋体"/>
                <w:color w:val="auto"/>
                <w:sz w:val="24"/>
                <w:szCs w:val="24"/>
                <w:highlight w:val="none"/>
                <w:lang w:val="en-US" w:eastAsia="zh-CN"/>
              </w:rPr>
              <w:t>60</w:t>
            </w:r>
            <w:r>
              <w:rPr>
                <w:rFonts w:hint="eastAsia" w:ascii="宋体" w:hAnsi="宋体" w:eastAsia="宋体" w:cs="宋体"/>
                <w:color w:val="auto"/>
                <w:sz w:val="24"/>
                <w:szCs w:val="24"/>
                <w:highlight w:val="none"/>
              </w:rPr>
              <w:t>分）</w:t>
            </w:r>
          </w:p>
        </w:tc>
        <w:tc>
          <w:tcPr>
            <w:tcW w:w="1661" w:type="dxa"/>
            <w:noWrap w:val="0"/>
            <w:vAlign w:val="center"/>
          </w:tcPr>
          <w:p w14:paraId="3B16D961">
            <w:pPr>
              <w:spacing w:line="360" w:lineRule="auto"/>
              <w:jc w:val="center"/>
              <w:rPr>
                <w:rFonts w:hint="eastAsia" w:ascii="宋体" w:hAnsi="宋体" w:eastAsia="宋体" w:cs="宋体"/>
                <w:sz w:val="24"/>
                <w:szCs w:val="24"/>
                <w:highlight w:val="none"/>
                <w:lang w:val="en-US" w:eastAsia="zh-CN"/>
              </w:rPr>
            </w:pPr>
            <w:r>
              <w:rPr>
                <w:rFonts w:hint="eastAsia" w:ascii="宋体" w:hAnsi="宋体" w:cs="宋体"/>
                <w:color w:val="000000"/>
                <w:kern w:val="0"/>
                <w:sz w:val="24"/>
                <w:szCs w:val="24"/>
                <w:highlight w:val="none"/>
              </w:rPr>
              <w:t>技术</w:t>
            </w:r>
            <w:r>
              <w:rPr>
                <w:rFonts w:hint="eastAsia" w:ascii="宋体" w:hAnsi="宋体" w:cs="宋体"/>
                <w:color w:val="000000"/>
                <w:kern w:val="0"/>
                <w:sz w:val="24"/>
                <w:szCs w:val="24"/>
                <w:highlight w:val="none"/>
                <w:lang w:val="en-US" w:eastAsia="zh-CN"/>
              </w:rPr>
              <w:t>指标</w:t>
            </w:r>
          </w:p>
        </w:tc>
        <w:tc>
          <w:tcPr>
            <w:tcW w:w="598" w:type="dxa"/>
            <w:noWrap w:val="0"/>
            <w:vAlign w:val="center"/>
          </w:tcPr>
          <w:p w14:paraId="3B1E41DA">
            <w:pPr>
              <w:spacing w:line="360" w:lineRule="auto"/>
              <w:jc w:val="center"/>
              <w:rPr>
                <w:rFonts w:hint="default" w:ascii="宋体" w:hAnsi="宋体" w:eastAsia="宋体" w:cs="宋体"/>
                <w:sz w:val="24"/>
                <w:szCs w:val="24"/>
                <w:highlight w:val="none"/>
                <w:lang w:val="en-US" w:eastAsia="zh-CN"/>
              </w:rPr>
            </w:pPr>
            <w:r>
              <w:rPr>
                <w:rFonts w:hint="eastAsia" w:ascii="宋体" w:hAnsi="宋体" w:cs="宋体"/>
                <w:color w:val="000000"/>
                <w:sz w:val="24"/>
                <w:szCs w:val="24"/>
                <w:highlight w:val="none"/>
                <w:lang w:val="en-US" w:eastAsia="zh-CN"/>
              </w:rPr>
              <w:t>27</w:t>
            </w:r>
          </w:p>
        </w:tc>
        <w:tc>
          <w:tcPr>
            <w:tcW w:w="5843" w:type="dxa"/>
            <w:noWrap w:val="0"/>
            <w:vAlign w:val="top"/>
          </w:tcPr>
          <w:p w14:paraId="23752B24">
            <w:pPr>
              <w:spacing w:line="360" w:lineRule="auto"/>
              <w:jc w:val="lef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技术文件中</w:t>
            </w:r>
            <w:r>
              <w:rPr>
                <w:rFonts w:hint="eastAsia" w:ascii="宋体" w:hAnsi="宋体" w:eastAsia="宋体" w:cs="宋体"/>
                <w:sz w:val="24"/>
                <w:szCs w:val="24"/>
                <w:highlight w:val="none"/>
                <w:lang w:val="en-US" w:eastAsia="zh-CN"/>
              </w:rPr>
              <w:t>从序号（1）至序号（78）：共有18项参数标注“#”号</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每有1项不满足扣</w:t>
            </w:r>
            <w:r>
              <w:rPr>
                <w:rFonts w:hint="eastAsia" w:ascii="宋体" w:hAnsi="宋体" w:cs="宋体"/>
                <w:sz w:val="24"/>
                <w:szCs w:val="24"/>
                <w:highlight w:val="none"/>
                <w:lang w:val="en-US" w:eastAsia="zh-CN"/>
              </w:rPr>
              <w:t>1.5</w:t>
            </w:r>
            <w:r>
              <w:rPr>
                <w:rFonts w:hint="eastAsia" w:ascii="宋体" w:hAnsi="宋体" w:eastAsia="宋体" w:cs="宋体"/>
                <w:sz w:val="24"/>
                <w:szCs w:val="24"/>
                <w:highlight w:val="none"/>
                <w:lang w:val="en-US" w:eastAsia="zh-CN"/>
              </w:rPr>
              <w:t>分，扣完为止。</w:t>
            </w:r>
          </w:p>
          <w:p w14:paraId="765C0537">
            <w:pPr>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注：对于标注“#”号的参数项，</w:t>
            </w:r>
            <w:r>
              <w:rPr>
                <w:rFonts w:hint="eastAsia" w:ascii="宋体" w:hAnsi="宋体" w:eastAsia="宋体" w:cs="宋体"/>
                <w:snapToGrid w:val="0"/>
                <w:kern w:val="0"/>
                <w:sz w:val="24"/>
                <w:szCs w:val="24"/>
                <w:highlight w:val="none"/>
                <w:lang w:val="zh-CN"/>
              </w:rPr>
              <w:t>供应商须提供包含相关指标项的证明材料，证明材料可以使用生产厂家官方网站截图或产品白皮书或第三方机构检验报告或其他相关证明材料，未提供有效证明材料或证明材料中内容与所填报指标不一致的，该</w:t>
            </w:r>
            <w:r>
              <w:rPr>
                <w:rFonts w:hint="eastAsia" w:ascii="宋体" w:hAnsi="宋体" w:eastAsia="宋体" w:cs="宋体"/>
                <w:snapToGrid w:val="0"/>
                <w:kern w:val="0"/>
                <w:sz w:val="24"/>
                <w:szCs w:val="24"/>
                <w:highlight w:val="none"/>
                <w:lang w:val="en-US" w:eastAsia="zh-CN"/>
              </w:rPr>
              <w:t>参数项</w:t>
            </w:r>
            <w:r>
              <w:rPr>
                <w:rFonts w:hint="eastAsia" w:ascii="宋体" w:hAnsi="宋体" w:eastAsia="宋体" w:cs="宋体"/>
                <w:snapToGrid w:val="0"/>
                <w:kern w:val="0"/>
                <w:sz w:val="24"/>
                <w:szCs w:val="24"/>
                <w:highlight w:val="none"/>
                <w:lang w:val="zh-CN"/>
              </w:rPr>
              <w:t>按不满足处理</w:t>
            </w:r>
            <w:r>
              <w:rPr>
                <w:rFonts w:hint="eastAsia" w:ascii="宋体" w:hAnsi="宋体" w:eastAsia="宋体" w:cs="宋体"/>
                <w:sz w:val="24"/>
                <w:szCs w:val="24"/>
                <w:highlight w:val="none"/>
                <w:lang w:val="en-US" w:eastAsia="zh-CN"/>
              </w:rPr>
              <w:t>。</w:t>
            </w:r>
          </w:p>
        </w:tc>
      </w:tr>
      <w:tr w14:paraId="3C6A6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650" w:type="dxa"/>
            <w:vMerge w:val="continue"/>
            <w:noWrap w:val="0"/>
            <w:vAlign w:val="center"/>
          </w:tcPr>
          <w:p w14:paraId="6C0DDA37">
            <w:pPr>
              <w:keepNext w:val="0"/>
              <w:keepLines w:val="0"/>
              <w:pageBreakBefore w:val="0"/>
              <w:tabs>
                <w:tab w:val="left" w:pos="-94"/>
                <w:tab w:val="left" w:pos="1620"/>
              </w:tabs>
              <w:kinsoku/>
              <w:wordWrap/>
              <w:overflowPunct/>
              <w:topLinePunct w:val="0"/>
              <w:autoSpaceDE/>
              <w:autoSpaceDN/>
              <w:bidi w:val="0"/>
              <w:adjustRightInd w:val="0"/>
              <w:snapToGrid w:val="0"/>
              <w:spacing w:line="360" w:lineRule="auto"/>
              <w:ind w:left="0" w:firstLine="0" w:firstLineChars="0"/>
              <w:jc w:val="center"/>
              <w:textAlignment w:val="baseline"/>
              <w:outlineLvl w:val="9"/>
              <w:rPr>
                <w:rFonts w:hint="eastAsia" w:ascii="宋体" w:hAnsi="宋体" w:eastAsia="宋体" w:cs="宋体"/>
                <w:color w:val="auto"/>
                <w:sz w:val="24"/>
                <w:szCs w:val="24"/>
                <w:highlight w:val="none"/>
              </w:rPr>
            </w:pPr>
          </w:p>
        </w:tc>
        <w:tc>
          <w:tcPr>
            <w:tcW w:w="1185" w:type="dxa"/>
            <w:vMerge w:val="continue"/>
            <w:noWrap w:val="0"/>
            <w:vAlign w:val="center"/>
          </w:tcPr>
          <w:p w14:paraId="5CE72B78">
            <w:pPr>
              <w:keepNext w:val="0"/>
              <w:keepLines w:val="0"/>
              <w:pageBreakBefore w:val="0"/>
              <w:widowControl/>
              <w:kinsoku/>
              <w:wordWrap/>
              <w:overflowPunct/>
              <w:topLinePunct w:val="0"/>
              <w:autoSpaceDE/>
              <w:autoSpaceDN/>
              <w:bidi w:val="0"/>
              <w:spacing w:line="360" w:lineRule="auto"/>
              <w:ind w:left="0" w:firstLine="0" w:firstLineChars="0"/>
              <w:jc w:val="center"/>
              <w:outlineLvl w:val="9"/>
              <w:rPr>
                <w:rFonts w:hint="eastAsia" w:ascii="宋体" w:hAnsi="宋体" w:eastAsia="宋体" w:cs="宋体"/>
                <w:color w:val="auto"/>
                <w:sz w:val="24"/>
                <w:szCs w:val="24"/>
                <w:highlight w:val="none"/>
                <w:lang w:val="en-US" w:eastAsia="zh-CN"/>
              </w:rPr>
            </w:pPr>
          </w:p>
        </w:tc>
        <w:tc>
          <w:tcPr>
            <w:tcW w:w="1661" w:type="dxa"/>
            <w:noWrap w:val="0"/>
            <w:vAlign w:val="center"/>
          </w:tcPr>
          <w:p w14:paraId="113D3D36">
            <w:pPr>
              <w:spacing w:line="360" w:lineRule="auto"/>
              <w:jc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 w:val="24"/>
                <w:szCs w:val="24"/>
                <w:highlight w:val="none"/>
                <w:lang w:val="en-US" w:eastAsia="zh-CN"/>
              </w:rPr>
              <w:t>系统演示</w:t>
            </w:r>
          </w:p>
        </w:tc>
        <w:tc>
          <w:tcPr>
            <w:tcW w:w="598" w:type="dxa"/>
            <w:noWrap w:val="0"/>
            <w:vAlign w:val="center"/>
          </w:tcPr>
          <w:p w14:paraId="2B03EBEB">
            <w:pPr>
              <w:spacing w:line="360" w:lineRule="auto"/>
              <w:jc w:val="center"/>
              <w:rPr>
                <w:rFonts w:hint="default" w:ascii="宋体" w:hAnsi="宋体" w:eastAsia="宋体" w:cs="宋体"/>
                <w:color w:val="000000"/>
                <w:kern w:val="2"/>
                <w:sz w:val="24"/>
                <w:szCs w:val="24"/>
                <w:highlight w:val="none"/>
                <w:lang w:val="en-US" w:eastAsia="zh-CN" w:bidi="ar-SA"/>
              </w:rPr>
            </w:pPr>
            <w:r>
              <w:rPr>
                <w:rFonts w:hint="eastAsia" w:ascii="宋体" w:hAnsi="宋体" w:cs="宋体"/>
                <w:color w:val="000000"/>
                <w:sz w:val="24"/>
                <w:szCs w:val="24"/>
                <w:highlight w:val="none"/>
                <w:lang w:val="en-US" w:eastAsia="zh-CN"/>
              </w:rPr>
              <w:t>28</w:t>
            </w:r>
          </w:p>
        </w:tc>
        <w:tc>
          <w:tcPr>
            <w:tcW w:w="5843" w:type="dxa"/>
            <w:noWrap w:val="0"/>
            <w:vAlign w:val="center"/>
          </w:tcPr>
          <w:p w14:paraId="627AC622">
            <w:pPr>
              <w:spacing w:line="360" w:lineRule="auto"/>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根据本项目采购需求，供应商</w:t>
            </w:r>
            <w:r>
              <w:rPr>
                <w:rFonts w:hint="eastAsia" w:ascii="宋体" w:hAnsi="宋体" w:cs="宋体"/>
                <w:color w:val="000000"/>
                <w:sz w:val="24"/>
                <w:szCs w:val="24"/>
                <w:highlight w:val="none"/>
                <w:lang w:val="en-US" w:eastAsia="zh-CN"/>
              </w:rPr>
              <w:t>现场</w:t>
            </w:r>
            <w:r>
              <w:rPr>
                <w:rFonts w:hint="eastAsia" w:ascii="宋体" w:hAnsi="宋体" w:eastAsia="宋体" w:cs="宋体"/>
                <w:color w:val="000000"/>
                <w:sz w:val="24"/>
                <w:szCs w:val="24"/>
                <w:highlight w:val="none"/>
                <w:lang w:val="en-US" w:eastAsia="zh-CN"/>
              </w:rPr>
              <w:t>进行系统演示（</w:t>
            </w:r>
            <w:r>
              <w:rPr>
                <w:rFonts w:hint="eastAsia" w:ascii="宋体" w:hAnsi="宋体" w:cs="宋体"/>
                <w:color w:val="000000"/>
                <w:sz w:val="24"/>
                <w:szCs w:val="24"/>
                <w:highlight w:val="none"/>
                <w:lang w:val="en-US" w:eastAsia="zh-CN"/>
              </w:rPr>
              <w:t>供应商</w:t>
            </w:r>
            <w:r>
              <w:rPr>
                <w:rFonts w:hint="eastAsia" w:ascii="宋体" w:hAnsi="宋体" w:eastAsia="宋体" w:cs="宋体"/>
                <w:color w:val="000000"/>
                <w:sz w:val="24"/>
                <w:szCs w:val="24"/>
                <w:highlight w:val="none"/>
                <w:lang w:val="en-US" w:eastAsia="zh-CN"/>
              </w:rPr>
              <w:t>演示时间不得超过25分钟，</w:t>
            </w:r>
            <w:r>
              <w:rPr>
                <w:rFonts w:hint="eastAsia" w:ascii="宋体" w:hAnsi="宋体" w:cs="宋体"/>
                <w:color w:val="000000"/>
                <w:sz w:val="24"/>
                <w:szCs w:val="24"/>
                <w:highlight w:val="none"/>
                <w:lang w:val="en-US" w:eastAsia="zh-CN"/>
              </w:rPr>
              <w:t>评委质询时间不计入，</w:t>
            </w:r>
            <w:r>
              <w:rPr>
                <w:rFonts w:hint="eastAsia" w:ascii="宋体" w:hAnsi="宋体" w:eastAsia="宋体" w:cs="宋体"/>
                <w:color w:val="000000"/>
                <w:sz w:val="24"/>
                <w:szCs w:val="24"/>
                <w:highlight w:val="none"/>
                <w:lang w:val="en-US" w:eastAsia="zh-CN"/>
              </w:rPr>
              <w:t>必须使用</w:t>
            </w:r>
            <w:r>
              <w:rPr>
                <w:rFonts w:hint="eastAsia" w:ascii="宋体" w:hAnsi="宋体" w:cs="宋体"/>
                <w:color w:val="000000"/>
                <w:sz w:val="24"/>
                <w:szCs w:val="24"/>
                <w:highlight w:val="none"/>
                <w:lang w:val="en-US" w:eastAsia="zh-CN"/>
              </w:rPr>
              <w:t>具备完整功能的</w:t>
            </w:r>
            <w:r>
              <w:rPr>
                <w:rFonts w:hint="eastAsia" w:ascii="宋体" w:hAnsi="宋体" w:eastAsia="宋体" w:cs="宋体"/>
                <w:color w:val="000000"/>
                <w:sz w:val="24"/>
                <w:szCs w:val="24"/>
                <w:highlight w:val="none"/>
                <w:lang w:val="en-US" w:eastAsia="zh-CN"/>
              </w:rPr>
              <w:t>真实系统</w:t>
            </w:r>
            <w:r>
              <w:rPr>
                <w:rFonts w:hint="eastAsia" w:ascii="宋体" w:hAnsi="宋体" w:cs="宋体"/>
                <w:color w:val="000000"/>
                <w:sz w:val="24"/>
                <w:szCs w:val="24"/>
                <w:highlight w:val="none"/>
                <w:lang w:val="en-US" w:eastAsia="zh-CN"/>
              </w:rPr>
              <w:t>进行</w:t>
            </w:r>
            <w:r>
              <w:rPr>
                <w:rFonts w:hint="eastAsia" w:ascii="宋体" w:hAnsi="宋体" w:eastAsia="宋体" w:cs="宋体"/>
                <w:color w:val="000000"/>
                <w:sz w:val="24"/>
                <w:szCs w:val="24"/>
                <w:highlight w:val="none"/>
                <w:lang w:val="en-US" w:eastAsia="zh-CN"/>
              </w:rPr>
              <w:t>演示），供应商需自备演示所需的电脑、接口转换器等必要设备。评标委员会根据供应商对以下4项系统核心建设内容的演示情况进行评分：每条演示内容完整、操作流程清晰且满足采购文件技术要求得2分；演示内容基本完整、操作流程比较清晰且满足采购文件技术要求得0.5分；演示内容不完整、操作流程简陋且不满足采购文件技术要求或不提供现场演示不得分</w:t>
            </w:r>
            <w:r>
              <w:rPr>
                <w:rFonts w:hint="eastAsia" w:ascii="宋体" w:hAnsi="宋体" w:cs="宋体"/>
                <w:color w:val="000000"/>
                <w:sz w:val="24"/>
                <w:szCs w:val="24"/>
                <w:highlight w:val="none"/>
                <w:lang w:val="en-US" w:eastAsia="zh-CN"/>
              </w:rPr>
              <w:t>，本项最高得28分</w:t>
            </w:r>
            <w:r>
              <w:rPr>
                <w:rFonts w:hint="eastAsia" w:ascii="宋体" w:hAnsi="宋体" w:eastAsia="宋体" w:cs="宋体"/>
                <w:color w:val="000000"/>
                <w:sz w:val="24"/>
                <w:szCs w:val="24"/>
                <w:highlight w:val="none"/>
                <w:lang w:val="en-US" w:eastAsia="zh-CN"/>
              </w:rPr>
              <w:t>。</w:t>
            </w:r>
          </w:p>
          <w:p w14:paraId="48F28E73">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第一项：实验室安全管理平台各子系统间数据交互演示</w:t>
            </w:r>
          </w:p>
          <w:p w14:paraId="77BBE8DE">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演示在危化品全周期管理系统中，选择某个房间初始化或采购入库一瓶易制毒化学品试剂，操作完成后该库存量，实时同步到实验室危险源管理系统中，可在该房间危险源管理-化学安全-易制毒化学品分类中查看详细清单，同时可查看该房间分级分类系统认定依据、下载危险源清单(危险源大类及子类台账</w:t>
            </w:r>
            <w:r>
              <w:rPr>
                <w:rFonts w:hint="eastAsia" w:ascii="宋体" w:hAnsi="宋体" w:cs="宋体"/>
                <w:color w:val="auto"/>
                <w:sz w:val="24"/>
                <w:szCs w:val="24"/>
                <w:lang w:val="en-US" w:eastAsia="zh-CN"/>
              </w:rPr>
              <w:t>E</w:t>
            </w:r>
            <w:r>
              <w:rPr>
                <w:rFonts w:hint="eastAsia" w:ascii="宋体" w:hAnsi="宋体" w:cs="宋体"/>
                <w:color w:val="auto"/>
                <w:sz w:val="24"/>
                <w:szCs w:val="24"/>
              </w:rPr>
              <w:t>xce</w:t>
            </w:r>
            <w:r>
              <w:rPr>
                <w:rFonts w:hint="eastAsia" w:ascii="宋体" w:hAnsi="宋体" w:cs="宋体"/>
                <w:color w:val="auto"/>
                <w:sz w:val="24"/>
                <w:szCs w:val="24"/>
                <w:lang w:val="en-US" w:eastAsia="zh-CN"/>
              </w:rPr>
              <w:t>l</w:t>
            </w:r>
            <w:r>
              <w:rPr>
                <w:rFonts w:hint="eastAsia" w:ascii="宋体" w:hAnsi="宋体" w:cs="宋体"/>
                <w:color w:val="auto"/>
                <w:sz w:val="24"/>
                <w:szCs w:val="24"/>
              </w:rPr>
              <w:t>)。</w:t>
            </w:r>
          </w:p>
          <w:p w14:paraId="211CED34">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演示在特种设备管理系统中，办理一个压力容器办证审批流程，多级审核完成后数据实时同步到实验室危险源系统-机电安全-压力容器中，可以在压力容器页面查看这条数据的特种设备办证申请表，附件，审核记录信息。</w:t>
            </w:r>
          </w:p>
          <w:p w14:paraId="457C9E98">
            <w:pPr>
              <w:spacing w:line="360" w:lineRule="auto"/>
              <w:ind w:firstLine="480" w:firstLineChars="200"/>
              <w:rPr>
                <w:rFonts w:hint="eastAsia" w:ascii="宋体" w:hAnsi="宋体"/>
                <w:color w:val="auto"/>
                <w:sz w:val="24"/>
                <w:szCs w:val="24"/>
              </w:rPr>
            </w:pPr>
            <w:r>
              <w:rPr>
                <w:rFonts w:hint="eastAsia" w:ascii="宋体" w:hAnsi="宋体" w:cs="宋体"/>
                <w:color w:val="auto"/>
                <w:sz w:val="24"/>
                <w:szCs w:val="24"/>
              </w:rPr>
              <w:t>3.演示</w:t>
            </w:r>
            <w:r>
              <w:rPr>
                <w:rFonts w:hint="eastAsia" w:ascii="宋体" w:hAnsi="宋体"/>
                <w:color w:val="auto"/>
                <w:sz w:val="24"/>
                <w:szCs w:val="24"/>
              </w:rPr>
              <w:t>在危险源可视化地图上按照楼栋、实验室、房间、单位维度查询，可根据危险源、风险分级、安全分类再次筛选，查询列表和地图上同步展示查询结果，可查看每栋楼实验室房间，分级分类信息，危险源信息，化学品信息，隐患信息(近一年)，使用学院，实验中心，实验人员，资产信息。</w:t>
            </w:r>
            <w:r>
              <w:rPr>
                <w:rFonts w:hint="eastAsia" w:ascii="宋体" w:hAnsi="宋体" w:cs="宋体"/>
                <w:color w:val="auto"/>
                <w:sz w:val="24"/>
                <w:szCs w:val="24"/>
              </w:rPr>
              <w:t>可查看房间详情，详情包含房间一览表、等级认定依据，认定记录，危险源，分级分类变动趋势，安全信息牌。注：通过可视化地图可查看每栋楼的安全检查隐患信息及相关照片，点击地图上的楼栋标识可查看房间详情。</w:t>
            </w:r>
          </w:p>
          <w:p w14:paraId="3C48AFBB">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第二项：演示实验室危险源变动后安全分级分类动态判定</w:t>
            </w:r>
          </w:p>
          <w:p w14:paraId="170E00C5">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演示由现场专家随机指定或新增一间安全分类为其他类、安全分级为Ⅳ级(低风险)的房间，按照下列操作房间危险源变化：</w:t>
            </w:r>
          </w:p>
          <w:p w14:paraId="7CEEC3E1">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1.在化学安全-气瓶类添加1瓶有毒气体。</w:t>
            </w:r>
          </w:p>
          <w:p w14:paraId="38C848B7">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2.在生物安全-病原微生物类添加一条真菌，实验操作为大量活菌操作。</w:t>
            </w:r>
          </w:p>
          <w:p w14:paraId="07B7CDA0">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3.在辐射安全-射线设备类添加Ⅲ类设备。</w:t>
            </w:r>
          </w:p>
          <w:p w14:paraId="14C7CD4C">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4.在机电安全-机加工装置类添加3台危险机加工装置。</w:t>
            </w:r>
          </w:p>
          <w:p w14:paraId="4836B1F5">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每次危险源变化操作完成后可实时查看系统分级分类认定依据，分别展示安全分级表和安全风险评价表结果和分值以及综合评定后最终认定结果，在两类表中可以对应匹配项和查看对应的危险源台账清单。</w:t>
            </w:r>
          </w:p>
          <w:p w14:paraId="66FF307A">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注：每次有新增危险源和移除危险源操作后，须实时展示出对应的分级分类变化情况。</w:t>
            </w:r>
          </w:p>
          <w:p w14:paraId="4E141BD5">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 xml:space="preserve">第三项：演示实验室安全检查系统移动端功能 </w:t>
            </w:r>
          </w:p>
          <w:p w14:paraId="4A2830AD">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1.演示移动端开展学校专项检查活动时可添加未在活动内的实验室至本次检查活动，并关联其危险源数据。可以变更检查人员，权限自动同步至移动端，新加入的人员可立即参与本次检查。</w:t>
            </w:r>
          </w:p>
          <w:p w14:paraId="15B40DE8">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2.演示移动端检查实验室时可以灵活切换检查标准体系。可选择教育部标准、校级自定义标准或通用检查模板作为检查指标项；系统根据实验室危险源分类（如化学、生物、机电、辐射等）自动关联对应检查项，</w:t>
            </w:r>
            <w:r>
              <w:rPr>
                <w:rFonts w:hint="eastAsia" w:ascii="宋体" w:hAnsi="宋体" w:cs="宋体"/>
                <w:color w:val="auto"/>
                <w:sz w:val="24"/>
                <w:szCs w:val="24"/>
                <w:lang w:eastAsia="zh-CN"/>
              </w:rPr>
              <w:t>操作人员</w:t>
            </w:r>
            <w:r>
              <w:rPr>
                <w:rFonts w:hint="eastAsia" w:ascii="宋体" w:hAnsi="宋体" w:cs="宋体"/>
                <w:color w:val="auto"/>
                <w:sz w:val="24"/>
                <w:szCs w:val="24"/>
              </w:rPr>
              <w:t>可通过选择危险源类别直接获取相关检查项目并开展检查工作。每个检查项目内置常见隐患库（如设备故障、防护缺失），检查时可一键勾选高频隐患项。</w:t>
            </w:r>
          </w:p>
          <w:p w14:paraId="176577E8">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3.演示移动端三级角色开展检查工作：学校专项、学院专项、日常巡查和实验室自查；演示分级检查流程：实验室上报、学院管理员审核、学院领导审核、学校审核；演示隐患整改后相关人员现场复核流程：学院管理员复核、学院领导复核、学校复核。注：移动端操作完成后可切换到电脑端对应流程查看流程记录和状态。</w:t>
            </w:r>
          </w:p>
          <w:p w14:paraId="5FC5AFA7">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第四项：演示危险化学品全周期管理系统移动端功能</w:t>
            </w:r>
          </w:p>
          <w:p w14:paraId="6EC1A0E2">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演示移动端扫码登记台账及导出使用台账功能：扫描试剂二维码自动识别试剂信息，选择使用人并填写使用时间、使用数量、使用说明，保存使用台账后系统将自动更新库存量和已使用量。使用登记台账支持按时间段、台账类型（使用/调出/盘亏/报损）筛选使用记录，并支持在移动端直接导出使用台账进行查看。。</w:t>
            </w:r>
          </w:p>
          <w:p w14:paraId="063A8AF9">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演示移动端扫一扫功能。支持扫描存储柜二维码，展示当前存储柜各分类库存总量，分区信息，库存信息列表,可查看试剂流向轨迹、采购轨迹、MSDS。支持扫描【管控办证/备案合同】二维码，查询合同主体信息，合同包含的订单明细信息，办证/备案状态。</w:t>
            </w:r>
          </w:p>
          <w:p w14:paraId="180A9B86">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3.演示移动端上课题组提交领用申请，仓库管理员出库审批。提交申请时选择其他领用人、存储柜分区、使用方式，填写用途，选择领用试剂提交申请。选择领用试剂时可从学院库存列表中批量勾选和扫码识别添加两种方式。仓库管理员在移动端上出库审批刚提交的领用申请，操作完成后可以在库存查询中跟踪试剂的流向轨迹。</w:t>
            </w:r>
          </w:p>
          <w:p w14:paraId="3943571B">
            <w:pPr>
              <w:spacing w:line="360" w:lineRule="auto"/>
              <w:ind w:firstLine="480" w:firstLineChars="200"/>
              <w:jc w:val="left"/>
              <w:rPr>
                <w:rFonts w:hint="eastAsia" w:ascii="宋体" w:hAnsi="宋体" w:eastAsia="宋体" w:cs="宋体"/>
                <w:color w:val="000000"/>
                <w:kern w:val="2"/>
                <w:sz w:val="24"/>
                <w:szCs w:val="24"/>
                <w:highlight w:val="yellow"/>
                <w:lang w:val="en-US" w:eastAsia="zh-CN" w:bidi="ar-SA"/>
              </w:rPr>
            </w:pPr>
            <w:r>
              <w:rPr>
                <w:rFonts w:hint="eastAsia" w:ascii="宋体" w:hAnsi="宋体" w:cs="宋体"/>
                <w:color w:val="auto"/>
                <w:sz w:val="24"/>
                <w:szCs w:val="24"/>
              </w:rPr>
              <w:t>4.演示移动端上课题组负责人对课题组成员进行角色授权、账号启用/禁用操作，可授权成为课题组管理员、课题组采购员、课题组学生。院级管理员对课题组负责人账号进行启用/禁用。校级管理员针对采购人和供货商退货纠纷的订单，进行平台仲裁处理</w:t>
            </w:r>
            <w:r>
              <w:rPr>
                <w:rFonts w:hint="eastAsia" w:ascii="宋体" w:hAnsi="宋体" w:eastAsia="宋体" w:cs="宋体"/>
                <w:color w:val="000000"/>
                <w:sz w:val="24"/>
                <w:szCs w:val="24"/>
                <w:highlight w:val="none"/>
                <w:lang w:val="en-US" w:eastAsia="zh-CN"/>
              </w:rPr>
              <w:t>。</w:t>
            </w:r>
          </w:p>
        </w:tc>
      </w:tr>
      <w:tr w14:paraId="08C22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jc w:val="center"/>
        </w:trPr>
        <w:tc>
          <w:tcPr>
            <w:tcW w:w="650" w:type="dxa"/>
            <w:vMerge w:val="continue"/>
            <w:noWrap w:val="0"/>
            <w:vAlign w:val="center"/>
          </w:tcPr>
          <w:p w14:paraId="76936FB7">
            <w:pPr>
              <w:keepNext w:val="0"/>
              <w:keepLines w:val="0"/>
              <w:pageBreakBefore w:val="0"/>
              <w:tabs>
                <w:tab w:val="left" w:pos="-94"/>
                <w:tab w:val="left" w:pos="1620"/>
              </w:tabs>
              <w:kinsoku/>
              <w:wordWrap/>
              <w:overflowPunct/>
              <w:topLinePunct w:val="0"/>
              <w:autoSpaceDE/>
              <w:autoSpaceDN/>
              <w:bidi w:val="0"/>
              <w:adjustRightInd w:val="0"/>
              <w:snapToGrid w:val="0"/>
              <w:spacing w:line="360" w:lineRule="auto"/>
              <w:ind w:left="0" w:firstLine="0" w:firstLineChars="0"/>
              <w:jc w:val="left"/>
              <w:textAlignment w:val="baseline"/>
              <w:outlineLvl w:val="9"/>
              <w:rPr>
                <w:rFonts w:hint="eastAsia" w:ascii="宋体" w:hAnsi="宋体" w:eastAsia="宋体" w:cs="宋体"/>
                <w:color w:val="auto"/>
                <w:sz w:val="24"/>
                <w:szCs w:val="24"/>
                <w:highlight w:val="none"/>
              </w:rPr>
            </w:pPr>
          </w:p>
        </w:tc>
        <w:tc>
          <w:tcPr>
            <w:tcW w:w="1185" w:type="dxa"/>
            <w:vMerge w:val="continue"/>
            <w:noWrap w:val="0"/>
            <w:vAlign w:val="center"/>
          </w:tcPr>
          <w:p w14:paraId="2EFF6D6D">
            <w:pPr>
              <w:keepNext w:val="0"/>
              <w:keepLines w:val="0"/>
              <w:pageBreakBefore w:val="0"/>
              <w:widowControl/>
              <w:kinsoku/>
              <w:wordWrap/>
              <w:overflowPunct/>
              <w:topLinePunct w:val="0"/>
              <w:autoSpaceDE/>
              <w:autoSpaceDN/>
              <w:bidi w:val="0"/>
              <w:spacing w:line="360" w:lineRule="auto"/>
              <w:ind w:left="0" w:firstLine="0" w:firstLineChars="0"/>
              <w:jc w:val="left"/>
              <w:outlineLvl w:val="9"/>
              <w:rPr>
                <w:rFonts w:hint="eastAsia" w:ascii="宋体" w:hAnsi="宋体" w:eastAsia="宋体" w:cs="宋体"/>
                <w:color w:val="auto"/>
                <w:sz w:val="24"/>
                <w:szCs w:val="24"/>
                <w:highlight w:val="none"/>
              </w:rPr>
            </w:pPr>
          </w:p>
        </w:tc>
        <w:tc>
          <w:tcPr>
            <w:tcW w:w="1661" w:type="dxa"/>
            <w:noWrap w:val="0"/>
            <w:vAlign w:val="center"/>
          </w:tcPr>
          <w:p w14:paraId="1F767F25">
            <w:pPr>
              <w:keepNext w:val="0"/>
              <w:keepLines w:val="0"/>
              <w:widowControl/>
              <w:suppressLineNumbers w:val="0"/>
              <w:jc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系统集成能力</w:t>
            </w:r>
          </w:p>
        </w:tc>
        <w:tc>
          <w:tcPr>
            <w:tcW w:w="598" w:type="dxa"/>
            <w:noWrap w:val="0"/>
            <w:vAlign w:val="center"/>
          </w:tcPr>
          <w:p w14:paraId="0B46EF34">
            <w:pPr>
              <w:snapToGrid w:val="0"/>
              <w:spacing w:line="276" w:lineRule="auto"/>
              <w:jc w:val="center"/>
              <w:rPr>
                <w:rFonts w:hint="default"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5</w:t>
            </w:r>
          </w:p>
        </w:tc>
        <w:tc>
          <w:tcPr>
            <w:tcW w:w="5843" w:type="dxa"/>
            <w:noWrap w:val="0"/>
            <w:vAlign w:val="center"/>
          </w:tcPr>
          <w:p w14:paraId="38A970B3">
            <w:pPr>
              <w:spacing w:line="360" w:lineRule="auto"/>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本项目需与武汉市剧毒易制爆危险化学品全程管控系统对接。供应商提供已为</w:t>
            </w:r>
            <w:r>
              <w:rPr>
                <w:rFonts w:hint="eastAsia" w:ascii="宋体" w:hAnsi="宋体" w:cs="宋体"/>
                <w:color w:val="000000"/>
                <w:sz w:val="24"/>
                <w:szCs w:val="24"/>
                <w:highlight w:val="none"/>
                <w:lang w:val="en-US" w:eastAsia="zh-CN"/>
              </w:rPr>
              <w:t>其他用户单位</w:t>
            </w:r>
            <w:r>
              <w:rPr>
                <w:rFonts w:hint="eastAsia" w:ascii="宋体" w:hAnsi="宋体" w:eastAsia="宋体" w:cs="宋体"/>
                <w:color w:val="000000"/>
                <w:sz w:val="24"/>
                <w:szCs w:val="24"/>
                <w:highlight w:val="none"/>
                <w:lang w:val="en-US" w:eastAsia="zh-CN"/>
              </w:rPr>
              <w:t>实现对接功能的证明材料，材料包含该</w:t>
            </w:r>
            <w:r>
              <w:rPr>
                <w:rFonts w:hint="eastAsia" w:ascii="宋体" w:hAnsi="宋体" w:cs="宋体"/>
                <w:color w:val="000000"/>
                <w:sz w:val="24"/>
                <w:szCs w:val="24"/>
                <w:highlight w:val="none"/>
                <w:lang w:val="en-US" w:eastAsia="zh-CN"/>
              </w:rPr>
              <w:t>用户</w:t>
            </w:r>
            <w:r>
              <w:rPr>
                <w:rFonts w:hint="eastAsia" w:ascii="宋体" w:hAnsi="宋体" w:eastAsia="宋体" w:cs="宋体"/>
                <w:color w:val="000000"/>
                <w:sz w:val="24"/>
                <w:szCs w:val="24"/>
                <w:highlight w:val="none"/>
                <w:lang w:val="en-US" w:eastAsia="zh-CN"/>
              </w:rPr>
              <w:t>单位已与公安系统对接成功并正常运行的情况说明、用户单位证明人签名及联系电话，加盖用户单位公章或用户使用部门公章，提供得</w:t>
            </w: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lang w:val="en-US" w:eastAsia="zh-CN"/>
              </w:rPr>
              <w:t>分，否则不得分。</w:t>
            </w:r>
          </w:p>
        </w:tc>
      </w:tr>
      <w:tr w14:paraId="57AE7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3496" w:type="dxa"/>
            <w:gridSpan w:val="3"/>
            <w:noWrap w:val="0"/>
            <w:vAlign w:val="center"/>
          </w:tcPr>
          <w:p w14:paraId="08DCA582">
            <w:pPr>
              <w:keepNext w:val="0"/>
              <w:keepLines w:val="0"/>
              <w:pageBreakBefore w:val="0"/>
              <w:kinsoku/>
              <w:wordWrap/>
              <w:overflowPunct/>
              <w:topLinePunct w:val="0"/>
              <w:autoSpaceDE/>
              <w:autoSpaceDN/>
              <w:bidi w:val="0"/>
              <w:spacing w:line="360" w:lineRule="auto"/>
              <w:ind w:left="0" w:firstLine="0" w:firstLineChars="0"/>
              <w:jc w:val="center"/>
              <w:outlineLvl w:val="9"/>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合计</w:t>
            </w:r>
          </w:p>
        </w:tc>
        <w:tc>
          <w:tcPr>
            <w:tcW w:w="598" w:type="dxa"/>
            <w:noWrap w:val="0"/>
            <w:vAlign w:val="center"/>
          </w:tcPr>
          <w:p w14:paraId="2B096A32">
            <w:pPr>
              <w:keepNext w:val="0"/>
              <w:keepLines w:val="0"/>
              <w:pageBreakBefore w:val="0"/>
              <w:kinsoku/>
              <w:wordWrap/>
              <w:overflowPunct/>
              <w:topLinePunct w:val="0"/>
              <w:autoSpaceDE/>
              <w:autoSpaceDN/>
              <w:bidi w:val="0"/>
              <w:spacing w:line="360" w:lineRule="auto"/>
              <w:ind w:left="0" w:firstLine="0" w:firstLineChars="0"/>
              <w:outlineLvl w:val="9"/>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100</w:t>
            </w:r>
          </w:p>
        </w:tc>
        <w:tc>
          <w:tcPr>
            <w:tcW w:w="5843" w:type="dxa"/>
            <w:noWrap w:val="0"/>
            <w:vAlign w:val="center"/>
          </w:tcPr>
          <w:p w14:paraId="5807D168">
            <w:pPr>
              <w:keepNext w:val="0"/>
              <w:keepLines w:val="0"/>
              <w:pageBreakBefore w:val="0"/>
              <w:kinsoku/>
              <w:wordWrap/>
              <w:overflowPunct/>
              <w:topLinePunct w:val="0"/>
              <w:autoSpaceDE/>
              <w:autoSpaceDN/>
              <w:bidi w:val="0"/>
              <w:spacing w:line="360" w:lineRule="auto"/>
              <w:ind w:left="0" w:firstLine="0" w:firstLine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各</w:t>
            </w:r>
            <w:r>
              <w:rPr>
                <w:rFonts w:hint="eastAsia" w:ascii="宋体" w:hAnsi="宋体" w:cs="宋体"/>
                <w:color w:val="auto"/>
                <w:sz w:val="24"/>
                <w:szCs w:val="24"/>
                <w:lang w:val="en-US" w:eastAsia="zh-CN"/>
              </w:rPr>
              <w:t>供应商</w:t>
            </w:r>
            <w:r>
              <w:rPr>
                <w:rFonts w:hint="eastAsia" w:ascii="宋体" w:hAnsi="宋体" w:eastAsia="宋体" w:cs="宋体"/>
                <w:color w:val="auto"/>
                <w:sz w:val="24"/>
                <w:szCs w:val="24"/>
              </w:rPr>
              <w:t>最终得分的确定办法:在各评委所给分数基础上取算术平均值作为</w:t>
            </w:r>
            <w:r>
              <w:rPr>
                <w:rFonts w:hint="eastAsia" w:ascii="宋体" w:hAnsi="宋体" w:cs="宋体"/>
                <w:color w:val="auto"/>
                <w:sz w:val="24"/>
                <w:szCs w:val="24"/>
                <w:lang w:val="en-US" w:eastAsia="zh-CN"/>
              </w:rPr>
              <w:t>供应商</w:t>
            </w:r>
            <w:r>
              <w:rPr>
                <w:rFonts w:hint="eastAsia" w:ascii="宋体" w:hAnsi="宋体" w:eastAsia="宋体" w:cs="宋体"/>
                <w:color w:val="auto"/>
                <w:sz w:val="24"/>
                <w:szCs w:val="24"/>
              </w:rPr>
              <w:t>得分。各项评分精确到小数点后两位。</w:t>
            </w:r>
          </w:p>
        </w:tc>
      </w:tr>
    </w:tbl>
    <w:p w14:paraId="6FDDD102">
      <w:pPr>
        <w:keepNext/>
        <w:keepLines/>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outlineLvl w:val="1"/>
        <w:rPr>
          <w:rFonts w:hint="eastAsia" w:ascii="宋体" w:hAnsi="宋体" w:eastAsia="宋体" w:cs="宋体"/>
          <w:b w:val="0"/>
          <w:sz w:val="24"/>
          <w:szCs w:val="24"/>
        </w:rPr>
      </w:pPr>
      <w:bookmarkStart w:id="701" w:name="_Toc25843"/>
      <w:r>
        <w:rPr>
          <w:rFonts w:hint="eastAsia" w:ascii="宋体" w:hAnsi="宋体" w:eastAsia="宋体" w:cs="宋体"/>
          <w:b w:val="0"/>
          <w:sz w:val="24"/>
          <w:szCs w:val="24"/>
        </w:rPr>
        <w:t>三、编写评审报告</w:t>
      </w:r>
      <w:bookmarkEnd w:id="692"/>
      <w:bookmarkEnd w:id="693"/>
      <w:bookmarkEnd w:id="694"/>
      <w:bookmarkEnd w:id="695"/>
      <w:bookmarkEnd w:id="696"/>
      <w:bookmarkEnd w:id="701"/>
    </w:p>
    <w:p w14:paraId="1184E0B8">
      <w:pPr>
        <w:keepNext/>
        <w:keepLines/>
        <w:pageBreakBefore w:val="0"/>
        <w:widowControl w:val="0"/>
        <w:kinsoku/>
        <w:wordWrap/>
        <w:overflowPunct/>
        <w:topLinePunct w:val="0"/>
        <w:autoSpaceDE/>
        <w:autoSpaceDN/>
        <w:bidi w:val="0"/>
        <w:snapToGrid/>
        <w:spacing w:beforeAutospacing="0" w:afterAutospacing="0" w:line="360" w:lineRule="auto"/>
        <w:ind w:left="0" w:leftChars="0" w:right="0" w:rightChars="0" w:firstLine="482" w:firstLineChars="200"/>
        <w:jc w:val="left"/>
        <w:outlineLvl w:val="1"/>
        <w:rPr>
          <w:rFonts w:hint="eastAsia" w:ascii="宋体" w:hAnsi="宋体" w:eastAsia="宋体" w:cs="宋体"/>
          <w:b/>
          <w:sz w:val="24"/>
        </w:rPr>
      </w:pPr>
      <w:bookmarkStart w:id="702" w:name="_Toc51674271"/>
      <w:bookmarkStart w:id="703" w:name="_Toc52960613"/>
      <w:bookmarkStart w:id="704" w:name="_Toc46772290"/>
      <w:bookmarkStart w:id="705" w:name="_Toc52962787"/>
      <w:bookmarkStart w:id="706" w:name="_Toc29802"/>
      <w:bookmarkStart w:id="707" w:name="_Toc109897487"/>
      <w:bookmarkStart w:id="708" w:name="_Toc48688852"/>
      <w:bookmarkStart w:id="709" w:name="_Toc109900424"/>
      <w:bookmarkStart w:id="710" w:name="_Toc48846169"/>
      <w:bookmarkStart w:id="711" w:name="_Toc109900005"/>
      <w:r>
        <w:rPr>
          <w:rFonts w:hint="eastAsia" w:ascii="宋体" w:hAnsi="宋体" w:eastAsia="宋体" w:cs="宋体"/>
          <w:b/>
          <w:sz w:val="24"/>
        </w:rPr>
        <w:t>（一）评审报告的内容</w:t>
      </w:r>
      <w:bookmarkEnd w:id="702"/>
      <w:bookmarkEnd w:id="703"/>
      <w:bookmarkEnd w:id="704"/>
      <w:bookmarkEnd w:id="705"/>
      <w:bookmarkEnd w:id="706"/>
      <w:bookmarkEnd w:id="707"/>
      <w:bookmarkEnd w:id="708"/>
      <w:bookmarkEnd w:id="709"/>
      <w:bookmarkEnd w:id="710"/>
      <w:bookmarkEnd w:id="711"/>
    </w:p>
    <w:p w14:paraId="3556F6F6">
      <w:pPr>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baseline"/>
        <w:rPr>
          <w:rFonts w:hint="eastAsia" w:ascii="宋体" w:hAnsi="宋体" w:eastAsia="宋体" w:cs="宋体"/>
          <w:bCs/>
          <w:sz w:val="24"/>
        </w:rPr>
      </w:pPr>
      <w:r>
        <w:rPr>
          <w:rFonts w:hint="eastAsia" w:ascii="宋体" w:hAnsi="宋体" w:eastAsia="宋体" w:cs="宋体"/>
          <w:bCs/>
          <w:sz w:val="24"/>
        </w:rPr>
        <w:t>评审报告应当包括以下主要内容：</w:t>
      </w:r>
    </w:p>
    <w:p w14:paraId="77C90647">
      <w:pPr>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baseline"/>
        <w:rPr>
          <w:rFonts w:hint="eastAsia" w:ascii="宋体" w:hAnsi="宋体" w:eastAsia="宋体" w:cs="宋体"/>
          <w:bCs/>
          <w:sz w:val="24"/>
        </w:rPr>
      </w:pPr>
      <w:r>
        <w:rPr>
          <w:rFonts w:hint="eastAsia" w:ascii="宋体" w:hAnsi="宋体" w:eastAsia="宋体" w:cs="宋体"/>
          <w:bCs/>
          <w:sz w:val="24"/>
        </w:rPr>
        <w:t>（1）邀请供应商参加采购活动的具体方式和相关情况。</w:t>
      </w:r>
    </w:p>
    <w:p w14:paraId="04DEC607">
      <w:pPr>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baseline"/>
        <w:rPr>
          <w:rFonts w:hint="eastAsia" w:ascii="宋体" w:hAnsi="宋体" w:eastAsia="宋体" w:cs="宋体"/>
          <w:bCs/>
          <w:sz w:val="24"/>
        </w:rPr>
      </w:pPr>
      <w:r>
        <w:rPr>
          <w:rFonts w:hint="eastAsia" w:ascii="宋体" w:hAnsi="宋体" w:eastAsia="宋体" w:cs="宋体"/>
          <w:bCs/>
          <w:sz w:val="24"/>
        </w:rPr>
        <w:t>（2）响应文件开启日期和地点。</w:t>
      </w:r>
    </w:p>
    <w:p w14:paraId="3245CD1F">
      <w:pPr>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baseline"/>
        <w:rPr>
          <w:rFonts w:hint="eastAsia" w:ascii="宋体" w:hAnsi="宋体" w:eastAsia="宋体" w:cs="宋体"/>
          <w:bCs/>
          <w:sz w:val="24"/>
        </w:rPr>
      </w:pPr>
      <w:r>
        <w:rPr>
          <w:rFonts w:hint="eastAsia" w:ascii="宋体" w:hAnsi="宋体" w:eastAsia="宋体" w:cs="宋体"/>
          <w:bCs/>
          <w:sz w:val="24"/>
        </w:rPr>
        <w:t>（3）获取磋商文件的供应商名单和磋商小组成员名单。</w:t>
      </w:r>
    </w:p>
    <w:p w14:paraId="26C2A9B9">
      <w:pPr>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baseline"/>
        <w:rPr>
          <w:rFonts w:hint="eastAsia" w:ascii="宋体" w:hAnsi="宋体" w:eastAsia="宋体" w:cs="宋体"/>
          <w:bCs/>
          <w:sz w:val="24"/>
        </w:rPr>
      </w:pPr>
      <w:r>
        <w:rPr>
          <w:rFonts w:hint="eastAsia" w:ascii="宋体" w:hAnsi="宋体" w:eastAsia="宋体" w:cs="宋体"/>
          <w:bCs/>
          <w:sz w:val="24"/>
        </w:rPr>
        <w:t>（4）评审情况记录和说明，包括对供应商的资格审查情况、供应商响应文件评审情况、磋商情况、报价情况等。</w:t>
      </w:r>
    </w:p>
    <w:p w14:paraId="0B6866B2">
      <w:pPr>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baseline"/>
        <w:rPr>
          <w:rFonts w:hint="eastAsia" w:ascii="宋体" w:hAnsi="宋体" w:eastAsia="宋体" w:cs="宋体"/>
          <w:bCs/>
          <w:sz w:val="24"/>
        </w:rPr>
      </w:pPr>
      <w:r>
        <w:rPr>
          <w:rFonts w:hint="eastAsia" w:ascii="宋体" w:hAnsi="宋体" w:eastAsia="宋体" w:cs="宋体"/>
          <w:bCs/>
          <w:sz w:val="24"/>
        </w:rPr>
        <w:t>（5）提出的成交候选供应商的排序名单及理由。</w:t>
      </w:r>
    </w:p>
    <w:p w14:paraId="5ABCFBA4">
      <w:pPr>
        <w:keepNext/>
        <w:keepLines/>
        <w:pageBreakBefore w:val="0"/>
        <w:widowControl w:val="0"/>
        <w:kinsoku/>
        <w:wordWrap/>
        <w:overflowPunct/>
        <w:topLinePunct w:val="0"/>
        <w:autoSpaceDE/>
        <w:autoSpaceDN/>
        <w:bidi w:val="0"/>
        <w:snapToGrid/>
        <w:spacing w:beforeAutospacing="0" w:afterAutospacing="0" w:line="360" w:lineRule="auto"/>
        <w:ind w:left="0" w:leftChars="0" w:right="0" w:rightChars="0" w:firstLine="482" w:firstLineChars="200"/>
        <w:jc w:val="left"/>
        <w:outlineLvl w:val="1"/>
        <w:rPr>
          <w:rFonts w:hint="eastAsia" w:ascii="宋体" w:hAnsi="宋体" w:eastAsia="宋体" w:cs="宋体"/>
          <w:b/>
          <w:sz w:val="24"/>
        </w:rPr>
      </w:pPr>
      <w:bookmarkStart w:id="712" w:name="_Toc48846170"/>
      <w:bookmarkStart w:id="713" w:name="_Toc48688853"/>
      <w:bookmarkStart w:id="714" w:name="_Toc109900006"/>
      <w:bookmarkStart w:id="715" w:name="_Toc52960614"/>
      <w:bookmarkStart w:id="716" w:name="_Toc46772291"/>
      <w:bookmarkStart w:id="717" w:name="_Toc4418"/>
      <w:bookmarkStart w:id="718" w:name="_Toc52962788"/>
      <w:bookmarkStart w:id="719" w:name="_Toc109900425"/>
      <w:bookmarkStart w:id="720" w:name="_Toc109897488"/>
      <w:bookmarkStart w:id="721" w:name="_Toc51674272"/>
      <w:r>
        <w:rPr>
          <w:rFonts w:hint="eastAsia" w:ascii="宋体" w:hAnsi="宋体" w:eastAsia="宋体" w:cs="宋体"/>
          <w:b/>
          <w:sz w:val="24"/>
        </w:rPr>
        <w:t>（二）评审报告的签署</w:t>
      </w:r>
      <w:bookmarkEnd w:id="712"/>
      <w:bookmarkEnd w:id="713"/>
      <w:bookmarkEnd w:id="714"/>
      <w:bookmarkEnd w:id="715"/>
      <w:bookmarkEnd w:id="716"/>
      <w:bookmarkEnd w:id="717"/>
      <w:bookmarkEnd w:id="718"/>
      <w:bookmarkEnd w:id="719"/>
      <w:bookmarkEnd w:id="720"/>
      <w:bookmarkEnd w:id="721"/>
    </w:p>
    <w:p w14:paraId="3CB3A7FE">
      <w:pPr>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baseline"/>
        <w:rPr>
          <w:rFonts w:hint="eastAsia" w:ascii="宋体" w:hAnsi="宋体" w:eastAsia="宋体" w:cs="宋体"/>
          <w:bCs/>
          <w:sz w:val="24"/>
        </w:rPr>
      </w:pPr>
      <w:r>
        <w:rPr>
          <w:rFonts w:hint="eastAsia" w:ascii="宋体" w:hAnsi="宋体" w:eastAsia="宋体" w:cs="宋体"/>
          <w:bCs/>
          <w:sz w:val="24"/>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231ED75B">
      <w:pPr>
        <w:adjustRightInd w:val="0"/>
        <w:snapToGrid/>
        <w:spacing w:beforeAutospacing="0" w:afterAutospacing="0" w:line="560" w:lineRule="exact"/>
        <w:ind w:left="0" w:leftChars="0" w:right="0" w:rightChars="0" w:firstLine="482" w:firstLineChars="0"/>
        <w:jc w:val="left"/>
        <w:textAlignment w:val="baseline"/>
        <w:rPr>
          <w:rFonts w:hint="eastAsia" w:ascii="宋体" w:hAnsi="宋体" w:eastAsia="宋体" w:cs="宋体"/>
          <w:bCs/>
          <w:sz w:val="24"/>
        </w:rPr>
        <w:sectPr>
          <w:headerReference r:id="rId11" w:type="first"/>
          <w:headerReference r:id="rId9" w:type="default"/>
          <w:footerReference r:id="rId12" w:type="default"/>
          <w:headerReference r:id="rId10" w:type="even"/>
          <w:footerReference r:id="rId13" w:type="even"/>
          <w:type w:val="nextColumn"/>
          <w:pgSz w:w="11907" w:h="16840"/>
          <w:pgMar w:top="1440" w:right="1797" w:bottom="1440" w:left="1797" w:header="907" w:footer="907" w:gutter="0"/>
          <w:pgNumType w:fmt="decimal"/>
          <w:cols w:space="720" w:num="1"/>
          <w:docGrid w:linePitch="312" w:charSpace="0"/>
        </w:sectPr>
      </w:pPr>
    </w:p>
    <w:bookmarkEnd w:id="621"/>
    <w:bookmarkEnd w:id="622"/>
    <w:bookmarkEnd w:id="623"/>
    <w:bookmarkEnd w:id="653"/>
    <w:p w14:paraId="2F265A9C">
      <w:pPr>
        <w:pStyle w:val="3"/>
        <w:snapToGrid/>
        <w:spacing w:before="200" w:beforeAutospacing="0" w:after="100" w:afterAutospacing="0" w:line="240" w:lineRule="auto"/>
        <w:ind w:left="0" w:leftChars="0" w:right="0" w:rightChars="0" w:firstLine="0" w:firstLineChars="0"/>
        <w:jc w:val="center"/>
        <w:outlineLvl w:val="0"/>
        <w:rPr>
          <w:rFonts w:hint="eastAsia" w:ascii="宋体" w:hAnsi="宋体" w:eastAsia="宋体" w:cs="宋体"/>
          <w:b w:val="0"/>
          <w:sz w:val="28"/>
          <w:szCs w:val="28"/>
        </w:rPr>
      </w:pPr>
      <w:bookmarkStart w:id="722" w:name="_Toc109900007"/>
      <w:bookmarkStart w:id="723" w:name="_Toc109897489"/>
      <w:bookmarkStart w:id="724" w:name="_Toc24108"/>
      <w:bookmarkStart w:id="725" w:name="_Toc109900426"/>
      <w:bookmarkStart w:id="726" w:name="_Hlk89853661"/>
      <w:r>
        <w:rPr>
          <w:rFonts w:hint="eastAsia" w:ascii="宋体" w:hAnsi="宋体" w:eastAsia="宋体" w:cs="宋体"/>
          <w:b w:val="0"/>
          <w:sz w:val="28"/>
          <w:szCs w:val="28"/>
        </w:rPr>
        <w:t>第六章 响应文件的格式</w:t>
      </w:r>
      <w:bookmarkEnd w:id="722"/>
      <w:bookmarkEnd w:id="723"/>
      <w:bookmarkEnd w:id="724"/>
      <w:bookmarkEnd w:id="725"/>
      <w:bookmarkStart w:id="727" w:name="_Toc68574771"/>
    </w:p>
    <w:p w14:paraId="7EE407F7">
      <w:pPr>
        <w:snapToGrid/>
        <w:spacing w:beforeAutospacing="0" w:afterAutospacing="0" w:line="560" w:lineRule="exact"/>
        <w:ind w:left="0" w:leftChars="0" w:right="0" w:rightChars="0" w:firstLine="482" w:firstLineChars="0"/>
        <w:jc w:val="center"/>
        <w:rPr>
          <w:rFonts w:hint="eastAsia" w:ascii="宋体" w:hAnsi="宋体" w:eastAsia="宋体" w:cs="宋体"/>
          <w:sz w:val="24"/>
          <w:lang w:val="zh-CN"/>
        </w:rPr>
      </w:pPr>
      <w:bookmarkStart w:id="728" w:name="_Toc5751"/>
      <w:bookmarkStart w:id="729" w:name="_Toc23858"/>
    </w:p>
    <w:p w14:paraId="7E2C054E">
      <w:pPr>
        <w:snapToGrid/>
        <w:spacing w:beforeAutospacing="0" w:afterAutospacing="0" w:line="560" w:lineRule="exact"/>
        <w:ind w:left="0" w:leftChars="0" w:right="0" w:rightChars="0" w:firstLine="482" w:firstLineChars="0"/>
        <w:jc w:val="center"/>
        <w:rPr>
          <w:rFonts w:hint="eastAsia" w:ascii="宋体" w:hAnsi="宋体" w:eastAsia="宋体" w:cs="宋体"/>
          <w:sz w:val="44"/>
          <w:szCs w:val="32"/>
          <w:lang w:val="zh-CN"/>
        </w:rPr>
      </w:pPr>
      <w:r>
        <w:rPr>
          <w:rFonts w:hint="eastAsia" w:ascii="宋体" w:hAnsi="宋体" w:eastAsia="宋体" w:cs="宋体"/>
          <w:sz w:val="44"/>
          <w:szCs w:val="32"/>
          <w:lang w:val="zh-CN"/>
        </w:rPr>
        <w:t>封面：</w:t>
      </w:r>
    </w:p>
    <w:p w14:paraId="2D2DFD07">
      <w:pPr>
        <w:tabs>
          <w:tab w:val="left" w:pos="1260"/>
        </w:tabs>
        <w:snapToGrid/>
        <w:spacing w:beforeAutospacing="0" w:afterAutospacing="0" w:line="560" w:lineRule="exact"/>
        <w:ind w:left="0" w:leftChars="0" w:right="0" w:rightChars="0" w:firstLine="482" w:firstLineChars="0"/>
        <w:jc w:val="center"/>
        <w:rPr>
          <w:rFonts w:hint="eastAsia" w:ascii="宋体" w:hAnsi="宋体" w:eastAsia="宋体" w:cs="宋体"/>
          <w:b/>
          <w:bCs/>
          <w:spacing w:val="100"/>
          <w:sz w:val="44"/>
          <w:szCs w:val="144"/>
        </w:rPr>
      </w:pPr>
    </w:p>
    <w:p w14:paraId="43AC2108">
      <w:pPr>
        <w:tabs>
          <w:tab w:val="left" w:pos="1260"/>
        </w:tabs>
        <w:snapToGrid/>
        <w:spacing w:beforeAutospacing="0" w:afterAutospacing="0" w:line="560" w:lineRule="exact"/>
        <w:ind w:left="0" w:leftChars="0" w:right="0" w:rightChars="0" w:firstLine="482" w:firstLineChars="0"/>
        <w:jc w:val="center"/>
        <w:rPr>
          <w:rFonts w:hint="eastAsia" w:ascii="宋体" w:hAnsi="宋体" w:eastAsia="宋体" w:cs="宋体"/>
          <w:b/>
          <w:bCs/>
          <w:spacing w:val="100"/>
          <w:sz w:val="44"/>
          <w:szCs w:val="144"/>
        </w:rPr>
      </w:pPr>
      <w:r>
        <w:rPr>
          <w:rFonts w:hint="eastAsia" w:ascii="宋体" w:hAnsi="宋体" w:eastAsia="宋体" w:cs="宋体"/>
          <w:b/>
          <w:bCs/>
          <w:spacing w:val="100"/>
          <w:sz w:val="44"/>
          <w:szCs w:val="144"/>
        </w:rPr>
        <w:t>采购人名称项目</w:t>
      </w:r>
    </w:p>
    <w:p w14:paraId="7E339384">
      <w:pPr>
        <w:autoSpaceDE w:val="0"/>
        <w:autoSpaceDN w:val="0"/>
        <w:adjustRightInd w:val="0"/>
        <w:snapToGrid/>
        <w:spacing w:beforeAutospacing="0" w:afterAutospacing="0" w:line="560" w:lineRule="exact"/>
        <w:ind w:left="0" w:leftChars="0" w:right="0" w:rightChars="0" w:firstLine="482" w:firstLineChars="0"/>
        <w:jc w:val="center"/>
        <w:rPr>
          <w:rFonts w:hint="eastAsia" w:ascii="宋体" w:hAnsi="宋体" w:eastAsia="宋体" w:cs="宋体"/>
          <w:sz w:val="44"/>
          <w:szCs w:val="32"/>
        </w:rPr>
      </w:pPr>
    </w:p>
    <w:p w14:paraId="62BF1045">
      <w:pPr>
        <w:autoSpaceDE w:val="0"/>
        <w:autoSpaceDN w:val="0"/>
        <w:adjustRightInd w:val="0"/>
        <w:snapToGrid/>
        <w:spacing w:beforeAutospacing="0" w:afterAutospacing="0" w:line="560" w:lineRule="exact"/>
        <w:ind w:left="0" w:leftChars="0" w:right="0" w:rightChars="0" w:firstLine="482" w:firstLineChars="0"/>
        <w:jc w:val="center"/>
        <w:rPr>
          <w:rFonts w:hint="eastAsia" w:ascii="宋体" w:hAnsi="宋体" w:eastAsia="宋体" w:cs="宋体"/>
          <w:sz w:val="44"/>
          <w:szCs w:val="32"/>
        </w:rPr>
      </w:pPr>
    </w:p>
    <w:p w14:paraId="2816370D">
      <w:pPr>
        <w:autoSpaceDE w:val="0"/>
        <w:autoSpaceDN w:val="0"/>
        <w:adjustRightInd w:val="0"/>
        <w:snapToGrid/>
        <w:spacing w:beforeAutospacing="0" w:afterAutospacing="0" w:line="560" w:lineRule="exact"/>
        <w:ind w:left="0" w:leftChars="0" w:right="0" w:rightChars="0" w:firstLine="482" w:firstLineChars="0"/>
        <w:jc w:val="center"/>
        <w:rPr>
          <w:rFonts w:hint="eastAsia" w:ascii="宋体" w:hAnsi="宋体" w:eastAsia="宋体" w:cs="宋体"/>
          <w:sz w:val="44"/>
          <w:szCs w:val="32"/>
        </w:rPr>
      </w:pPr>
    </w:p>
    <w:p w14:paraId="10B71802">
      <w:pPr>
        <w:autoSpaceDE w:val="0"/>
        <w:autoSpaceDN w:val="0"/>
        <w:adjustRightInd w:val="0"/>
        <w:snapToGrid/>
        <w:spacing w:beforeAutospacing="0" w:afterAutospacing="0" w:line="560" w:lineRule="exact"/>
        <w:ind w:left="0" w:leftChars="0" w:right="0" w:rightChars="0" w:firstLine="482" w:firstLineChars="0"/>
        <w:jc w:val="center"/>
        <w:rPr>
          <w:rFonts w:hint="eastAsia" w:ascii="宋体" w:hAnsi="宋体" w:eastAsia="宋体" w:cs="宋体"/>
          <w:b/>
          <w:sz w:val="44"/>
          <w:szCs w:val="200"/>
        </w:rPr>
      </w:pPr>
      <w:r>
        <w:rPr>
          <w:rFonts w:hint="eastAsia" w:ascii="宋体" w:hAnsi="宋体" w:eastAsia="宋体" w:cs="宋体"/>
          <w:b/>
          <w:sz w:val="44"/>
          <w:szCs w:val="200"/>
        </w:rPr>
        <w:t>响 应 文 件</w:t>
      </w:r>
    </w:p>
    <w:p w14:paraId="2DDB7D8F">
      <w:pPr>
        <w:autoSpaceDE w:val="0"/>
        <w:autoSpaceDN w:val="0"/>
        <w:adjustRightInd w:val="0"/>
        <w:snapToGrid/>
        <w:spacing w:beforeAutospacing="0" w:afterAutospacing="0" w:line="560" w:lineRule="exact"/>
        <w:ind w:left="0" w:leftChars="0" w:right="0" w:rightChars="0" w:firstLine="482" w:firstLineChars="0"/>
        <w:jc w:val="center"/>
        <w:rPr>
          <w:rFonts w:hint="eastAsia" w:ascii="宋体" w:hAnsi="宋体" w:eastAsia="宋体" w:cs="宋体"/>
          <w:b/>
          <w:bCs/>
          <w:sz w:val="44"/>
          <w:szCs w:val="40"/>
        </w:rPr>
      </w:pPr>
    </w:p>
    <w:p w14:paraId="1C1BB594">
      <w:pPr>
        <w:autoSpaceDE w:val="0"/>
        <w:autoSpaceDN w:val="0"/>
        <w:adjustRightInd w:val="0"/>
        <w:snapToGrid/>
        <w:spacing w:beforeAutospacing="0" w:afterAutospacing="0" w:line="560" w:lineRule="exact"/>
        <w:ind w:left="0" w:leftChars="0" w:right="0" w:rightChars="0" w:firstLine="482" w:firstLineChars="0"/>
        <w:jc w:val="center"/>
        <w:rPr>
          <w:rFonts w:hint="eastAsia" w:ascii="宋体" w:hAnsi="宋体" w:eastAsia="宋体" w:cs="宋体"/>
          <w:b/>
          <w:bCs/>
          <w:sz w:val="44"/>
          <w:szCs w:val="40"/>
        </w:rPr>
      </w:pPr>
      <w:r>
        <w:rPr>
          <w:rFonts w:hint="eastAsia" w:ascii="宋体" w:hAnsi="宋体" w:eastAsia="宋体" w:cs="宋体"/>
          <w:b/>
          <w:bCs/>
          <w:sz w:val="44"/>
          <w:szCs w:val="40"/>
        </w:rPr>
        <w:t>（正本/副本）</w:t>
      </w:r>
    </w:p>
    <w:p w14:paraId="0C850B62">
      <w:pPr>
        <w:autoSpaceDE w:val="0"/>
        <w:autoSpaceDN w:val="0"/>
        <w:adjustRightInd w:val="0"/>
        <w:snapToGrid/>
        <w:spacing w:beforeAutospacing="0" w:afterAutospacing="0" w:line="560" w:lineRule="exact"/>
        <w:ind w:left="0" w:leftChars="0" w:right="0" w:rightChars="0" w:firstLine="482" w:firstLineChars="0"/>
        <w:jc w:val="center"/>
        <w:rPr>
          <w:rFonts w:hint="eastAsia" w:ascii="宋体" w:hAnsi="宋体" w:eastAsia="宋体" w:cs="宋体"/>
          <w:sz w:val="44"/>
          <w:szCs w:val="36"/>
        </w:rPr>
      </w:pPr>
    </w:p>
    <w:p w14:paraId="227F1BE4">
      <w:pPr>
        <w:autoSpaceDE w:val="0"/>
        <w:autoSpaceDN w:val="0"/>
        <w:adjustRightInd w:val="0"/>
        <w:snapToGrid/>
        <w:spacing w:beforeAutospacing="0" w:afterAutospacing="0" w:line="560" w:lineRule="exact"/>
        <w:ind w:left="0" w:leftChars="0" w:right="0" w:rightChars="0" w:firstLine="482" w:firstLineChars="0"/>
        <w:jc w:val="center"/>
        <w:rPr>
          <w:rFonts w:hint="eastAsia" w:ascii="宋体" w:hAnsi="宋体" w:eastAsia="宋体" w:cs="宋体"/>
          <w:sz w:val="44"/>
          <w:szCs w:val="36"/>
        </w:rPr>
      </w:pPr>
    </w:p>
    <w:p w14:paraId="3325ACE8">
      <w:pPr>
        <w:autoSpaceDE w:val="0"/>
        <w:autoSpaceDN w:val="0"/>
        <w:adjustRightInd w:val="0"/>
        <w:snapToGrid/>
        <w:spacing w:beforeAutospacing="0" w:afterAutospacing="0" w:line="560" w:lineRule="exact"/>
        <w:ind w:left="0" w:leftChars="0" w:right="0" w:rightChars="0" w:firstLine="482" w:firstLineChars="0"/>
        <w:jc w:val="center"/>
        <w:rPr>
          <w:rFonts w:hint="eastAsia" w:ascii="宋体" w:hAnsi="宋体" w:eastAsia="宋体" w:cs="宋体"/>
          <w:sz w:val="44"/>
          <w:szCs w:val="36"/>
        </w:rPr>
      </w:pPr>
    </w:p>
    <w:p w14:paraId="238D4837">
      <w:pPr>
        <w:autoSpaceDE w:val="0"/>
        <w:autoSpaceDN w:val="0"/>
        <w:adjustRightInd w:val="0"/>
        <w:snapToGrid/>
        <w:spacing w:beforeAutospacing="0" w:afterAutospacing="0" w:line="560" w:lineRule="exact"/>
        <w:ind w:left="0" w:leftChars="0" w:right="0" w:rightChars="0" w:firstLine="482" w:firstLineChars="0"/>
        <w:jc w:val="center"/>
        <w:rPr>
          <w:rFonts w:hint="eastAsia" w:ascii="宋体" w:hAnsi="宋体" w:eastAsia="宋体" w:cs="宋体"/>
          <w:sz w:val="44"/>
          <w:szCs w:val="36"/>
        </w:rPr>
      </w:pPr>
    </w:p>
    <w:p w14:paraId="6FD605C9">
      <w:pPr>
        <w:autoSpaceDE w:val="0"/>
        <w:autoSpaceDN w:val="0"/>
        <w:adjustRightInd w:val="0"/>
        <w:snapToGrid/>
        <w:spacing w:beforeAutospacing="0" w:afterAutospacing="0" w:line="560" w:lineRule="exact"/>
        <w:ind w:left="0" w:leftChars="0" w:right="0" w:rightChars="0" w:firstLine="482" w:firstLineChars="0"/>
        <w:jc w:val="center"/>
        <w:rPr>
          <w:rFonts w:hint="eastAsia" w:ascii="宋体" w:hAnsi="宋体" w:eastAsia="宋体" w:cs="宋体"/>
          <w:b/>
          <w:bCs/>
          <w:sz w:val="44"/>
          <w:szCs w:val="48"/>
          <w:u w:val="single"/>
        </w:rPr>
      </w:pPr>
      <w:r>
        <w:rPr>
          <w:rFonts w:hint="eastAsia" w:ascii="宋体" w:hAnsi="宋体" w:eastAsia="宋体" w:cs="宋体"/>
          <w:b/>
          <w:bCs/>
          <w:sz w:val="44"/>
          <w:szCs w:val="48"/>
        </w:rPr>
        <w:t>项目编号：</w:t>
      </w:r>
    </w:p>
    <w:p w14:paraId="0CE62AB5">
      <w:pPr>
        <w:autoSpaceDE w:val="0"/>
        <w:autoSpaceDN w:val="0"/>
        <w:adjustRightInd w:val="0"/>
        <w:snapToGrid/>
        <w:spacing w:beforeAutospacing="0" w:afterAutospacing="0" w:line="560" w:lineRule="exact"/>
        <w:ind w:left="0" w:leftChars="0" w:right="0" w:rightChars="0" w:firstLine="482" w:firstLineChars="0"/>
        <w:jc w:val="center"/>
        <w:rPr>
          <w:rFonts w:hint="eastAsia" w:ascii="宋体" w:hAnsi="宋体" w:eastAsia="宋体" w:cs="宋体"/>
          <w:b/>
          <w:bCs/>
          <w:sz w:val="44"/>
          <w:szCs w:val="48"/>
          <w:u w:val="single"/>
        </w:rPr>
      </w:pPr>
      <w:r>
        <w:rPr>
          <w:rFonts w:hint="eastAsia" w:ascii="宋体" w:hAnsi="宋体" w:eastAsia="宋体" w:cs="宋体"/>
          <w:b/>
          <w:bCs/>
          <w:sz w:val="44"/>
          <w:szCs w:val="48"/>
        </w:rPr>
        <w:t>项目名称：</w:t>
      </w:r>
    </w:p>
    <w:p w14:paraId="1C4FAEE4">
      <w:pPr>
        <w:autoSpaceDE w:val="0"/>
        <w:autoSpaceDN w:val="0"/>
        <w:adjustRightInd w:val="0"/>
        <w:snapToGrid/>
        <w:spacing w:beforeAutospacing="0" w:afterAutospacing="0" w:line="560" w:lineRule="exact"/>
        <w:ind w:left="0" w:leftChars="0" w:right="0" w:rightChars="0" w:firstLine="482" w:firstLineChars="0"/>
        <w:jc w:val="center"/>
        <w:rPr>
          <w:rFonts w:hint="eastAsia" w:ascii="宋体" w:hAnsi="宋体" w:eastAsia="宋体" w:cs="宋体"/>
          <w:b/>
          <w:bCs/>
          <w:sz w:val="44"/>
          <w:szCs w:val="48"/>
        </w:rPr>
      </w:pPr>
    </w:p>
    <w:p w14:paraId="76AA3396">
      <w:pPr>
        <w:autoSpaceDE w:val="0"/>
        <w:autoSpaceDN w:val="0"/>
        <w:adjustRightInd w:val="0"/>
        <w:snapToGrid/>
        <w:spacing w:beforeAutospacing="0" w:afterAutospacing="0" w:line="560" w:lineRule="exact"/>
        <w:ind w:left="0" w:leftChars="0" w:right="0" w:rightChars="0" w:firstLine="482" w:firstLineChars="0"/>
        <w:jc w:val="center"/>
        <w:rPr>
          <w:rFonts w:hint="eastAsia" w:ascii="宋体" w:hAnsi="宋体" w:eastAsia="宋体" w:cs="宋体"/>
          <w:sz w:val="44"/>
          <w:szCs w:val="36"/>
        </w:rPr>
      </w:pPr>
    </w:p>
    <w:p w14:paraId="5AD9F0F0">
      <w:pPr>
        <w:autoSpaceDE w:val="0"/>
        <w:autoSpaceDN w:val="0"/>
        <w:adjustRightInd w:val="0"/>
        <w:snapToGrid/>
        <w:spacing w:beforeAutospacing="0" w:afterAutospacing="0" w:line="560" w:lineRule="exact"/>
        <w:ind w:left="0" w:leftChars="0" w:right="0" w:rightChars="0" w:firstLine="482" w:firstLineChars="0"/>
        <w:jc w:val="center"/>
        <w:rPr>
          <w:rFonts w:hint="eastAsia" w:ascii="宋体" w:hAnsi="宋体" w:eastAsia="宋体" w:cs="宋体"/>
          <w:sz w:val="44"/>
          <w:szCs w:val="36"/>
        </w:rPr>
      </w:pPr>
    </w:p>
    <w:p w14:paraId="000967C1">
      <w:pPr>
        <w:autoSpaceDE w:val="0"/>
        <w:autoSpaceDN w:val="0"/>
        <w:adjustRightInd w:val="0"/>
        <w:snapToGrid/>
        <w:spacing w:beforeAutospacing="0" w:afterAutospacing="0" w:line="560" w:lineRule="exact"/>
        <w:ind w:left="0" w:leftChars="0" w:right="0" w:rightChars="0" w:firstLine="482" w:firstLineChars="0"/>
        <w:jc w:val="center"/>
        <w:rPr>
          <w:rFonts w:hint="eastAsia" w:ascii="宋体" w:hAnsi="宋体" w:eastAsia="宋体" w:cs="宋体"/>
          <w:b/>
          <w:bCs/>
          <w:sz w:val="44"/>
          <w:szCs w:val="32"/>
        </w:rPr>
      </w:pPr>
      <w:r>
        <w:rPr>
          <w:rFonts w:hint="eastAsia" w:ascii="宋体" w:hAnsi="宋体" w:eastAsia="宋体" w:cs="宋体"/>
          <w:b/>
          <w:bCs/>
          <w:sz w:val="44"/>
          <w:szCs w:val="48"/>
        </w:rPr>
        <w:t>供应商：</w:t>
      </w:r>
    </w:p>
    <w:p w14:paraId="53B28043">
      <w:pPr>
        <w:autoSpaceDE w:val="0"/>
        <w:autoSpaceDN w:val="0"/>
        <w:adjustRightInd w:val="0"/>
        <w:snapToGrid/>
        <w:spacing w:beforeAutospacing="0" w:afterAutospacing="0" w:line="560" w:lineRule="exact"/>
        <w:ind w:left="0" w:leftChars="0" w:right="0" w:rightChars="0" w:firstLine="482" w:firstLineChars="0"/>
        <w:jc w:val="center"/>
        <w:rPr>
          <w:rFonts w:hint="eastAsia" w:ascii="宋体" w:hAnsi="宋体" w:eastAsia="宋体" w:cs="宋体"/>
          <w:b/>
          <w:bCs/>
          <w:sz w:val="44"/>
          <w:szCs w:val="32"/>
        </w:rPr>
      </w:pPr>
      <w:r>
        <w:rPr>
          <w:rFonts w:hint="eastAsia" w:ascii="宋体" w:hAnsi="宋体" w:eastAsia="宋体" w:cs="宋体"/>
          <w:b/>
          <w:bCs/>
          <w:sz w:val="44"/>
          <w:szCs w:val="48"/>
        </w:rPr>
        <w:t>日  期：  年  月  日</w:t>
      </w:r>
    </w:p>
    <w:p w14:paraId="226B8EF1">
      <w:pPr>
        <w:pStyle w:val="4"/>
        <w:snapToGrid/>
        <w:spacing w:before="0" w:beforeAutospacing="0" w:after="0" w:afterAutospacing="0" w:line="560" w:lineRule="exact"/>
        <w:ind w:right="0" w:rightChars="0"/>
        <w:jc w:val="center"/>
        <w:rPr>
          <w:rFonts w:hint="eastAsia" w:ascii="宋体" w:hAnsi="宋体" w:eastAsia="宋体" w:cs="宋体"/>
          <w:b w:val="0"/>
          <w:kern w:val="0"/>
          <w:sz w:val="24"/>
          <w:szCs w:val="36"/>
        </w:rPr>
      </w:pPr>
      <w:r>
        <w:rPr>
          <w:rFonts w:hint="eastAsia" w:ascii="宋体" w:hAnsi="宋体" w:eastAsia="宋体" w:cs="宋体"/>
          <w:sz w:val="24"/>
          <w:szCs w:val="44"/>
        </w:rPr>
        <w:br w:type="page"/>
      </w:r>
      <w:bookmarkEnd w:id="726"/>
      <w:bookmarkStart w:id="730" w:name="_Toc56714501"/>
      <w:bookmarkStart w:id="731" w:name="_Toc109900427"/>
      <w:bookmarkStart w:id="732" w:name="_Toc109900008"/>
      <w:bookmarkStart w:id="733" w:name="_Toc109897490"/>
      <w:bookmarkStart w:id="734" w:name="_Toc57148501"/>
      <w:bookmarkStart w:id="735" w:name="_Toc15756"/>
      <w:bookmarkStart w:id="736" w:name="_Toc60575575"/>
      <w:bookmarkStart w:id="737" w:name="_Toc360174584"/>
      <w:bookmarkStart w:id="738" w:name="_Toc264644272"/>
      <w:bookmarkStart w:id="739" w:name="_Toc211783342"/>
      <w:bookmarkStart w:id="740" w:name="_Toc533330957"/>
      <w:bookmarkStart w:id="741" w:name="_Toc11320441"/>
      <w:bookmarkStart w:id="742" w:name="_Toc533331084"/>
      <w:r>
        <w:rPr>
          <w:rFonts w:hint="eastAsia" w:ascii="宋体" w:hAnsi="宋体" w:eastAsia="宋体" w:cs="宋体"/>
          <w:bCs w:val="0"/>
          <w:sz w:val="24"/>
          <w:szCs w:val="21"/>
        </w:rPr>
        <w:t>资格自查表</w:t>
      </w:r>
      <w:bookmarkEnd w:id="730"/>
      <w:bookmarkEnd w:id="731"/>
      <w:bookmarkEnd w:id="732"/>
      <w:bookmarkEnd w:id="733"/>
      <w:bookmarkEnd w:id="734"/>
      <w:bookmarkEnd w:id="735"/>
      <w:bookmarkEnd w:id="736"/>
    </w:p>
    <w:tbl>
      <w:tblPr>
        <w:tblStyle w:val="88"/>
        <w:tblW w:w="84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711"/>
        <w:gridCol w:w="2043"/>
        <w:gridCol w:w="4650"/>
        <w:gridCol w:w="1090"/>
      </w:tblGrid>
      <w:tr w14:paraId="4A115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11" w:type="dxa"/>
            <w:vAlign w:val="center"/>
          </w:tcPr>
          <w:p w14:paraId="658F88C9">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22"/>
                <w:szCs w:val="22"/>
              </w:rPr>
            </w:pPr>
            <w:r>
              <w:rPr>
                <w:rFonts w:hint="eastAsia" w:ascii="宋体" w:hAnsi="宋体" w:eastAsia="宋体" w:cs="宋体"/>
                <w:sz w:val="22"/>
                <w:szCs w:val="22"/>
              </w:rPr>
              <w:t>序号</w:t>
            </w:r>
          </w:p>
        </w:tc>
        <w:tc>
          <w:tcPr>
            <w:tcW w:w="2043" w:type="dxa"/>
            <w:vAlign w:val="center"/>
          </w:tcPr>
          <w:p w14:paraId="7D885AB4">
            <w:pPr>
              <w:keepNext w:val="0"/>
              <w:keepLines w:val="0"/>
              <w:pageBreakBefore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22"/>
                <w:szCs w:val="22"/>
              </w:rPr>
            </w:pPr>
            <w:r>
              <w:rPr>
                <w:rFonts w:hint="eastAsia" w:ascii="宋体" w:hAnsi="宋体" w:eastAsia="宋体" w:cs="宋体"/>
                <w:sz w:val="22"/>
                <w:szCs w:val="22"/>
              </w:rPr>
              <w:t>资格要求</w:t>
            </w:r>
          </w:p>
        </w:tc>
        <w:tc>
          <w:tcPr>
            <w:tcW w:w="4650" w:type="dxa"/>
            <w:vAlign w:val="center"/>
          </w:tcPr>
          <w:p w14:paraId="322F999E">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22"/>
                <w:szCs w:val="22"/>
              </w:rPr>
            </w:pPr>
            <w:r>
              <w:rPr>
                <w:rFonts w:hint="eastAsia" w:ascii="宋体" w:hAnsi="宋体" w:eastAsia="宋体" w:cs="宋体"/>
                <w:sz w:val="22"/>
                <w:szCs w:val="22"/>
              </w:rPr>
              <w:t>须提供的资料</w:t>
            </w:r>
          </w:p>
        </w:tc>
        <w:tc>
          <w:tcPr>
            <w:tcW w:w="1090" w:type="dxa"/>
            <w:vAlign w:val="center"/>
          </w:tcPr>
          <w:p w14:paraId="3012FB25">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22"/>
                <w:szCs w:val="22"/>
              </w:rPr>
            </w:pPr>
            <w:r>
              <w:rPr>
                <w:rFonts w:hint="eastAsia" w:ascii="宋体" w:hAnsi="宋体" w:eastAsia="宋体" w:cs="宋体"/>
                <w:sz w:val="22"/>
                <w:szCs w:val="22"/>
              </w:rPr>
              <w:t>响应文件对应页码</w:t>
            </w:r>
          </w:p>
        </w:tc>
      </w:tr>
      <w:tr w14:paraId="4CD36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711" w:type="dxa"/>
            <w:vMerge w:val="restart"/>
            <w:vAlign w:val="center"/>
          </w:tcPr>
          <w:p w14:paraId="06963E7C">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420" w:leftChars="0" w:hanging="420" w:firstLineChars="0"/>
              <w:jc w:val="both"/>
              <w:textAlignment w:val="auto"/>
              <w:rPr>
                <w:rFonts w:hint="eastAsia" w:ascii="宋体" w:hAnsi="宋体" w:eastAsia="宋体" w:cs="宋体"/>
                <w:sz w:val="22"/>
                <w:szCs w:val="22"/>
              </w:rPr>
            </w:pPr>
            <w:r>
              <w:rPr>
                <w:rFonts w:hint="eastAsia" w:ascii="宋体" w:hAnsi="宋体" w:eastAsia="宋体" w:cs="宋体"/>
                <w:kern w:val="0"/>
                <w:sz w:val="22"/>
                <w:szCs w:val="22"/>
                <w:lang w:val="en-US" w:eastAsia="zh-CN" w:bidi="ar-SA"/>
              </w:rPr>
              <w:t>1.</w:t>
            </w:r>
          </w:p>
        </w:tc>
        <w:tc>
          <w:tcPr>
            <w:tcW w:w="2043" w:type="dxa"/>
            <w:vAlign w:val="center"/>
          </w:tcPr>
          <w:p w14:paraId="4D8E62A0">
            <w:pPr>
              <w:keepNext w:val="0"/>
              <w:keepLines w:val="0"/>
              <w:pageBreakBefore w:val="0"/>
              <w:kinsoku/>
              <w:wordWrap/>
              <w:overflowPunct/>
              <w:topLinePunct w:val="0"/>
              <w:autoSpaceDE/>
              <w:autoSpaceDN/>
              <w:bidi w:val="0"/>
              <w:snapToGrid w:val="0"/>
              <w:spacing w:line="240" w:lineRule="auto"/>
              <w:jc w:val="both"/>
              <w:textAlignment w:val="auto"/>
              <w:rPr>
                <w:rFonts w:hint="eastAsia" w:ascii="宋体" w:hAnsi="宋体" w:eastAsia="宋体" w:cs="宋体"/>
                <w:sz w:val="22"/>
                <w:szCs w:val="22"/>
                <w:lang w:val="hr-HR"/>
              </w:rPr>
            </w:pPr>
            <w:r>
              <w:rPr>
                <w:rFonts w:hint="eastAsia" w:ascii="宋体" w:hAnsi="宋体" w:eastAsia="宋体" w:cs="宋体"/>
                <w:sz w:val="22"/>
                <w:szCs w:val="22"/>
                <w:lang w:val="hr-HR"/>
              </w:rPr>
              <w:t xml:space="preserve">具有独立承担民事责任的能力 </w:t>
            </w:r>
          </w:p>
        </w:tc>
        <w:tc>
          <w:tcPr>
            <w:tcW w:w="4650" w:type="dxa"/>
            <w:vAlign w:val="center"/>
          </w:tcPr>
          <w:p w14:paraId="0AF09EBD">
            <w:pPr>
              <w:keepNext w:val="0"/>
              <w:keepLines w:val="0"/>
              <w:pageBreakBefore w:val="0"/>
              <w:kinsoku/>
              <w:wordWrap/>
              <w:overflowPunct/>
              <w:topLinePunct w:val="0"/>
              <w:autoSpaceDE/>
              <w:autoSpaceDN/>
              <w:bidi w:val="0"/>
              <w:snapToGrid w:val="0"/>
              <w:spacing w:line="240" w:lineRule="auto"/>
              <w:jc w:val="both"/>
              <w:textAlignment w:val="auto"/>
              <w:rPr>
                <w:rFonts w:hint="eastAsia" w:ascii="宋体" w:hAnsi="宋体" w:eastAsia="宋体" w:cs="宋体"/>
                <w:bCs/>
                <w:sz w:val="22"/>
                <w:szCs w:val="22"/>
              </w:rPr>
            </w:pPr>
            <w:r>
              <w:rPr>
                <w:rFonts w:hint="eastAsia" w:ascii="宋体" w:hAnsi="宋体" w:eastAsia="宋体" w:cs="宋体"/>
                <w:bCs/>
                <w:sz w:val="22"/>
                <w:szCs w:val="22"/>
                <w:highlight w:val="none"/>
              </w:rPr>
              <w:t>如</w:t>
            </w:r>
            <w:r>
              <w:rPr>
                <w:rFonts w:hint="eastAsia" w:ascii="宋体" w:hAnsi="宋体" w:eastAsia="宋体" w:cs="宋体"/>
                <w:bCs/>
                <w:sz w:val="22"/>
                <w:szCs w:val="22"/>
                <w:highlight w:val="none"/>
                <w:lang w:eastAsia="zh-CN"/>
              </w:rPr>
              <w:t>供应商</w:t>
            </w:r>
            <w:r>
              <w:rPr>
                <w:rFonts w:hint="eastAsia" w:ascii="宋体" w:hAnsi="宋体" w:eastAsia="宋体" w:cs="宋体"/>
                <w:bCs/>
                <w:sz w:val="22"/>
                <w:szCs w:val="22"/>
                <w:highlight w:val="none"/>
              </w:rPr>
              <w:t>是企业（包括合伙企业），应提供在工商部门注册的有效“企业法人营业执照”或“营业执照”；如</w:t>
            </w:r>
            <w:r>
              <w:rPr>
                <w:rFonts w:hint="eastAsia" w:ascii="宋体" w:hAnsi="宋体" w:eastAsia="宋体" w:cs="宋体"/>
                <w:bCs/>
                <w:sz w:val="22"/>
                <w:szCs w:val="22"/>
                <w:highlight w:val="none"/>
                <w:lang w:eastAsia="zh-CN"/>
              </w:rPr>
              <w:t>供应商</w:t>
            </w:r>
            <w:r>
              <w:rPr>
                <w:rFonts w:hint="eastAsia" w:ascii="宋体" w:hAnsi="宋体" w:eastAsia="宋体" w:cs="宋体"/>
                <w:bCs/>
                <w:sz w:val="22"/>
                <w:szCs w:val="22"/>
                <w:highlight w:val="none"/>
              </w:rPr>
              <w:t>是事业单位，应提供有效的“事业单位法人证书”；</w:t>
            </w:r>
            <w:r>
              <w:rPr>
                <w:rFonts w:hint="eastAsia" w:ascii="宋体" w:hAnsi="宋体" w:eastAsia="宋体" w:cs="宋体"/>
                <w:bCs/>
                <w:sz w:val="22"/>
                <w:szCs w:val="22"/>
                <w:highlight w:val="none"/>
                <w:lang w:eastAsia="zh-CN"/>
              </w:rPr>
              <w:t>供应商</w:t>
            </w:r>
            <w:r>
              <w:rPr>
                <w:rFonts w:hint="eastAsia" w:ascii="宋体" w:hAnsi="宋体" w:eastAsia="宋体" w:cs="宋体"/>
                <w:bCs/>
                <w:sz w:val="22"/>
                <w:szCs w:val="22"/>
                <w:highlight w:val="none"/>
              </w:rPr>
              <w:t>是非企业专业服务机构的，应提供执业许可证等证明文件；如</w:t>
            </w:r>
            <w:r>
              <w:rPr>
                <w:rFonts w:hint="eastAsia" w:ascii="宋体" w:hAnsi="宋体" w:eastAsia="宋体" w:cs="宋体"/>
                <w:bCs/>
                <w:sz w:val="22"/>
                <w:szCs w:val="22"/>
                <w:highlight w:val="none"/>
                <w:lang w:eastAsia="zh-CN"/>
              </w:rPr>
              <w:t>供应商</w:t>
            </w:r>
            <w:r>
              <w:rPr>
                <w:rFonts w:hint="eastAsia" w:ascii="宋体" w:hAnsi="宋体" w:eastAsia="宋体" w:cs="宋体"/>
                <w:bCs/>
                <w:sz w:val="22"/>
                <w:szCs w:val="22"/>
                <w:highlight w:val="none"/>
              </w:rPr>
              <w:t>是个体工商户，应提供有效的“个体工商户营业执照”；如</w:t>
            </w:r>
            <w:r>
              <w:rPr>
                <w:rFonts w:hint="eastAsia" w:ascii="宋体" w:hAnsi="宋体" w:eastAsia="宋体" w:cs="宋体"/>
                <w:bCs/>
                <w:sz w:val="22"/>
                <w:szCs w:val="22"/>
                <w:highlight w:val="none"/>
                <w:lang w:eastAsia="zh-CN"/>
              </w:rPr>
              <w:t>供应商</w:t>
            </w:r>
            <w:r>
              <w:rPr>
                <w:rFonts w:hint="eastAsia" w:ascii="宋体" w:hAnsi="宋体" w:eastAsia="宋体" w:cs="宋体"/>
                <w:bCs/>
                <w:sz w:val="22"/>
                <w:szCs w:val="22"/>
                <w:highlight w:val="none"/>
              </w:rPr>
              <w:t>是自然人，应提供有效的自然人身份证明。</w:t>
            </w:r>
          </w:p>
        </w:tc>
        <w:tc>
          <w:tcPr>
            <w:tcW w:w="1090" w:type="dxa"/>
            <w:vAlign w:val="center"/>
          </w:tcPr>
          <w:p w14:paraId="27107094">
            <w:pPr>
              <w:keepNext w:val="0"/>
              <w:keepLines w:val="0"/>
              <w:pageBreakBefore w:val="0"/>
              <w:kinsoku/>
              <w:wordWrap/>
              <w:overflowPunct/>
              <w:topLinePunct w:val="0"/>
              <w:autoSpaceDE/>
              <w:autoSpaceDN/>
              <w:bidi w:val="0"/>
              <w:snapToGrid w:val="0"/>
              <w:spacing w:line="240" w:lineRule="auto"/>
              <w:jc w:val="both"/>
              <w:textAlignment w:val="auto"/>
              <w:rPr>
                <w:rFonts w:hint="eastAsia" w:ascii="宋体" w:hAnsi="宋体" w:eastAsia="宋体" w:cs="宋体"/>
                <w:bCs/>
                <w:sz w:val="22"/>
                <w:szCs w:val="22"/>
              </w:rPr>
            </w:pPr>
          </w:p>
        </w:tc>
      </w:tr>
      <w:tr w14:paraId="0C432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711" w:type="dxa"/>
            <w:vMerge w:val="continue"/>
            <w:vAlign w:val="center"/>
          </w:tcPr>
          <w:p w14:paraId="346D5333">
            <w:pPr>
              <w:keepNext w:val="0"/>
              <w:keepLines w:val="0"/>
              <w:pageBreakBefore w:val="0"/>
              <w:widowControl/>
              <w:numPr>
                <w:ilvl w:val="0"/>
                <w:numId w:val="9"/>
              </w:numPr>
              <w:kinsoku/>
              <w:wordWrap/>
              <w:overflowPunct/>
              <w:topLinePunct w:val="0"/>
              <w:autoSpaceDE/>
              <w:autoSpaceDN/>
              <w:bidi w:val="0"/>
              <w:adjustRightInd w:val="0"/>
              <w:snapToGrid w:val="0"/>
              <w:spacing w:line="240" w:lineRule="auto"/>
              <w:ind w:left="420" w:leftChars="0" w:hanging="420" w:firstLineChars="0"/>
              <w:jc w:val="both"/>
              <w:textAlignment w:val="auto"/>
              <w:rPr>
                <w:rFonts w:hint="eastAsia" w:ascii="宋体" w:hAnsi="宋体" w:eastAsia="宋体" w:cs="宋体"/>
                <w:sz w:val="22"/>
                <w:szCs w:val="22"/>
              </w:rPr>
            </w:pPr>
          </w:p>
        </w:tc>
        <w:tc>
          <w:tcPr>
            <w:tcW w:w="2043" w:type="dxa"/>
            <w:vAlign w:val="center"/>
          </w:tcPr>
          <w:p w14:paraId="2F480591">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22"/>
                <w:szCs w:val="22"/>
              </w:rPr>
            </w:pPr>
            <w:r>
              <w:rPr>
                <w:rFonts w:hint="eastAsia" w:ascii="宋体" w:hAnsi="宋体" w:eastAsia="宋体" w:cs="宋体"/>
                <w:sz w:val="22"/>
                <w:szCs w:val="22"/>
                <w:lang w:val="hr-HR"/>
              </w:rPr>
              <w:t>具有良好的商业信誉和健全的财务会计制度</w:t>
            </w:r>
          </w:p>
        </w:tc>
        <w:tc>
          <w:tcPr>
            <w:tcW w:w="4650" w:type="dxa"/>
            <w:vAlign w:val="center"/>
          </w:tcPr>
          <w:p w14:paraId="625BDE45">
            <w:pPr>
              <w:keepNext w:val="0"/>
              <w:keepLines w:val="0"/>
              <w:pageBreakBefore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bCs/>
                <w:sz w:val="22"/>
                <w:szCs w:val="22"/>
                <w:highlight w:val="none"/>
              </w:rPr>
            </w:pPr>
            <w:r>
              <w:rPr>
                <w:rFonts w:hint="eastAsia" w:ascii="宋体" w:hAnsi="宋体" w:eastAsia="宋体" w:cs="宋体"/>
                <w:b/>
                <w:sz w:val="22"/>
                <w:szCs w:val="22"/>
                <w:highlight w:val="none"/>
              </w:rPr>
              <w:t>由</w:t>
            </w:r>
            <w:r>
              <w:rPr>
                <w:rFonts w:hint="eastAsia" w:ascii="宋体" w:hAnsi="宋体" w:eastAsia="宋体" w:cs="宋体"/>
                <w:b/>
                <w:sz w:val="22"/>
                <w:szCs w:val="22"/>
                <w:highlight w:val="none"/>
                <w:lang w:eastAsia="zh-CN"/>
              </w:rPr>
              <w:t>供应商</w:t>
            </w:r>
            <w:r>
              <w:rPr>
                <w:rFonts w:hint="eastAsia" w:ascii="宋体" w:hAnsi="宋体" w:eastAsia="宋体" w:cs="宋体"/>
                <w:b/>
                <w:sz w:val="22"/>
                <w:szCs w:val="22"/>
                <w:highlight w:val="none"/>
              </w:rPr>
              <w:t>对以下内容提供</w:t>
            </w:r>
            <w:r>
              <w:rPr>
                <w:rFonts w:hint="eastAsia" w:ascii="宋体" w:hAnsi="宋体" w:eastAsia="宋体" w:cs="宋体"/>
                <w:b/>
                <w:sz w:val="22"/>
                <w:szCs w:val="22"/>
                <w:highlight w:val="none"/>
                <w:lang w:eastAsia="zh-CN"/>
              </w:rPr>
              <w:t>书面承诺（格式自拟）</w:t>
            </w:r>
            <w:r>
              <w:rPr>
                <w:rFonts w:hint="eastAsia" w:ascii="宋体" w:hAnsi="宋体" w:eastAsia="宋体" w:cs="宋体"/>
                <w:b/>
                <w:sz w:val="22"/>
                <w:szCs w:val="22"/>
                <w:highlight w:val="none"/>
              </w:rPr>
              <w:t>，或提供相应证明材料。</w:t>
            </w:r>
          </w:p>
          <w:p w14:paraId="5E686458">
            <w:pPr>
              <w:keepNext w:val="0"/>
              <w:keepLines w:val="0"/>
              <w:pageBreakBefore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Cs/>
                <w:sz w:val="22"/>
                <w:szCs w:val="22"/>
                <w:highlight w:val="none"/>
              </w:rPr>
            </w:pPr>
            <w:r>
              <w:rPr>
                <w:rFonts w:hint="eastAsia" w:ascii="宋体" w:hAnsi="宋体" w:eastAsia="宋体" w:cs="宋体"/>
                <w:bCs/>
                <w:sz w:val="22"/>
                <w:szCs w:val="22"/>
                <w:highlight w:val="none"/>
                <w:lang w:eastAsia="zh-CN"/>
              </w:rPr>
              <w:t>供应商</w:t>
            </w:r>
            <w:r>
              <w:rPr>
                <w:rFonts w:hint="eastAsia" w:ascii="宋体" w:hAnsi="宋体" w:eastAsia="宋体" w:cs="宋体"/>
                <w:bCs/>
                <w:sz w:val="22"/>
                <w:szCs w:val="22"/>
                <w:highlight w:val="none"/>
              </w:rPr>
              <w:t>是法人的，应具有上一年度（</w:t>
            </w:r>
            <w:r>
              <w:rPr>
                <w:rFonts w:hint="eastAsia" w:ascii="宋体" w:hAnsi="宋体" w:eastAsia="宋体" w:cs="宋体"/>
                <w:bCs/>
                <w:sz w:val="22"/>
                <w:szCs w:val="22"/>
                <w:highlight w:val="none"/>
                <w:lang w:eastAsia="zh-CN"/>
              </w:rPr>
              <w:t>2023年度或2024年度</w:t>
            </w:r>
            <w:r>
              <w:rPr>
                <w:rFonts w:hint="eastAsia" w:ascii="宋体" w:hAnsi="宋体" w:eastAsia="宋体" w:cs="宋体"/>
                <w:bCs/>
                <w:sz w:val="22"/>
                <w:szCs w:val="22"/>
                <w:highlight w:val="none"/>
              </w:rPr>
              <w:t>）经审计的财务报告，或其基本开户银行出具的资信证明。其他组织和自然人，没有经审计的财务报告，应具有银行出具的资信证明。</w:t>
            </w:r>
          </w:p>
          <w:p w14:paraId="234FA371">
            <w:pPr>
              <w:keepNext w:val="0"/>
              <w:keepLines w:val="0"/>
              <w:pageBreakBefore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有专业担保机构对</w:t>
            </w:r>
            <w:r>
              <w:rPr>
                <w:rFonts w:hint="eastAsia" w:ascii="宋体" w:hAnsi="宋体" w:eastAsia="宋体" w:cs="宋体"/>
                <w:bCs/>
                <w:sz w:val="22"/>
                <w:szCs w:val="22"/>
                <w:highlight w:val="none"/>
                <w:lang w:eastAsia="zh-CN"/>
              </w:rPr>
              <w:t>供应商</w:t>
            </w:r>
            <w:r>
              <w:rPr>
                <w:rFonts w:hint="eastAsia" w:ascii="宋体" w:hAnsi="宋体" w:eastAsia="宋体" w:cs="宋体"/>
                <w:bCs/>
                <w:sz w:val="22"/>
                <w:szCs w:val="22"/>
                <w:highlight w:val="none"/>
              </w:rPr>
              <w:t>进行资信审查后出具投标担保函的，可以不用具备经审计的财务报告和银行资信证明文件。</w:t>
            </w:r>
          </w:p>
          <w:p w14:paraId="38DD8269">
            <w:pPr>
              <w:keepNext w:val="0"/>
              <w:keepLines w:val="0"/>
              <w:pageBreakBefore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Cs/>
                <w:sz w:val="22"/>
                <w:szCs w:val="22"/>
              </w:rPr>
            </w:pPr>
            <w:r>
              <w:rPr>
                <w:rFonts w:hint="eastAsia" w:ascii="宋体" w:hAnsi="宋体" w:eastAsia="宋体" w:cs="宋体"/>
                <w:b/>
                <w:sz w:val="22"/>
                <w:szCs w:val="22"/>
                <w:highlight w:val="none"/>
              </w:rPr>
              <w:t>备注：如果</w:t>
            </w:r>
            <w:r>
              <w:rPr>
                <w:rFonts w:hint="eastAsia" w:ascii="宋体" w:hAnsi="宋体" w:eastAsia="宋体" w:cs="宋体"/>
                <w:b/>
                <w:sz w:val="22"/>
                <w:szCs w:val="22"/>
                <w:highlight w:val="none"/>
                <w:lang w:eastAsia="zh-CN"/>
              </w:rPr>
              <w:t>供应商</w:t>
            </w:r>
            <w:r>
              <w:rPr>
                <w:rFonts w:hint="eastAsia" w:ascii="宋体" w:hAnsi="宋体" w:eastAsia="宋体" w:cs="宋体"/>
                <w:b/>
                <w:sz w:val="22"/>
                <w:szCs w:val="22"/>
                <w:highlight w:val="none"/>
              </w:rPr>
              <w:t>同时提供了1）</w:t>
            </w:r>
            <w:r>
              <w:rPr>
                <w:rFonts w:hint="eastAsia" w:ascii="宋体" w:hAnsi="宋体" w:eastAsia="宋体" w:cs="宋体"/>
                <w:b/>
                <w:sz w:val="22"/>
                <w:szCs w:val="22"/>
                <w:highlight w:val="none"/>
                <w:lang w:eastAsia="zh-CN"/>
              </w:rPr>
              <w:t>书面承诺（格式自拟）</w:t>
            </w:r>
            <w:r>
              <w:rPr>
                <w:rFonts w:hint="eastAsia" w:ascii="宋体" w:hAnsi="宋体" w:eastAsia="宋体" w:cs="宋体"/>
                <w:b/>
                <w:sz w:val="22"/>
                <w:szCs w:val="22"/>
                <w:highlight w:val="none"/>
              </w:rPr>
              <w:t>、2）相应证明材料，且二者内容不一致的，</w:t>
            </w:r>
            <w:r>
              <w:rPr>
                <w:rFonts w:hint="eastAsia" w:ascii="宋体" w:hAnsi="宋体" w:eastAsia="宋体" w:cs="宋体"/>
                <w:b/>
                <w:sz w:val="22"/>
                <w:szCs w:val="22"/>
                <w:highlight w:val="none"/>
                <w:lang w:val="hr-HR"/>
              </w:rPr>
              <w:t>采购人或者采购代理机构</w:t>
            </w:r>
            <w:r>
              <w:rPr>
                <w:rFonts w:hint="eastAsia" w:ascii="宋体" w:hAnsi="宋体" w:eastAsia="宋体" w:cs="宋体"/>
                <w:b/>
                <w:sz w:val="22"/>
                <w:szCs w:val="22"/>
                <w:highlight w:val="none"/>
              </w:rPr>
              <w:t>有权任选其中一种进行评审，由</w:t>
            </w:r>
            <w:r>
              <w:rPr>
                <w:rFonts w:hint="eastAsia" w:ascii="宋体" w:hAnsi="宋体" w:eastAsia="宋体" w:cs="宋体"/>
                <w:b/>
                <w:sz w:val="22"/>
                <w:szCs w:val="22"/>
                <w:highlight w:val="none"/>
                <w:lang w:eastAsia="zh-CN"/>
              </w:rPr>
              <w:t>供应商</w:t>
            </w:r>
            <w:r>
              <w:rPr>
                <w:rFonts w:hint="eastAsia" w:ascii="宋体" w:hAnsi="宋体" w:eastAsia="宋体" w:cs="宋体"/>
                <w:b/>
                <w:sz w:val="22"/>
                <w:szCs w:val="22"/>
                <w:highlight w:val="none"/>
              </w:rPr>
              <w:t>自行承担一切后果。</w:t>
            </w:r>
          </w:p>
        </w:tc>
        <w:tc>
          <w:tcPr>
            <w:tcW w:w="1090" w:type="dxa"/>
            <w:vAlign w:val="center"/>
          </w:tcPr>
          <w:p w14:paraId="36F2C048">
            <w:pPr>
              <w:keepNext w:val="0"/>
              <w:keepLines w:val="0"/>
              <w:pageBreakBefore w:val="0"/>
              <w:kinsoku/>
              <w:wordWrap/>
              <w:overflowPunct/>
              <w:topLinePunct w:val="0"/>
              <w:autoSpaceDE/>
              <w:autoSpaceDN/>
              <w:bidi w:val="0"/>
              <w:snapToGrid w:val="0"/>
              <w:spacing w:line="240" w:lineRule="auto"/>
              <w:jc w:val="both"/>
              <w:textAlignment w:val="auto"/>
              <w:rPr>
                <w:rFonts w:hint="eastAsia" w:ascii="宋体" w:hAnsi="宋体" w:eastAsia="宋体" w:cs="宋体"/>
                <w:bCs/>
                <w:sz w:val="22"/>
                <w:szCs w:val="22"/>
              </w:rPr>
            </w:pPr>
          </w:p>
        </w:tc>
      </w:tr>
      <w:tr w14:paraId="4B3EC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711" w:type="dxa"/>
            <w:vMerge w:val="continue"/>
            <w:vAlign w:val="center"/>
          </w:tcPr>
          <w:p w14:paraId="53D29733">
            <w:pPr>
              <w:keepNext w:val="0"/>
              <w:keepLines w:val="0"/>
              <w:pageBreakBefore w:val="0"/>
              <w:widowControl/>
              <w:numPr>
                <w:ilvl w:val="0"/>
                <w:numId w:val="9"/>
              </w:numPr>
              <w:kinsoku/>
              <w:wordWrap/>
              <w:overflowPunct/>
              <w:topLinePunct w:val="0"/>
              <w:autoSpaceDE/>
              <w:autoSpaceDN/>
              <w:bidi w:val="0"/>
              <w:adjustRightInd w:val="0"/>
              <w:snapToGrid w:val="0"/>
              <w:spacing w:line="240" w:lineRule="auto"/>
              <w:ind w:left="420" w:leftChars="0" w:hanging="420" w:firstLineChars="0"/>
              <w:jc w:val="both"/>
              <w:textAlignment w:val="auto"/>
              <w:rPr>
                <w:rFonts w:hint="eastAsia" w:ascii="宋体" w:hAnsi="宋体" w:eastAsia="宋体" w:cs="宋体"/>
                <w:sz w:val="22"/>
                <w:szCs w:val="22"/>
              </w:rPr>
            </w:pPr>
          </w:p>
        </w:tc>
        <w:tc>
          <w:tcPr>
            <w:tcW w:w="2043" w:type="dxa"/>
            <w:vAlign w:val="center"/>
          </w:tcPr>
          <w:p w14:paraId="04A2C0AD">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22"/>
                <w:szCs w:val="22"/>
                <w:lang w:val="hr-HR"/>
              </w:rPr>
            </w:pPr>
            <w:r>
              <w:rPr>
                <w:rFonts w:hint="eastAsia" w:ascii="宋体" w:hAnsi="宋体" w:eastAsia="宋体" w:cs="宋体"/>
                <w:sz w:val="22"/>
                <w:szCs w:val="22"/>
                <w:lang w:val="hr-HR"/>
              </w:rPr>
              <w:t>具有履行合同所必需的设备和专业技术能力</w:t>
            </w:r>
          </w:p>
        </w:tc>
        <w:tc>
          <w:tcPr>
            <w:tcW w:w="4650" w:type="dxa"/>
            <w:vAlign w:val="center"/>
          </w:tcPr>
          <w:p w14:paraId="4317148B">
            <w:pPr>
              <w:keepNext w:val="0"/>
              <w:keepLines w:val="0"/>
              <w:pageBreakBefore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Cs/>
                <w:sz w:val="22"/>
                <w:szCs w:val="22"/>
              </w:rPr>
            </w:pPr>
            <w:r>
              <w:rPr>
                <w:rFonts w:hint="eastAsia" w:ascii="宋体" w:hAnsi="宋体" w:eastAsia="宋体" w:cs="宋体"/>
                <w:bCs/>
                <w:sz w:val="22"/>
                <w:szCs w:val="22"/>
                <w:highlight w:val="none"/>
              </w:rPr>
              <w:t>由</w:t>
            </w:r>
            <w:r>
              <w:rPr>
                <w:rFonts w:hint="eastAsia" w:ascii="宋体" w:hAnsi="宋体" w:eastAsia="宋体" w:cs="宋体"/>
                <w:bCs/>
                <w:sz w:val="22"/>
                <w:szCs w:val="22"/>
                <w:highlight w:val="none"/>
                <w:lang w:eastAsia="zh-CN"/>
              </w:rPr>
              <w:t>供应商</w:t>
            </w:r>
            <w:r>
              <w:rPr>
                <w:rFonts w:hint="eastAsia" w:ascii="宋体" w:hAnsi="宋体" w:eastAsia="宋体" w:cs="宋体"/>
                <w:bCs/>
                <w:sz w:val="22"/>
                <w:szCs w:val="22"/>
                <w:highlight w:val="none"/>
              </w:rPr>
              <w:t>提供</w:t>
            </w:r>
            <w:r>
              <w:rPr>
                <w:rFonts w:hint="eastAsia" w:ascii="宋体" w:hAnsi="宋体" w:eastAsia="宋体" w:cs="宋体"/>
                <w:bCs/>
                <w:sz w:val="22"/>
                <w:szCs w:val="22"/>
                <w:highlight w:val="none"/>
                <w:lang w:eastAsia="zh-CN"/>
              </w:rPr>
              <w:t>书面承诺（格式自拟）</w:t>
            </w:r>
            <w:r>
              <w:rPr>
                <w:rFonts w:hint="eastAsia" w:ascii="宋体" w:hAnsi="宋体" w:eastAsia="宋体" w:cs="宋体"/>
                <w:sz w:val="22"/>
                <w:szCs w:val="22"/>
                <w:highlight w:val="none"/>
              </w:rPr>
              <w:t>，或提供相应证明材料。</w:t>
            </w:r>
          </w:p>
        </w:tc>
        <w:tc>
          <w:tcPr>
            <w:tcW w:w="1090" w:type="dxa"/>
            <w:vAlign w:val="center"/>
          </w:tcPr>
          <w:p w14:paraId="745E4F9B">
            <w:pPr>
              <w:keepNext w:val="0"/>
              <w:keepLines w:val="0"/>
              <w:pageBreakBefore w:val="0"/>
              <w:kinsoku/>
              <w:wordWrap/>
              <w:overflowPunct/>
              <w:topLinePunct w:val="0"/>
              <w:autoSpaceDE/>
              <w:autoSpaceDN/>
              <w:bidi w:val="0"/>
              <w:snapToGrid w:val="0"/>
              <w:spacing w:line="240" w:lineRule="auto"/>
              <w:jc w:val="both"/>
              <w:textAlignment w:val="auto"/>
              <w:rPr>
                <w:rFonts w:hint="eastAsia" w:ascii="宋体" w:hAnsi="宋体" w:eastAsia="宋体" w:cs="宋体"/>
                <w:bCs/>
                <w:sz w:val="22"/>
                <w:szCs w:val="22"/>
              </w:rPr>
            </w:pPr>
          </w:p>
        </w:tc>
      </w:tr>
      <w:tr w14:paraId="0A317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711" w:type="dxa"/>
            <w:vMerge w:val="continue"/>
            <w:vAlign w:val="center"/>
          </w:tcPr>
          <w:p w14:paraId="5CFF7A02">
            <w:pPr>
              <w:keepNext w:val="0"/>
              <w:keepLines w:val="0"/>
              <w:pageBreakBefore w:val="0"/>
              <w:widowControl/>
              <w:numPr>
                <w:ilvl w:val="0"/>
                <w:numId w:val="9"/>
              </w:numPr>
              <w:kinsoku/>
              <w:wordWrap/>
              <w:overflowPunct/>
              <w:topLinePunct w:val="0"/>
              <w:autoSpaceDE/>
              <w:autoSpaceDN/>
              <w:bidi w:val="0"/>
              <w:adjustRightInd w:val="0"/>
              <w:snapToGrid w:val="0"/>
              <w:spacing w:line="240" w:lineRule="auto"/>
              <w:ind w:left="420" w:leftChars="0" w:hanging="420" w:firstLineChars="0"/>
              <w:jc w:val="both"/>
              <w:textAlignment w:val="auto"/>
              <w:rPr>
                <w:rFonts w:hint="eastAsia" w:ascii="宋体" w:hAnsi="宋体" w:eastAsia="宋体" w:cs="宋体"/>
                <w:sz w:val="22"/>
                <w:szCs w:val="22"/>
              </w:rPr>
            </w:pPr>
          </w:p>
        </w:tc>
        <w:tc>
          <w:tcPr>
            <w:tcW w:w="2043" w:type="dxa"/>
            <w:vAlign w:val="center"/>
          </w:tcPr>
          <w:p w14:paraId="408F6497">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22"/>
                <w:szCs w:val="22"/>
                <w:lang w:val="hr-HR"/>
              </w:rPr>
            </w:pPr>
            <w:r>
              <w:rPr>
                <w:rFonts w:hint="eastAsia" w:ascii="宋体" w:hAnsi="宋体" w:eastAsia="宋体" w:cs="宋体"/>
                <w:sz w:val="22"/>
                <w:szCs w:val="22"/>
                <w:lang w:val="hr-HR"/>
              </w:rPr>
              <w:t>有依法缴纳税收和社会保障资金的良好记录</w:t>
            </w:r>
          </w:p>
        </w:tc>
        <w:tc>
          <w:tcPr>
            <w:tcW w:w="4650" w:type="dxa"/>
            <w:vAlign w:val="center"/>
          </w:tcPr>
          <w:p w14:paraId="5D95AA7A">
            <w:pPr>
              <w:keepNext w:val="0"/>
              <w:keepLines w:val="0"/>
              <w:pageBreakBefore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bCs/>
                <w:sz w:val="22"/>
                <w:szCs w:val="22"/>
                <w:highlight w:val="none"/>
              </w:rPr>
            </w:pPr>
            <w:r>
              <w:rPr>
                <w:rFonts w:hint="eastAsia" w:ascii="宋体" w:hAnsi="宋体" w:eastAsia="宋体" w:cs="宋体"/>
                <w:b/>
                <w:sz w:val="22"/>
                <w:szCs w:val="22"/>
                <w:highlight w:val="none"/>
              </w:rPr>
              <w:t>由</w:t>
            </w:r>
            <w:r>
              <w:rPr>
                <w:rFonts w:hint="eastAsia" w:ascii="宋体" w:hAnsi="宋体" w:eastAsia="宋体" w:cs="宋体"/>
                <w:b/>
                <w:sz w:val="22"/>
                <w:szCs w:val="22"/>
                <w:highlight w:val="none"/>
                <w:lang w:eastAsia="zh-CN"/>
              </w:rPr>
              <w:t>供应商</w:t>
            </w:r>
            <w:r>
              <w:rPr>
                <w:rFonts w:hint="eastAsia" w:ascii="宋体" w:hAnsi="宋体" w:eastAsia="宋体" w:cs="宋体"/>
                <w:b/>
                <w:sz w:val="22"/>
                <w:szCs w:val="22"/>
                <w:highlight w:val="none"/>
              </w:rPr>
              <w:t>对以下内容提供</w:t>
            </w:r>
            <w:r>
              <w:rPr>
                <w:rFonts w:hint="eastAsia" w:ascii="宋体" w:hAnsi="宋体" w:eastAsia="宋体" w:cs="宋体"/>
                <w:b/>
                <w:sz w:val="22"/>
                <w:szCs w:val="22"/>
                <w:highlight w:val="none"/>
                <w:lang w:eastAsia="zh-CN"/>
              </w:rPr>
              <w:t>书面承诺（格式自拟）</w:t>
            </w:r>
            <w:r>
              <w:rPr>
                <w:rFonts w:hint="eastAsia" w:ascii="宋体" w:hAnsi="宋体" w:eastAsia="宋体" w:cs="宋体"/>
                <w:b/>
                <w:sz w:val="22"/>
                <w:szCs w:val="22"/>
                <w:highlight w:val="none"/>
              </w:rPr>
              <w:t>，或提供相应证明材料。</w:t>
            </w:r>
          </w:p>
          <w:p w14:paraId="14EAAD06">
            <w:pPr>
              <w:keepNext w:val="0"/>
              <w:keepLines w:val="0"/>
              <w:pageBreakBefore w:val="0"/>
              <w:kinsoku/>
              <w:wordWrap/>
              <w:overflowPunct/>
              <w:topLinePunct w:val="0"/>
              <w:autoSpaceDE/>
              <w:autoSpaceDN/>
              <w:bidi w:val="0"/>
              <w:adjustRightInd w:val="0"/>
              <w:snapToGrid w:val="0"/>
              <w:spacing w:line="240" w:lineRule="auto"/>
              <w:ind w:firstLine="440" w:firstLineChars="200"/>
              <w:jc w:val="both"/>
              <w:textAlignment w:val="auto"/>
              <w:rPr>
                <w:rFonts w:hint="eastAsia" w:ascii="宋体" w:hAnsi="宋体" w:eastAsia="宋体" w:cs="宋体"/>
                <w:sz w:val="22"/>
                <w:szCs w:val="22"/>
                <w:highlight w:val="none"/>
                <w:lang w:val="hr-HR"/>
              </w:rPr>
            </w:pPr>
            <w:r>
              <w:rPr>
                <w:rFonts w:hint="eastAsia" w:ascii="宋体" w:hAnsi="宋体" w:eastAsia="宋体" w:cs="宋体"/>
                <w:sz w:val="22"/>
                <w:szCs w:val="22"/>
                <w:highlight w:val="none"/>
                <w:lang w:val="hr-HR" w:eastAsia="zh-CN"/>
              </w:rPr>
              <w:t>供应商</w:t>
            </w:r>
            <w:r>
              <w:rPr>
                <w:rFonts w:hint="eastAsia" w:ascii="宋体" w:hAnsi="宋体" w:eastAsia="宋体" w:cs="宋体"/>
                <w:sz w:val="22"/>
                <w:szCs w:val="22"/>
                <w:highlight w:val="none"/>
                <w:lang w:val="hr-HR"/>
              </w:rPr>
              <w:t>依法缴纳税收：本项目公告发布时间前</w:t>
            </w:r>
            <w:r>
              <w:rPr>
                <w:rFonts w:hint="eastAsia" w:ascii="宋体" w:hAnsi="宋体" w:eastAsia="宋体" w:cs="宋体"/>
                <w:sz w:val="22"/>
                <w:szCs w:val="22"/>
                <w:highlight w:val="none"/>
              </w:rPr>
              <w:t>12个月内</w:t>
            </w:r>
            <w:r>
              <w:rPr>
                <w:rFonts w:hint="eastAsia" w:ascii="宋体" w:hAnsi="宋体" w:eastAsia="宋体" w:cs="宋体"/>
                <w:sz w:val="22"/>
                <w:szCs w:val="22"/>
                <w:highlight w:val="none"/>
                <w:lang w:val="hr-HR"/>
              </w:rPr>
              <w:t>（至少有1个月）缴纳税收的凭据（完税证、缴款书、印花税票、银行代扣（代缴）转账凭证等均可）；</w:t>
            </w:r>
          </w:p>
          <w:p w14:paraId="3FD9DC73">
            <w:pPr>
              <w:keepNext w:val="0"/>
              <w:keepLines w:val="0"/>
              <w:pageBreakBefore w:val="0"/>
              <w:kinsoku/>
              <w:wordWrap/>
              <w:overflowPunct/>
              <w:topLinePunct w:val="0"/>
              <w:autoSpaceDE/>
              <w:autoSpaceDN/>
              <w:bidi w:val="0"/>
              <w:adjustRightInd w:val="0"/>
              <w:snapToGrid w:val="0"/>
              <w:spacing w:line="240" w:lineRule="auto"/>
              <w:ind w:firstLine="440" w:firstLineChars="200"/>
              <w:jc w:val="both"/>
              <w:textAlignment w:val="auto"/>
              <w:rPr>
                <w:rFonts w:hint="eastAsia" w:ascii="宋体" w:hAnsi="宋体" w:eastAsia="宋体" w:cs="宋体"/>
                <w:sz w:val="22"/>
                <w:szCs w:val="22"/>
                <w:highlight w:val="none"/>
                <w:lang w:val="hr-HR"/>
              </w:rPr>
            </w:pPr>
            <w:r>
              <w:rPr>
                <w:rFonts w:hint="eastAsia" w:ascii="宋体" w:hAnsi="宋体" w:eastAsia="宋体" w:cs="宋体"/>
                <w:sz w:val="22"/>
                <w:szCs w:val="22"/>
                <w:highlight w:val="none"/>
                <w:lang w:val="hr-HR" w:eastAsia="zh-CN"/>
              </w:rPr>
              <w:t>供应商</w:t>
            </w:r>
            <w:r>
              <w:rPr>
                <w:rFonts w:hint="eastAsia" w:ascii="宋体" w:hAnsi="宋体" w:eastAsia="宋体" w:cs="宋体"/>
                <w:sz w:val="22"/>
                <w:szCs w:val="22"/>
                <w:highlight w:val="none"/>
                <w:lang w:val="hr-HR"/>
              </w:rPr>
              <w:t>依法缴纳社会保障资金：本项目公告发布时间前</w:t>
            </w:r>
            <w:r>
              <w:rPr>
                <w:rFonts w:hint="eastAsia" w:ascii="宋体" w:hAnsi="宋体" w:eastAsia="宋体" w:cs="宋体"/>
                <w:sz w:val="22"/>
                <w:szCs w:val="22"/>
                <w:highlight w:val="none"/>
              </w:rPr>
              <w:t>12个月内</w:t>
            </w:r>
            <w:r>
              <w:rPr>
                <w:rFonts w:hint="eastAsia" w:ascii="宋体" w:hAnsi="宋体" w:eastAsia="宋体" w:cs="宋体"/>
                <w:sz w:val="22"/>
                <w:szCs w:val="22"/>
                <w:highlight w:val="none"/>
                <w:lang w:val="hr-HR"/>
              </w:rPr>
              <w:t>（至少有1个月）缴纳社会保险的凭据（专用收据或社会保险交纳清单）；</w:t>
            </w:r>
          </w:p>
          <w:p w14:paraId="51984BDB">
            <w:pPr>
              <w:keepNext w:val="0"/>
              <w:keepLines w:val="0"/>
              <w:pageBreakBefore w:val="0"/>
              <w:kinsoku/>
              <w:wordWrap/>
              <w:overflowPunct/>
              <w:topLinePunct w:val="0"/>
              <w:autoSpaceDE/>
              <w:autoSpaceDN/>
              <w:bidi w:val="0"/>
              <w:adjustRightInd w:val="0"/>
              <w:snapToGrid w:val="0"/>
              <w:spacing w:line="240" w:lineRule="auto"/>
              <w:ind w:firstLine="440" w:firstLineChars="200"/>
              <w:jc w:val="both"/>
              <w:textAlignment w:val="auto"/>
              <w:rPr>
                <w:rFonts w:hint="eastAsia" w:ascii="宋体" w:hAnsi="宋体" w:eastAsia="宋体" w:cs="宋体"/>
                <w:sz w:val="22"/>
                <w:szCs w:val="22"/>
                <w:highlight w:val="none"/>
                <w:lang w:val="hr-HR"/>
              </w:rPr>
            </w:pPr>
            <w:r>
              <w:rPr>
                <w:rFonts w:hint="eastAsia" w:ascii="宋体" w:hAnsi="宋体" w:eastAsia="宋体" w:cs="宋体"/>
                <w:sz w:val="22"/>
                <w:szCs w:val="22"/>
                <w:highlight w:val="none"/>
                <w:lang w:val="hr-HR" w:eastAsia="zh-CN"/>
              </w:rPr>
              <w:t>供应商</w:t>
            </w:r>
            <w:r>
              <w:rPr>
                <w:rFonts w:hint="eastAsia" w:ascii="宋体" w:hAnsi="宋体" w:eastAsia="宋体" w:cs="宋体"/>
                <w:sz w:val="22"/>
                <w:szCs w:val="22"/>
                <w:highlight w:val="none"/>
                <w:lang w:val="hr-HR"/>
              </w:rPr>
              <w:t>为其他组织或自然人的，也应满足以上要求；</w:t>
            </w:r>
          </w:p>
          <w:p w14:paraId="0CB24A53">
            <w:pPr>
              <w:keepNext w:val="0"/>
              <w:keepLines w:val="0"/>
              <w:pageBreakBefore w:val="0"/>
              <w:kinsoku/>
              <w:wordWrap/>
              <w:overflowPunct/>
              <w:topLinePunct w:val="0"/>
              <w:autoSpaceDE/>
              <w:autoSpaceDN/>
              <w:bidi w:val="0"/>
              <w:adjustRightInd w:val="0"/>
              <w:snapToGrid w:val="0"/>
              <w:spacing w:line="240" w:lineRule="auto"/>
              <w:ind w:firstLine="440" w:firstLineChars="200"/>
              <w:jc w:val="both"/>
              <w:textAlignment w:val="auto"/>
              <w:rPr>
                <w:rFonts w:hint="eastAsia" w:ascii="宋体" w:hAnsi="宋体" w:eastAsia="宋体" w:cs="宋体"/>
                <w:sz w:val="22"/>
                <w:szCs w:val="22"/>
                <w:highlight w:val="none"/>
                <w:lang w:val="hr-HR"/>
              </w:rPr>
            </w:pPr>
            <w:r>
              <w:rPr>
                <w:rFonts w:hint="eastAsia" w:ascii="宋体" w:hAnsi="宋体" w:eastAsia="宋体" w:cs="宋体"/>
                <w:sz w:val="22"/>
                <w:szCs w:val="22"/>
                <w:highlight w:val="none"/>
                <w:lang w:val="hr-HR"/>
              </w:rPr>
              <w:t>递交</w:t>
            </w:r>
            <w:r>
              <w:rPr>
                <w:rFonts w:hint="eastAsia" w:ascii="宋体" w:hAnsi="宋体" w:cs="宋体"/>
                <w:sz w:val="22"/>
                <w:szCs w:val="22"/>
                <w:highlight w:val="none"/>
                <w:lang w:val="hr-HR" w:eastAsia="zh-CN"/>
              </w:rPr>
              <w:t>响应文件</w:t>
            </w:r>
            <w:r>
              <w:rPr>
                <w:rFonts w:hint="eastAsia" w:ascii="宋体" w:hAnsi="宋体" w:eastAsia="宋体" w:cs="宋体"/>
                <w:sz w:val="22"/>
                <w:szCs w:val="22"/>
                <w:highlight w:val="none"/>
                <w:lang w:val="hr-HR"/>
              </w:rPr>
              <w:t>截止时间的当月成立但因税务机关原因导致其尚未依法缴纳税收的</w:t>
            </w:r>
            <w:r>
              <w:rPr>
                <w:rFonts w:hint="eastAsia" w:ascii="宋体" w:hAnsi="宋体" w:eastAsia="宋体" w:cs="宋体"/>
                <w:sz w:val="22"/>
                <w:szCs w:val="22"/>
                <w:highlight w:val="none"/>
                <w:lang w:val="hr-HR" w:eastAsia="zh-CN"/>
              </w:rPr>
              <w:t>供应商</w:t>
            </w:r>
            <w:r>
              <w:rPr>
                <w:rFonts w:hint="eastAsia" w:ascii="宋体" w:hAnsi="宋体" w:eastAsia="宋体" w:cs="宋体"/>
                <w:sz w:val="22"/>
                <w:szCs w:val="22"/>
                <w:highlight w:val="none"/>
                <w:lang w:val="hr-HR"/>
              </w:rPr>
              <w:t>，提供将依法缴纳税收承诺书原件（格式自拟），该承诺书视同税收缴纳凭据。</w:t>
            </w:r>
          </w:p>
          <w:p w14:paraId="55618339">
            <w:pPr>
              <w:keepNext w:val="0"/>
              <w:keepLines w:val="0"/>
              <w:pageBreakBefore w:val="0"/>
              <w:kinsoku/>
              <w:wordWrap/>
              <w:overflowPunct/>
              <w:topLinePunct w:val="0"/>
              <w:autoSpaceDE/>
              <w:autoSpaceDN/>
              <w:bidi w:val="0"/>
              <w:adjustRightInd w:val="0"/>
              <w:snapToGrid w:val="0"/>
              <w:spacing w:line="240" w:lineRule="auto"/>
              <w:ind w:firstLine="440" w:firstLineChars="200"/>
              <w:jc w:val="both"/>
              <w:textAlignment w:val="auto"/>
              <w:rPr>
                <w:rFonts w:hint="eastAsia" w:ascii="宋体" w:hAnsi="宋体" w:eastAsia="宋体" w:cs="宋体"/>
                <w:sz w:val="22"/>
                <w:szCs w:val="22"/>
                <w:highlight w:val="none"/>
                <w:lang w:val="hr-HR"/>
              </w:rPr>
            </w:pPr>
            <w:r>
              <w:rPr>
                <w:rFonts w:hint="eastAsia" w:ascii="宋体" w:hAnsi="宋体" w:eastAsia="宋体" w:cs="宋体"/>
                <w:sz w:val="22"/>
                <w:szCs w:val="22"/>
                <w:highlight w:val="none"/>
                <w:lang w:val="hr-HR"/>
              </w:rPr>
              <w:t>递交</w:t>
            </w:r>
            <w:r>
              <w:rPr>
                <w:rFonts w:hint="eastAsia" w:ascii="宋体" w:hAnsi="宋体" w:cs="宋体"/>
                <w:sz w:val="22"/>
                <w:szCs w:val="22"/>
                <w:highlight w:val="none"/>
                <w:lang w:val="hr-HR" w:eastAsia="zh-CN"/>
              </w:rPr>
              <w:t>响应文件</w:t>
            </w:r>
            <w:r>
              <w:rPr>
                <w:rFonts w:hint="eastAsia" w:ascii="宋体" w:hAnsi="宋体" w:eastAsia="宋体" w:cs="宋体"/>
                <w:sz w:val="22"/>
                <w:szCs w:val="22"/>
                <w:highlight w:val="none"/>
                <w:lang w:val="hr-HR"/>
              </w:rPr>
              <w:t>截止时间的当月成立但因社会保障资金管理机关原因导致其尚未依法缴纳社会保障资金的</w:t>
            </w:r>
            <w:r>
              <w:rPr>
                <w:rFonts w:hint="eastAsia" w:ascii="宋体" w:hAnsi="宋体" w:eastAsia="宋体" w:cs="宋体"/>
                <w:sz w:val="22"/>
                <w:szCs w:val="22"/>
                <w:highlight w:val="none"/>
                <w:lang w:val="hr-HR" w:eastAsia="zh-CN"/>
              </w:rPr>
              <w:t>供应商</w:t>
            </w:r>
            <w:r>
              <w:rPr>
                <w:rFonts w:hint="eastAsia" w:ascii="宋体" w:hAnsi="宋体" w:eastAsia="宋体" w:cs="宋体"/>
                <w:sz w:val="22"/>
                <w:szCs w:val="22"/>
                <w:highlight w:val="none"/>
                <w:lang w:val="hr-HR"/>
              </w:rPr>
              <w:t>，提供将依法缴纳社会保障资金承诺书原件（格式自拟），该承诺书视同社会保险凭据。</w:t>
            </w:r>
          </w:p>
          <w:p w14:paraId="31202EBF">
            <w:pPr>
              <w:keepNext w:val="0"/>
              <w:keepLines w:val="0"/>
              <w:pageBreakBefore w:val="0"/>
              <w:kinsoku/>
              <w:wordWrap/>
              <w:overflowPunct/>
              <w:topLinePunct w:val="0"/>
              <w:autoSpaceDE/>
              <w:autoSpaceDN/>
              <w:bidi w:val="0"/>
              <w:adjustRightInd w:val="0"/>
              <w:snapToGrid w:val="0"/>
              <w:spacing w:line="240" w:lineRule="auto"/>
              <w:ind w:firstLine="440" w:firstLineChars="200"/>
              <w:jc w:val="both"/>
              <w:textAlignment w:val="auto"/>
              <w:rPr>
                <w:rFonts w:hint="eastAsia" w:ascii="宋体" w:hAnsi="宋体" w:eastAsia="宋体" w:cs="宋体"/>
                <w:sz w:val="22"/>
                <w:szCs w:val="22"/>
                <w:highlight w:val="none"/>
                <w:lang w:val="hr-HR"/>
              </w:rPr>
            </w:pPr>
            <w:r>
              <w:rPr>
                <w:rFonts w:hint="eastAsia" w:ascii="宋体" w:hAnsi="宋体" w:eastAsia="宋体" w:cs="宋体"/>
                <w:sz w:val="22"/>
                <w:szCs w:val="22"/>
                <w:highlight w:val="none"/>
                <w:lang w:val="hr-HR"/>
              </w:rPr>
              <w:t>依法免税或不需要缴纳社会保障资金的</w:t>
            </w:r>
            <w:r>
              <w:rPr>
                <w:rFonts w:hint="eastAsia" w:ascii="宋体" w:hAnsi="宋体" w:eastAsia="宋体" w:cs="宋体"/>
                <w:sz w:val="22"/>
                <w:szCs w:val="22"/>
                <w:highlight w:val="none"/>
                <w:lang w:val="hr-HR" w:eastAsia="zh-CN"/>
              </w:rPr>
              <w:t>供应商</w:t>
            </w:r>
            <w:r>
              <w:rPr>
                <w:rFonts w:hint="eastAsia" w:ascii="宋体" w:hAnsi="宋体" w:eastAsia="宋体" w:cs="宋体"/>
                <w:sz w:val="22"/>
                <w:szCs w:val="22"/>
                <w:highlight w:val="none"/>
                <w:lang w:val="hr-HR"/>
              </w:rPr>
              <w:t>，具有相应文件证明其依法免税或不需要交纳社会保障资金。</w:t>
            </w:r>
          </w:p>
          <w:p w14:paraId="3D2E5338">
            <w:pPr>
              <w:keepNext w:val="0"/>
              <w:keepLines w:val="0"/>
              <w:pageBreakBefore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Cs/>
                <w:sz w:val="22"/>
                <w:szCs w:val="22"/>
              </w:rPr>
            </w:pPr>
            <w:r>
              <w:rPr>
                <w:rFonts w:hint="eastAsia" w:ascii="宋体" w:hAnsi="宋体" w:eastAsia="宋体" w:cs="宋体"/>
                <w:b/>
                <w:sz w:val="22"/>
                <w:szCs w:val="22"/>
                <w:highlight w:val="none"/>
                <w:lang w:val="hr-HR"/>
              </w:rPr>
              <w:t>备注：如果</w:t>
            </w:r>
            <w:r>
              <w:rPr>
                <w:rFonts w:hint="eastAsia" w:ascii="宋体" w:hAnsi="宋体" w:eastAsia="宋体" w:cs="宋体"/>
                <w:b/>
                <w:sz w:val="22"/>
                <w:szCs w:val="22"/>
                <w:highlight w:val="none"/>
                <w:lang w:val="hr-HR" w:eastAsia="zh-CN"/>
              </w:rPr>
              <w:t>供应商</w:t>
            </w:r>
            <w:r>
              <w:rPr>
                <w:rFonts w:hint="eastAsia" w:ascii="宋体" w:hAnsi="宋体" w:eastAsia="宋体" w:cs="宋体"/>
                <w:b/>
                <w:sz w:val="22"/>
                <w:szCs w:val="22"/>
                <w:highlight w:val="none"/>
                <w:lang w:val="hr-HR"/>
              </w:rPr>
              <w:t>同时提供了1）</w:t>
            </w:r>
            <w:r>
              <w:rPr>
                <w:rFonts w:hint="eastAsia" w:ascii="宋体" w:hAnsi="宋体" w:eastAsia="宋体" w:cs="宋体"/>
                <w:b/>
                <w:sz w:val="22"/>
                <w:szCs w:val="22"/>
                <w:highlight w:val="none"/>
                <w:lang w:val="hr-HR" w:eastAsia="zh-CN"/>
              </w:rPr>
              <w:t>书面承诺（格式自拟）</w:t>
            </w:r>
            <w:r>
              <w:rPr>
                <w:rFonts w:hint="eastAsia" w:ascii="宋体" w:hAnsi="宋体" w:eastAsia="宋体" w:cs="宋体"/>
                <w:b/>
                <w:sz w:val="22"/>
                <w:szCs w:val="22"/>
                <w:highlight w:val="none"/>
                <w:lang w:val="hr-HR"/>
              </w:rPr>
              <w:t>、2）相应证明材料，且二者内容不一致的，采购人或者采购代理机构有权任选其中一种进行评审，由</w:t>
            </w:r>
            <w:r>
              <w:rPr>
                <w:rFonts w:hint="eastAsia" w:ascii="宋体" w:hAnsi="宋体" w:eastAsia="宋体" w:cs="宋体"/>
                <w:b/>
                <w:sz w:val="22"/>
                <w:szCs w:val="22"/>
                <w:highlight w:val="none"/>
                <w:lang w:val="hr-HR" w:eastAsia="zh-CN"/>
              </w:rPr>
              <w:t>供应商</w:t>
            </w:r>
            <w:r>
              <w:rPr>
                <w:rFonts w:hint="eastAsia" w:ascii="宋体" w:hAnsi="宋体" w:eastAsia="宋体" w:cs="宋体"/>
                <w:b/>
                <w:sz w:val="22"/>
                <w:szCs w:val="22"/>
                <w:highlight w:val="none"/>
                <w:lang w:val="hr-HR"/>
              </w:rPr>
              <w:t>自行承担一切后果。</w:t>
            </w:r>
          </w:p>
        </w:tc>
        <w:tc>
          <w:tcPr>
            <w:tcW w:w="1090" w:type="dxa"/>
            <w:vAlign w:val="center"/>
          </w:tcPr>
          <w:p w14:paraId="51EDD323">
            <w:pPr>
              <w:keepNext w:val="0"/>
              <w:keepLines w:val="0"/>
              <w:pageBreakBefore w:val="0"/>
              <w:kinsoku/>
              <w:wordWrap/>
              <w:overflowPunct/>
              <w:topLinePunct w:val="0"/>
              <w:autoSpaceDE/>
              <w:autoSpaceDN/>
              <w:bidi w:val="0"/>
              <w:snapToGrid w:val="0"/>
              <w:spacing w:line="240" w:lineRule="auto"/>
              <w:ind w:firstLine="330" w:firstLineChars="150"/>
              <w:jc w:val="both"/>
              <w:textAlignment w:val="auto"/>
              <w:rPr>
                <w:rFonts w:hint="eastAsia" w:ascii="宋体" w:hAnsi="宋体" w:eastAsia="宋体" w:cs="宋体"/>
                <w:bCs/>
                <w:sz w:val="22"/>
                <w:szCs w:val="22"/>
              </w:rPr>
            </w:pPr>
          </w:p>
        </w:tc>
      </w:tr>
      <w:tr w14:paraId="2C343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711" w:type="dxa"/>
            <w:vMerge w:val="continue"/>
            <w:vAlign w:val="center"/>
          </w:tcPr>
          <w:p w14:paraId="00726961">
            <w:pPr>
              <w:keepNext w:val="0"/>
              <w:keepLines w:val="0"/>
              <w:pageBreakBefore w:val="0"/>
              <w:widowControl/>
              <w:numPr>
                <w:ilvl w:val="0"/>
                <w:numId w:val="9"/>
              </w:numPr>
              <w:kinsoku/>
              <w:wordWrap/>
              <w:overflowPunct/>
              <w:topLinePunct w:val="0"/>
              <w:autoSpaceDE/>
              <w:autoSpaceDN/>
              <w:bidi w:val="0"/>
              <w:adjustRightInd w:val="0"/>
              <w:snapToGrid w:val="0"/>
              <w:spacing w:line="240" w:lineRule="auto"/>
              <w:ind w:left="420" w:leftChars="0" w:hanging="420" w:firstLineChars="0"/>
              <w:jc w:val="both"/>
              <w:textAlignment w:val="auto"/>
              <w:rPr>
                <w:rFonts w:hint="eastAsia" w:ascii="宋体" w:hAnsi="宋体" w:eastAsia="宋体" w:cs="宋体"/>
                <w:sz w:val="22"/>
                <w:szCs w:val="22"/>
              </w:rPr>
            </w:pPr>
          </w:p>
        </w:tc>
        <w:tc>
          <w:tcPr>
            <w:tcW w:w="2043" w:type="dxa"/>
            <w:vAlign w:val="center"/>
          </w:tcPr>
          <w:p w14:paraId="78A8BD04">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22"/>
                <w:szCs w:val="22"/>
                <w:lang w:val="hr-HR"/>
              </w:rPr>
            </w:pPr>
            <w:r>
              <w:rPr>
                <w:rFonts w:hint="eastAsia" w:ascii="宋体" w:hAnsi="宋体" w:eastAsia="宋体" w:cs="宋体"/>
                <w:sz w:val="22"/>
                <w:szCs w:val="22"/>
                <w:lang w:val="hr-HR"/>
              </w:rPr>
              <w:t>参加政府采购活动前三年内，在经营活动中没有重大违法记录</w:t>
            </w:r>
          </w:p>
        </w:tc>
        <w:tc>
          <w:tcPr>
            <w:tcW w:w="4650" w:type="dxa"/>
            <w:vAlign w:val="center"/>
          </w:tcPr>
          <w:p w14:paraId="742580F1">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22"/>
                <w:szCs w:val="22"/>
                <w:lang w:val="hr-HR"/>
              </w:rPr>
            </w:pPr>
            <w:r>
              <w:rPr>
                <w:rFonts w:hint="eastAsia" w:ascii="宋体" w:hAnsi="宋体" w:eastAsia="宋体" w:cs="宋体"/>
                <w:bCs/>
                <w:sz w:val="22"/>
                <w:szCs w:val="22"/>
                <w:highlight w:val="none"/>
              </w:rPr>
              <w:t>由</w:t>
            </w:r>
            <w:r>
              <w:rPr>
                <w:rFonts w:hint="eastAsia" w:ascii="宋体" w:hAnsi="宋体" w:eastAsia="宋体" w:cs="宋体"/>
                <w:bCs/>
                <w:sz w:val="22"/>
                <w:szCs w:val="22"/>
                <w:highlight w:val="none"/>
                <w:lang w:eastAsia="zh-CN"/>
              </w:rPr>
              <w:t>供应商</w:t>
            </w:r>
            <w:r>
              <w:rPr>
                <w:rFonts w:hint="eastAsia" w:ascii="宋体" w:hAnsi="宋体" w:eastAsia="宋体" w:cs="宋体"/>
                <w:bCs/>
                <w:sz w:val="22"/>
                <w:szCs w:val="22"/>
                <w:highlight w:val="none"/>
              </w:rPr>
              <w:t>提供</w:t>
            </w:r>
            <w:r>
              <w:rPr>
                <w:rFonts w:hint="eastAsia" w:ascii="宋体" w:hAnsi="宋体" w:eastAsia="宋体" w:cs="宋体"/>
                <w:bCs/>
                <w:sz w:val="22"/>
                <w:szCs w:val="22"/>
                <w:highlight w:val="none"/>
                <w:lang w:eastAsia="zh-CN"/>
              </w:rPr>
              <w:t>书面承诺（格式自拟）</w:t>
            </w:r>
            <w:r>
              <w:rPr>
                <w:rFonts w:hint="eastAsia" w:ascii="宋体" w:hAnsi="宋体" w:eastAsia="宋体" w:cs="宋体"/>
                <w:sz w:val="22"/>
                <w:szCs w:val="22"/>
                <w:highlight w:val="none"/>
              </w:rPr>
              <w:t>，或提供相应证明材料。</w:t>
            </w:r>
          </w:p>
        </w:tc>
        <w:tc>
          <w:tcPr>
            <w:tcW w:w="1090" w:type="dxa"/>
            <w:vAlign w:val="center"/>
          </w:tcPr>
          <w:p w14:paraId="009A7699">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Cs/>
                <w:sz w:val="22"/>
                <w:szCs w:val="22"/>
              </w:rPr>
            </w:pPr>
          </w:p>
        </w:tc>
      </w:tr>
      <w:tr w14:paraId="307B0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711" w:type="dxa"/>
            <w:vMerge w:val="continue"/>
            <w:vAlign w:val="center"/>
          </w:tcPr>
          <w:p w14:paraId="29363163">
            <w:pPr>
              <w:keepNext w:val="0"/>
              <w:keepLines w:val="0"/>
              <w:pageBreakBefore w:val="0"/>
              <w:widowControl/>
              <w:numPr>
                <w:ilvl w:val="0"/>
                <w:numId w:val="9"/>
              </w:numPr>
              <w:kinsoku/>
              <w:wordWrap/>
              <w:overflowPunct/>
              <w:topLinePunct w:val="0"/>
              <w:autoSpaceDE/>
              <w:autoSpaceDN/>
              <w:bidi w:val="0"/>
              <w:adjustRightInd w:val="0"/>
              <w:snapToGrid w:val="0"/>
              <w:spacing w:line="240" w:lineRule="auto"/>
              <w:ind w:left="420" w:leftChars="0" w:hanging="420" w:firstLineChars="0"/>
              <w:jc w:val="both"/>
              <w:textAlignment w:val="auto"/>
              <w:rPr>
                <w:rFonts w:hint="eastAsia" w:ascii="宋体" w:hAnsi="宋体" w:eastAsia="宋体" w:cs="宋体"/>
                <w:sz w:val="22"/>
                <w:szCs w:val="22"/>
              </w:rPr>
            </w:pPr>
          </w:p>
        </w:tc>
        <w:tc>
          <w:tcPr>
            <w:tcW w:w="2043" w:type="dxa"/>
            <w:vAlign w:val="center"/>
          </w:tcPr>
          <w:p w14:paraId="099AB143">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22"/>
                <w:szCs w:val="22"/>
                <w:lang w:val="hr-HR"/>
              </w:rPr>
            </w:pPr>
            <w:r>
              <w:rPr>
                <w:rFonts w:hint="eastAsia" w:ascii="宋体" w:hAnsi="宋体" w:eastAsia="宋体" w:cs="宋体"/>
                <w:sz w:val="22"/>
                <w:szCs w:val="22"/>
                <w:lang w:val="hr-HR"/>
              </w:rPr>
              <w:t>法律、行政法规规定的其他条件</w:t>
            </w:r>
          </w:p>
        </w:tc>
        <w:tc>
          <w:tcPr>
            <w:tcW w:w="4650" w:type="dxa"/>
            <w:vAlign w:val="center"/>
          </w:tcPr>
          <w:p w14:paraId="7194AFD9">
            <w:pPr>
              <w:keepNext w:val="0"/>
              <w:keepLines w:val="0"/>
              <w:pageBreakBefore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22"/>
                <w:szCs w:val="22"/>
                <w:lang w:val="hr-HR"/>
              </w:rPr>
            </w:pPr>
            <w:r>
              <w:rPr>
                <w:rFonts w:hint="eastAsia" w:ascii="宋体" w:hAnsi="宋体" w:eastAsia="宋体" w:cs="宋体"/>
                <w:bCs/>
                <w:sz w:val="22"/>
                <w:szCs w:val="22"/>
                <w:highlight w:val="none"/>
              </w:rPr>
              <w:t>由</w:t>
            </w:r>
            <w:r>
              <w:rPr>
                <w:rFonts w:hint="eastAsia" w:ascii="宋体" w:hAnsi="宋体" w:eastAsia="宋体" w:cs="宋体"/>
                <w:bCs/>
                <w:sz w:val="22"/>
                <w:szCs w:val="22"/>
                <w:highlight w:val="none"/>
                <w:lang w:eastAsia="zh-CN"/>
              </w:rPr>
              <w:t>供应商</w:t>
            </w:r>
            <w:r>
              <w:rPr>
                <w:rFonts w:hint="eastAsia" w:ascii="宋体" w:hAnsi="宋体" w:eastAsia="宋体" w:cs="宋体"/>
                <w:bCs/>
                <w:sz w:val="22"/>
                <w:szCs w:val="22"/>
                <w:highlight w:val="none"/>
              </w:rPr>
              <w:t>提供</w:t>
            </w:r>
            <w:r>
              <w:rPr>
                <w:rFonts w:hint="eastAsia" w:ascii="宋体" w:hAnsi="宋体" w:eastAsia="宋体" w:cs="宋体"/>
                <w:bCs/>
                <w:sz w:val="22"/>
                <w:szCs w:val="22"/>
                <w:highlight w:val="none"/>
                <w:lang w:eastAsia="zh-CN"/>
              </w:rPr>
              <w:t>书面承诺（格式自拟）</w:t>
            </w:r>
            <w:r>
              <w:rPr>
                <w:rFonts w:hint="eastAsia" w:ascii="宋体" w:hAnsi="宋体" w:eastAsia="宋体" w:cs="宋体"/>
                <w:sz w:val="22"/>
                <w:szCs w:val="22"/>
                <w:highlight w:val="none"/>
              </w:rPr>
              <w:t>，或提供相应证明材料。</w:t>
            </w:r>
          </w:p>
        </w:tc>
        <w:tc>
          <w:tcPr>
            <w:tcW w:w="1090" w:type="dxa"/>
            <w:vAlign w:val="center"/>
          </w:tcPr>
          <w:p w14:paraId="3E653160">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22"/>
                <w:szCs w:val="22"/>
                <w:lang w:val="hr-HR"/>
              </w:rPr>
            </w:pPr>
          </w:p>
        </w:tc>
      </w:tr>
      <w:tr w14:paraId="68A87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711" w:type="dxa"/>
            <w:vAlign w:val="center"/>
          </w:tcPr>
          <w:p w14:paraId="3E976FEC">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420" w:leftChars="0" w:hanging="420" w:firstLineChars="0"/>
              <w:jc w:val="both"/>
              <w:textAlignment w:val="auto"/>
              <w:rPr>
                <w:rFonts w:hint="eastAsia" w:ascii="宋体" w:hAnsi="宋体" w:eastAsia="宋体" w:cs="宋体"/>
                <w:sz w:val="22"/>
                <w:szCs w:val="22"/>
              </w:rPr>
            </w:pPr>
            <w:r>
              <w:rPr>
                <w:rFonts w:hint="eastAsia" w:ascii="宋体" w:hAnsi="宋体" w:eastAsia="宋体" w:cs="宋体"/>
                <w:kern w:val="0"/>
                <w:sz w:val="22"/>
                <w:szCs w:val="22"/>
                <w:lang w:val="en-US" w:eastAsia="zh-CN" w:bidi="ar-SA"/>
              </w:rPr>
              <w:t>2.</w:t>
            </w:r>
          </w:p>
        </w:tc>
        <w:tc>
          <w:tcPr>
            <w:tcW w:w="2043" w:type="dxa"/>
            <w:vAlign w:val="center"/>
          </w:tcPr>
          <w:p w14:paraId="56B6AF14">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22"/>
                <w:szCs w:val="22"/>
                <w:lang w:val="hr-HR"/>
              </w:rPr>
            </w:pPr>
            <w:r>
              <w:rPr>
                <w:rFonts w:hint="eastAsia" w:ascii="宋体" w:hAnsi="宋体" w:eastAsia="宋体" w:cs="宋体"/>
                <w:sz w:val="22"/>
                <w:szCs w:val="22"/>
              </w:rPr>
              <w:t>单位负责人为同一人或者存在直接控股、管理关系的不同的供应商，不得参加本项目同一合同项下的政府采购活动</w:t>
            </w:r>
          </w:p>
        </w:tc>
        <w:tc>
          <w:tcPr>
            <w:tcW w:w="4650" w:type="dxa"/>
            <w:vAlign w:val="center"/>
          </w:tcPr>
          <w:p w14:paraId="536D57BE">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22"/>
                <w:szCs w:val="22"/>
                <w:lang w:val="hr-HR"/>
              </w:rPr>
            </w:pPr>
            <w:r>
              <w:rPr>
                <w:rFonts w:hint="eastAsia" w:ascii="宋体" w:hAnsi="宋体" w:eastAsia="宋体" w:cs="宋体"/>
                <w:sz w:val="22"/>
                <w:szCs w:val="22"/>
                <w:highlight w:val="none"/>
                <w:lang w:val="hr-HR"/>
              </w:rPr>
              <w:t>由</w:t>
            </w:r>
            <w:r>
              <w:rPr>
                <w:rFonts w:hint="eastAsia" w:ascii="宋体" w:hAnsi="宋体" w:eastAsia="宋体" w:cs="宋体"/>
                <w:sz w:val="22"/>
                <w:szCs w:val="22"/>
                <w:highlight w:val="none"/>
                <w:lang w:val="hr-HR" w:eastAsia="zh-CN"/>
              </w:rPr>
              <w:t>供应商</w:t>
            </w:r>
            <w:r>
              <w:rPr>
                <w:rFonts w:hint="eastAsia" w:ascii="宋体" w:hAnsi="宋体" w:eastAsia="宋体" w:cs="宋体"/>
                <w:sz w:val="22"/>
                <w:szCs w:val="22"/>
                <w:highlight w:val="none"/>
                <w:lang w:val="hr-HR"/>
              </w:rPr>
              <w:t>在《</w:t>
            </w:r>
            <w:r>
              <w:rPr>
                <w:rFonts w:hint="eastAsia" w:ascii="宋体" w:hAnsi="宋体" w:eastAsia="宋体" w:cs="宋体"/>
                <w:sz w:val="22"/>
                <w:szCs w:val="22"/>
                <w:highlight w:val="none"/>
                <w:lang w:val="hr-HR" w:eastAsia="zh-CN"/>
              </w:rPr>
              <w:t>磋商书</w:t>
            </w:r>
            <w:r>
              <w:rPr>
                <w:rFonts w:hint="eastAsia" w:ascii="宋体" w:hAnsi="宋体" w:eastAsia="宋体" w:cs="宋体"/>
                <w:sz w:val="22"/>
                <w:szCs w:val="22"/>
                <w:highlight w:val="none"/>
                <w:lang w:val="hr-HR"/>
              </w:rPr>
              <w:t>》中声明</w:t>
            </w:r>
          </w:p>
        </w:tc>
        <w:tc>
          <w:tcPr>
            <w:tcW w:w="1090" w:type="dxa"/>
            <w:vAlign w:val="center"/>
          </w:tcPr>
          <w:p w14:paraId="10B3A397">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22"/>
                <w:szCs w:val="22"/>
                <w:lang w:val="hr-HR"/>
              </w:rPr>
            </w:pPr>
          </w:p>
        </w:tc>
      </w:tr>
      <w:tr w14:paraId="58336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711" w:type="dxa"/>
            <w:vAlign w:val="center"/>
          </w:tcPr>
          <w:p w14:paraId="5E6C58AF">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420" w:leftChars="0" w:hanging="420" w:firstLineChars="0"/>
              <w:jc w:val="both"/>
              <w:textAlignment w:val="auto"/>
              <w:rPr>
                <w:rFonts w:hint="eastAsia" w:ascii="宋体" w:hAnsi="宋体" w:eastAsia="宋体" w:cs="宋体"/>
                <w:sz w:val="22"/>
                <w:szCs w:val="22"/>
              </w:rPr>
            </w:pPr>
            <w:r>
              <w:rPr>
                <w:rFonts w:hint="eastAsia" w:ascii="宋体" w:hAnsi="宋体" w:eastAsia="宋体" w:cs="宋体"/>
                <w:kern w:val="0"/>
                <w:sz w:val="22"/>
                <w:szCs w:val="22"/>
                <w:lang w:val="en-US" w:eastAsia="zh-CN" w:bidi="ar-SA"/>
              </w:rPr>
              <w:t>3.</w:t>
            </w:r>
          </w:p>
        </w:tc>
        <w:tc>
          <w:tcPr>
            <w:tcW w:w="2043" w:type="dxa"/>
            <w:vAlign w:val="center"/>
          </w:tcPr>
          <w:p w14:paraId="27E030C3">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22"/>
                <w:szCs w:val="22"/>
              </w:rPr>
            </w:pPr>
            <w:r>
              <w:rPr>
                <w:rFonts w:hint="eastAsia" w:ascii="宋体" w:hAnsi="宋体" w:eastAsia="宋体" w:cs="宋体"/>
                <w:sz w:val="22"/>
                <w:szCs w:val="22"/>
              </w:rPr>
              <w:t>为本采购项目提供整体设计、规范编制或者项目管理、监理、检测等服务的，不得再参加本项目的其他招标采购活动。</w:t>
            </w:r>
          </w:p>
        </w:tc>
        <w:tc>
          <w:tcPr>
            <w:tcW w:w="4650" w:type="dxa"/>
            <w:vAlign w:val="center"/>
          </w:tcPr>
          <w:p w14:paraId="5819B5D3">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22"/>
                <w:szCs w:val="22"/>
                <w:lang w:val="hr-HR"/>
              </w:rPr>
            </w:pPr>
            <w:r>
              <w:rPr>
                <w:rFonts w:hint="eastAsia" w:ascii="宋体" w:hAnsi="宋体" w:eastAsia="宋体" w:cs="宋体"/>
                <w:sz w:val="22"/>
                <w:szCs w:val="22"/>
                <w:highlight w:val="none"/>
                <w:lang w:val="hr-HR"/>
              </w:rPr>
              <w:t>由</w:t>
            </w:r>
            <w:r>
              <w:rPr>
                <w:rFonts w:hint="eastAsia" w:ascii="宋体" w:hAnsi="宋体" w:eastAsia="宋体" w:cs="宋体"/>
                <w:sz w:val="22"/>
                <w:szCs w:val="22"/>
                <w:highlight w:val="none"/>
                <w:lang w:val="hr-HR" w:eastAsia="zh-CN"/>
              </w:rPr>
              <w:t>供应商</w:t>
            </w:r>
            <w:r>
              <w:rPr>
                <w:rFonts w:hint="eastAsia" w:ascii="宋体" w:hAnsi="宋体" w:eastAsia="宋体" w:cs="宋体"/>
                <w:sz w:val="22"/>
                <w:szCs w:val="22"/>
                <w:highlight w:val="none"/>
                <w:lang w:val="hr-HR"/>
              </w:rPr>
              <w:t>在《</w:t>
            </w:r>
            <w:r>
              <w:rPr>
                <w:rFonts w:hint="eastAsia" w:ascii="宋体" w:hAnsi="宋体" w:eastAsia="宋体" w:cs="宋体"/>
                <w:sz w:val="22"/>
                <w:szCs w:val="22"/>
                <w:highlight w:val="none"/>
                <w:lang w:val="hr-HR" w:eastAsia="zh-CN"/>
              </w:rPr>
              <w:t>磋商书</w:t>
            </w:r>
            <w:r>
              <w:rPr>
                <w:rFonts w:hint="eastAsia" w:ascii="宋体" w:hAnsi="宋体" w:eastAsia="宋体" w:cs="宋体"/>
                <w:sz w:val="22"/>
                <w:szCs w:val="22"/>
                <w:highlight w:val="none"/>
                <w:lang w:val="hr-HR"/>
              </w:rPr>
              <w:t>》中声明</w:t>
            </w:r>
          </w:p>
        </w:tc>
        <w:tc>
          <w:tcPr>
            <w:tcW w:w="1090" w:type="dxa"/>
            <w:vAlign w:val="center"/>
          </w:tcPr>
          <w:p w14:paraId="0366D350">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22"/>
                <w:szCs w:val="22"/>
                <w:lang w:val="hr-HR"/>
              </w:rPr>
            </w:pPr>
          </w:p>
        </w:tc>
      </w:tr>
      <w:tr w14:paraId="2EAF8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711" w:type="dxa"/>
            <w:vAlign w:val="center"/>
          </w:tcPr>
          <w:p w14:paraId="6A631027">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420" w:leftChars="0" w:hanging="420" w:firstLineChars="0"/>
              <w:jc w:val="both"/>
              <w:textAlignment w:val="auto"/>
              <w:rPr>
                <w:rFonts w:hint="eastAsia" w:ascii="宋体" w:hAnsi="宋体" w:eastAsia="宋体" w:cs="宋体"/>
                <w:sz w:val="22"/>
                <w:szCs w:val="22"/>
              </w:rPr>
            </w:pPr>
            <w:r>
              <w:rPr>
                <w:rFonts w:hint="eastAsia" w:ascii="宋体" w:hAnsi="宋体" w:eastAsia="宋体" w:cs="宋体"/>
                <w:kern w:val="0"/>
                <w:sz w:val="22"/>
                <w:szCs w:val="22"/>
                <w:lang w:val="en-US" w:eastAsia="zh-CN" w:bidi="ar-SA"/>
              </w:rPr>
              <w:t>4.</w:t>
            </w:r>
          </w:p>
        </w:tc>
        <w:tc>
          <w:tcPr>
            <w:tcW w:w="2043" w:type="dxa"/>
            <w:vAlign w:val="center"/>
          </w:tcPr>
          <w:p w14:paraId="0D4C3121">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22"/>
                <w:szCs w:val="22"/>
              </w:rPr>
            </w:pPr>
            <w:r>
              <w:rPr>
                <w:rFonts w:hint="eastAsia" w:ascii="宋体" w:hAnsi="宋体" w:eastAsia="宋体" w:cs="宋体"/>
                <w:sz w:val="22"/>
                <w:szCs w:val="22"/>
              </w:rPr>
              <w:t>未被列入失信被执行人、</w:t>
            </w:r>
            <w:r>
              <w:rPr>
                <w:rFonts w:hint="eastAsia" w:ascii="宋体" w:hAnsi="宋体" w:eastAsia="宋体" w:cs="宋体"/>
                <w:sz w:val="22"/>
                <w:szCs w:val="22"/>
                <w:lang w:eastAsia="zh-CN"/>
              </w:rPr>
              <w:t>重大税收违法失信主体</w:t>
            </w:r>
            <w:r>
              <w:rPr>
                <w:rFonts w:hint="eastAsia" w:ascii="宋体" w:hAnsi="宋体" w:eastAsia="宋体" w:cs="宋体"/>
                <w:sz w:val="22"/>
                <w:szCs w:val="22"/>
              </w:rPr>
              <w:t>，未被列入政府采购严重违法失信行为记录名单。</w:t>
            </w:r>
          </w:p>
        </w:tc>
        <w:tc>
          <w:tcPr>
            <w:tcW w:w="4650" w:type="dxa"/>
            <w:vAlign w:val="center"/>
          </w:tcPr>
          <w:p w14:paraId="4B6D3C73">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22"/>
                <w:szCs w:val="22"/>
                <w:lang w:val="hr-HR"/>
              </w:rPr>
            </w:pPr>
            <w:r>
              <w:rPr>
                <w:rFonts w:hint="eastAsia" w:ascii="宋体" w:hAnsi="宋体" w:eastAsia="宋体" w:cs="宋体"/>
                <w:sz w:val="22"/>
                <w:szCs w:val="22"/>
                <w:highlight w:val="none"/>
                <w:lang w:val="hr-HR"/>
              </w:rPr>
              <w:t>以采购人和采购代理机构在投标截止日在“信用中国”网站（www.creditchina.gov.cn）及中国政府采购网(www.ccgp.gov.cn)查询的</w:t>
            </w:r>
            <w:r>
              <w:rPr>
                <w:rFonts w:hint="eastAsia" w:ascii="宋体" w:hAnsi="宋体" w:eastAsia="宋体" w:cs="宋体"/>
                <w:sz w:val="22"/>
                <w:szCs w:val="22"/>
                <w:highlight w:val="none"/>
                <w:lang w:val="hr-HR" w:eastAsia="zh-CN"/>
              </w:rPr>
              <w:t>供应商</w:t>
            </w:r>
            <w:r>
              <w:rPr>
                <w:rFonts w:hint="eastAsia" w:ascii="宋体" w:hAnsi="宋体" w:eastAsia="宋体" w:cs="宋体"/>
                <w:sz w:val="22"/>
                <w:szCs w:val="22"/>
                <w:highlight w:val="none"/>
                <w:lang w:val="hr-HR"/>
              </w:rPr>
              <w:t>参加政府采购活动前三年内的结果为准（采购人和采购代理机构对信用信息查询记录和证据截图或下载存档）。</w:t>
            </w:r>
          </w:p>
        </w:tc>
        <w:tc>
          <w:tcPr>
            <w:tcW w:w="1090" w:type="dxa"/>
            <w:vAlign w:val="center"/>
          </w:tcPr>
          <w:p w14:paraId="40E6C215">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22"/>
                <w:szCs w:val="22"/>
                <w:lang w:val="hr-HR"/>
              </w:rPr>
            </w:pPr>
          </w:p>
        </w:tc>
      </w:tr>
      <w:tr w14:paraId="432EE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711" w:type="dxa"/>
            <w:vAlign w:val="center"/>
          </w:tcPr>
          <w:p w14:paraId="0A6E8CEC">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420" w:leftChars="0" w:hanging="420" w:firstLineChars="0"/>
              <w:jc w:val="both"/>
              <w:textAlignment w:val="auto"/>
              <w:rPr>
                <w:rFonts w:hint="eastAsia" w:ascii="宋体" w:hAnsi="宋体" w:eastAsia="宋体" w:cs="宋体"/>
                <w:sz w:val="22"/>
                <w:szCs w:val="22"/>
              </w:rPr>
            </w:pPr>
            <w:r>
              <w:rPr>
                <w:rFonts w:hint="eastAsia" w:ascii="宋体" w:hAnsi="宋体" w:eastAsia="宋体" w:cs="宋体"/>
                <w:kern w:val="0"/>
                <w:sz w:val="22"/>
                <w:szCs w:val="22"/>
                <w:lang w:val="en-US" w:eastAsia="zh-CN" w:bidi="ar-SA"/>
              </w:rPr>
              <w:t>5.</w:t>
            </w:r>
          </w:p>
        </w:tc>
        <w:tc>
          <w:tcPr>
            <w:tcW w:w="2043" w:type="dxa"/>
            <w:vAlign w:val="center"/>
          </w:tcPr>
          <w:p w14:paraId="7FE90155">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22"/>
                <w:szCs w:val="22"/>
              </w:rPr>
            </w:pPr>
            <w:r>
              <w:rPr>
                <w:rFonts w:hint="eastAsia" w:ascii="宋体" w:hAnsi="宋体" w:eastAsia="宋体" w:cs="宋体"/>
                <w:sz w:val="22"/>
                <w:szCs w:val="22"/>
              </w:rPr>
              <w:t>落实政府采购政策需满足的资格要求</w:t>
            </w:r>
          </w:p>
        </w:tc>
        <w:tc>
          <w:tcPr>
            <w:tcW w:w="4650" w:type="dxa"/>
            <w:vAlign w:val="center"/>
          </w:tcPr>
          <w:p w14:paraId="2DA45A84">
            <w:pPr>
              <w:keepNext w:val="0"/>
              <w:keepLines w:val="0"/>
              <w:pageBreakBefore w:val="0"/>
              <w:kinsoku/>
              <w:wordWrap/>
              <w:overflowPunct/>
              <w:topLinePunct w:val="0"/>
              <w:autoSpaceDE/>
              <w:autoSpaceDN/>
              <w:bidi w:val="0"/>
              <w:spacing w:line="240" w:lineRule="auto"/>
              <w:jc w:val="both"/>
              <w:textAlignment w:val="auto"/>
              <w:rPr>
                <w:rFonts w:hint="eastAsia" w:ascii="宋体" w:hAnsi="宋体" w:eastAsia="宋体" w:cs="宋体"/>
                <w:sz w:val="22"/>
                <w:szCs w:val="22"/>
                <w:lang w:eastAsia="zh-CN"/>
              </w:rPr>
            </w:pPr>
            <w:r>
              <w:rPr>
                <w:rFonts w:hint="eastAsia" w:ascii="宋体" w:hAnsi="宋体" w:eastAsia="宋体" w:cs="宋体"/>
                <w:sz w:val="22"/>
                <w:szCs w:val="22"/>
                <w:highlight w:val="none"/>
                <w:lang w:eastAsia="zh-CN"/>
              </w:rPr>
              <w:t>本政府采购项目是专门面向中小微企业项目（所属行业：软件和信息技术服务业），供应商需提供中小企业声明函（财库[2020]46号文附件）。（根据财库[2017]141号和财库[2014]68号文件的要求，监狱企业和残疾人政府采购政策等同于中小微企业政策）。</w:t>
            </w:r>
          </w:p>
        </w:tc>
        <w:tc>
          <w:tcPr>
            <w:tcW w:w="1090" w:type="dxa"/>
            <w:vAlign w:val="center"/>
          </w:tcPr>
          <w:p w14:paraId="10B289EA">
            <w:pPr>
              <w:keepNext w:val="0"/>
              <w:keepLines w:val="0"/>
              <w:pageBreakBefore w:val="0"/>
              <w:kinsoku/>
              <w:wordWrap/>
              <w:overflowPunct/>
              <w:topLinePunct w:val="0"/>
              <w:autoSpaceDE/>
              <w:autoSpaceDN/>
              <w:bidi w:val="0"/>
              <w:spacing w:line="240" w:lineRule="auto"/>
              <w:jc w:val="both"/>
              <w:textAlignment w:val="auto"/>
              <w:rPr>
                <w:rFonts w:hint="eastAsia" w:ascii="宋体" w:hAnsi="宋体" w:eastAsia="宋体" w:cs="宋体"/>
                <w:sz w:val="22"/>
                <w:szCs w:val="22"/>
              </w:rPr>
            </w:pPr>
          </w:p>
        </w:tc>
      </w:tr>
      <w:tr w14:paraId="6CF45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711" w:type="dxa"/>
            <w:vAlign w:val="center"/>
          </w:tcPr>
          <w:p w14:paraId="1CC46307">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Chars="0"/>
              <w:textAlignment w:val="auto"/>
              <w:rPr>
                <w:rFonts w:hint="default" w:ascii="宋体" w:hAnsi="宋体" w:eastAsia="宋体" w:cs="宋体"/>
                <w:sz w:val="22"/>
                <w:szCs w:val="22"/>
                <w:lang w:val="en-US" w:eastAsia="zh-CN"/>
              </w:rPr>
            </w:pPr>
            <w:r>
              <w:rPr>
                <w:rFonts w:hint="eastAsia" w:ascii="宋体" w:hAnsi="宋体" w:cs="宋体"/>
                <w:sz w:val="22"/>
                <w:szCs w:val="22"/>
                <w:lang w:val="en-US" w:eastAsia="zh-CN"/>
              </w:rPr>
              <w:t>6.</w:t>
            </w:r>
          </w:p>
        </w:tc>
        <w:tc>
          <w:tcPr>
            <w:tcW w:w="2043" w:type="dxa"/>
            <w:vAlign w:val="center"/>
          </w:tcPr>
          <w:p w14:paraId="2657FF38">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 w:val="22"/>
                <w:szCs w:val="22"/>
                <w:lang w:val="hr-HR"/>
              </w:rPr>
            </w:pPr>
            <w:r>
              <w:rPr>
                <w:rFonts w:hint="eastAsia" w:ascii="宋体" w:hAnsi="宋体" w:eastAsia="宋体" w:cs="宋体"/>
                <w:sz w:val="22"/>
                <w:szCs w:val="22"/>
                <w:lang w:val="hr-HR"/>
              </w:rPr>
              <w:t>本项目的特定资格要求</w:t>
            </w:r>
          </w:p>
        </w:tc>
        <w:tc>
          <w:tcPr>
            <w:tcW w:w="4650" w:type="dxa"/>
            <w:vAlign w:val="center"/>
          </w:tcPr>
          <w:p w14:paraId="6EE13907">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sz w:val="22"/>
                <w:szCs w:val="22"/>
              </w:rPr>
            </w:pPr>
            <w:r>
              <w:rPr>
                <w:rFonts w:hint="eastAsia" w:ascii="宋体" w:hAnsi="宋体" w:eastAsia="宋体" w:cs="宋体"/>
                <w:sz w:val="22"/>
                <w:szCs w:val="22"/>
              </w:rPr>
              <w:t>供应商未被列入“信用中国”网站(www.creditchina.gov.cn)失信被执行人、重大税收违法失信主体、政府采购严重违法失信行为记录名单和“中国政府采购”网站（www.ccgp.gov.cn）政府采购严重违法失信行为记录名单。</w:t>
            </w:r>
          </w:p>
        </w:tc>
        <w:tc>
          <w:tcPr>
            <w:tcW w:w="1090" w:type="dxa"/>
          </w:tcPr>
          <w:p w14:paraId="1A9DC65A">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sz w:val="22"/>
                <w:szCs w:val="22"/>
              </w:rPr>
            </w:pPr>
          </w:p>
        </w:tc>
      </w:tr>
    </w:tbl>
    <w:p w14:paraId="25665DF1">
      <w:pPr>
        <w:snapToGrid/>
        <w:spacing w:beforeAutospacing="0" w:afterAutospacing="0" w:line="560" w:lineRule="exact"/>
        <w:ind w:left="0" w:leftChars="0" w:right="0" w:rightChars="0" w:firstLine="482" w:firstLineChars="0"/>
        <w:jc w:val="left"/>
        <w:rPr>
          <w:rFonts w:hint="eastAsia" w:ascii="宋体" w:hAnsi="宋体" w:eastAsia="宋体" w:cs="宋体"/>
          <w:sz w:val="24"/>
        </w:rPr>
      </w:pPr>
    </w:p>
    <w:p w14:paraId="00566F3D">
      <w:pPr>
        <w:pStyle w:val="4"/>
        <w:snapToGrid/>
        <w:spacing w:before="0" w:beforeAutospacing="0" w:after="0" w:afterAutospacing="0" w:line="560" w:lineRule="exact"/>
        <w:ind w:left="0" w:leftChars="0" w:right="0" w:rightChars="0" w:firstLine="482" w:firstLineChars="0"/>
        <w:jc w:val="left"/>
        <w:rPr>
          <w:rFonts w:hint="eastAsia" w:ascii="宋体" w:hAnsi="宋体" w:eastAsia="宋体" w:cs="宋体"/>
          <w:b w:val="0"/>
          <w:bCs w:val="0"/>
          <w:sz w:val="24"/>
          <w:szCs w:val="21"/>
        </w:rPr>
        <w:sectPr>
          <w:type w:val="nextColumn"/>
          <w:pgSz w:w="11905" w:h="16838"/>
          <w:pgMar w:top="1440" w:right="1797" w:bottom="1440" w:left="1797" w:header="850" w:footer="850" w:gutter="0"/>
          <w:pgNumType w:fmt="decimal"/>
          <w:cols w:space="720" w:num="1"/>
          <w:docGrid w:linePitch="312" w:charSpace="0"/>
        </w:sectPr>
      </w:pPr>
      <w:bookmarkStart w:id="743" w:name="_Toc57148503"/>
      <w:bookmarkStart w:id="744" w:name="_Toc60575577"/>
      <w:bookmarkStart w:id="745" w:name="_Toc56714503"/>
    </w:p>
    <w:p w14:paraId="417F6180">
      <w:pPr>
        <w:pStyle w:val="4"/>
        <w:snapToGrid/>
        <w:spacing w:before="0" w:beforeAutospacing="0" w:after="0" w:afterAutospacing="0" w:line="560" w:lineRule="exact"/>
        <w:ind w:left="0" w:leftChars="0" w:right="0" w:rightChars="0" w:firstLine="482" w:firstLineChars="0"/>
        <w:jc w:val="center"/>
        <w:rPr>
          <w:rFonts w:hint="eastAsia" w:ascii="宋体" w:hAnsi="宋体" w:eastAsia="宋体" w:cs="宋体"/>
          <w:b w:val="0"/>
          <w:kern w:val="0"/>
          <w:sz w:val="24"/>
        </w:rPr>
      </w:pPr>
      <w:bookmarkStart w:id="746" w:name="_Toc109900009"/>
      <w:bookmarkStart w:id="747" w:name="_Toc109900428"/>
      <w:bookmarkStart w:id="748" w:name="_Toc109897491"/>
      <w:bookmarkStart w:id="749" w:name="_Toc31687"/>
      <w:r>
        <w:rPr>
          <w:rFonts w:hint="eastAsia" w:ascii="宋体" w:hAnsi="宋体" w:eastAsia="宋体" w:cs="宋体"/>
          <w:bCs w:val="0"/>
          <w:sz w:val="24"/>
          <w:szCs w:val="21"/>
        </w:rPr>
        <w:t>评标导航表</w:t>
      </w:r>
      <w:bookmarkEnd w:id="743"/>
      <w:bookmarkEnd w:id="744"/>
      <w:bookmarkEnd w:id="745"/>
      <w:bookmarkEnd w:id="746"/>
      <w:bookmarkEnd w:id="747"/>
      <w:bookmarkEnd w:id="748"/>
      <w:bookmarkEnd w:id="749"/>
    </w:p>
    <w:tbl>
      <w:tblPr>
        <w:tblStyle w:val="88"/>
        <w:tblW w:w="87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816"/>
        <w:gridCol w:w="938"/>
        <w:gridCol w:w="2796"/>
        <w:gridCol w:w="2173"/>
        <w:gridCol w:w="1122"/>
      </w:tblGrid>
      <w:tr w14:paraId="18B5F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876" w:type="dxa"/>
            <w:shd w:val="clear" w:color="auto" w:fill="BFBFBF"/>
            <w:vAlign w:val="center"/>
          </w:tcPr>
          <w:p w14:paraId="4851E1FF">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评审</w:t>
            </w:r>
          </w:p>
          <w:p w14:paraId="25374BAA">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项目</w:t>
            </w:r>
          </w:p>
        </w:tc>
        <w:tc>
          <w:tcPr>
            <w:tcW w:w="816" w:type="dxa"/>
            <w:shd w:val="clear" w:color="auto" w:fill="BFBFBF"/>
            <w:vAlign w:val="center"/>
          </w:tcPr>
          <w:p w14:paraId="79CFBD41">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项目</w:t>
            </w:r>
          </w:p>
        </w:tc>
        <w:tc>
          <w:tcPr>
            <w:tcW w:w="938" w:type="dxa"/>
            <w:shd w:val="clear" w:color="auto" w:fill="BFBFBF"/>
            <w:vAlign w:val="center"/>
          </w:tcPr>
          <w:p w14:paraId="4F6D4D6E">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分值</w:t>
            </w:r>
          </w:p>
        </w:tc>
        <w:tc>
          <w:tcPr>
            <w:tcW w:w="2796" w:type="dxa"/>
            <w:shd w:val="clear" w:color="auto" w:fill="BFBFBF"/>
            <w:vAlign w:val="center"/>
          </w:tcPr>
          <w:p w14:paraId="0956F5E8">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评分标准</w:t>
            </w:r>
          </w:p>
        </w:tc>
        <w:tc>
          <w:tcPr>
            <w:tcW w:w="2173" w:type="dxa"/>
            <w:shd w:val="clear" w:color="auto" w:fill="BFBFBF"/>
            <w:vAlign w:val="center"/>
          </w:tcPr>
          <w:p w14:paraId="331D5004">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供应商响应</w:t>
            </w:r>
          </w:p>
        </w:tc>
        <w:tc>
          <w:tcPr>
            <w:tcW w:w="1122" w:type="dxa"/>
            <w:shd w:val="clear" w:color="auto" w:fill="BFBFBF"/>
            <w:vAlign w:val="center"/>
          </w:tcPr>
          <w:p w14:paraId="752A3482">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响应文件对应页码</w:t>
            </w:r>
          </w:p>
        </w:tc>
      </w:tr>
      <w:tr w14:paraId="4A049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876" w:type="dxa"/>
            <w:vMerge w:val="restart"/>
            <w:vAlign w:val="center"/>
          </w:tcPr>
          <w:p w14:paraId="6D73C8A9">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报价</w:t>
            </w:r>
          </w:p>
          <w:p w14:paraId="219D6622">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部分</w:t>
            </w:r>
          </w:p>
        </w:tc>
        <w:tc>
          <w:tcPr>
            <w:tcW w:w="816" w:type="dxa"/>
            <w:vAlign w:val="center"/>
          </w:tcPr>
          <w:p w14:paraId="56DB6731">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color w:val="000000" w:themeColor="text1"/>
                <w:sz w:val="22"/>
                <w:szCs w:val="22"/>
                <w14:textFill>
                  <w14:solidFill>
                    <w14:schemeClr w14:val="tx1"/>
                  </w14:solidFill>
                </w14:textFill>
              </w:rPr>
            </w:pPr>
          </w:p>
        </w:tc>
        <w:tc>
          <w:tcPr>
            <w:tcW w:w="938" w:type="dxa"/>
            <w:vAlign w:val="center"/>
          </w:tcPr>
          <w:p w14:paraId="3209DAF4">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color w:val="000000" w:themeColor="text1"/>
                <w:sz w:val="22"/>
                <w:szCs w:val="22"/>
                <w14:textFill>
                  <w14:solidFill>
                    <w14:schemeClr w14:val="tx1"/>
                  </w14:solidFill>
                </w14:textFill>
              </w:rPr>
            </w:pPr>
          </w:p>
        </w:tc>
        <w:tc>
          <w:tcPr>
            <w:tcW w:w="2796" w:type="dxa"/>
            <w:vAlign w:val="center"/>
          </w:tcPr>
          <w:p w14:paraId="3B276B6A">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color w:val="000000" w:themeColor="text1"/>
                <w:sz w:val="22"/>
                <w:szCs w:val="22"/>
                <w14:textFill>
                  <w14:solidFill>
                    <w14:schemeClr w14:val="tx1"/>
                  </w14:solidFill>
                </w14:textFill>
              </w:rPr>
            </w:pPr>
          </w:p>
        </w:tc>
        <w:tc>
          <w:tcPr>
            <w:tcW w:w="2173" w:type="dxa"/>
            <w:vAlign w:val="center"/>
          </w:tcPr>
          <w:p w14:paraId="5D3EF795">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
                <w:bCs/>
                <w:sz w:val="22"/>
                <w:szCs w:val="22"/>
              </w:rPr>
            </w:pPr>
          </w:p>
        </w:tc>
        <w:tc>
          <w:tcPr>
            <w:tcW w:w="1122" w:type="dxa"/>
            <w:vAlign w:val="center"/>
          </w:tcPr>
          <w:p w14:paraId="77D17FC5">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
                <w:bCs/>
                <w:sz w:val="22"/>
                <w:szCs w:val="22"/>
              </w:rPr>
            </w:pPr>
          </w:p>
        </w:tc>
      </w:tr>
      <w:tr w14:paraId="3FECD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76" w:type="dxa"/>
            <w:vMerge w:val="continue"/>
            <w:vAlign w:val="center"/>
          </w:tcPr>
          <w:p w14:paraId="15680978">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
                <w:bCs/>
                <w:color w:val="000000" w:themeColor="text1"/>
                <w:sz w:val="22"/>
                <w:szCs w:val="22"/>
                <w14:textFill>
                  <w14:solidFill>
                    <w14:schemeClr w14:val="tx1"/>
                  </w14:solidFill>
                </w14:textFill>
              </w:rPr>
            </w:pPr>
          </w:p>
        </w:tc>
        <w:tc>
          <w:tcPr>
            <w:tcW w:w="816" w:type="dxa"/>
            <w:vAlign w:val="center"/>
          </w:tcPr>
          <w:p w14:paraId="686C840D">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color w:val="000000" w:themeColor="text1"/>
                <w:sz w:val="22"/>
                <w:szCs w:val="22"/>
                <w14:textFill>
                  <w14:solidFill>
                    <w14:schemeClr w14:val="tx1"/>
                  </w14:solidFill>
                </w14:textFill>
              </w:rPr>
            </w:pPr>
          </w:p>
        </w:tc>
        <w:tc>
          <w:tcPr>
            <w:tcW w:w="938" w:type="dxa"/>
            <w:vAlign w:val="center"/>
          </w:tcPr>
          <w:p w14:paraId="73D6CFE4">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color w:val="000000" w:themeColor="text1"/>
                <w:sz w:val="22"/>
                <w:szCs w:val="22"/>
                <w14:textFill>
                  <w14:solidFill>
                    <w14:schemeClr w14:val="tx1"/>
                  </w14:solidFill>
                </w14:textFill>
              </w:rPr>
            </w:pPr>
          </w:p>
        </w:tc>
        <w:tc>
          <w:tcPr>
            <w:tcW w:w="2796" w:type="dxa"/>
            <w:vAlign w:val="center"/>
          </w:tcPr>
          <w:p w14:paraId="5BC0248B">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
                <w:color w:val="000000" w:themeColor="text1"/>
                <w:sz w:val="22"/>
                <w:szCs w:val="22"/>
                <w14:textFill>
                  <w14:solidFill>
                    <w14:schemeClr w14:val="tx1"/>
                  </w14:solidFill>
                </w14:textFill>
              </w:rPr>
            </w:pPr>
            <w:r>
              <w:rPr>
                <w:rFonts w:hint="eastAsia" w:ascii="宋体" w:hAnsi="宋体" w:eastAsia="宋体" w:cs="宋体"/>
                <w:b/>
                <w:color w:val="000000" w:themeColor="text1"/>
                <w:sz w:val="22"/>
                <w:szCs w:val="22"/>
                <w14:textFill>
                  <w14:solidFill>
                    <w14:schemeClr w14:val="tx1"/>
                  </w14:solidFill>
                </w14:textFill>
              </w:rPr>
              <w:t>支持中小企业政策</w:t>
            </w:r>
          </w:p>
        </w:tc>
        <w:tc>
          <w:tcPr>
            <w:tcW w:w="2173" w:type="dxa"/>
            <w:vAlign w:val="center"/>
          </w:tcPr>
          <w:p w14:paraId="206EB3B7">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
                <w:bCs/>
                <w:sz w:val="22"/>
                <w:szCs w:val="22"/>
              </w:rPr>
            </w:pPr>
          </w:p>
        </w:tc>
        <w:tc>
          <w:tcPr>
            <w:tcW w:w="1122" w:type="dxa"/>
            <w:vAlign w:val="center"/>
          </w:tcPr>
          <w:p w14:paraId="2F619146">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
                <w:bCs/>
                <w:sz w:val="22"/>
                <w:szCs w:val="22"/>
              </w:rPr>
            </w:pPr>
          </w:p>
        </w:tc>
      </w:tr>
      <w:tr w14:paraId="5D5E4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876" w:type="dxa"/>
            <w:vMerge w:val="continue"/>
            <w:vAlign w:val="center"/>
          </w:tcPr>
          <w:p w14:paraId="643D0840">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
                <w:bCs/>
                <w:color w:val="000000" w:themeColor="text1"/>
                <w:sz w:val="22"/>
                <w:szCs w:val="22"/>
                <w14:textFill>
                  <w14:solidFill>
                    <w14:schemeClr w14:val="tx1"/>
                  </w14:solidFill>
                </w14:textFill>
              </w:rPr>
            </w:pPr>
          </w:p>
        </w:tc>
        <w:tc>
          <w:tcPr>
            <w:tcW w:w="816" w:type="dxa"/>
            <w:vAlign w:val="center"/>
          </w:tcPr>
          <w:p w14:paraId="05E08CE8">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color w:val="000000" w:themeColor="text1"/>
                <w:sz w:val="22"/>
                <w:szCs w:val="22"/>
                <w14:textFill>
                  <w14:solidFill>
                    <w14:schemeClr w14:val="tx1"/>
                  </w14:solidFill>
                </w14:textFill>
              </w:rPr>
            </w:pPr>
          </w:p>
        </w:tc>
        <w:tc>
          <w:tcPr>
            <w:tcW w:w="938" w:type="dxa"/>
            <w:vAlign w:val="center"/>
          </w:tcPr>
          <w:p w14:paraId="3815793E">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color w:val="000000" w:themeColor="text1"/>
                <w:sz w:val="22"/>
                <w:szCs w:val="22"/>
                <w14:textFill>
                  <w14:solidFill>
                    <w14:schemeClr w14:val="tx1"/>
                  </w14:solidFill>
                </w14:textFill>
              </w:rPr>
            </w:pPr>
          </w:p>
        </w:tc>
        <w:tc>
          <w:tcPr>
            <w:tcW w:w="2796" w:type="dxa"/>
            <w:vAlign w:val="center"/>
          </w:tcPr>
          <w:p w14:paraId="7179C8D7">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
                <w:color w:val="000000" w:themeColor="text1"/>
                <w:sz w:val="22"/>
                <w:szCs w:val="22"/>
                <w14:textFill>
                  <w14:solidFill>
                    <w14:schemeClr w14:val="tx1"/>
                  </w14:solidFill>
                </w14:textFill>
              </w:rPr>
            </w:pPr>
            <w:r>
              <w:rPr>
                <w:rFonts w:hint="eastAsia" w:ascii="宋体" w:hAnsi="宋体" w:eastAsia="宋体" w:cs="宋体"/>
                <w:b/>
                <w:color w:val="000000" w:themeColor="text1"/>
                <w:sz w:val="22"/>
                <w:szCs w:val="22"/>
                <w14:textFill>
                  <w14:solidFill>
                    <w14:schemeClr w14:val="tx1"/>
                  </w14:solidFill>
                </w14:textFill>
              </w:rPr>
              <w:t>采购节能产品政策</w:t>
            </w:r>
          </w:p>
        </w:tc>
        <w:tc>
          <w:tcPr>
            <w:tcW w:w="2173" w:type="dxa"/>
            <w:vAlign w:val="center"/>
          </w:tcPr>
          <w:p w14:paraId="668A9A5A">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
                <w:bCs/>
                <w:sz w:val="22"/>
                <w:szCs w:val="22"/>
              </w:rPr>
            </w:pPr>
          </w:p>
        </w:tc>
        <w:tc>
          <w:tcPr>
            <w:tcW w:w="1122" w:type="dxa"/>
            <w:vAlign w:val="center"/>
          </w:tcPr>
          <w:p w14:paraId="71F32030">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
                <w:bCs/>
                <w:sz w:val="22"/>
                <w:szCs w:val="22"/>
              </w:rPr>
            </w:pPr>
          </w:p>
        </w:tc>
      </w:tr>
      <w:tr w14:paraId="4BCF6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876" w:type="dxa"/>
            <w:vMerge w:val="continue"/>
            <w:vAlign w:val="center"/>
          </w:tcPr>
          <w:p w14:paraId="236E940A">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
                <w:bCs/>
                <w:color w:val="000000" w:themeColor="text1"/>
                <w:sz w:val="22"/>
                <w:szCs w:val="22"/>
                <w14:textFill>
                  <w14:solidFill>
                    <w14:schemeClr w14:val="tx1"/>
                  </w14:solidFill>
                </w14:textFill>
              </w:rPr>
            </w:pPr>
          </w:p>
        </w:tc>
        <w:tc>
          <w:tcPr>
            <w:tcW w:w="816" w:type="dxa"/>
            <w:vAlign w:val="center"/>
          </w:tcPr>
          <w:p w14:paraId="2C0240F7">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color w:val="000000" w:themeColor="text1"/>
                <w:sz w:val="22"/>
                <w:szCs w:val="22"/>
                <w14:textFill>
                  <w14:solidFill>
                    <w14:schemeClr w14:val="tx1"/>
                  </w14:solidFill>
                </w14:textFill>
              </w:rPr>
            </w:pPr>
          </w:p>
        </w:tc>
        <w:tc>
          <w:tcPr>
            <w:tcW w:w="938" w:type="dxa"/>
            <w:vAlign w:val="center"/>
          </w:tcPr>
          <w:p w14:paraId="05A4AC8E">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color w:val="000000" w:themeColor="text1"/>
                <w:sz w:val="22"/>
                <w:szCs w:val="22"/>
                <w14:textFill>
                  <w14:solidFill>
                    <w14:schemeClr w14:val="tx1"/>
                  </w14:solidFill>
                </w14:textFill>
              </w:rPr>
            </w:pPr>
          </w:p>
        </w:tc>
        <w:tc>
          <w:tcPr>
            <w:tcW w:w="2796" w:type="dxa"/>
            <w:vAlign w:val="center"/>
          </w:tcPr>
          <w:p w14:paraId="792DBDD1">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
                <w:color w:val="000000" w:themeColor="text1"/>
                <w:sz w:val="22"/>
                <w:szCs w:val="22"/>
                <w14:textFill>
                  <w14:solidFill>
                    <w14:schemeClr w14:val="tx1"/>
                  </w14:solidFill>
                </w14:textFill>
              </w:rPr>
            </w:pPr>
            <w:r>
              <w:rPr>
                <w:rFonts w:hint="eastAsia" w:ascii="宋体" w:hAnsi="宋体" w:eastAsia="宋体" w:cs="宋体"/>
                <w:b/>
                <w:color w:val="000000" w:themeColor="text1"/>
                <w:sz w:val="22"/>
                <w:szCs w:val="22"/>
                <w14:textFill>
                  <w14:solidFill>
                    <w14:schemeClr w14:val="tx1"/>
                  </w14:solidFill>
                </w14:textFill>
              </w:rPr>
              <w:t>采购环保产品政策</w:t>
            </w:r>
          </w:p>
        </w:tc>
        <w:tc>
          <w:tcPr>
            <w:tcW w:w="2173" w:type="dxa"/>
            <w:vAlign w:val="center"/>
          </w:tcPr>
          <w:p w14:paraId="1659E041">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
                <w:bCs/>
                <w:sz w:val="22"/>
                <w:szCs w:val="22"/>
              </w:rPr>
            </w:pPr>
          </w:p>
        </w:tc>
        <w:tc>
          <w:tcPr>
            <w:tcW w:w="1122" w:type="dxa"/>
            <w:vAlign w:val="center"/>
          </w:tcPr>
          <w:p w14:paraId="656114F8">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
                <w:bCs/>
                <w:sz w:val="22"/>
                <w:szCs w:val="22"/>
              </w:rPr>
            </w:pPr>
          </w:p>
        </w:tc>
      </w:tr>
      <w:tr w14:paraId="25E0C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restart"/>
            <w:vAlign w:val="center"/>
          </w:tcPr>
          <w:p w14:paraId="164C348D">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商务</w:t>
            </w:r>
          </w:p>
          <w:p w14:paraId="1FBBE79C">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部分</w:t>
            </w:r>
          </w:p>
        </w:tc>
        <w:tc>
          <w:tcPr>
            <w:tcW w:w="816" w:type="dxa"/>
            <w:vMerge w:val="restart"/>
            <w:vAlign w:val="center"/>
          </w:tcPr>
          <w:p w14:paraId="6FC0835C">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c>
          <w:tcPr>
            <w:tcW w:w="938" w:type="dxa"/>
            <w:vAlign w:val="center"/>
          </w:tcPr>
          <w:p w14:paraId="0209BC43">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c>
          <w:tcPr>
            <w:tcW w:w="2796" w:type="dxa"/>
            <w:vAlign w:val="center"/>
          </w:tcPr>
          <w:p w14:paraId="170249E7">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c>
          <w:tcPr>
            <w:tcW w:w="2173" w:type="dxa"/>
            <w:vAlign w:val="center"/>
          </w:tcPr>
          <w:p w14:paraId="0FA7E453">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c>
          <w:tcPr>
            <w:tcW w:w="1122" w:type="dxa"/>
            <w:vAlign w:val="center"/>
          </w:tcPr>
          <w:p w14:paraId="7EF183ED">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r>
      <w:tr w14:paraId="3A764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14:paraId="0CD5002C">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
                <w:sz w:val="22"/>
                <w:szCs w:val="22"/>
              </w:rPr>
            </w:pPr>
          </w:p>
        </w:tc>
        <w:tc>
          <w:tcPr>
            <w:tcW w:w="816" w:type="dxa"/>
            <w:vMerge w:val="continue"/>
            <w:vAlign w:val="center"/>
          </w:tcPr>
          <w:p w14:paraId="04E35390">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c>
          <w:tcPr>
            <w:tcW w:w="938" w:type="dxa"/>
            <w:vAlign w:val="center"/>
          </w:tcPr>
          <w:p w14:paraId="6B070A65">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c>
          <w:tcPr>
            <w:tcW w:w="2796" w:type="dxa"/>
            <w:vAlign w:val="center"/>
          </w:tcPr>
          <w:p w14:paraId="74576C6C">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c>
          <w:tcPr>
            <w:tcW w:w="2173" w:type="dxa"/>
            <w:vAlign w:val="center"/>
          </w:tcPr>
          <w:p w14:paraId="744B396D">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c>
          <w:tcPr>
            <w:tcW w:w="1122" w:type="dxa"/>
            <w:vAlign w:val="center"/>
          </w:tcPr>
          <w:p w14:paraId="0A91E516">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r>
      <w:tr w14:paraId="63326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14:paraId="2BD2F67E">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
                <w:sz w:val="22"/>
                <w:szCs w:val="22"/>
              </w:rPr>
            </w:pPr>
          </w:p>
        </w:tc>
        <w:tc>
          <w:tcPr>
            <w:tcW w:w="816" w:type="dxa"/>
            <w:vMerge w:val="continue"/>
            <w:vAlign w:val="center"/>
          </w:tcPr>
          <w:p w14:paraId="424C7A4A">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c>
          <w:tcPr>
            <w:tcW w:w="938" w:type="dxa"/>
            <w:vAlign w:val="center"/>
          </w:tcPr>
          <w:p w14:paraId="7B5461CC">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c>
          <w:tcPr>
            <w:tcW w:w="2796" w:type="dxa"/>
            <w:vAlign w:val="center"/>
          </w:tcPr>
          <w:p w14:paraId="2CBBBC80">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c>
          <w:tcPr>
            <w:tcW w:w="2173" w:type="dxa"/>
            <w:vAlign w:val="center"/>
          </w:tcPr>
          <w:p w14:paraId="707A4839">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c>
          <w:tcPr>
            <w:tcW w:w="1122" w:type="dxa"/>
            <w:vAlign w:val="center"/>
          </w:tcPr>
          <w:p w14:paraId="2A0E54F2">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r>
      <w:tr w14:paraId="0FC61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14:paraId="555C33CF">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
                <w:sz w:val="22"/>
                <w:szCs w:val="22"/>
              </w:rPr>
            </w:pPr>
          </w:p>
        </w:tc>
        <w:tc>
          <w:tcPr>
            <w:tcW w:w="816" w:type="dxa"/>
            <w:vMerge w:val="continue"/>
            <w:vAlign w:val="center"/>
          </w:tcPr>
          <w:p w14:paraId="54C15A8D">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c>
          <w:tcPr>
            <w:tcW w:w="938" w:type="dxa"/>
            <w:vAlign w:val="center"/>
          </w:tcPr>
          <w:p w14:paraId="5A2A7D11">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c>
          <w:tcPr>
            <w:tcW w:w="2796" w:type="dxa"/>
            <w:vAlign w:val="center"/>
          </w:tcPr>
          <w:p w14:paraId="1EF4D61D">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c>
          <w:tcPr>
            <w:tcW w:w="2173" w:type="dxa"/>
            <w:vAlign w:val="center"/>
          </w:tcPr>
          <w:p w14:paraId="5378C6D5">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c>
          <w:tcPr>
            <w:tcW w:w="1122" w:type="dxa"/>
            <w:vAlign w:val="center"/>
          </w:tcPr>
          <w:p w14:paraId="5FCD9897">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r>
      <w:tr w14:paraId="60FE3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14:paraId="4DB079EC">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
                <w:sz w:val="22"/>
                <w:szCs w:val="22"/>
              </w:rPr>
            </w:pPr>
          </w:p>
        </w:tc>
        <w:tc>
          <w:tcPr>
            <w:tcW w:w="816" w:type="dxa"/>
            <w:vMerge w:val="continue"/>
            <w:vAlign w:val="center"/>
          </w:tcPr>
          <w:p w14:paraId="794EC698">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c>
          <w:tcPr>
            <w:tcW w:w="938" w:type="dxa"/>
            <w:vAlign w:val="center"/>
          </w:tcPr>
          <w:p w14:paraId="28FCDE52">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c>
          <w:tcPr>
            <w:tcW w:w="2796" w:type="dxa"/>
            <w:vAlign w:val="center"/>
          </w:tcPr>
          <w:p w14:paraId="1EB29B01">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c>
          <w:tcPr>
            <w:tcW w:w="2173" w:type="dxa"/>
            <w:vAlign w:val="center"/>
          </w:tcPr>
          <w:p w14:paraId="2DC74814">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c>
          <w:tcPr>
            <w:tcW w:w="1122" w:type="dxa"/>
            <w:vAlign w:val="center"/>
          </w:tcPr>
          <w:p w14:paraId="01F20533">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
                <w:bCs/>
                <w:sz w:val="22"/>
                <w:szCs w:val="22"/>
              </w:rPr>
            </w:pPr>
          </w:p>
        </w:tc>
      </w:tr>
      <w:tr w14:paraId="2889E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14:paraId="25FDB047">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
                <w:bCs/>
                <w:sz w:val="22"/>
                <w:szCs w:val="22"/>
              </w:rPr>
            </w:pPr>
          </w:p>
        </w:tc>
        <w:tc>
          <w:tcPr>
            <w:tcW w:w="816" w:type="dxa"/>
            <w:vMerge w:val="restart"/>
            <w:vAlign w:val="center"/>
          </w:tcPr>
          <w:p w14:paraId="1A651246">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c>
          <w:tcPr>
            <w:tcW w:w="938" w:type="dxa"/>
            <w:vAlign w:val="center"/>
          </w:tcPr>
          <w:p w14:paraId="11170435">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c>
          <w:tcPr>
            <w:tcW w:w="2796" w:type="dxa"/>
            <w:vAlign w:val="center"/>
          </w:tcPr>
          <w:p w14:paraId="7DFAAC74">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c>
          <w:tcPr>
            <w:tcW w:w="2173" w:type="dxa"/>
            <w:vAlign w:val="center"/>
          </w:tcPr>
          <w:p w14:paraId="5CEF059F">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c>
          <w:tcPr>
            <w:tcW w:w="1122" w:type="dxa"/>
            <w:vAlign w:val="center"/>
          </w:tcPr>
          <w:p w14:paraId="489112D7">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
                <w:bCs/>
                <w:sz w:val="22"/>
                <w:szCs w:val="22"/>
              </w:rPr>
            </w:pPr>
          </w:p>
        </w:tc>
      </w:tr>
      <w:tr w14:paraId="76ACA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14:paraId="05FDA3CF">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
                <w:sz w:val="22"/>
                <w:szCs w:val="22"/>
              </w:rPr>
            </w:pPr>
          </w:p>
        </w:tc>
        <w:tc>
          <w:tcPr>
            <w:tcW w:w="816" w:type="dxa"/>
            <w:vMerge w:val="continue"/>
            <w:vAlign w:val="center"/>
          </w:tcPr>
          <w:p w14:paraId="450169C3">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c>
          <w:tcPr>
            <w:tcW w:w="938" w:type="dxa"/>
            <w:vAlign w:val="center"/>
          </w:tcPr>
          <w:p w14:paraId="0643A7D1">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c>
          <w:tcPr>
            <w:tcW w:w="2796" w:type="dxa"/>
            <w:vAlign w:val="center"/>
          </w:tcPr>
          <w:p w14:paraId="40EBB505">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c>
          <w:tcPr>
            <w:tcW w:w="2173" w:type="dxa"/>
            <w:vAlign w:val="center"/>
          </w:tcPr>
          <w:p w14:paraId="6FB96EF8">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c>
          <w:tcPr>
            <w:tcW w:w="1122" w:type="dxa"/>
            <w:vAlign w:val="center"/>
          </w:tcPr>
          <w:p w14:paraId="6FF92C3C">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r>
      <w:tr w14:paraId="6935E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14:paraId="378F39DE">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
                <w:sz w:val="22"/>
                <w:szCs w:val="22"/>
              </w:rPr>
            </w:pPr>
          </w:p>
        </w:tc>
        <w:tc>
          <w:tcPr>
            <w:tcW w:w="816" w:type="dxa"/>
            <w:vMerge w:val="continue"/>
            <w:vAlign w:val="center"/>
          </w:tcPr>
          <w:p w14:paraId="03E53956">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c>
          <w:tcPr>
            <w:tcW w:w="938" w:type="dxa"/>
            <w:vAlign w:val="center"/>
          </w:tcPr>
          <w:p w14:paraId="47F47633">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c>
          <w:tcPr>
            <w:tcW w:w="2796" w:type="dxa"/>
            <w:vAlign w:val="center"/>
          </w:tcPr>
          <w:p w14:paraId="19877946">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c>
          <w:tcPr>
            <w:tcW w:w="2173" w:type="dxa"/>
            <w:vAlign w:val="center"/>
          </w:tcPr>
          <w:p w14:paraId="4FE8055E">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c>
          <w:tcPr>
            <w:tcW w:w="1122" w:type="dxa"/>
            <w:vAlign w:val="center"/>
          </w:tcPr>
          <w:p w14:paraId="3E7483C2">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r>
      <w:tr w14:paraId="42F3A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restart"/>
            <w:vAlign w:val="center"/>
          </w:tcPr>
          <w:p w14:paraId="3D6436DA">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
                <w:sz w:val="22"/>
                <w:szCs w:val="22"/>
              </w:rPr>
            </w:pPr>
            <w:r>
              <w:rPr>
                <w:rFonts w:hint="eastAsia" w:ascii="宋体" w:hAnsi="宋体" w:eastAsia="宋体" w:cs="宋体"/>
                <w:b/>
                <w:sz w:val="22"/>
                <w:szCs w:val="22"/>
              </w:rPr>
              <w:t>技术</w:t>
            </w:r>
          </w:p>
          <w:p w14:paraId="1AECA12E">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
                <w:sz w:val="22"/>
                <w:szCs w:val="22"/>
              </w:rPr>
            </w:pPr>
            <w:r>
              <w:rPr>
                <w:rFonts w:hint="eastAsia" w:ascii="宋体" w:hAnsi="宋体" w:eastAsia="宋体" w:cs="宋体"/>
                <w:b/>
                <w:sz w:val="22"/>
                <w:szCs w:val="22"/>
              </w:rPr>
              <w:t>部分</w:t>
            </w:r>
          </w:p>
        </w:tc>
        <w:tc>
          <w:tcPr>
            <w:tcW w:w="816" w:type="dxa"/>
            <w:vMerge w:val="restart"/>
            <w:vAlign w:val="center"/>
          </w:tcPr>
          <w:p w14:paraId="3FF93ADD">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sz w:val="22"/>
                <w:szCs w:val="22"/>
              </w:rPr>
            </w:pPr>
          </w:p>
        </w:tc>
        <w:tc>
          <w:tcPr>
            <w:tcW w:w="938" w:type="dxa"/>
            <w:vAlign w:val="center"/>
          </w:tcPr>
          <w:p w14:paraId="7BE14107">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sz w:val="22"/>
                <w:szCs w:val="22"/>
              </w:rPr>
            </w:pPr>
          </w:p>
        </w:tc>
        <w:tc>
          <w:tcPr>
            <w:tcW w:w="2796" w:type="dxa"/>
            <w:vAlign w:val="center"/>
          </w:tcPr>
          <w:p w14:paraId="2FD620E0">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c>
          <w:tcPr>
            <w:tcW w:w="2173" w:type="dxa"/>
            <w:vAlign w:val="center"/>
          </w:tcPr>
          <w:p w14:paraId="07FA949B">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c>
          <w:tcPr>
            <w:tcW w:w="1122" w:type="dxa"/>
            <w:vAlign w:val="center"/>
          </w:tcPr>
          <w:p w14:paraId="77CF9602">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r>
      <w:tr w14:paraId="1E70D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14:paraId="063D8B9D">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
                <w:sz w:val="22"/>
                <w:szCs w:val="22"/>
              </w:rPr>
            </w:pPr>
          </w:p>
        </w:tc>
        <w:tc>
          <w:tcPr>
            <w:tcW w:w="816" w:type="dxa"/>
            <w:vMerge w:val="continue"/>
            <w:vAlign w:val="center"/>
          </w:tcPr>
          <w:p w14:paraId="51F53C37">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sz w:val="22"/>
                <w:szCs w:val="22"/>
              </w:rPr>
            </w:pPr>
          </w:p>
        </w:tc>
        <w:tc>
          <w:tcPr>
            <w:tcW w:w="938" w:type="dxa"/>
            <w:vAlign w:val="center"/>
          </w:tcPr>
          <w:p w14:paraId="64F2C020">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sz w:val="22"/>
                <w:szCs w:val="22"/>
              </w:rPr>
            </w:pPr>
          </w:p>
        </w:tc>
        <w:tc>
          <w:tcPr>
            <w:tcW w:w="2796" w:type="dxa"/>
            <w:vAlign w:val="center"/>
          </w:tcPr>
          <w:p w14:paraId="79A7D842">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c>
          <w:tcPr>
            <w:tcW w:w="2173" w:type="dxa"/>
            <w:vAlign w:val="center"/>
          </w:tcPr>
          <w:p w14:paraId="15C3BD9B">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c>
          <w:tcPr>
            <w:tcW w:w="1122" w:type="dxa"/>
            <w:vAlign w:val="center"/>
          </w:tcPr>
          <w:p w14:paraId="2D70E404">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r>
      <w:tr w14:paraId="13CE9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14:paraId="2980A451">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
                <w:sz w:val="22"/>
                <w:szCs w:val="22"/>
              </w:rPr>
            </w:pPr>
          </w:p>
        </w:tc>
        <w:tc>
          <w:tcPr>
            <w:tcW w:w="816" w:type="dxa"/>
            <w:vMerge w:val="continue"/>
            <w:vAlign w:val="center"/>
          </w:tcPr>
          <w:p w14:paraId="2F958C57">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sz w:val="22"/>
                <w:szCs w:val="22"/>
              </w:rPr>
            </w:pPr>
          </w:p>
        </w:tc>
        <w:tc>
          <w:tcPr>
            <w:tcW w:w="938" w:type="dxa"/>
            <w:vAlign w:val="center"/>
          </w:tcPr>
          <w:p w14:paraId="3A74C5A3">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sz w:val="22"/>
                <w:szCs w:val="22"/>
              </w:rPr>
            </w:pPr>
          </w:p>
        </w:tc>
        <w:tc>
          <w:tcPr>
            <w:tcW w:w="2796" w:type="dxa"/>
            <w:vAlign w:val="center"/>
          </w:tcPr>
          <w:p w14:paraId="749B0869">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c>
          <w:tcPr>
            <w:tcW w:w="2173" w:type="dxa"/>
            <w:vAlign w:val="center"/>
          </w:tcPr>
          <w:p w14:paraId="3B63B002">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c>
          <w:tcPr>
            <w:tcW w:w="1122" w:type="dxa"/>
            <w:vAlign w:val="center"/>
          </w:tcPr>
          <w:p w14:paraId="7AD5ACB3">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r>
      <w:tr w14:paraId="4EABA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14:paraId="158FC8B8">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b/>
                <w:sz w:val="22"/>
                <w:szCs w:val="22"/>
              </w:rPr>
            </w:pPr>
          </w:p>
        </w:tc>
        <w:tc>
          <w:tcPr>
            <w:tcW w:w="816" w:type="dxa"/>
            <w:vMerge w:val="continue"/>
            <w:vAlign w:val="center"/>
          </w:tcPr>
          <w:p w14:paraId="645F2453">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sz w:val="22"/>
                <w:szCs w:val="22"/>
              </w:rPr>
            </w:pPr>
          </w:p>
        </w:tc>
        <w:tc>
          <w:tcPr>
            <w:tcW w:w="938" w:type="dxa"/>
            <w:vAlign w:val="center"/>
          </w:tcPr>
          <w:p w14:paraId="77C5D81E">
            <w:pPr>
              <w:keepNext w:val="0"/>
              <w:keepLines w:val="0"/>
              <w:pageBreakBefore w:val="0"/>
              <w:widowControl/>
              <w:kinsoku/>
              <w:wordWrap/>
              <w:overflowPunct/>
              <w:topLinePunct w:val="0"/>
              <w:autoSpaceDE/>
              <w:autoSpaceDN/>
              <w:bidi w:val="0"/>
              <w:adjustRightInd/>
              <w:snapToGrid w:val="0"/>
              <w:jc w:val="center"/>
              <w:textAlignment w:val="auto"/>
              <w:rPr>
                <w:rFonts w:hint="eastAsia" w:ascii="宋体" w:hAnsi="宋体" w:eastAsia="宋体" w:cs="宋体"/>
                <w:sz w:val="22"/>
                <w:szCs w:val="22"/>
              </w:rPr>
            </w:pPr>
          </w:p>
        </w:tc>
        <w:tc>
          <w:tcPr>
            <w:tcW w:w="2796" w:type="dxa"/>
            <w:vAlign w:val="center"/>
          </w:tcPr>
          <w:p w14:paraId="3605A1CF">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c>
          <w:tcPr>
            <w:tcW w:w="2173" w:type="dxa"/>
            <w:vAlign w:val="center"/>
          </w:tcPr>
          <w:p w14:paraId="7414AFDD">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c>
          <w:tcPr>
            <w:tcW w:w="1122" w:type="dxa"/>
            <w:vAlign w:val="center"/>
          </w:tcPr>
          <w:p w14:paraId="1AECC572">
            <w:pPr>
              <w:pStyle w:val="31"/>
              <w:keepNext w:val="0"/>
              <w:keepLines w:val="0"/>
              <w:pageBreakBefore w:val="0"/>
              <w:widowControl/>
              <w:tabs>
                <w:tab w:val="left" w:pos="0"/>
              </w:tabs>
              <w:kinsoku/>
              <w:wordWrap/>
              <w:overflowPunct/>
              <w:topLinePunct w:val="0"/>
              <w:autoSpaceDE/>
              <w:autoSpaceDN/>
              <w:bidi w:val="0"/>
              <w:adjustRightInd/>
              <w:snapToGrid w:val="0"/>
              <w:jc w:val="center"/>
              <w:textAlignment w:val="auto"/>
              <w:rPr>
                <w:rFonts w:hint="eastAsia" w:ascii="宋体" w:hAnsi="宋体" w:eastAsia="宋体" w:cs="宋体"/>
                <w:bCs/>
                <w:sz w:val="22"/>
                <w:szCs w:val="22"/>
              </w:rPr>
            </w:pPr>
          </w:p>
        </w:tc>
      </w:tr>
    </w:tbl>
    <w:p w14:paraId="2FF27A6D">
      <w:pPr>
        <w:snapToGrid/>
        <w:spacing w:beforeAutospacing="0" w:afterAutospacing="0" w:line="560" w:lineRule="exact"/>
        <w:ind w:left="0" w:leftChars="0" w:right="0" w:rightChars="0" w:firstLine="482" w:firstLineChars="0"/>
        <w:jc w:val="left"/>
        <w:rPr>
          <w:rFonts w:hint="eastAsia" w:ascii="宋体" w:hAnsi="宋体" w:eastAsia="宋体" w:cs="宋体"/>
          <w:sz w:val="24"/>
          <w:szCs w:val="21"/>
        </w:rPr>
      </w:pPr>
    </w:p>
    <w:p w14:paraId="1EE3065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rPr>
      </w:pPr>
      <w:r>
        <w:rPr>
          <w:rFonts w:hint="eastAsia" w:ascii="宋体" w:hAnsi="宋体" w:eastAsia="宋体" w:cs="宋体"/>
          <w:sz w:val="24"/>
          <w:lang w:val="hr-HR"/>
        </w:rPr>
        <w:t>备注：为方便评委评标，投标供应商可根据磋商文件中载明的《评分标准》，将具体响应情况及响应文件中对应页码在上表中注明。</w:t>
      </w:r>
    </w:p>
    <w:p w14:paraId="6CA056F6">
      <w:pPr>
        <w:snapToGrid/>
        <w:spacing w:beforeAutospacing="0" w:afterAutospacing="0" w:line="560" w:lineRule="exact"/>
        <w:ind w:left="0" w:leftChars="0" w:right="0" w:rightChars="0" w:firstLine="482" w:firstLineChars="0"/>
        <w:jc w:val="left"/>
        <w:rPr>
          <w:rFonts w:hint="eastAsia" w:ascii="宋体" w:hAnsi="宋体" w:eastAsia="宋体" w:cs="宋体"/>
          <w:b/>
          <w:sz w:val="24"/>
          <w:szCs w:val="32"/>
        </w:rPr>
      </w:pPr>
      <w:r>
        <w:rPr>
          <w:rFonts w:hint="eastAsia" w:ascii="宋体" w:hAnsi="宋体" w:eastAsia="宋体" w:cs="宋体"/>
          <w:sz w:val="24"/>
          <w:szCs w:val="21"/>
        </w:rPr>
        <w:br w:type="page"/>
      </w:r>
      <w:r>
        <w:rPr>
          <w:rFonts w:hint="eastAsia" w:ascii="宋体" w:hAnsi="宋体" w:eastAsia="宋体" w:cs="宋体"/>
          <w:b/>
          <w:sz w:val="24"/>
          <w:szCs w:val="36"/>
        </w:rPr>
        <w:t>响应文件目录</w:t>
      </w:r>
      <w:bookmarkEnd w:id="728"/>
      <w:bookmarkEnd w:id="729"/>
      <w:bookmarkEnd w:id="737"/>
      <w:bookmarkEnd w:id="738"/>
    </w:p>
    <w:p w14:paraId="66380C93">
      <w:pPr>
        <w:autoSpaceDE w:val="0"/>
        <w:autoSpaceDN w:val="0"/>
        <w:adjustRightInd w:val="0"/>
        <w:snapToGrid/>
        <w:spacing w:beforeAutospacing="0" w:afterAutospacing="0" w:line="560" w:lineRule="exact"/>
        <w:ind w:left="0" w:leftChars="0" w:right="0" w:rightChars="0" w:firstLine="482" w:firstLineChars="0"/>
        <w:jc w:val="left"/>
        <w:rPr>
          <w:rFonts w:hint="eastAsia" w:ascii="宋体" w:hAnsi="宋体" w:eastAsia="宋体" w:cs="宋体"/>
          <w:snapToGrid w:val="0"/>
          <w:sz w:val="24"/>
          <w:lang w:val="zh-CN"/>
        </w:rPr>
      </w:pPr>
      <w:r>
        <w:rPr>
          <w:rFonts w:hint="eastAsia" w:ascii="宋体" w:hAnsi="宋体" w:eastAsia="宋体" w:cs="宋体"/>
          <w:snapToGrid w:val="0"/>
          <w:sz w:val="24"/>
          <w:lang w:val="zh-CN"/>
        </w:rPr>
        <w:t>格式自拟，须与正文页码一一对应。</w:t>
      </w:r>
    </w:p>
    <w:p w14:paraId="6EE1B914">
      <w:pPr>
        <w:pStyle w:val="4"/>
        <w:snapToGrid/>
        <w:spacing w:before="200" w:beforeAutospacing="0" w:after="100" w:afterAutospacing="0" w:line="240" w:lineRule="auto"/>
        <w:ind w:left="0" w:leftChars="0" w:right="0" w:rightChars="0" w:firstLine="0" w:firstLineChars="0"/>
        <w:jc w:val="left"/>
        <w:outlineLvl w:val="1"/>
        <w:rPr>
          <w:rFonts w:hint="eastAsia" w:ascii="宋体" w:hAnsi="宋体" w:eastAsia="宋体" w:cs="宋体"/>
          <w:b w:val="0"/>
          <w:sz w:val="32"/>
          <w:szCs w:val="36"/>
        </w:rPr>
      </w:pPr>
      <w:r>
        <w:rPr>
          <w:rFonts w:hint="eastAsia" w:ascii="宋体" w:hAnsi="宋体" w:eastAsia="宋体" w:cs="宋体"/>
          <w:b w:val="0"/>
          <w:bCs w:val="0"/>
          <w:sz w:val="32"/>
          <w:szCs w:val="21"/>
        </w:rPr>
        <w:br w:type="page"/>
      </w:r>
      <w:bookmarkStart w:id="750" w:name="_Toc470172707"/>
      <w:bookmarkStart w:id="751" w:name="_Toc109900010"/>
      <w:bookmarkStart w:id="752" w:name="_Toc109900429"/>
      <w:bookmarkStart w:id="753" w:name="_Toc109897492"/>
      <w:bookmarkStart w:id="754" w:name="_Toc24562"/>
      <w:r>
        <w:rPr>
          <w:rFonts w:hint="eastAsia" w:ascii="宋体" w:hAnsi="宋体" w:eastAsia="宋体" w:cs="宋体"/>
          <w:b w:val="0"/>
          <w:sz w:val="28"/>
          <w:szCs w:val="28"/>
        </w:rPr>
        <w:t>一、磋商书</w:t>
      </w:r>
      <w:bookmarkEnd w:id="750"/>
      <w:r>
        <w:rPr>
          <w:rFonts w:hint="eastAsia" w:ascii="宋体" w:hAnsi="宋体" w:eastAsia="宋体" w:cs="宋体"/>
          <w:b w:val="0"/>
          <w:sz w:val="28"/>
          <w:szCs w:val="28"/>
        </w:rPr>
        <w:t>及附件</w:t>
      </w:r>
      <w:bookmarkEnd w:id="751"/>
      <w:bookmarkEnd w:id="752"/>
      <w:bookmarkEnd w:id="753"/>
      <w:bookmarkEnd w:id="754"/>
    </w:p>
    <w:p w14:paraId="7A8D3B3E">
      <w:pPr>
        <w:keepNext/>
        <w:keepLines/>
        <w:snapToGrid/>
        <w:spacing w:beforeAutospacing="0" w:afterAutospacing="0" w:line="560" w:lineRule="exact"/>
        <w:ind w:left="0" w:leftChars="0" w:right="0" w:rightChars="0" w:firstLine="482" w:firstLineChars="0"/>
        <w:jc w:val="center"/>
        <w:outlineLvl w:val="1"/>
        <w:rPr>
          <w:rFonts w:hint="eastAsia" w:ascii="宋体" w:hAnsi="宋体" w:eastAsia="宋体" w:cs="宋体"/>
          <w:b/>
          <w:sz w:val="24"/>
          <w:szCs w:val="28"/>
        </w:rPr>
      </w:pPr>
      <w:bookmarkStart w:id="755" w:name="_Toc109897493"/>
      <w:bookmarkStart w:id="756" w:name="_Toc31501"/>
      <w:bookmarkStart w:id="757" w:name="_Toc109900011"/>
      <w:bookmarkStart w:id="758" w:name="_Toc109900430"/>
      <w:r>
        <w:rPr>
          <w:rFonts w:hint="eastAsia" w:ascii="宋体" w:hAnsi="宋体" w:eastAsia="宋体" w:cs="宋体"/>
          <w:b/>
          <w:sz w:val="24"/>
          <w:szCs w:val="28"/>
        </w:rPr>
        <w:t>（一）磋商书</w:t>
      </w:r>
      <w:bookmarkEnd w:id="755"/>
      <w:bookmarkEnd w:id="756"/>
      <w:bookmarkEnd w:id="757"/>
      <w:bookmarkEnd w:id="758"/>
    </w:p>
    <w:p w14:paraId="59B7FA72">
      <w:pPr>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rPr>
      </w:pPr>
      <w:r>
        <w:rPr>
          <w:rFonts w:hint="eastAsia" w:ascii="宋体" w:hAnsi="宋体" w:eastAsia="宋体" w:cs="宋体"/>
          <w:bCs/>
          <w:sz w:val="24"/>
        </w:rPr>
        <w:t>（采购代理机构）：</w:t>
      </w:r>
    </w:p>
    <w:p w14:paraId="7F009F74">
      <w:pPr>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rPr>
      </w:pPr>
      <w:r>
        <w:rPr>
          <w:rFonts w:hint="eastAsia" w:ascii="宋体" w:hAnsi="宋体" w:eastAsia="宋体" w:cs="宋体"/>
          <w:sz w:val="24"/>
        </w:rPr>
        <w:t>依据贵方（项目名称/项目编号）项目采购</w:t>
      </w:r>
      <w:r>
        <w:rPr>
          <w:rFonts w:hint="eastAsia" w:ascii="宋体" w:hAnsi="宋体" w:cs="宋体"/>
          <w:sz w:val="24"/>
          <w:lang w:val="en-US" w:eastAsia="zh-CN"/>
        </w:rPr>
        <w:t>服务（工程/货物）</w:t>
      </w:r>
      <w:r>
        <w:rPr>
          <w:rFonts w:hint="eastAsia" w:ascii="宋体" w:hAnsi="宋体" w:eastAsia="宋体" w:cs="宋体"/>
          <w:sz w:val="24"/>
        </w:rPr>
        <w:t>的磋商邀请，我方代表（姓名、职务）经正式授权并代表供应商（供应商的名称、地址）提交响应文件正本一份，副本</w:t>
      </w:r>
      <w:r>
        <w:rPr>
          <w:rFonts w:hint="eastAsia" w:ascii="宋体" w:hAnsi="宋体" w:eastAsia="宋体" w:cs="宋体"/>
          <w:sz w:val="24"/>
          <w:u w:val="single"/>
        </w:rPr>
        <w:t xml:space="preserve">  </w:t>
      </w:r>
      <w:r>
        <w:rPr>
          <w:rFonts w:hint="eastAsia" w:ascii="宋体" w:hAnsi="宋体" w:eastAsia="宋体" w:cs="宋体"/>
          <w:sz w:val="24"/>
        </w:rPr>
        <w:t>份。</w:t>
      </w:r>
      <w:r>
        <w:rPr>
          <w:rFonts w:hint="eastAsia" w:ascii="宋体" w:hAnsi="宋体" w:eastAsia="宋体" w:cs="宋体"/>
          <w:b/>
          <w:bCs/>
          <w:sz w:val="24"/>
        </w:rPr>
        <w:t>并进行如下承诺声明：</w:t>
      </w:r>
    </w:p>
    <w:p w14:paraId="09E84E21">
      <w:pPr>
        <w:keepNext w:val="0"/>
        <w:keepLines w:val="0"/>
        <w:pageBreakBefore w:val="0"/>
        <w:widowControl w:val="0"/>
        <w:numPr>
          <w:ilvl w:val="0"/>
          <w:numId w:val="0"/>
        </w:numPr>
        <w:tabs>
          <w:tab w:val="left" w:pos="840"/>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rPr>
      </w:pPr>
      <w:r>
        <w:rPr>
          <w:rFonts w:hint="default" w:ascii="宋体" w:hAnsi="宋体" w:eastAsia="宋体" w:cs="宋体"/>
          <w:kern w:val="0"/>
          <w:sz w:val="24"/>
          <w:szCs w:val="20"/>
          <w:lang w:val="en-US" w:eastAsia="zh-CN" w:bidi="ar-SA"/>
        </w:rPr>
        <w:t>1．</w:t>
      </w:r>
      <w:r>
        <w:rPr>
          <w:rFonts w:hint="eastAsia" w:ascii="宋体" w:hAnsi="宋体" w:eastAsia="宋体" w:cs="宋体"/>
          <w:sz w:val="24"/>
          <w:lang w:val="zh-CN"/>
        </w:rPr>
        <w:t>我方在参加本次政府采购活动前</w:t>
      </w:r>
      <w:r>
        <w:rPr>
          <w:rFonts w:hint="eastAsia" w:ascii="宋体" w:hAnsi="宋体" w:eastAsia="宋体" w:cs="宋体"/>
          <w:sz w:val="24"/>
        </w:rPr>
        <w:t>三年内在经营活动中没有重大违法记录；</w:t>
      </w:r>
    </w:p>
    <w:p w14:paraId="3B88D538">
      <w:pPr>
        <w:keepNext w:val="0"/>
        <w:keepLines w:val="0"/>
        <w:pageBreakBefore w:val="0"/>
        <w:widowControl w:val="0"/>
        <w:numPr>
          <w:ilvl w:val="0"/>
          <w:numId w:val="0"/>
        </w:numPr>
        <w:tabs>
          <w:tab w:val="left" w:pos="840"/>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rPr>
      </w:pPr>
      <w:r>
        <w:rPr>
          <w:rFonts w:hint="default" w:ascii="宋体" w:hAnsi="宋体" w:eastAsia="宋体" w:cs="宋体"/>
          <w:kern w:val="0"/>
          <w:sz w:val="24"/>
          <w:szCs w:val="20"/>
          <w:lang w:val="en-US" w:eastAsia="zh-CN" w:bidi="ar-SA"/>
        </w:rPr>
        <w:t>2．</w:t>
      </w:r>
      <w:r>
        <w:rPr>
          <w:rFonts w:hint="eastAsia" w:ascii="宋体" w:hAnsi="宋体" w:eastAsia="宋体" w:cs="宋体"/>
          <w:sz w:val="24"/>
        </w:rPr>
        <w:t>我方在本响应文件中所提供的全部资料均真实有效，我方承诺对其真实性负责并承担相应后果；</w:t>
      </w:r>
    </w:p>
    <w:p w14:paraId="7A47665D">
      <w:pPr>
        <w:keepNext w:val="0"/>
        <w:keepLines w:val="0"/>
        <w:pageBreakBefore w:val="0"/>
        <w:widowControl w:val="0"/>
        <w:numPr>
          <w:ilvl w:val="0"/>
          <w:numId w:val="0"/>
        </w:numPr>
        <w:tabs>
          <w:tab w:val="left" w:pos="840"/>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rPr>
      </w:pPr>
      <w:r>
        <w:rPr>
          <w:rFonts w:hint="default" w:ascii="宋体" w:hAnsi="宋体" w:eastAsia="宋体" w:cs="宋体"/>
          <w:kern w:val="0"/>
          <w:sz w:val="24"/>
          <w:szCs w:val="20"/>
          <w:lang w:val="en-US" w:eastAsia="zh-CN" w:bidi="ar-SA"/>
        </w:rPr>
        <w:t>3．</w:t>
      </w:r>
      <w:r>
        <w:rPr>
          <w:rFonts w:hint="eastAsia" w:ascii="宋体" w:hAnsi="宋体" w:eastAsia="宋体" w:cs="宋体"/>
          <w:sz w:val="24"/>
        </w:rPr>
        <w:t>我方在本响应文件中所响应的内容均将成为签订合同的依据，并承诺按响应内容提供相应服务；</w:t>
      </w:r>
    </w:p>
    <w:p w14:paraId="45C7A7CF">
      <w:pPr>
        <w:keepNext w:val="0"/>
        <w:keepLines w:val="0"/>
        <w:pageBreakBefore w:val="0"/>
        <w:widowControl w:val="0"/>
        <w:numPr>
          <w:ilvl w:val="0"/>
          <w:numId w:val="0"/>
        </w:numPr>
        <w:kinsoku/>
        <w:wordWrap/>
        <w:overflowPunct/>
        <w:topLinePunct w:val="0"/>
        <w:bidi w:val="0"/>
        <w:snapToGrid/>
        <w:spacing w:beforeAutospacing="0" w:afterAutospacing="0" w:line="360" w:lineRule="auto"/>
        <w:ind w:left="0" w:leftChars="0" w:right="0" w:rightChars="0" w:firstLine="482" w:firstLineChars="200"/>
        <w:jc w:val="left"/>
        <w:textAlignment w:val="auto"/>
        <w:rPr>
          <w:rFonts w:hint="eastAsia" w:ascii="宋体" w:hAnsi="宋体" w:eastAsia="宋体" w:cs="宋体"/>
          <w:b/>
          <w:sz w:val="24"/>
        </w:rPr>
      </w:pPr>
      <w:r>
        <w:rPr>
          <w:rFonts w:hint="default" w:ascii="宋体" w:hAnsi="宋体" w:eastAsia="宋体" w:cs="宋体"/>
          <w:b/>
          <w:kern w:val="0"/>
          <w:sz w:val="24"/>
          <w:szCs w:val="20"/>
          <w:lang w:val="en-US" w:eastAsia="zh-CN" w:bidi="ar-SA"/>
        </w:rPr>
        <w:t>4．</w:t>
      </w:r>
      <w:r>
        <w:rPr>
          <w:rFonts w:hint="eastAsia" w:ascii="宋体" w:hAnsi="宋体" w:eastAsia="宋体" w:cs="宋体"/>
          <w:b/>
          <w:sz w:val="24"/>
        </w:rPr>
        <w:t>重要声明：</w:t>
      </w:r>
    </w:p>
    <w:p w14:paraId="2B08EC18">
      <w:pPr>
        <w:keepNext w:val="0"/>
        <w:keepLines w:val="0"/>
        <w:pageBreakBefore w:val="0"/>
        <w:widowControl w:val="0"/>
        <w:kinsoku/>
        <w:wordWrap/>
        <w:overflowPunct/>
        <w:topLinePunct w:val="0"/>
        <w:bidi w:val="0"/>
        <w:snapToGrid/>
        <w:spacing w:beforeAutospacing="0" w:afterAutospacing="0" w:line="360" w:lineRule="auto"/>
        <w:ind w:left="0" w:leftChars="0" w:right="0" w:rightChars="0" w:firstLine="482" w:firstLineChars="200"/>
        <w:jc w:val="left"/>
        <w:textAlignment w:val="auto"/>
        <w:rPr>
          <w:rFonts w:hint="eastAsia" w:ascii="宋体" w:hAnsi="宋体" w:eastAsia="宋体" w:cs="宋体"/>
          <w:b/>
          <w:sz w:val="24"/>
        </w:rPr>
      </w:pPr>
      <w:r>
        <w:rPr>
          <w:rFonts w:hint="eastAsia" w:ascii="宋体" w:hAnsi="宋体" w:eastAsia="宋体" w:cs="宋体"/>
          <w:b/>
          <w:sz w:val="24"/>
        </w:rPr>
        <w:t>1）与我方单位负责人为同一人的其他单位名称：</w:t>
      </w:r>
    </w:p>
    <w:p w14:paraId="4B3D6720">
      <w:pPr>
        <w:keepNext w:val="0"/>
        <w:keepLines w:val="0"/>
        <w:pageBreakBefore w:val="0"/>
        <w:widowControl w:val="0"/>
        <w:kinsoku/>
        <w:wordWrap/>
        <w:overflowPunct/>
        <w:topLinePunct w:val="0"/>
        <w:bidi w:val="0"/>
        <w:snapToGrid/>
        <w:spacing w:beforeAutospacing="0" w:afterAutospacing="0" w:line="360" w:lineRule="auto"/>
        <w:ind w:left="0" w:leftChars="0" w:right="0" w:rightChars="0" w:firstLine="482" w:firstLineChars="200"/>
        <w:jc w:val="left"/>
        <w:textAlignment w:val="auto"/>
        <w:rPr>
          <w:rFonts w:hint="eastAsia" w:ascii="宋体" w:hAnsi="宋体" w:eastAsia="宋体" w:cs="宋体"/>
          <w:b/>
          <w:sz w:val="24"/>
        </w:rPr>
      </w:pPr>
      <w:r>
        <w:rPr>
          <w:rFonts w:hint="eastAsia" w:ascii="宋体" w:hAnsi="宋体" w:eastAsia="宋体" w:cs="宋体"/>
          <w:b/>
          <w:sz w:val="24"/>
        </w:rPr>
        <w:t>□无；□有，具体单位名称为：</w:t>
      </w:r>
      <w:r>
        <w:rPr>
          <w:rFonts w:hint="eastAsia" w:ascii="宋体" w:hAnsi="宋体" w:eastAsia="宋体" w:cs="宋体"/>
          <w:b/>
          <w:sz w:val="24"/>
          <w:u w:val="single"/>
        </w:rPr>
        <w:t xml:space="preserve">     </w:t>
      </w:r>
      <w:r>
        <w:rPr>
          <w:rFonts w:hint="eastAsia" w:ascii="宋体" w:hAnsi="宋体" w:eastAsia="宋体" w:cs="宋体"/>
          <w:i/>
          <w:sz w:val="24"/>
          <w:u w:val="single"/>
        </w:rPr>
        <w:t xml:space="preserve">（由供应商如实填写） </w:t>
      </w:r>
      <w:r>
        <w:rPr>
          <w:rFonts w:hint="eastAsia" w:ascii="宋体" w:hAnsi="宋体" w:eastAsia="宋体" w:cs="宋体"/>
          <w:b/>
          <w:sz w:val="24"/>
          <w:u w:val="single"/>
        </w:rPr>
        <w:t xml:space="preserve">                           </w:t>
      </w:r>
      <w:r>
        <w:rPr>
          <w:rFonts w:hint="eastAsia" w:ascii="宋体" w:hAnsi="宋体" w:eastAsia="宋体" w:cs="宋体"/>
          <w:b/>
          <w:sz w:val="24"/>
        </w:rPr>
        <w:t>。</w:t>
      </w:r>
    </w:p>
    <w:p w14:paraId="1464AC1C">
      <w:pPr>
        <w:keepNext w:val="0"/>
        <w:keepLines w:val="0"/>
        <w:pageBreakBefore w:val="0"/>
        <w:widowControl w:val="0"/>
        <w:kinsoku/>
        <w:wordWrap/>
        <w:overflowPunct/>
        <w:topLinePunct w:val="0"/>
        <w:bidi w:val="0"/>
        <w:snapToGrid/>
        <w:spacing w:beforeAutospacing="0" w:afterAutospacing="0" w:line="360" w:lineRule="auto"/>
        <w:ind w:left="0" w:leftChars="0" w:right="0" w:rightChars="0" w:firstLine="482" w:firstLineChars="200"/>
        <w:jc w:val="left"/>
        <w:textAlignment w:val="auto"/>
        <w:rPr>
          <w:rFonts w:hint="eastAsia" w:ascii="宋体" w:hAnsi="宋体" w:eastAsia="宋体" w:cs="宋体"/>
          <w:b/>
          <w:sz w:val="24"/>
        </w:rPr>
      </w:pPr>
      <w:r>
        <w:rPr>
          <w:rFonts w:hint="eastAsia" w:ascii="宋体" w:hAnsi="宋体" w:eastAsia="宋体" w:cs="宋体"/>
          <w:b/>
          <w:sz w:val="24"/>
        </w:rPr>
        <w:t>2）与我方存在控股、管理关系的其他单位的名称：</w:t>
      </w:r>
    </w:p>
    <w:p w14:paraId="50CD2694">
      <w:pPr>
        <w:keepNext w:val="0"/>
        <w:keepLines w:val="0"/>
        <w:pageBreakBefore w:val="0"/>
        <w:widowControl w:val="0"/>
        <w:kinsoku/>
        <w:wordWrap/>
        <w:overflowPunct/>
        <w:topLinePunct w:val="0"/>
        <w:bidi w:val="0"/>
        <w:snapToGrid/>
        <w:spacing w:beforeAutospacing="0" w:afterAutospacing="0" w:line="360" w:lineRule="auto"/>
        <w:ind w:left="0" w:leftChars="0" w:right="0" w:rightChars="0" w:firstLine="482" w:firstLineChars="200"/>
        <w:jc w:val="left"/>
        <w:textAlignment w:val="auto"/>
        <w:rPr>
          <w:rFonts w:hint="eastAsia" w:ascii="宋体" w:hAnsi="宋体" w:eastAsia="宋体" w:cs="宋体"/>
          <w:b/>
          <w:sz w:val="24"/>
        </w:rPr>
      </w:pPr>
      <w:r>
        <w:rPr>
          <w:rFonts w:hint="eastAsia" w:ascii="宋体" w:hAnsi="宋体" w:eastAsia="宋体" w:cs="宋体"/>
          <w:b/>
          <w:sz w:val="24"/>
        </w:rPr>
        <w:t>□无；□有，具体单位名称为：</w:t>
      </w:r>
      <w:r>
        <w:rPr>
          <w:rFonts w:hint="eastAsia" w:ascii="宋体" w:hAnsi="宋体" w:eastAsia="宋体" w:cs="宋体"/>
          <w:b/>
          <w:sz w:val="24"/>
          <w:u w:val="single"/>
        </w:rPr>
        <w:t xml:space="preserve">      </w:t>
      </w:r>
      <w:r>
        <w:rPr>
          <w:rFonts w:hint="eastAsia" w:ascii="宋体" w:hAnsi="宋体" w:eastAsia="宋体" w:cs="宋体"/>
          <w:i/>
          <w:sz w:val="24"/>
          <w:u w:val="single"/>
        </w:rPr>
        <w:t xml:space="preserve">（由供应商如实填写） </w:t>
      </w:r>
      <w:r>
        <w:rPr>
          <w:rFonts w:hint="eastAsia" w:ascii="宋体" w:hAnsi="宋体" w:eastAsia="宋体" w:cs="宋体"/>
          <w:b/>
          <w:sz w:val="24"/>
          <w:u w:val="single"/>
        </w:rPr>
        <w:t xml:space="preserve">                         </w:t>
      </w:r>
      <w:r>
        <w:rPr>
          <w:rFonts w:hint="eastAsia" w:ascii="宋体" w:hAnsi="宋体" w:eastAsia="宋体" w:cs="宋体"/>
          <w:b/>
          <w:sz w:val="24"/>
        </w:rPr>
        <w:t>。</w:t>
      </w:r>
    </w:p>
    <w:p w14:paraId="3EDFB9EA">
      <w:pPr>
        <w:keepNext w:val="0"/>
        <w:keepLines w:val="0"/>
        <w:pageBreakBefore w:val="0"/>
        <w:widowControl w:val="0"/>
        <w:kinsoku/>
        <w:wordWrap/>
        <w:overflowPunct/>
        <w:topLinePunct w:val="0"/>
        <w:bidi w:val="0"/>
        <w:snapToGrid/>
        <w:spacing w:beforeAutospacing="0" w:afterAutospacing="0" w:line="360" w:lineRule="auto"/>
        <w:ind w:left="0" w:leftChars="0" w:right="0" w:rightChars="0" w:firstLine="482" w:firstLineChars="200"/>
        <w:jc w:val="left"/>
        <w:textAlignment w:val="auto"/>
        <w:rPr>
          <w:rFonts w:hint="eastAsia" w:ascii="宋体" w:hAnsi="宋体" w:eastAsia="宋体" w:cs="宋体"/>
          <w:b/>
          <w:sz w:val="24"/>
        </w:rPr>
      </w:pPr>
      <w:r>
        <w:rPr>
          <w:rFonts w:hint="eastAsia" w:ascii="宋体" w:hAnsi="宋体" w:eastAsia="宋体" w:cs="宋体"/>
          <w:b/>
          <w:sz w:val="24"/>
        </w:rPr>
        <w:t>3）参与本项目采购活动前，是否为本项目前期准备提供过整体设计、规范编制或者项目管理、监理、检测等服务：</w:t>
      </w:r>
    </w:p>
    <w:p w14:paraId="68FF231B">
      <w:pPr>
        <w:keepNext w:val="0"/>
        <w:keepLines w:val="0"/>
        <w:pageBreakBefore w:val="0"/>
        <w:widowControl w:val="0"/>
        <w:kinsoku/>
        <w:wordWrap/>
        <w:overflowPunct/>
        <w:topLinePunct w:val="0"/>
        <w:bidi w:val="0"/>
        <w:snapToGrid/>
        <w:spacing w:beforeAutospacing="0" w:afterAutospacing="0" w:line="360" w:lineRule="auto"/>
        <w:ind w:left="0" w:leftChars="0" w:right="0" w:rightChars="0" w:firstLine="482" w:firstLineChars="200"/>
        <w:jc w:val="left"/>
        <w:textAlignment w:val="auto"/>
        <w:rPr>
          <w:rFonts w:hint="eastAsia" w:ascii="宋体" w:hAnsi="宋体" w:eastAsia="宋体" w:cs="宋体"/>
          <w:b/>
          <w:sz w:val="24"/>
        </w:rPr>
      </w:pPr>
      <w:r>
        <w:rPr>
          <w:rFonts w:hint="eastAsia" w:ascii="宋体" w:hAnsi="宋体" w:eastAsia="宋体" w:cs="宋体"/>
          <w:b/>
          <w:sz w:val="24"/>
        </w:rPr>
        <w:t>□无；□有，已提供的具体服务内容为：</w:t>
      </w:r>
      <w:r>
        <w:rPr>
          <w:rFonts w:hint="eastAsia" w:ascii="宋体" w:hAnsi="宋体" w:eastAsia="宋体" w:cs="宋体"/>
          <w:b/>
          <w:sz w:val="24"/>
          <w:u w:val="single"/>
        </w:rPr>
        <w:t xml:space="preserve">      </w:t>
      </w:r>
      <w:r>
        <w:rPr>
          <w:rFonts w:hint="eastAsia" w:ascii="宋体" w:hAnsi="宋体" w:eastAsia="宋体" w:cs="宋体"/>
          <w:b/>
          <w:sz w:val="24"/>
          <w:u w:val="single"/>
          <w:lang w:val="en-US" w:eastAsia="zh-CN"/>
        </w:rPr>
        <w:t xml:space="preserve"> </w:t>
      </w:r>
      <w:r>
        <w:rPr>
          <w:rFonts w:hint="eastAsia" w:ascii="宋体" w:hAnsi="宋体" w:eastAsia="宋体" w:cs="宋体"/>
          <w:i/>
          <w:sz w:val="24"/>
          <w:u w:val="single"/>
        </w:rPr>
        <w:t xml:space="preserve">（由供应商如实填写） </w:t>
      </w:r>
      <w:r>
        <w:rPr>
          <w:rFonts w:hint="eastAsia" w:ascii="宋体" w:hAnsi="宋体" w:eastAsia="宋体" w:cs="宋体"/>
          <w:b/>
          <w:sz w:val="24"/>
          <w:u w:val="single"/>
        </w:rPr>
        <w:t xml:space="preserve">    </w:t>
      </w:r>
      <w:r>
        <w:rPr>
          <w:rFonts w:hint="eastAsia" w:ascii="宋体" w:hAnsi="宋体" w:eastAsia="宋体" w:cs="宋体"/>
          <w:b/>
          <w:sz w:val="24"/>
        </w:rPr>
        <w:t>。</w:t>
      </w:r>
    </w:p>
    <w:p w14:paraId="5F3FB035">
      <w:pPr>
        <w:keepNext w:val="0"/>
        <w:keepLines w:val="0"/>
        <w:pageBreakBefore w:val="0"/>
        <w:widowControl w:val="0"/>
        <w:kinsoku/>
        <w:wordWrap/>
        <w:overflowPunct/>
        <w:topLinePunct w:val="0"/>
        <w:bidi w:val="0"/>
        <w:snapToGrid/>
        <w:spacing w:beforeAutospacing="0" w:afterAutospacing="0" w:line="360" w:lineRule="auto"/>
        <w:ind w:left="0" w:leftChars="0" w:right="0" w:rightChars="0" w:firstLine="482" w:firstLineChars="200"/>
        <w:jc w:val="left"/>
        <w:textAlignment w:val="auto"/>
        <w:rPr>
          <w:rFonts w:hint="eastAsia" w:ascii="宋体" w:hAnsi="宋体" w:eastAsia="宋体" w:cs="宋体"/>
          <w:b/>
          <w:sz w:val="24"/>
        </w:rPr>
      </w:pPr>
      <w:r>
        <w:rPr>
          <w:rFonts w:hint="eastAsia" w:ascii="宋体" w:hAnsi="宋体" w:eastAsia="宋体" w:cs="宋体"/>
          <w:b/>
          <w:sz w:val="24"/>
        </w:rPr>
        <w:t>（备注：以上3项声明，必须如实选择，选中项用</w:t>
      </w:r>
      <w:r>
        <w:rPr>
          <w:rFonts w:hint="eastAsia" w:ascii="宋体" w:hAnsi="宋体" w:eastAsia="宋体" w:cs="宋体"/>
          <w:b/>
          <w:sz w:val="24"/>
          <w:lang w:eastAsia="zh-CN"/>
        </w:rPr>
        <w:t>☑</w:t>
      </w:r>
      <w:r>
        <w:rPr>
          <w:rFonts w:hint="eastAsia" w:ascii="宋体" w:hAnsi="宋体" w:eastAsia="宋体" w:cs="宋体"/>
          <w:b/>
          <w:sz w:val="24"/>
        </w:rPr>
        <w:t>表示，未选中项用</w:t>
      </w:r>
      <w:r>
        <w:rPr>
          <w:rFonts w:hint="eastAsia" w:ascii="宋体" w:hAnsi="宋体" w:eastAsia="宋体" w:cs="宋体"/>
          <w:b/>
          <w:sz w:val="24"/>
          <w:lang w:eastAsia="zh-CN"/>
        </w:rPr>
        <w:t>□</w:t>
      </w:r>
      <w:r>
        <w:rPr>
          <w:rFonts w:hint="eastAsia" w:ascii="宋体" w:hAnsi="宋体" w:eastAsia="宋体" w:cs="宋体"/>
          <w:b/>
          <w:sz w:val="24"/>
        </w:rPr>
        <w:t>表示。①“单位负责人”是指单位法定代表人或者法律、行政法规规定代表单位行使职权的主要负责人。②本条所规定的控股、管理关系仅限于直接控股、直接管理关系，不包括间接的控股或管理关系。③供应商如未如实填报，视为提供虚假材料谋取中标，应承担相应法律责任。）</w:t>
      </w:r>
    </w:p>
    <w:p w14:paraId="3EB6E82B">
      <w:pPr>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rPr>
      </w:pPr>
      <w:r>
        <w:rPr>
          <w:rFonts w:hint="eastAsia" w:ascii="宋体" w:hAnsi="宋体" w:eastAsia="宋体" w:cs="宋体"/>
          <w:sz w:val="24"/>
        </w:rPr>
        <w:t>其它承诺：如有的话，可自行填写。</w:t>
      </w:r>
    </w:p>
    <w:p w14:paraId="23BE136E">
      <w:pPr>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rPr>
      </w:pPr>
      <w:r>
        <w:rPr>
          <w:rFonts w:hint="eastAsia" w:ascii="宋体" w:hAnsi="宋体" w:eastAsia="宋体" w:cs="宋体"/>
          <w:sz w:val="24"/>
        </w:rPr>
        <w:t>在此，我方宣布同意如下：</w:t>
      </w:r>
    </w:p>
    <w:p w14:paraId="66C1B8CC">
      <w:pPr>
        <w:keepNext w:val="0"/>
        <w:keepLines w:val="0"/>
        <w:pageBreakBefore w:val="0"/>
        <w:widowControl w:val="0"/>
        <w:numPr>
          <w:ilvl w:val="6"/>
          <w:numId w:val="0"/>
        </w:numPr>
        <w:tabs>
          <w:tab w:val="left" w:pos="840"/>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rPr>
      </w:pPr>
      <w:r>
        <w:rPr>
          <w:rFonts w:hint="eastAsia" w:ascii="宋体" w:hAnsi="宋体" w:eastAsia="宋体" w:cs="宋体"/>
          <w:kern w:val="0"/>
          <w:sz w:val="24"/>
          <w:szCs w:val="20"/>
          <w:lang w:val="en-US" w:eastAsia="zh-CN" w:bidi="ar-SA"/>
        </w:rPr>
        <w:t>1.</w:t>
      </w:r>
      <w:r>
        <w:rPr>
          <w:rFonts w:hint="eastAsia" w:ascii="宋体" w:hAnsi="宋体" w:eastAsia="宋体" w:cs="宋体"/>
          <w:sz w:val="24"/>
        </w:rPr>
        <w:t>所附《报价一览表》中规定的应提交和交付的</w:t>
      </w:r>
      <w:r>
        <w:rPr>
          <w:rFonts w:hint="eastAsia" w:ascii="宋体" w:hAnsi="宋体" w:cs="宋体"/>
          <w:sz w:val="24"/>
          <w:lang w:val="en-US" w:eastAsia="zh-CN"/>
        </w:rPr>
        <w:t>服务（工程/货物）</w:t>
      </w:r>
      <w:r>
        <w:rPr>
          <w:rFonts w:hint="eastAsia" w:ascii="宋体" w:hAnsi="宋体" w:eastAsia="宋体" w:cs="宋体"/>
          <w:sz w:val="24"/>
        </w:rPr>
        <w:t>报价总价为</w:t>
      </w:r>
      <w:r>
        <w:rPr>
          <w:rFonts w:hint="eastAsia" w:ascii="宋体" w:hAnsi="宋体" w:eastAsia="宋体" w:cs="宋体"/>
          <w:sz w:val="24"/>
          <w:u w:val="single"/>
        </w:rPr>
        <w:t xml:space="preserve">              </w:t>
      </w:r>
      <w:r>
        <w:rPr>
          <w:rFonts w:hint="eastAsia" w:ascii="宋体" w:hAnsi="宋体" w:eastAsia="宋体" w:cs="宋体"/>
          <w:i/>
          <w:sz w:val="24"/>
          <w:u w:val="single"/>
        </w:rPr>
        <w:t xml:space="preserve">（注明币种，并用文字和数字表示的报价总价） </w:t>
      </w:r>
      <w:r>
        <w:rPr>
          <w:rFonts w:hint="eastAsia" w:ascii="宋体" w:hAnsi="宋体" w:eastAsia="宋体" w:cs="宋体"/>
          <w:sz w:val="24"/>
          <w:u w:val="single"/>
        </w:rPr>
        <w:t xml:space="preserve">         </w:t>
      </w:r>
      <w:r>
        <w:rPr>
          <w:rFonts w:hint="eastAsia" w:ascii="宋体" w:hAnsi="宋体" w:eastAsia="宋体" w:cs="宋体"/>
          <w:sz w:val="24"/>
        </w:rPr>
        <w:t>。</w:t>
      </w:r>
    </w:p>
    <w:p w14:paraId="469217B7">
      <w:pPr>
        <w:keepNext w:val="0"/>
        <w:keepLines w:val="0"/>
        <w:pageBreakBefore w:val="0"/>
        <w:widowControl w:val="0"/>
        <w:numPr>
          <w:ilvl w:val="6"/>
          <w:numId w:val="0"/>
        </w:numPr>
        <w:tabs>
          <w:tab w:val="left" w:pos="840"/>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rPr>
      </w:pPr>
      <w:r>
        <w:rPr>
          <w:rFonts w:hint="eastAsia" w:ascii="宋体" w:hAnsi="宋体" w:eastAsia="宋体" w:cs="宋体"/>
          <w:kern w:val="0"/>
          <w:sz w:val="24"/>
          <w:szCs w:val="20"/>
          <w:lang w:val="en-US" w:eastAsia="zh-CN" w:bidi="ar-SA"/>
        </w:rPr>
        <w:t>2.</w:t>
      </w:r>
      <w:r>
        <w:rPr>
          <w:rFonts w:hint="eastAsia" w:ascii="宋体" w:hAnsi="宋体" w:eastAsia="宋体" w:cs="宋体"/>
          <w:sz w:val="24"/>
        </w:rPr>
        <w:t>将按磋商文件的约定履行合同责任和义务。</w:t>
      </w:r>
    </w:p>
    <w:p w14:paraId="7CC1DA9C">
      <w:pPr>
        <w:keepNext w:val="0"/>
        <w:keepLines w:val="0"/>
        <w:pageBreakBefore w:val="0"/>
        <w:widowControl w:val="0"/>
        <w:numPr>
          <w:ilvl w:val="6"/>
          <w:numId w:val="0"/>
        </w:numPr>
        <w:tabs>
          <w:tab w:val="left" w:pos="840"/>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rPr>
      </w:pPr>
      <w:r>
        <w:rPr>
          <w:rFonts w:hint="eastAsia" w:ascii="宋体" w:hAnsi="宋体" w:eastAsia="宋体" w:cs="宋体"/>
          <w:kern w:val="0"/>
          <w:sz w:val="24"/>
          <w:szCs w:val="20"/>
          <w:lang w:val="en-US" w:eastAsia="zh-CN" w:bidi="ar-SA"/>
        </w:rPr>
        <w:t>3.</w:t>
      </w:r>
      <w:r>
        <w:rPr>
          <w:rFonts w:hint="eastAsia" w:ascii="宋体" w:hAnsi="宋体" w:eastAsia="宋体" w:cs="宋体"/>
          <w:sz w:val="24"/>
        </w:rPr>
        <w:t>已详细审查全部磋商文件，包括</w:t>
      </w:r>
      <w:r>
        <w:rPr>
          <w:rFonts w:hint="eastAsia" w:ascii="宋体" w:hAnsi="宋体" w:eastAsia="宋体" w:cs="宋体"/>
          <w:sz w:val="24"/>
          <w:u w:val="single"/>
        </w:rPr>
        <w:t>（补充文件等）</w:t>
      </w:r>
      <w:r>
        <w:rPr>
          <w:rFonts w:hint="eastAsia" w:ascii="宋体" w:hAnsi="宋体" w:eastAsia="宋体" w:cs="宋体"/>
          <w:sz w:val="24"/>
        </w:rPr>
        <w:t>，对此无异议。</w:t>
      </w:r>
    </w:p>
    <w:p w14:paraId="7AA15DEA">
      <w:pPr>
        <w:keepNext w:val="0"/>
        <w:keepLines w:val="0"/>
        <w:pageBreakBefore w:val="0"/>
        <w:widowControl w:val="0"/>
        <w:numPr>
          <w:ilvl w:val="6"/>
          <w:numId w:val="0"/>
        </w:numPr>
        <w:tabs>
          <w:tab w:val="left" w:pos="840"/>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rPr>
      </w:pPr>
      <w:r>
        <w:rPr>
          <w:rFonts w:hint="eastAsia" w:ascii="宋体" w:hAnsi="宋体" w:eastAsia="宋体" w:cs="宋体"/>
          <w:kern w:val="0"/>
          <w:sz w:val="24"/>
          <w:szCs w:val="20"/>
          <w:lang w:val="en-US" w:eastAsia="zh-CN" w:bidi="ar-SA"/>
        </w:rPr>
        <w:t>4.</w:t>
      </w:r>
      <w:r>
        <w:rPr>
          <w:rFonts w:hint="eastAsia" w:ascii="宋体" w:hAnsi="宋体" w:eastAsia="宋体" w:cs="宋体"/>
          <w:sz w:val="24"/>
        </w:rPr>
        <w:t>本竞争性磋商响应文件的有效期自递交响应文件之日起共</w:t>
      </w:r>
      <w:r>
        <w:rPr>
          <w:rFonts w:hint="eastAsia" w:ascii="宋体" w:hAnsi="宋体" w:eastAsia="宋体" w:cs="宋体"/>
          <w:sz w:val="24"/>
          <w:u w:val="single"/>
        </w:rPr>
        <w:t xml:space="preserve">               </w:t>
      </w:r>
      <w:r>
        <w:rPr>
          <w:rFonts w:hint="eastAsia" w:ascii="宋体" w:hAnsi="宋体" w:eastAsia="宋体" w:cs="宋体"/>
          <w:i/>
          <w:sz w:val="24"/>
          <w:u w:val="single"/>
        </w:rPr>
        <w:t xml:space="preserve">（由供应商填写）  </w:t>
      </w:r>
      <w:r>
        <w:rPr>
          <w:rFonts w:hint="eastAsia" w:ascii="宋体" w:hAnsi="宋体" w:eastAsia="宋体" w:cs="宋体"/>
          <w:sz w:val="24"/>
          <w:u w:val="single"/>
        </w:rPr>
        <w:t xml:space="preserve">          </w:t>
      </w:r>
      <w:r>
        <w:rPr>
          <w:rFonts w:hint="eastAsia" w:ascii="宋体" w:hAnsi="宋体" w:eastAsia="宋体" w:cs="宋体"/>
          <w:sz w:val="24"/>
        </w:rPr>
        <w:t>个日历日。</w:t>
      </w:r>
    </w:p>
    <w:p w14:paraId="5A9A9F71">
      <w:pPr>
        <w:keepNext w:val="0"/>
        <w:keepLines w:val="0"/>
        <w:pageBreakBefore w:val="0"/>
        <w:widowControl w:val="0"/>
        <w:numPr>
          <w:ilvl w:val="6"/>
          <w:numId w:val="0"/>
        </w:numPr>
        <w:tabs>
          <w:tab w:val="left" w:pos="840"/>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rPr>
      </w:pPr>
      <w:r>
        <w:rPr>
          <w:rFonts w:hint="eastAsia" w:ascii="宋体" w:hAnsi="宋体" w:eastAsia="宋体" w:cs="宋体"/>
          <w:kern w:val="0"/>
          <w:sz w:val="24"/>
          <w:szCs w:val="20"/>
          <w:lang w:val="en-US" w:eastAsia="zh-CN" w:bidi="ar-SA"/>
        </w:rPr>
        <w:t>5.</w:t>
      </w:r>
      <w:r>
        <w:rPr>
          <w:rFonts w:hint="eastAsia" w:ascii="宋体" w:hAnsi="宋体" w:eastAsia="宋体" w:cs="宋体"/>
          <w:sz w:val="24"/>
        </w:rPr>
        <w:t>如果我方为成交供应商，承诺按照磋商文件的规定支付采购代理服务费。</w:t>
      </w:r>
    </w:p>
    <w:p w14:paraId="645140F9">
      <w:pPr>
        <w:keepNext w:val="0"/>
        <w:keepLines w:val="0"/>
        <w:pageBreakBefore w:val="0"/>
        <w:widowControl w:val="0"/>
        <w:numPr>
          <w:ilvl w:val="6"/>
          <w:numId w:val="0"/>
        </w:numPr>
        <w:tabs>
          <w:tab w:val="left" w:pos="840"/>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rPr>
      </w:pPr>
      <w:r>
        <w:rPr>
          <w:rFonts w:hint="eastAsia" w:ascii="宋体" w:hAnsi="宋体" w:eastAsia="宋体" w:cs="宋体"/>
          <w:kern w:val="0"/>
          <w:sz w:val="24"/>
          <w:szCs w:val="20"/>
          <w:lang w:val="en-US" w:eastAsia="zh-CN" w:bidi="ar-SA"/>
        </w:rPr>
        <w:t>6.</w:t>
      </w:r>
      <w:r>
        <w:rPr>
          <w:rFonts w:hint="eastAsia" w:ascii="宋体" w:hAnsi="宋体" w:eastAsia="宋体" w:cs="宋体"/>
          <w:sz w:val="24"/>
        </w:rPr>
        <w:t>同意提供按照贵方可能要求的与其报价有关的一切数据或资料。</w:t>
      </w:r>
    </w:p>
    <w:p w14:paraId="28066921">
      <w:pPr>
        <w:keepNext w:val="0"/>
        <w:keepLines w:val="0"/>
        <w:pageBreakBefore w:val="0"/>
        <w:widowControl w:val="0"/>
        <w:numPr>
          <w:ilvl w:val="6"/>
          <w:numId w:val="0"/>
        </w:numPr>
        <w:tabs>
          <w:tab w:val="left" w:pos="840"/>
        </w:tabs>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rPr>
      </w:pPr>
      <w:r>
        <w:rPr>
          <w:rFonts w:hint="eastAsia" w:ascii="宋体" w:hAnsi="宋体" w:eastAsia="宋体" w:cs="宋体"/>
          <w:kern w:val="0"/>
          <w:sz w:val="24"/>
          <w:szCs w:val="20"/>
          <w:lang w:val="en-US" w:eastAsia="zh-CN" w:bidi="ar-SA"/>
        </w:rPr>
        <w:t>7.</w:t>
      </w:r>
      <w:r>
        <w:rPr>
          <w:rFonts w:hint="eastAsia" w:ascii="宋体" w:hAnsi="宋体" w:eastAsia="宋体" w:cs="宋体"/>
          <w:sz w:val="24"/>
        </w:rPr>
        <w:t>与本报价有关的一切正式往来信函请寄：</w:t>
      </w:r>
      <w:r>
        <w:rPr>
          <w:rFonts w:hint="eastAsia" w:ascii="宋体" w:hAnsi="宋体" w:eastAsia="宋体" w:cs="宋体"/>
          <w:sz w:val="24"/>
          <w:u w:val="single"/>
        </w:rPr>
        <w:t xml:space="preserve">      </w:t>
      </w:r>
      <w:r>
        <w:rPr>
          <w:rFonts w:hint="eastAsia" w:ascii="宋体" w:hAnsi="宋体" w:eastAsia="宋体" w:cs="宋体"/>
          <w:i/>
          <w:sz w:val="24"/>
          <w:u w:val="single"/>
        </w:rPr>
        <w:t>（由供应商填写）</w:t>
      </w:r>
      <w:r>
        <w:rPr>
          <w:rFonts w:hint="eastAsia" w:ascii="宋体" w:hAnsi="宋体" w:eastAsia="宋体" w:cs="宋体"/>
          <w:sz w:val="24"/>
          <w:u w:val="single"/>
        </w:rPr>
        <w:t xml:space="preserve">            </w:t>
      </w:r>
      <w:r>
        <w:rPr>
          <w:rFonts w:hint="eastAsia" w:ascii="宋体" w:hAnsi="宋体" w:eastAsia="宋体" w:cs="宋体"/>
          <w:sz w:val="24"/>
        </w:rPr>
        <w:t>。</w:t>
      </w:r>
    </w:p>
    <w:p w14:paraId="1A144557">
      <w:pPr>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rPr>
      </w:pPr>
    </w:p>
    <w:p w14:paraId="28D7BC5B">
      <w:pPr>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rPr>
      </w:pPr>
      <w:r>
        <w:rPr>
          <w:rFonts w:hint="eastAsia" w:ascii="宋体" w:hAnsi="宋体" w:eastAsia="宋体" w:cs="宋体"/>
          <w:sz w:val="24"/>
        </w:rPr>
        <w:t>供    应    商：（</w:t>
      </w:r>
      <w:r>
        <w:rPr>
          <w:rFonts w:hint="eastAsia" w:ascii="宋体" w:hAnsi="宋体" w:eastAsia="宋体" w:cs="宋体"/>
          <w:sz w:val="24"/>
          <w:lang w:val="en-US" w:eastAsia="zh-CN"/>
        </w:rPr>
        <w:t>盖单位章</w:t>
      </w:r>
      <w:r>
        <w:rPr>
          <w:rFonts w:hint="eastAsia" w:ascii="宋体" w:hAnsi="宋体" w:eastAsia="宋体" w:cs="宋体"/>
          <w:sz w:val="24"/>
        </w:rPr>
        <w:t>）</w:t>
      </w:r>
    </w:p>
    <w:p w14:paraId="2C4A1BFC">
      <w:pPr>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rPr>
      </w:pPr>
      <w:r>
        <w:rPr>
          <w:rFonts w:hint="eastAsia" w:ascii="宋体" w:hAnsi="宋体" w:eastAsia="宋体" w:cs="宋体"/>
          <w:sz w:val="24"/>
        </w:rPr>
        <w:t>通  讯  地  址：</w:t>
      </w:r>
    </w:p>
    <w:p w14:paraId="01DCA43D">
      <w:pPr>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rPr>
      </w:pPr>
      <w:r>
        <w:rPr>
          <w:rFonts w:hint="eastAsia" w:ascii="宋体" w:hAnsi="宋体" w:eastAsia="宋体" w:cs="宋体"/>
          <w:sz w:val="24"/>
        </w:rPr>
        <w:t>传        　真：</w:t>
      </w:r>
    </w:p>
    <w:p w14:paraId="7B30139C">
      <w:pPr>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rPr>
      </w:pPr>
      <w:r>
        <w:rPr>
          <w:rFonts w:hint="eastAsia" w:ascii="宋体" w:hAnsi="宋体" w:eastAsia="宋体" w:cs="宋体"/>
          <w:sz w:val="24"/>
        </w:rPr>
        <w:t>电          话：</w:t>
      </w:r>
    </w:p>
    <w:p w14:paraId="43181FD4">
      <w:pPr>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rPr>
      </w:pPr>
      <w:r>
        <w:rPr>
          <w:rFonts w:hint="eastAsia" w:ascii="宋体" w:hAnsi="宋体" w:eastAsia="宋体" w:cs="宋体"/>
          <w:sz w:val="24"/>
        </w:rPr>
        <w:t>电  子  函  件：</w:t>
      </w:r>
    </w:p>
    <w:p w14:paraId="1109165F">
      <w:pPr>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rPr>
      </w:pPr>
      <w:r>
        <w:rPr>
          <w:rFonts w:hint="eastAsia" w:ascii="宋体" w:hAnsi="宋体" w:eastAsia="宋体" w:cs="宋体"/>
          <w:sz w:val="24"/>
        </w:rPr>
        <w:t>授</w:t>
      </w:r>
      <w:r>
        <w:rPr>
          <w:rFonts w:hint="eastAsia" w:ascii="宋体" w:hAnsi="宋体" w:eastAsia="宋体" w:cs="宋体"/>
          <w:sz w:val="24"/>
          <w:lang w:val="en-US" w:eastAsia="zh-CN"/>
        </w:rPr>
        <w:t xml:space="preserve">  </w:t>
      </w:r>
      <w:r>
        <w:rPr>
          <w:rFonts w:hint="eastAsia" w:ascii="宋体" w:hAnsi="宋体" w:eastAsia="宋体" w:cs="宋体"/>
          <w:sz w:val="24"/>
        </w:rPr>
        <w:t>权</w:t>
      </w:r>
      <w:r>
        <w:rPr>
          <w:rFonts w:hint="eastAsia" w:ascii="宋体" w:hAnsi="宋体" w:eastAsia="宋体" w:cs="宋体"/>
          <w:sz w:val="24"/>
          <w:lang w:val="en-US" w:eastAsia="zh-CN"/>
        </w:rPr>
        <w:t xml:space="preserve">  </w:t>
      </w:r>
      <w:r>
        <w:rPr>
          <w:rFonts w:hint="eastAsia" w:ascii="宋体" w:hAnsi="宋体" w:eastAsia="宋体" w:cs="宋体"/>
          <w:sz w:val="24"/>
        </w:rPr>
        <w:t>代</w:t>
      </w:r>
      <w:r>
        <w:rPr>
          <w:rFonts w:hint="eastAsia" w:ascii="宋体" w:hAnsi="宋体" w:eastAsia="宋体" w:cs="宋体"/>
          <w:sz w:val="24"/>
          <w:lang w:val="en-US" w:eastAsia="zh-CN"/>
        </w:rPr>
        <w:t xml:space="preserve">  </w:t>
      </w:r>
      <w:r>
        <w:rPr>
          <w:rFonts w:hint="eastAsia" w:ascii="宋体" w:hAnsi="宋体" w:eastAsia="宋体" w:cs="宋体"/>
          <w:sz w:val="24"/>
        </w:rPr>
        <w:t>表：（签字）</w:t>
      </w:r>
    </w:p>
    <w:p w14:paraId="75682DCB">
      <w:pPr>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u w:val="single"/>
        </w:rPr>
      </w:pPr>
      <w:r>
        <w:rPr>
          <w:rFonts w:hint="eastAsia" w:ascii="宋体" w:hAnsi="宋体" w:eastAsia="宋体" w:cs="宋体"/>
          <w:sz w:val="24"/>
        </w:rPr>
        <w:t xml:space="preserve">日       </w:t>
      </w:r>
      <w:r>
        <w:rPr>
          <w:rFonts w:hint="eastAsia" w:ascii="宋体" w:hAnsi="宋体" w:eastAsia="宋体" w:cs="宋体"/>
          <w:sz w:val="24"/>
          <w:lang w:val="en-US" w:eastAsia="zh-CN"/>
        </w:rPr>
        <w:t xml:space="preserve"> </w:t>
      </w:r>
      <w:r>
        <w:rPr>
          <w:rFonts w:hint="eastAsia" w:ascii="宋体" w:hAnsi="宋体" w:eastAsia="宋体" w:cs="宋体"/>
          <w:sz w:val="24"/>
        </w:rPr>
        <w:t xml:space="preserve">  期：</w:t>
      </w:r>
    </w:p>
    <w:p w14:paraId="21FA424A">
      <w:pPr>
        <w:pStyle w:val="4"/>
        <w:snapToGrid/>
        <w:spacing w:before="0" w:beforeAutospacing="0" w:after="0" w:afterAutospacing="0" w:line="560" w:lineRule="exact"/>
        <w:ind w:left="0" w:leftChars="0" w:right="0" w:rightChars="0" w:firstLine="482" w:firstLineChars="0"/>
        <w:jc w:val="left"/>
        <w:rPr>
          <w:rFonts w:hint="eastAsia" w:ascii="宋体" w:hAnsi="宋体" w:eastAsia="宋体" w:cs="宋体"/>
          <w:sz w:val="24"/>
        </w:rPr>
        <w:sectPr>
          <w:type w:val="nextColumn"/>
          <w:pgSz w:w="11905" w:h="16838"/>
          <w:pgMar w:top="1440" w:right="1797" w:bottom="1440" w:left="1797" w:header="850" w:footer="850" w:gutter="0"/>
          <w:pgNumType w:fmt="decimal"/>
          <w:cols w:space="720" w:num="1"/>
          <w:docGrid w:linePitch="312" w:charSpace="0"/>
        </w:sectPr>
      </w:pPr>
      <w:r>
        <w:rPr>
          <w:rFonts w:hint="eastAsia" w:ascii="宋体" w:hAnsi="宋体" w:eastAsia="宋体" w:cs="宋体"/>
          <w:kern w:val="0"/>
          <w:sz w:val="24"/>
          <w:szCs w:val="24"/>
        </w:rPr>
        <w:br w:type="page"/>
      </w:r>
      <w:bookmarkEnd w:id="727"/>
      <w:bookmarkEnd w:id="739"/>
      <w:bookmarkEnd w:id="740"/>
      <w:bookmarkEnd w:id="741"/>
      <w:bookmarkEnd w:id="742"/>
    </w:p>
    <w:p w14:paraId="44477BD9">
      <w:pPr>
        <w:keepNext/>
        <w:keepLines/>
        <w:snapToGrid/>
        <w:spacing w:beforeAutospacing="0" w:afterAutospacing="0" w:line="560" w:lineRule="exact"/>
        <w:ind w:left="0" w:leftChars="0" w:right="0" w:rightChars="0" w:firstLine="482" w:firstLineChars="0"/>
        <w:jc w:val="center"/>
        <w:outlineLvl w:val="1"/>
        <w:rPr>
          <w:rFonts w:hint="eastAsia" w:ascii="宋体" w:hAnsi="宋体" w:eastAsia="宋体" w:cs="宋体"/>
          <w:b/>
          <w:sz w:val="24"/>
          <w:szCs w:val="28"/>
        </w:rPr>
      </w:pPr>
      <w:bookmarkStart w:id="759" w:name="_Toc109900012"/>
      <w:bookmarkStart w:id="760" w:name="_Toc109897494"/>
      <w:bookmarkStart w:id="761" w:name="_Toc9810"/>
      <w:bookmarkStart w:id="762" w:name="_Toc56708576"/>
      <w:bookmarkStart w:id="763" w:name="_Toc109900431"/>
      <w:bookmarkStart w:id="764" w:name="_Hlk89853749"/>
      <w:r>
        <w:rPr>
          <w:rFonts w:hint="eastAsia" w:ascii="宋体" w:hAnsi="宋体" w:eastAsia="宋体" w:cs="宋体"/>
          <w:b/>
          <w:sz w:val="24"/>
          <w:szCs w:val="28"/>
        </w:rPr>
        <w:t>（二）法定代表人身份证明</w:t>
      </w:r>
      <w:bookmarkEnd w:id="759"/>
      <w:bookmarkEnd w:id="760"/>
      <w:bookmarkEnd w:id="761"/>
      <w:bookmarkEnd w:id="762"/>
      <w:bookmarkEnd w:id="763"/>
      <w:r>
        <w:rPr>
          <w:rFonts w:hint="eastAsia" w:ascii="宋体" w:hAnsi="宋体" w:eastAsia="宋体" w:cs="宋体"/>
          <w:b/>
          <w:sz w:val="24"/>
          <w:szCs w:val="28"/>
        </w:rPr>
        <w:t xml:space="preserve"> </w:t>
      </w:r>
    </w:p>
    <w:p w14:paraId="16519344">
      <w:pPr>
        <w:widowControl/>
        <w:snapToGrid/>
        <w:spacing w:beforeAutospacing="0" w:afterAutospacing="0" w:line="560" w:lineRule="exact"/>
        <w:ind w:left="0" w:leftChars="0" w:right="0" w:rightChars="0" w:firstLine="482" w:firstLineChars="0"/>
        <w:jc w:val="left"/>
        <w:rPr>
          <w:rFonts w:hint="eastAsia" w:ascii="宋体" w:hAnsi="宋体" w:eastAsia="宋体" w:cs="宋体"/>
          <w:sz w:val="24"/>
        </w:rPr>
      </w:pPr>
    </w:p>
    <w:p w14:paraId="758EEF24">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rPr>
      </w:pPr>
      <w:r>
        <w:rPr>
          <w:rFonts w:hint="eastAsia" w:ascii="宋体" w:hAnsi="宋体" w:eastAsia="宋体" w:cs="宋体"/>
          <w:sz w:val="24"/>
        </w:rPr>
        <w:t>供应商名称：</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40C15933">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rPr>
      </w:pPr>
      <w:r>
        <w:rPr>
          <w:rFonts w:hint="eastAsia" w:ascii="宋体" w:hAnsi="宋体" w:eastAsia="宋体" w:cs="宋体"/>
          <w:sz w:val="24"/>
        </w:rPr>
        <w:t>单位性质：</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                                       </w:t>
      </w:r>
    </w:p>
    <w:p w14:paraId="45608C34">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rPr>
      </w:pPr>
      <w:r>
        <w:rPr>
          <w:rFonts w:hint="eastAsia" w:ascii="宋体" w:hAnsi="宋体" w:eastAsia="宋体" w:cs="宋体"/>
          <w:sz w:val="24"/>
        </w:rPr>
        <w:t>地    址：</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                                         </w:t>
      </w:r>
    </w:p>
    <w:p w14:paraId="1514E9FB">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rPr>
      </w:pPr>
      <w:r>
        <w:rPr>
          <w:rFonts w:hint="eastAsia" w:ascii="宋体" w:hAnsi="宋体" w:eastAsia="宋体" w:cs="宋体"/>
          <w:sz w:val="24"/>
        </w:rPr>
        <w:t>成立时间：</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  </w:t>
      </w:r>
    </w:p>
    <w:p w14:paraId="164A668D">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rPr>
      </w:pPr>
      <w:r>
        <w:rPr>
          <w:rFonts w:hint="eastAsia" w:ascii="宋体" w:hAnsi="宋体" w:eastAsia="宋体" w:cs="宋体"/>
          <w:sz w:val="24"/>
        </w:rPr>
        <w:t>经营期限：</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                                          </w:t>
      </w:r>
    </w:p>
    <w:p w14:paraId="2017ADBE">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rPr>
      </w:pPr>
      <w:r>
        <w:rPr>
          <w:rFonts w:hint="eastAsia" w:ascii="宋体" w:hAnsi="宋体" w:eastAsia="宋体" w:cs="宋体"/>
          <w:sz w:val="24"/>
        </w:rPr>
        <w:t>姓</w:t>
      </w:r>
      <w:r>
        <w:rPr>
          <w:rFonts w:hint="eastAsia" w:ascii="宋体" w:hAnsi="宋体" w:eastAsia="宋体" w:cs="宋体"/>
          <w:sz w:val="24"/>
          <w:lang w:val="en-US" w:eastAsia="zh-CN"/>
        </w:rPr>
        <w:t xml:space="preserve">    </w:t>
      </w:r>
      <w:r>
        <w:rPr>
          <w:rFonts w:hint="eastAsia" w:ascii="宋体" w:hAnsi="宋体" w:eastAsia="宋体" w:cs="宋体"/>
          <w:sz w:val="24"/>
        </w:rPr>
        <w:t>名：</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        性</w:t>
      </w:r>
      <w:r>
        <w:rPr>
          <w:rFonts w:hint="eastAsia" w:ascii="宋体" w:hAnsi="宋体" w:eastAsia="宋体" w:cs="宋体"/>
          <w:sz w:val="24"/>
          <w:lang w:val="en-US" w:eastAsia="zh-CN"/>
        </w:rPr>
        <w:t xml:space="preserve">    </w:t>
      </w:r>
      <w:r>
        <w:rPr>
          <w:rFonts w:hint="eastAsia" w:ascii="宋体" w:hAnsi="宋体" w:eastAsia="宋体" w:cs="宋体"/>
          <w:sz w:val="24"/>
        </w:rPr>
        <w:t xml:space="preserve">别： </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                  </w:t>
      </w:r>
    </w:p>
    <w:p w14:paraId="13C16FC4">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rPr>
      </w:pP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龄：</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        职</w:t>
      </w:r>
      <w:r>
        <w:rPr>
          <w:rFonts w:hint="eastAsia" w:ascii="宋体" w:hAnsi="宋体" w:eastAsia="宋体" w:cs="宋体"/>
          <w:sz w:val="24"/>
          <w:lang w:val="en-US" w:eastAsia="zh-CN"/>
        </w:rPr>
        <w:t xml:space="preserve">    </w:t>
      </w:r>
      <w:r>
        <w:rPr>
          <w:rFonts w:hint="eastAsia" w:ascii="宋体" w:hAnsi="宋体" w:eastAsia="宋体" w:cs="宋体"/>
          <w:sz w:val="24"/>
        </w:rPr>
        <w:t>务：</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                 </w:t>
      </w:r>
    </w:p>
    <w:p w14:paraId="76D37768">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 xml:space="preserve">（供应商名称）的法定代表人。 </w:t>
      </w:r>
    </w:p>
    <w:p w14:paraId="1E303EE7">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rPr>
      </w:pPr>
      <w:r>
        <w:rPr>
          <w:rFonts w:hint="eastAsia" w:ascii="宋体" w:hAnsi="宋体" w:eastAsia="宋体" w:cs="宋体"/>
          <w:sz w:val="24"/>
        </w:rPr>
        <w:t>特此证明。</w:t>
      </w:r>
    </w:p>
    <w:p w14:paraId="4787F78D">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rPr>
      </w:pPr>
    </w:p>
    <w:p w14:paraId="2F1598DC">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rPr>
      </w:pPr>
    </w:p>
    <w:p w14:paraId="4FA9D346">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rPr>
      </w:pPr>
      <w:r>
        <w:rPr>
          <w:rFonts w:hint="eastAsia" w:ascii="宋体" w:hAnsi="宋体" w:eastAsia="宋体" w:cs="宋体"/>
          <w:sz w:val="24"/>
        </w:rPr>
        <w:t>供应商名称：</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sz w:val="24"/>
          <w:lang w:val="en-US" w:eastAsia="zh-CN"/>
        </w:rPr>
        <w:t>盖单位章</w:t>
      </w:r>
      <w:r>
        <w:rPr>
          <w:rFonts w:hint="eastAsia" w:ascii="宋体" w:hAnsi="宋体" w:eastAsia="宋体" w:cs="宋体"/>
          <w:sz w:val="24"/>
        </w:rPr>
        <w:t>）</w:t>
      </w:r>
    </w:p>
    <w:p w14:paraId="0C4C14AD">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rPr>
      </w:pPr>
      <w:r>
        <w:rPr>
          <w:rFonts w:hint="eastAsia" w:ascii="宋体" w:hAnsi="宋体" w:eastAsia="宋体" w:cs="宋体"/>
          <w:sz w:val="24"/>
        </w:rPr>
        <w:t>日      期：   年  月  日</w:t>
      </w:r>
    </w:p>
    <w:p w14:paraId="7E47B2BC">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szCs w:val="21"/>
        </w:rPr>
      </w:pPr>
    </w:p>
    <w:tbl>
      <w:tblPr>
        <w:tblStyle w:val="88"/>
        <w:tblW w:w="83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1"/>
      </w:tblGrid>
      <w:tr w14:paraId="18D77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1" w:hRule="atLeast"/>
        </w:trPr>
        <w:tc>
          <w:tcPr>
            <w:tcW w:w="8301" w:type="dxa"/>
          </w:tcPr>
          <w:p w14:paraId="0876C3FB">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 w:val="24"/>
              </w:rPr>
              <w:t>附：法定代表人身份证</w:t>
            </w:r>
            <w:r>
              <w:rPr>
                <w:rFonts w:hint="eastAsia" w:ascii="宋体" w:hAnsi="宋体" w:eastAsia="宋体" w:cs="宋体"/>
                <w:sz w:val="24"/>
                <w:lang w:val="en-US" w:eastAsia="zh-CN"/>
              </w:rPr>
              <w:t>正反</w:t>
            </w:r>
            <w:r>
              <w:rPr>
                <w:rFonts w:hint="eastAsia" w:ascii="宋体" w:hAnsi="宋体" w:eastAsia="宋体" w:cs="宋体"/>
                <w:sz w:val="24"/>
              </w:rPr>
              <w:t>复印件</w:t>
            </w:r>
          </w:p>
        </w:tc>
      </w:tr>
    </w:tbl>
    <w:p w14:paraId="559CD03E">
      <w:pPr>
        <w:snapToGrid/>
        <w:spacing w:beforeAutospacing="0" w:afterAutospacing="0" w:line="560" w:lineRule="exact"/>
        <w:ind w:left="0" w:leftChars="0" w:right="0" w:rightChars="0" w:firstLine="482" w:firstLineChars="0"/>
        <w:jc w:val="left"/>
        <w:rPr>
          <w:rFonts w:hint="eastAsia" w:ascii="宋体" w:hAnsi="宋体" w:eastAsia="宋体" w:cs="宋体"/>
          <w:sz w:val="24"/>
        </w:rPr>
      </w:pPr>
    </w:p>
    <w:p w14:paraId="1F0D6B96">
      <w:pPr>
        <w:snapToGrid/>
        <w:spacing w:beforeAutospacing="0" w:afterAutospacing="0" w:line="560" w:lineRule="exact"/>
        <w:ind w:left="0" w:leftChars="0" w:right="0" w:rightChars="0" w:firstLine="482" w:firstLineChars="0"/>
        <w:jc w:val="left"/>
        <w:rPr>
          <w:rFonts w:hint="eastAsia" w:ascii="宋体" w:hAnsi="宋体" w:eastAsia="宋体" w:cs="宋体"/>
          <w:sz w:val="24"/>
        </w:rPr>
      </w:pPr>
      <w:r>
        <w:rPr>
          <w:rFonts w:hint="eastAsia" w:ascii="宋体" w:hAnsi="宋体" w:eastAsia="宋体" w:cs="宋体"/>
          <w:sz w:val="24"/>
        </w:rPr>
        <w:br w:type="page"/>
      </w:r>
    </w:p>
    <w:p w14:paraId="3127F6D7">
      <w:pPr>
        <w:keepNext/>
        <w:keepLines/>
        <w:snapToGrid/>
        <w:spacing w:beforeAutospacing="0" w:afterAutospacing="0" w:line="560" w:lineRule="exact"/>
        <w:ind w:left="0" w:leftChars="0" w:right="0" w:rightChars="0" w:firstLine="482" w:firstLineChars="0"/>
        <w:jc w:val="center"/>
        <w:outlineLvl w:val="1"/>
        <w:rPr>
          <w:rFonts w:hint="eastAsia" w:ascii="宋体" w:hAnsi="宋体" w:eastAsia="宋体" w:cs="宋体"/>
          <w:b/>
          <w:sz w:val="24"/>
          <w:szCs w:val="28"/>
        </w:rPr>
      </w:pPr>
      <w:bookmarkStart w:id="765" w:name="_Toc109897495"/>
      <w:bookmarkStart w:id="766" w:name="_Toc109900432"/>
      <w:bookmarkStart w:id="767" w:name="_Toc29811"/>
      <w:bookmarkStart w:id="768" w:name="_Toc56708577"/>
      <w:bookmarkStart w:id="769" w:name="_Toc109900013"/>
      <w:r>
        <w:rPr>
          <w:rFonts w:hint="eastAsia" w:ascii="宋体" w:hAnsi="宋体" w:eastAsia="宋体" w:cs="宋体"/>
          <w:b/>
          <w:sz w:val="24"/>
          <w:szCs w:val="28"/>
        </w:rPr>
        <w:t>（三）法定代表人授权书</w:t>
      </w:r>
      <w:bookmarkEnd w:id="765"/>
      <w:bookmarkEnd w:id="766"/>
      <w:bookmarkEnd w:id="767"/>
      <w:bookmarkEnd w:id="768"/>
      <w:bookmarkEnd w:id="769"/>
    </w:p>
    <w:p w14:paraId="7A28F540">
      <w:pPr>
        <w:snapToGrid/>
        <w:spacing w:beforeAutospacing="0" w:afterAutospacing="0" w:line="560" w:lineRule="exact"/>
        <w:ind w:left="0" w:leftChars="0" w:right="0" w:rightChars="0" w:firstLine="482" w:firstLineChars="0"/>
        <w:jc w:val="left"/>
        <w:rPr>
          <w:rFonts w:hint="eastAsia" w:ascii="宋体" w:hAnsi="宋体" w:eastAsia="宋体" w:cs="宋体"/>
          <w:sz w:val="24"/>
        </w:rPr>
      </w:pPr>
    </w:p>
    <w:p w14:paraId="4DB0E06D">
      <w:pPr>
        <w:keepNext w:val="0"/>
        <w:keepLines w:val="0"/>
        <w:pageBreakBefore w:val="0"/>
        <w:widowControl w:val="0"/>
        <w:kinsoku/>
        <w:wordWrap/>
        <w:overflowPunct/>
        <w:topLinePunct w:val="0"/>
        <w:bidi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rPr>
      </w:pPr>
      <w:r>
        <w:rPr>
          <w:rFonts w:hint="eastAsia" w:ascii="宋体" w:hAnsi="宋体" w:eastAsia="宋体" w:cs="宋体"/>
          <w:sz w:val="24"/>
        </w:rPr>
        <w:t>本人</w:t>
      </w:r>
      <w:r>
        <w:rPr>
          <w:rFonts w:hint="eastAsia" w:ascii="宋体" w:hAnsi="宋体" w:eastAsia="宋体" w:cs="宋体"/>
          <w:sz w:val="24"/>
          <w:u w:val="single"/>
        </w:rPr>
        <w:t xml:space="preserve">       </w:t>
      </w:r>
      <w:r>
        <w:rPr>
          <w:rFonts w:hint="eastAsia" w:ascii="宋体" w:hAnsi="宋体" w:eastAsia="宋体" w:cs="宋体"/>
          <w:sz w:val="24"/>
        </w:rPr>
        <w:t>（姓名）系</w:t>
      </w:r>
      <w:r>
        <w:rPr>
          <w:rFonts w:hint="eastAsia" w:ascii="宋体" w:hAnsi="宋体" w:eastAsia="宋体" w:cs="宋体"/>
          <w:sz w:val="24"/>
          <w:u w:val="single"/>
        </w:rPr>
        <w:t xml:space="preserve">            </w:t>
      </w:r>
      <w:r>
        <w:rPr>
          <w:rFonts w:hint="eastAsia" w:ascii="宋体" w:hAnsi="宋体" w:eastAsia="宋体" w:cs="宋体"/>
          <w:sz w:val="24"/>
        </w:rPr>
        <w:t xml:space="preserve">（供应商名称）的法定代表人，现委托 </w:t>
      </w:r>
      <w:r>
        <w:rPr>
          <w:rFonts w:hint="eastAsia" w:ascii="宋体" w:hAnsi="宋体" w:eastAsia="宋体" w:cs="宋体"/>
          <w:sz w:val="24"/>
          <w:u w:val="single"/>
        </w:rPr>
        <w:t xml:space="preserve">       </w:t>
      </w:r>
      <w:r>
        <w:rPr>
          <w:rFonts w:hint="eastAsia" w:ascii="宋体" w:hAnsi="宋体" w:eastAsia="宋体" w:cs="宋体"/>
          <w:sz w:val="24"/>
        </w:rPr>
        <w:t>（姓名）为我方代理人。代理人根据授权，以我方名义签署、澄清、说明、补正、递交、撤回、修改</w:t>
      </w:r>
      <w:r>
        <w:rPr>
          <w:rFonts w:hint="eastAsia" w:ascii="宋体" w:hAnsi="宋体" w:eastAsia="宋体" w:cs="宋体"/>
          <w:sz w:val="24"/>
          <w:u w:val="single"/>
        </w:rPr>
        <w:t xml:space="preserve">           </w:t>
      </w:r>
      <w:r>
        <w:rPr>
          <w:rFonts w:hint="eastAsia" w:ascii="宋体" w:hAnsi="宋体" w:eastAsia="宋体" w:cs="宋体"/>
          <w:sz w:val="24"/>
        </w:rPr>
        <w:t>（项目名称</w:t>
      </w:r>
      <w:r>
        <w:rPr>
          <w:rFonts w:hint="eastAsia" w:ascii="宋体" w:hAnsi="宋体" w:eastAsia="宋体" w:cs="宋体"/>
          <w:sz w:val="24"/>
          <w:lang w:eastAsia="zh-CN"/>
        </w:rPr>
        <w:t>、</w:t>
      </w:r>
      <w:r>
        <w:rPr>
          <w:rFonts w:hint="eastAsia" w:ascii="宋体" w:hAnsi="宋体" w:eastAsia="宋体" w:cs="宋体"/>
          <w:sz w:val="24"/>
          <w:lang w:val="en-US" w:eastAsia="zh-CN"/>
        </w:rPr>
        <w:t>项目编号</w:t>
      </w:r>
      <w:r>
        <w:rPr>
          <w:rFonts w:hint="eastAsia" w:ascii="宋体" w:hAnsi="宋体" w:eastAsia="宋体" w:cs="宋体"/>
          <w:sz w:val="24"/>
        </w:rPr>
        <w:t>）响应文件、签订合同和处理有关事宜，其法律后果由我方承担。</w:t>
      </w:r>
    </w:p>
    <w:p w14:paraId="18ECF19D">
      <w:pPr>
        <w:keepNext w:val="0"/>
        <w:keepLines w:val="0"/>
        <w:pageBreakBefore w:val="0"/>
        <w:widowControl w:val="0"/>
        <w:kinsoku/>
        <w:wordWrap/>
        <w:overflowPunct/>
        <w:topLinePunct w:val="0"/>
        <w:bidi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rPr>
      </w:pPr>
      <w:r>
        <w:rPr>
          <w:rFonts w:hint="eastAsia" w:ascii="宋体" w:hAnsi="宋体" w:eastAsia="宋体" w:cs="宋体"/>
          <w:sz w:val="24"/>
        </w:rPr>
        <w:t xml:space="preserve">委托期限：                   </w:t>
      </w:r>
    </w:p>
    <w:p w14:paraId="6677E322">
      <w:pPr>
        <w:keepNext w:val="0"/>
        <w:keepLines w:val="0"/>
        <w:pageBreakBefore w:val="0"/>
        <w:widowControl w:val="0"/>
        <w:kinsoku/>
        <w:wordWrap/>
        <w:overflowPunct/>
        <w:topLinePunct w:val="0"/>
        <w:bidi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rPr>
      </w:pPr>
      <w:r>
        <w:rPr>
          <w:rFonts w:hint="eastAsia" w:ascii="宋体" w:hAnsi="宋体" w:eastAsia="宋体" w:cs="宋体"/>
          <w:sz w:val="24"/>
        </w:rPr>
        <w:t>代理人无转委托权。</w:t>
      </w:r>
    </w:p>
    <w:p w14:paraId="438C1492">
      <w:pPr>
        <w:keepNext w:val="0"/>
        <w:keepLines w:val="0"/>
        <w:pageBreakBefore w:val="0"/>
        <w:widowControl w:val="0"/>
        <w:kinsoku/>
        <w:wordWrap/>
        <w:overflowPunct/>
        <w:topLinePunct w:val="0"/>
        <w:bidi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rPr>
      </w:pPr>
      <w:r>
        <w:rPr>
          <w:rFonts w:hint="eastAsia" w:ascii="宋体" w:hAnsi="宋体" w:eastAsia="宋体" w:cs="宋体"/>
          <w:sz w:val="24"/>
        </w:rPr>
        <w:t>附：法定代表人身份证明</w:t>
      </w:r>
    </w:p>
    <w:p w14:paraId="36C3A8B7">
      <w:pPr>
        <w:keepNext w:val="0"/>
        <w:keepLines w:val="0"/>
        <w:pageBreakBefore w:val="0"/>
        <w:widowControl w:val="0"/>
        <w:kinsoku/>
        <w:wordWrap/>
        <w:overflowPunct/>
        <w:topLinePunct w:val="0"/>
        <w:bidi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rPr>
      </w:pPr>
    </w:p>
    <w:p w14:paraId="13FF363A">
      <w:pPr>
        <w:keepNext w:val="0"/>
        <w:keepLines w:val="0"/>
        <w:pageBreakBefore w:val="0"/>
        <w:widowControl w:val="0"/>
        <w:kinsoku/>
        <w:wordWrap/>
        <w:overflowPunct/>
        <w:topLinePunct w:val="0"/>
        <w:bidi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rPr>
      </w:pPr>
      <w:r>
        <w:rPr>
          <w:rFonts w:hint="eastAsia" w:ascii="宋体" w:hAnsi="宋体" w:eastAsia="宋体" w:cs="宋体"/>
          <w:sz w:val="24"/>
        </w:rPr>
        <w:t>供</w:t>
      </w:r>
      <w:r>
        <w:rPr>
          <w:rFonts w:hint="eastAsia" w:ascii="宋体" w:hAnsi="宋体" w:eastAsia="宋体" w:cs="宋体"/>
          <w:sz w:val="24"/>
          <w:lang w:val="en-US" w:eastAsia="zh-CN"/>
        </w:rPr>
        <w:t xml:space="preserve">  </w:t>
      </w:r>
      <w:r>
        <w:rPr>
          <w:rFonts w:hint="eastAsia" w:ascii="宋体" w:hAnsi="宋体" w:eastAsia="宋体" w:cs="宋体"/>
          <w:sz w:val="24"/>
        </w:rPr>
        <w:t>应</w:t>
      </w:r>
      <w:r>
        <w:rPr>
          <w:rFonts w:hint="eastAsia" w:ascii="宋体" w:hAnsi="宋体" w:eastAsia="宋体" w:cs="宋体"/>
          <w:sz w:val="24"/>
          <w:lang w:val="en-US" w:eastAsia="zh-CN"/>
        </w:rPr>
        <w:t xml:space="preserve">  </w:t>
      </w:r>
      <w:r>
        <w:rPr>
          <w:rFonts w:hint="eastAsia" w:ascii="宋体" w:hAnsi="宋体" w:eastAsia="宋体" w:cs="宋体"/>
          <w:sz w:val="24"/>
        </w:rPr>
        <w:t>商：</w:t>
      </w:r>
      <w:r>
        <w:rPr>
          <w:rFonts w:hint="eastAsia" w:ascii="宋体" w:hAnsi="宋体" w:eastAsia="宋体" w:cs="宋体"/>
          <w:sz w:val="24"/>
          <w:u w:val="single"/>
        </w:rPr>
        <w:t xml:space="preserve">                           </w:t>
      </w:r>
      <w:r>
        <w:rPr>
          <w:rFonts w:hint="eastAsia" w:ascii="宋体" w:hAnsi="宋体" w:eastAsia="宋体" w:cs="宋体"/>
          <w:sz w:val="24"/>
        </w:rPr>
        <w:t>（盖单位章）</w:t>
      </w:r>
    </w:p>
    <w:p w14:paraId="47216F40">
      <w:pPr>
        <w:keepNext w:val="0"/>
        <w:keepLines w:val="0"/>
        <w:pageBreakBefore w:val="0"/>
        <w:widowControl w:val="0"/>
        <w:kinsoku/>
        <w:wordWrap/>
        <w:overflowPunct/>
        <w:topLinePunct w:val="0"/>
        <w:bidi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rPr>
      </w:pPr>
      <w:r>
        <w:rPr>
          <w:rFonts w:hint="eastAsia" w:ascii="宋体" w:hAnsi="宋体" w:eastAsia="宋体" w:cs="宋体"/>
          <w:sz w:val="24"/>
        </w:rPr>
        <w:t>法定代表人：</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（签字）</w:t>
      </w:r>
    </w:p>
    <w:p w14:paraId="04B59F4B">
      <w:pPr>
        <w:keepNext w:val="0"/>
        <w:keepLines w:val="0"/>
        <w:pageBreakBefore w:val="0"/>
        <w:widowControl w:val="0"/>
        <w:kinsoku/>
        <w:wordWrap/>
        <w:overflowPunct/>
        <w:topLinePunct w:val="0"/>
        <w:bidi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rPr>
      </w:pPr>
      <w:r>
        <w:rPr>
          <w:rFonts w:hint="eastAsia" w:ascii="宋体" w:hAnsi="宋体" w:eastAsia="宋体" w:cs="宋体"/>
          <w:sz w:val="24"/>
        </w:rPr>
        <w:t>身份证号码：</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05F58A1A">
      <w:pPr>
        <w:keepNext w:val="0"/>
        <w:keepLines w:val="0"/>
        <w:pageBreakBefore w:val="0"/>
        <w:widowControl w:val="0"/>
        <w:kinsoku/>
        <w:wordWrap/>
        <w:overflowPunct/>
        <w:topLinePunct w:val="0"/>
        <w:bidi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rPr>
      </w:pPr>
      <w:r>
        <w:rPr>
          <w:rFonts w:hint="eastAsia" w:ascii="宋体" w:hAnsi="宋体" w:eastAsia="宋体" w:cs="宋体"/>
          <w:sz w:val="24"/>
        </w:rPr>
        <w:t>委托代理人：</w:t>
      </w:r>
      <w:r>
        <w:rPr>
          <w:rFonts w:hint="eastAsia" w:ascii="宋体" w:hAnsi="宋体" w:eastAsia="宋体" w:cs="宋体"/>
          <w:sz w:val="24"/>
          <w:u w:val="single"/>
        </w:rPr>
        <w:t xml:space="preserve">                           </w:t>
      </w:r>
      <w:r>
        <w:rPr>
          <w:rFonts w:hint="eastAsia" w:ascii="宋体" w:hAnsi="宋体" w:eastAsia="宋体" w:cs="宋体"/>
          <w:sz w:val="24"/>
        </w:rPr>
        <w:t>（签字）</w:t>
      </w:r>
    </w:p>
    <w:p w14:paraId="2C06DCA4">
      <w:pPr>
        <w:keepNext w:val="0"/>
        <w:keepLines w:val="0"/>
        <w:pageBreakBefore w:val="0"/>
        <w:widowControl w:val="0"/>
        <w:kinsoku/>
        <w:wordWrap/>
        <w:overflowPunct/>
        <w:topLinePunct w:val="0"/>
        <w:bidi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rPr>
      </w:pPr>
      <w:r>
        <w:rPr>
          <w:rFonts w:hint="eastAsia" w:ascii="宋体" w:hAnsi="宋体" w:eastAsia="宋体" w:cs="宋体"/>
          <w:sz w:val="24"/>
        </w:rPr>
        <w:t>身份证号码：</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11D32F83">
      <w:pPr>
        <w:keepNext w:val="0"/>
        <w:keepLines w:val="0"/>
        <w:pageBreakBefore w:val="0"/>
        <w:widowControl w:val="0"/>
        <w:kinsoku/>
        <w:wordWrap/>
        <w:overflowPunct/>
        <w:topLinePunct w:val="0"/>
        <w:bidi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rPr>
      </w:pPr>
      <w:r>
        <w:rPr>
          <w:rFonts w:hint="eastAsia" w:ascii="宋体" w:hAnsi="宋体" w:eastAsia="宋体" w:cs="宋体"/>
          <w:sz w:val="24"/>
        </w:rPr>
        <w:t>日      期：</w:t>
      </w:r>
    </w:p>
    <w:p w14:paraId="4C586A48">
      <w:pPr>
        <w:keepNext w:val="0"/>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szCs w:val="21"/>
        </w:rPr>
      </w:pPr>
    </w:p>
    <w:tbl>
      <w:tblPr>
        <w:tblStyle w:val="88"/>
        <w:tblW w:w="83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1"/>
      </w:tblGrid>
      <w:tr w14:paraId="71960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1" w:hRule="atLeast"/>
        </w:trPr>
        <w:tc>
          <w:tcPr>
            <w:tcW w:w="8301" w:type="dxa"/>
          </w:tcPr>
          <w:p w14:paraId="28345067">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rPr>
            </w:pPr>
            <w:r>
              <w:rPr>
                <w:rFonts w:hint="eastAsia" w:ascii="宋体" w:hAnsi="宋体" w:eastAsia="宋体" w:cs="宋体"/>
                <w:sz w:val="24"/>
              </w:rPr>
              <w:t>附：授权代表身份证</w:t>
            </w:r>
            <w:r>
              <w:rPr>
                <w:rFonts w:hint="eastAsia" w:ascii="宋体" w:hAnsi="宋体" w:eastAsia="宋体" w:cs="宋体"/>
                <w:sz w:val="24"/>
                <w:lang w:val="en-US" w:eastAsia="zh-CN"/>
              </w:rPr>
              <w:t>正反</w:t>
            </w:r>
            <w:r>
              <w:rPr>
                <w:rFonts w:hint="eastAsia" w:ascii="宋体" w:hAnsi="宋体" w:eastAsia="宋体" w:cs="宋体"/>
                <w:sz w:val="24"/>
              </w:rPr>
              <w:t>复印件</w:t>
            </w:r>
          </w:p>
        </w:tc>
      </w:tr>
    </w:tbl>
    <w:p w14:paraId="7826B52E">
      <w:pPr>
        <w:snapToGrid/>
        <w:spacing w:beforeAutospacing="0" w:afterAutospacing="0" w:line="560" w:lineRule="exact"/>
        <w:ind w:left="0" w:leftChars="0" w:right="0" w:rightChars="0" w:firstLine="482" w:firstLineChars="0"/>
        <w:jc w:val="left"/>
        <w:rPr>
          <w:rFonts w:hint="eastAsia" w:ascii="宋体" w:hAnsi="宋体" w:eastAsia="宋体" w:cs="宋体"/>
          <w:sz w:val="24"/>
          <w:szCs w:val="32"/>
        </w:rPr>
      </w:pPr>
      <w:r>
        <w:rPr>
          <w:rFonts w:hint="eastAsia" w:ascii="宋体" w:hAnsi="宋体" w:eastAsia="宋体" w:cs="宋体"/>
          <w:b/>
          <w:bCs/>
          <w:sz w:val="24"/>
          <w:szCs w:val="32"/>
        </w:rPr>
        <w:br w:type="page"/>
      </w:r>
      <w:bookmarkStart w:id="770" w:name="_Toc56708578"/>
    </w:p>
    <w:p w14:paraId="13DA88FB">
      <w:pPr>
        <w:keepNext/>
        <w:keepLines/>
        <w:snapToGrid/>
        <w:spacing w:beforeAutospacing="0" w:afterAutospacing="0" w:line="560" w:lineRule="exact"/>
        <w:ind w:left="0" w:leftChars="0" w:right="0" w:rightChars="0" w:firstLine="482" w:firstLineChars="0"/>
        <w:jc w:val="left"/>
        <w:outlineLvl w:val="1"/>
        <w:rPr>
          <w:rFonts w:hint="eastAsia" w:ascii="宋体" w:hAnsi="宋体" w:eastAsia="宋体" w:cs="宋体"/>
          <w:b/>
          <w:sz w:val="24"/>
          <w:szCs w:val="36"/>
        </w:rPr>
        <w:sectPr>
          <w:type w:val="nextColumn"/>
          <w:pgSz w:w="11905" w:h="16838"/>
          <w:pgMar w:top="1440" w:right="1797" w:bottom="1440" w:left="1797" w:header="850" w:footer="850" w:gutter="0"/>
          <w:pgNumType w:fmt="decimal"/>
          <w:cols w:space="720" w:num="1"/>
        </w:sectPr>
      </w:pPr>
    </w:p>
    <w:p w14:paraId="6F9D2B89">
      <w:pPr>
        <w:pStyle w:val="4"/>
        <w:snapToGrid/>
        <w:spacing w:before="200" w:beforeAutospacing="0" w:after="100" w:afterAutospacing="0" w:line="240" w:lineRule="auto"/>
        <w:ind w:left="0" w:leftChars="0" w:right="0" w:rightChars="0" w:firstLine="0" w:firstLineChars="0"/>
        <w:jc w:val="left"/>
        <w:outlineLvl w:val="1"/>
        <w:rPr>
          <w:rFonts w:hint="eastAsia" w:ascii="宋体" w:hAnsi="宋体" w:eastAsia="宋体" w:cs="宋体"/>
          <w:b w:val="0"/>
          <w:sz w:val="32"/>
        </w:rPr>
      </w:pPr>
      <w:bookmarkStart w:id="771" w:name="_Toc109900435"/>
      <w:bookmarkStart w:id="772" w:name="_Toc109900016"/>
      <w:bookmarkStart w:id="773" w:name="_Toc109897498"/>
      <w:bookmarkStart w:id="774" w:name="_Toc2356"/>
      <w:r>
        <w:rPr>
          <w:rFonts w:hint="eastAsia" w:ascii="宋体" w:hAnsi="宋体" w:eastAsia="宋体" w:cs="宋体"/>
          <w:b w:val="0"/>
          <w:sz w:val="28"/>
          <w:szCs w:val="28"/>
        </w:rPr>
        <w:t>二、报价文件</w:t>
      </w:r>
      <w:bookmarkEnd w:id="770"/>
      <w:bookmarkEnd w:id="771"/>
      <w:bookmarkEnd w:id="772"/>
      <w:bookmarkEnd w:id="773"/>
      <w:bookmarkEnd w:id="774"/>
    </w:p>
    <w:p w14:paraId="58189B47">
      <w:pPr>
        <w:keepNext/>
        <w:keepLines/>
        <w:snapToGrid/>
        <w:spacing w:beforeAutospacing="0" w:afterAutospacing="0" w:line="560" w:lineRule="exact"/>
        <w:ind w:left="0" w:leftChars="0" w:right="0" w:rightChars="0" w:firstLine="482" w:firstLineChars="0"/>
        <w:jc w:val="center"/>
        <w:outlineLvl w:val="1"/>
        <w:rPr>
          <w:rFonts w:hint="eastAsia" w:ascii="宋体" w:hAnsi="宋体" w:eastAsia="宋体" w:cs="宋体"/>
          <w:bCs/>
          <w:sz w:val="24"/>
          <w:szCs w:val="28"/>
        </w:rPr>
      </w:pPr>
      <w:bookmarkStart w:id="775" w:name="_Toc109897499"/>
      <w:bookmarkStart w:id="776" w:name="_Toc109900017"/>
      <w:bookmarkStart w:id="777" w:name="_Toc56708579"/>
      <w:bookmarkStart w:id="778" w:name="_Toc109900436"/>
      <w:bookmarkStart w:id="779" w:name="_Toc16566"/>
      <w:r>
        <w:rPr>
          <w:rFonts w:hint="eastAsia" w:ascii="宋体" w:hAnsi="宋体" w:eastAsia="宋体" w:cs="宋体"/>
          <w:b/>
          <w:sz w:val="24"/>
          <w:szCs w:val="28"/>
        </w:rPr>
        <w:t>（一）报价一览表</w:t>
      </w:r>
      <w:bookmarkEnd w:id="775"/>
      <w:bookmarkEnd w:id="776"/>
      <w:bookmarkEnd w:id="777"/>
      <w:bookmarkEnd w:id="778"/>
      <w:bookmarkEnd w:id="779"/>
    </w:p>
    <w:p w14:paraId="0C0B3E95">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color w:val="auto"/>
          <w:sz w:val="24"/>
          <w:szCs w:val="24"/>
          <w:highlight w:val="none"/>
        </w:rPr>
      </w:pPr>
      <w:bookmarkStart w:id="780" w:name="_Hlk56713846"/>
    </w:p>
    <w:p w14:paraId="4DDB1FFB">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w:t>
      </w:r>
    </w:p>
    <w:p w14:paraId="414F74C5">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项目编号：</w:t>
      </w:r>
      <w:r>
        <w:rPr>
          <w:rFonts w:hint="eastAsia" w:ascii="宋体" w:hAnsi="宋体" w:eastAsia="宋体" w:cs="宋体"/>
          <w:color w:val="auto"/>
          <w:sz w:val="24"/>
          <w:szCs w:val="24"/>
          <w:highlight w:val="none"/>
        </w:rPr>
        <w:t xml:space="preserve">                                        </w:t>
      </w:r>
    </w:p>
    <w:tbl>
      <w:tblPr>
        <w:tblStyle w:val="8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33"/>
        <w:gridCol w:w="4694"/>
      </w:tblGrid>
      <w:tr w14:paraId="0E579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47" w:type="pct"/>
            <w:noWrap w:val="0"/>
            <w:vAlign w:val="center"/>
          </w:tcPr>
          <w:p w14:paraId="24CF1A7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供应商名称</w:t>
            </w:r>
          </w:p>
        </w:tc>
        <w:tc>
          <w:tcPr>
            <w:tcW w:w="2752" w:type="pct"/>
            <w:noWrap w:val="0"/>
            <w:vAlign w:val="center"/>
          </w:tcPr>
          <w:p w14:paraId="11611D7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highlight w:val="none"/>
              </w:rPr>
            </w:pPr>
          </w:p>
        </w:tc>
      </w:tr>
      <w:tr w14:paraId="79867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2247" w:type="pct"/>
            <w:noWrap w:val="0"/>
            <w:vAlign w:val="center"/>
          </w:tcPr>
          <w:p w14:paraId="7C7C15F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总报价（万元）</w:t>
            </w:r>
          </w:p>
        </w:tc>
        <w:tc>
          <w:tcPr>
            <w:tcW w:w="2752" w:type="pct"/>
            <w:noWrap w:val="0"/>
            <w:vAlign w:val="center"/>
          </w:tcPr>
          <w:p w14:paraId="5100A0C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highlight w:val="none"/>
              </w:rPr>
            </w:pPr>
          </w:p>
        </w:tc>
      </w:tr>
      <w:tr w14:paraId="5E816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2247" w:type="pct"/>
            <w:noWrap w:val="0"/>
            <w:vAlign w:val="center"/>
          </w:tcPr>
          <w:p w14:paraId="3B0E2D9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合同履行期限</w:t>
            </w:r>
          </w:p>
        </w:tc>
        <w:tc>
          <w:tcPr>
            <w:tcW w:w="2752" w:type="pct"/>
            <w:noWrap w:val="0"/>
            <w:vAlign w:val="center"/>
          </w:tcPr>
          <w:p w14:paraId="752496E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日历天</w:t>
            </w:r>
          </w:p>
        </w:tc>
      </w:tr>
      <w:tr w14:paraId="1000D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2247" w:type="pct"/>
            <w:noWrap w:val="0"/>
            <w:vAlign w:val="center"/>
          </w:tcPr>
          <w:p w14:paraId="7A08A20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highlight w:val="none"/>
              </w:rPr>
            </w:pPr>
            <w:r>
              <w:rPr>
                <w:rFonts w:hint="eastAsia" w:ascii="宋体" w:hAnsi="宋体" w:cs="宋体"/>
                <w:snapToGrid w:val="0"/>
                <w:kern w:val="0"/>
                <w:sz w:val="24"/>
                <w:szCs w:val="24"/>
                <w:lang w:val="zh-CN"/>
              </w:rPr>
              <w:t>质保期</w:t>
            </w:r>
          </w:p>
        </w:tc>
        <w:tc>
          <w:tcPr>
            <w:tcW w:w="2752" w:type="pct"/>
            <w:noWrap w:val="0"/>
            <w:vAlign w:val="center"/>
          </w:tcPr>
          <w:p w14:paraId="179B305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年</w:t>
            </w:r>
          </w:p>
        </w:tc>
      </w:tr>
      <w:tr w14:paraId="38B92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2247" w:type="pct"/>
            <w:noWrap w:val="0"/>
            <w:vAlign w:val="center"/>
          </w:tcPr>
          <w:p w14:paraId="1141C8F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项目负责人及联系方式</w:t>
            </w:r>
          </w:p>
        </w:tc>
        <w:tc>
          <w:tcPr>
            <w:tcW w:w="2752" w:type="pct"/>
            <w:noWrap w:val="0"/>
            <w:vAlign w:val="center"/>
          </w:tcPr>
          <w:p w14:paraId="27C3B10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2"/>
                <w:szCs w:val="22"/>
                <w:highlight w:val="none"/>
              </w:rPr>
            </w:pPr>
          </w:p>
        </w:tc>
      </w:tr>
      <w:tr w14:paraId="3DC94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2247" w:type="pct"/>
            <w:noWrap w:val="0"/>
            <w:vAlign w:val="center"/>
          </w:tcPr>
          <w:p w14:paraId="73634E0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拟派项目人数</w:t>
            </w:r>
          </w:p>
        </w:tc>
        <w:tc>
          <w:tcPr>
            <w:tcW w:w="2752" w:type="pct"/>
            <w:noWrap w:val="0"/>
            <w:vAlign w:val="center"/>
          </w:tcPr>
          <w:p w14:paraId="697F5DC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highlight w:val="none"/>
              </w:rPr>
            </w:pPr>
          </w:p>
        </w:tc>
      </w:tr>
      <w:tr w14:paraId="62110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2247" w:type="pct"/>
            <w:noWrap w:val="0"/>
            <w:vAlign w:val="center"/>
          </w:tcPr>
          <w:p w14:paraId="4340F7C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备注</w:t>
            </w:r>
          </w:p>
        </w:tc>
        <w:tc>
          <w:tcPr>
            <w:tcW w:w="2752" w:type="pct"/>
            <w:noWrap w:val="0"/>
            <w:vAlign w:val="center"/>
          </w:tcPr>
          <w:p w14:paraId="09BD94E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highlight w:val="none"/>
              </w:rPr>
            </w:pPr>
          </w:p>
        </w:tc>
      </w:tr>
    </w:tbl>
    <w:p w14:paraId="4EF52033">
      <w:pPr>
        <w:pStyle w:val="50"/>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2" w:firstLineChars="0"/>
        <w:jc w:val="left"/>
        <w:textAlignment w:val="auto"/>
        <w:rPr>
          <w:rFonts w:hint="eastAsia" w:ascii="宋体" w:hAnsi="宋体" w:eastAsia="宋体" w:cs="宋体"/>
          <w:color w:val="auto"/>
          <w:sz w:val="24"/>
          <w:szCs w:val="24"/>
          <w:highlight w:val="none"/>
        </w:rPr>
      </w:pPr>
    </w:p>
    <w:p w14:paraId="74FCA1FD">
      <w:pPr>
        <w:keepNext w:val="0"/>
        <w:keepLines w:val="0"/>
        <w:pageBreakBefore w:val="0"/>
        <w:widowControl w:val="0"/>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（1）人民币报价。</w:t>
      </w:r>
    </w:p>
    <w:p w14:paraId="7E29A033">
      <w:pPr>
        <w:keepNext w:val="0"/>
        <w:keepLines w:val="0"/>
        <w:pageBreakBefore w:val="0"/>
        <w:widowControl w:val="0"/>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（2）价格应按照“供应商须知” 的要求报价。</w:t>
      </w:r>
    </w:p>
    <w:p w14:paraId="574D092D">
      <w:pPr>
        <w:keepNext w:val="0"/>
        <w:keepLines w:val="0"/>
        <w:pageBreakBefore w:val="0"/>
        <w:widowControl w:val="0"/>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（3）此表除保留在竞争性磋商响应文件中外，</w:t>
      </w:r>
      <w:r>
        <w:rPr>
          <w:rFonts w:hint="eastAsia" w:ascii="宋体" w:hAnsi="宋体" w:eastAsia="宋体" w:cs="宋体"/>
          <w:color w:val="auto"/>
          <w:sz w:val="24"/>
          <w:szCs w:val="24"/>
          <w:highlight w:val="none"/>
          <w:lang w:val="en-US" w:eastAsia="zh-CN"/>
        </w:rPr>
        <w:t>须</w:t>
      </w:r>
      <w:r>
        <w:rPr>
          <w:rFonts w:hint="eastAsia" w:ascii="宋体" w:hAnsi="宋体" w:eastAsia="宋体" w:cs="宋体"/>
          <w:color w:val="auto"/>
          <w:sz w:val="24"/>
          <w:szCs w:val="24"/>
          <w:highlight w:val="none"/>
        </w:rPr>
        <w:t>另</w:t>
      </w:r>
      <w:r>
        <w:rPr>
          <w:rFonts w:hint="eastAsia" w:ascii="宋体" w:hAnsi="宋体" w:eastAsia="宋体" w:cs="宋体"/>
          <w:color w:val="auto"/>
          <w:sz w:val="24"/>
          <w:szCs w:val="24"/>
          <w:highlight w:val="none"/>
          <w:lang w:val="en-US" w:eastAsia="zh-CN"/>
        </w:rPr>
        <w:t>提供</w:t>
      </w:r>
      <w:r>
        <w:rPr>
          <w:rFonts w:hint="eastAsia" w:ascii="宋体" w:hAnsi="宋体" w:eastAsia="宋体" w:cs="宋体"/>
          <w:color w:val="auto"/>
          <w:sz w:val="24"/>
          <w:szCs w:val="24"/>
          <w:highlight w:val="none"/>
        </w:rPr>
        <w:t>一份与法定代表人授权书</w:t>
      </w:r>
      <w:r>
        <w:rPr>
          <w:rFonts w:hint="eastAsia" w:ascii="宋体" w:hAnsi="宋体" w:eastAsia="宋体" w:cs="宋体"/>
          <w:color w:val="auto"/>
          <w:sz w:val="24"/>
          <w:szCs w:val="24"/>
          <w:highlight w:val="none"/>
          <w:lang w:eastAsia="zh-CN"/>
        </w:rPr>
        <w:t>（或法定代表人身份证明书）</w:t>
      </w:r>
      <w:r>
        <w:rPr>
          <w:rFonts w:hint="eastAsia" w:ascii="宋体" w:hAnsi="宋体" w:eastAsia="宋体" w:cs="宋体"/>
          <w:color w:val="auto"/>
          <w:sz w:val="24"/>
          <w:szCs w:val="24"/>
          <w:highlight w:val="none"/>
        </w:rPr>
        <w:t>（原件）一起另外密封装在一个小信封中，作为记录之用。</w:t>
      </w:r>
    </w:p>
    <w:p w14:paraId="12CAE4C0">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p>
    <w:p w14:paraId="4BE4712A">
      <w:pPr>
        <w:keepNext w:val="0"/>
        <w:keepLines w:val="0"/>
        <w:pageBreakBefore w:val="0"/>
        <w:widowControl w:val="0"/>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rPr>
      </w:pPr>
      <w:r>
        <w:rPr>
          <w:rFonts w:hint="eastAsia" w:ascii="宋体" w:hAnsi="宋体" w:eastAsia="宋体" w:cs="宋体"/>
          <w:sz w:val="24"/>
        </w:rPr>
        <w:t>供应商名称：</w:t>
      </w:r>
      <w:r>
        <w:rPr>
          <w:rFonts w:hint="eastAsia" w:ascii="宋体" w:hAnsi="宋体" w:eastAsia="宋体" w:cs="宋体"/>
          <w:sz w:val="24"/>
          <w:u w:val="single"/>
        </w:rPr>
        <w:t xml:space="preserve">                    </w:t>
      </w:r>
      <w:r>
        <w:rPr>
          <w:rFonts w:hint="eastAsia" w:ascii="宋体" w:hAnsi="宋体" w:eastAsia="宋体" w:cs="宋体"/>
          <w:sz w:val="24"/>
        </w:rPr>
        <w:t>（盖章）</w:t>
      </w:r>
    </w:p>
    <w:p w14:paraId="5E151C77">
      <w:pPr>
        <w:keepNext w:val="0"/>
        <w:keepLines w:val="0"/>
        <w:pageBreakBefore w:val="0"/>
        <w:widowControl w:val="0"/>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rPr>
      </w:pPr>
      <w:r>
        <w:rPr>
          <w:rFonts w:hint="eastAsia" w:ascii="宋体" w:hAnsi="宋体" w:eastAsia="宋体" w:cs="宋体"/>
          <w:sz w:val="24"/>
        </w:rPr>
        <w:t>法定代表人或授权代表：</w:t>
      </w:r>
      <w:r>
        <w:rPr>
          <w:rFonts w:hint="eastAsia" w:ascii="宋体" w:hAnsi="宋体" w:eastAsia="宋体" w:cs="宋体"/>
          <w:sz w:val="24"/>
          <w:u w:val="single"/>
        </w:rPr>
        <w:t xml:space="preserve">          </w:t>
      </w:r>
      <w:r>
        <w:rPr>
          <w:rFonts w:hint="eastAsia" w:ascii="宋体" w:hAnsi="宋体" w:eastAsia="宋体" w:cs="宋体"/>
          <w:sz w:val="24"/>
        </w:rPr>
        <w:t>（签字）</w:t>
      </w:r>
    </w:p>
    <w:p w14:paraId="41C6AC92">
      <w:pPr>
        <w:keepNext w:val="0"/>
        <w:keepLines w:val="0"/>
        <w:pageBreakBefore w:val="0"/>
        <w:widowControl w:val="0"/>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sz w:val="24"/>
        </w:rPr>
      </w:pPr>
      <w:r>
        <w:rPr>
          <w:rFonts w:hint="eastAsia" w:ascii="宋体" w:hAnsi="宋体" w:eastAsia="宋体" w:cs="宋体"/>
          <w:sz w:val="24"/>
        </w:rPr>
        <w:t>日      期：   年   月   日</w:t>
      </w:r>
    </w:p>
    <w:p w14:paraId="13E2A165">
      <w:pPr>
        <w:snapToGrid/>
        <w:spacing w:beforeAutospacing="0" w:afterAutospacing="0" w:line="560" w:lineRule="exact"/>
        <w:ind w:left="0" w:leftChars="0" w:right="0" w:rightChars="0" w:firstLine="482" w:firstLineChars="0"/>
        <w:jc w:val="left"/>
        <w:rPr>
          <w:rFonts w:hint="eastAsia" w:ascii="宋体" w:hAnsi="宋体" w:eastAsia="宋体" w:cs="宋体"/>
          <w:sz w:val="24"/>
          <w:szCs w:val="21"/>
          <w:u w:val="single"/>
        </w:rPr>
      </w:pPr>
    </w:p>
    <w:p w14:paraId="7486D6C9">
      <w:pPr>
        <w:keepNext/>
        <w:keepLines/>
        <w:snapToGrid/>
        <w:spacing w:beforeAutospacing="0" w:afterAutospacing="0" w:line="560" w:lineRule="exact"/>
        <w:ind w:left="0" w:leftChars="0" w:right="0" w:rightChars="0" w:firstLine="482" w:firstLineChars="0"/>
        <w:jc w:val="left"/>
        <w:outlineLvl w:val="1"/>
        <w:rPr>
          <w:rFonts w:hint="eastAsia" w:ascii="宋体" w:hAnsi="宋体" w:eastAsia="宋体" w:cs="宋体"/>
          <w:b/>
          <w:sz w:val="24"/>
          <w:szCs w:val="28"/>
        </w:rPr>
        <w:sectPr>
          <w:pgSz w:w="11905" w:h="16838"/>
          <w:pgMar w:top="1440" w:right="1797" w:bottom="1440" w:left="1797" w:header="850" w:footer="850" w:gutter="0"/>
          <w:pgNumType w:fmt="decimal"/>
          <w:cols w:space="720" w:num="1"/>
        </w:sectPr>
      </w:pPr>
      <w:bookmarkStart w:id="781" w:name="_Toc109900018"/>
      <w:bookmarkStart w:id="782" w:name="_Toc109900437"/>
      <w:bookmarkStart w:id="783" w:name="_Toc109897500"/>
    </w:p>
    <w:p w14:paraId="51123D0B">
      <w:pPr>
        <w:keepNext/>
        <w:keepLines/>
        <w:snapToGrid/>
        <w:spacing w:beforeAutospacing="0" w:afterAutospacing="0" w:line="560" w:lineRule="exact"/>
        <w:ind w:left="0" w:leftChars="0" w:right="0" w:rightChars="0" w:firstLine="482" w:firstLineChars="0"/>
        <w:jc w:val="center"/>
        <w:outlineLvl w:val="1"/>
        <w:rPr>
          <w:rFonts w:hint="eastAsia" w:ascii="宋体" w:hAnsi="宋体" w:eastAsia="宋体" w:cs="宋体"/>
          <w:color w:val="auto"/>
          <w:sz w:val="24"/>
        </w:rPr>
      </w:pPr>
      <w:bookmarkStart w:id="784" w:name="_Toc8012"/>
      <w:r>
        <w:rPr>
          <w:rFonts w:hint="eastAsia" w:ascii="宋体" w:hAnsi="宋体" w:eastAsia="宋体" w:cs="宋体"/>
          <w:b/>
          <w:sz w:val="24"/>
          <w:szCs w:val="28"/>
        </w:rPr>
        <w:t>（二）</w:t>
      </w:r>
      <w:bookmarkEnd w:id="780"/>
      <w:bookmarkEnd w:id="781"/>
      <w:bookmarkEnd w:id="782"/>
      <w:bookmarkEnd w:id="783"/>
      <w:r>
        <w:rPr>
          <w:rFonts w:hint="eastAsia" w:ascii="宋体" w:hAnsi="宋体" w:eastAsia="宋体" w:cs="宋体"/>
          <w:b/>
          <w:sz w:val="24"/>
          <w:szCs w:val="28"/>
        </w:rPr>
        <w:t>分项报价表</w:t>
      </w:r>
      <w:bookmarkEnd w:id="784"/>
    </w:p>
    <w:tbl>
      <w:tblPr>
        <w:tblStyle w:val="88"/>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5"/>
        <w:gridCol w:w="3720"/>
        <w:gridCol w:w="1065"/>
        <w:gridCol w:w="1065"/>
        <w:gridCol w:w="1066"/>
        <w:gridCol w:w="947"/>
      </w:tblGrid>
      <w:tr w14:paraId="0C0FD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1DC26EA5">
            <w:pPr>
              <w:adjustRightInd w:val="0"/>
              <w:snapToGrid w:val="0"/>
              <w:jc w:val="center"/>
              <w:rPr>
                <w:sz w:val="24"/>
                <w:szCs w:val="24"/>
              </w:rPr>
            </w:pPr>
            <w:r>
              <w:rPr>
                <w:rFonts w:hint="eastAsia"/>
                <w:sz w:val="24"/>
                <w:szCs w:val="24"/>
              </w:rPr>
              <w:t>序号</w:t>
            </w:r>
          </w:p>
        </w:tc>
        <w:tc>
          <w:tcPr>
            <w:tcW w:w="3720" w:type="dxa"/>
            <w:vAlign w:val="center"/>
          </w:tcPr>
          <w:p w14:paraId="2694F83E">
            <w:pPr>
              <w:adjustRightInd w:val="0"/>
              <w:snapToGrid w:val="0"/>
              <w:jc w:val="center"/>
              <w:rPr>
                <w:sz w:val="24"/>
                <w:szCs w:val="24"/>
              </w:rPr>
            </w:pPr>
            <w:r>
              <w:rPr>
                <w:rFonts w:hint="eastAsia"/>
                <w:sz w:val="24"/>
                <w:szCs w:val="24"/>
              </w:rPr>
              <w:t>名称</w:t>
            </w:r>
          </w:p>
        </w:tc>
        <w:tc>
          <w:tcPr>
            <w:tcW w:w="1065" w:type="dxa"/>
            <w:vAlign w:val="center"/>
          </w:tcPr>
          <w:p w14:paraId="2C09FE2D">
            <w:pPr>
              <w:adjustRightInd w:val="0"/>
              <w:snapToGrid w:val="0"/>
              <w:jc w:val="center"/>
              <w:rPr>
                <w:sz w:val="24"/>
                <w:szCs w:val="24"/>
              </w:rPr>
            </w:pPr>
            <w:r>
              <w:rPr>
                <w:rFonts w:hint="eastAsia"/>
                <w:sz w:val="24"/>
                <w:szCs w:val="24"/>
              </w:rPr>
              <w:t>数量</w:t>
            </w:r>
          </w:p>
        </w:tc>
        <w:tc>
          <w:tcPr>
            <w:tcW w:w="1065" w:type="dxa"/>
            <w:vAlign w:val="center"/>
          </w:tcPr>
          <w:p w14:paraId="5EB5C217">
            <w:pPr>
              <w:adjustRightInd w:val="0"/>
              <w:snapToGrid w:val="0"/>
              <w:jc w:val="center"/>
              <w:rPr>
                <w:sz w:val="24"/>
                <w:szCs w:val="24"/>
              </w:rPr>
            </w:pPr>
            <w:r>
              <w:rPr>
                <w:rFonts w:hint="eastAsia"/>
                <w:sz w:val="24"/>
                <w:szCs w:val="24"/>
              </w:rPr>
              <w:t>单价（元）</w:t>
            </w:r>
          </w:p>
        </w:tc>
        <w:tc>
          <w:tcPr>
            <w:tcW w:w="1066" w:type="dxa"/>
            <w:vAlign w:val="center"/>
          </w:tcPr>
          <w:p w14:paraId="5D6AAE16">
            <w:pPr>
              <w:adjustRightInd w:val="0"/>
              <w:snapToGrid w:val="0"/>
              <w:jc w:val="center"/>
              <w:rPr>
                <w:sz w:val="24"/>
                <w:szCs w:val="24"/>
              </w:rPr>
            </w:pPr>
            <w:r>
              <w:rPr>
                <w:rFonts w:hint="eastAsia"/>
                <w:sz w:val="24"/>
                <w:szCs w:val="24"/>
              </w:rPr>
              <w:t>总价</w:t>
            </w:r>
          </w:p>
        </w:tc>
        <w:tc>
          <w:tcPr>
            <w:tcW w:w="947" w:type="dxa"/>
            <w:vAlign w:val="center"/>
          </w:tcPr>
          <w:p w14:paraId="745F7EB8">
            <w:pPr>
              <w:adjustRightInd w:val="0"/>
              <w:snapToGrid w:val="0"/>
              <w:jc w:val="center"/>
              <w:rPr>
                <w:sz w:val="24"/>
                <w:szCs w:val="24"/>
              </w:rPr>
            </w:pPr>
            <w:r>
              <w:rPr>
                <w:rFonts w:hint="eastAsia"/>
                <w:sz w:val="24"/>
                <w:szCs w:val="24"/>
              </w:rPr>
              <w:t>备注</w:t>
            </w:r>
          </w:p>
        </w:tc>
      </w:tr>
      <w:tr w14:paraId="1F08D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15C71820">
            <w:pPr>
              <w:adjustRightInd w:val="0"/>
              <w:snapToGrid w:val="0"/>
              <w:jc w:val="center"/>
              <w:rPr>
                <w:sz w:val="24"/>
                <w:szCs w:val="24"/>
              </w:rPr>
            </w:pPr>
            <w:r>
              <w:rPr>
                <w:rFonts w:hint="eastAsia"/>
                <w:sz w:val="24"/>
                <w:szCs w:val="24"/>
              </w:rPr>
              <w:t>1</w:t>
            </w:r>
          </w:p>
        </w:tc>
        <w:tc>
          <w:tcPr>
            <w:tcW w:w="3720" w:type="dxa"/>
            <w:vAlign w:val="center"/>
          </w:tcPr>
          <w:p w14:paraId="44AE61F3">
            <w:pPr>
              <w:adjustRightInd w:val="0"/>
              <w:snapToGrid w:val="0"/>
              <w:jc w:val="center"/>
              <w:rPr>
                <w:sz w:val="24"/>
                <w:szCs w:val="24"/>
              </w:rPr>
            </w:pPr>
          </w:p>
        </w:tc>
        <w:tc>
          <w:tcPr>
            <w:tcW w:w="1065" w:type="dxa"/>
            <w:vAlign w:val="center"/>
          </w:tcPr>
          <w:p w14:paraId="2B5D38B9">
            <w:pPr>
              <w:adjustRightInd w:val="0"/>
              <w:snapToGrid w:val="0"/>
              <w:jc w:val="center"/>
              <w:rPr>
                <w:sz w:val="24"/>
                <w:szCs w:val="24"/>
              </w:rPr>
            </w:pPr>
          </w:p>
        </w:tc>
        <w:tc>
          <w:tcPr>
            <w:tcW w:w="1065" w:type="dxa"/>
            <w:vAlign w:val="center"/>
          </w:tcPr>
          <w:p w14:paraId="13F67D3E">
            <w:pPr>
              <w:adjustRightInd w:val="0"/>
              <w:snapToGrid w:val="0"/>
              <w:jc w:val="center"/>
              <w:rPr>
                <w:sz w:val="24"/>
                <w:szCs w:val="24"/>
              </w:rPr>
            </w:pPr>
          </w:p>
        </w:tc>
        <w:tc>
          <w:tcPr>
            <w:tcW w:w="1066" w:type="dxa"/>
            <w:vAlign w:val="center"/>
          </w:tcPr>
          <w:p w14:paraId="2E0E41B9">
            <w:pPr>
              <w:adjustRightInd w:val="0"/>
              <w:snapToGrid w:val="0"/>
              <w:jc w:val="center"/>
              <w:rPr>
                <w:sz w:val="24"/>
                <w:szCs w:val="24"/>
              </w:rPr>
            </w:pPr>
          </w:p>
        </w:tc>
        <w:tc>
          <w:tcPr>
            <w:tcW w:w="947" w:type="dxa"/>
            <w:vAlign w:val="center"/>
          </w:tcPr>
          <w:p w14:paraId="0E4331E2">
            <w:pPr>
              <w:adjustRightInd w:val="0"/>
              <w:snapToGrid w:val="0"/>
              <w:jc w:val="center"/>
              <w:rPr>
                <w:sz w:val="24"/>
                <w:szCs w:val="24"/>
              </w:rPr>
            </w:pPr>
          </w:p>
        </w:tc>
      </w:tr>
      <w:tr w14:paraId="52CC5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762F12CB">
            <w:pPr>
              <w:adjustRightInd w:val="0"/>
              <w:snapToGrid w:val="0"/>
              <w:jc w:val="center"/>
              <w:rPr>
                <w:sz w:val="24"/>
                <w:szCs w:val="24"/>
              </w:rPr>
            </w:pPr>
            <w:r>
              <w:rPr>
                <w:rFonts w:hint="eastAsia"/>
                <w:sz w:val="24"/>
                <w:szCs w:val="24"/>
              </w:rPr>
              <w:t>2</w:t>
            </w:r>
          </w:p>
        </w:tc>
        <w:tc>
          <w:tcPr>
            <w:tcW w:w="3720" w:type="dxa"/>
            <w:vAlign w:val="center"/>
          </w:tcPr>
          <w:p w14:paraId="2D01B4B3">
            <w:pPr>
              <w:adjustRightInd w:val="0"/>
              <w:snapToGrid w:val="0"/>
              <w:jc w:val="center"/>
              <w:rPr>
                <w:sz w:val="24"/>
                <w:szCs w:val="24"/>
              </w:rPr>
            </w:pPr>
          </w:p>
        </w:tc>
        <w:tc>
          <w:tcPr>
            <w:tcW w:w="1065" w:type="dxa"/>
            <w:vAlign w:val="center"/>
          </w:tcPr>
          <w:p w14:paraId="2A1F49B2">
            <w:pPr>
              <w:adjustRightInd w:val="0"/>
              <w:snapToGrid w:val="0"/>
              <w:jc w:val="center"/>
              <w:rPr>
                <w:sz w:val="24"/>
                <w:szCs w:val="24"/>
              </w:rPr>
            </w:pPr>
          </w:p>
        </w:tc>
        <w:tc>
          <w:tcPr>
            <w:tcW w:w="1065" w:type="dxa"/>
            <w:vAlign w:val="center"/>
          </w:tcPr>
          <w:p w14:paraId="0131C011">
            <w:pPr>
              <w:adjustRightInd w:val="0"/>
              <w:snapToGrid w:val="0"/>
              <w:jc w:val="center"/>
              <w:rPr>
                <w:sz w:val="24"/>
                <w:szCs w:val="24"/>
              </w:rPr>
            </w:pPr>
          </w:p>
        </w:tc>
        <w:tc>
          <w:tcPr>
            <w:tcW w:w="1066" w:type="dxa"/>
            <w:vAlign w:val="center"/>
          </w:tcPr>
          <w:p w14:paraId="488B12BC">
            <w:pPr>
              <w:adjustRightInd w:val="0"/>
              <w:snapToGrid w:val="0"/>
              <w:jc w:val="center"/>
              <w:rPr>
                <w:sz w:val="24"/>
                <w:szCs w:val="24"/>
              </w:rPr>
            </w:pPr>
          </w:p>
        </w:tc>
        <w:tc>
          <w:tcPr>
            <w:tcW w:w="947" w:type="dxa"/>
            <w:vAlign w:val="center"/>
          </w:tcPr>
          <w:p w14:paraId="384C3C91">
            <w:pPr>
              <w:adjustRightInd w:val="0"/>
              <w:snapToGrid w:val="0"/>
              <w:jc w:val="center"/>
              <w:rPr>
                <w:sz w:val="24"/>
                <w:szCs w:val="24"/>
              </w:rPr>
            </w:pPr>
          </w:p>
        </w:tc>
      </w:tr>
      <w:tr w14:paraId="7EC1D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70EC0DCA">
            <w:pPr>
              <w:adjustRightInd w:val="0"/>
              <w:snapToGrid w:val="0"/>
              <w:jc w:val="center"/>
              <w:rPr>
                <w:sz w:val="24"/>
                <w:szCs w:val="24"/>
              </w:rPr>
            </w:pPr>
            <w:r>
              <w:rPr>
                <w:rFonts w:hint="eastAsia"/>
                <w:sz w:val="24"/>
                <w:szCs w:val="24"/>
              </w:rPr>
              <w:t>3</w:t>
            </w:r>
          </w:p>
        </w:tc>
        <w:tc>
          <w:tcPr>
            <w:tcW w:w="3720" w:type="dxa"/>
            <w:vAlign w:val="center"/>
          </w:tcPr>
          <w:p w14:paraId="5EAEE893">
            <w:pPr>
              <w:adjustRightInd w:val="0"/>
              <w:snapToGrid w:val="0"/>
              <w:jc w:val="center"/>
              <w:rPr>
                <w:sz w:val="24"/>
                <w:szCs w:val="24"/>
              </w:rPr>
            </w:pPr>
          </w:p>
        </w:tc>
        <w:tc>
          <w:tcPr>
            <w:tcW w:w="1065" w:type="dxa"/>
            <w:vAlign w:val="center"/>
          </w:tcPr>
          <w:p w14:paraId="449947AF">
            <w:pPr>
              <w:adjustRightInd w:val="0"/>
              <w:snapToGrid w:val="0"/>
              <w:jc w:val="center"/>
              <w:rPr>
                <w:sz w:val="24"/>
                <w:szCs w:val="24"/>
              </w:rPr>
            </w:pPr>
          </w:p>
        </w:tc>
        <w:tc>
          <w:tcPr>
            <w:tcW w:w="1065" w:type="dxa"/>
            <w:vAlign w:val="center"/>
          </w:tcPr>
          <w:p w14:paraId="4ABC91CD">
            <w:pPr>
              <w:adjustRightInd w:val="0"/>
              <w:snapToGrid w:val="0"/>
              <w:jc w:val="center"/>
              <w:rPr>
                <w:sz w:val="24"/>
                <w:szCs w:val="24"/>
              </w:rPr>
            </w:pPr>
          </w:p>
        </w:tc>
        <w:tc>
          <w:tcPr>
            <w:tcW w:w="1066" w:type="dxa"/>
            <w:vAlign w:val="center"/>
          </w:tcPr>
          <w:p w14:paraId="0055CF31">
            <w:pPr>
              <w:adjustRightInd w:val="0"/>
              <w:snapToGrid w:val="0"/>
              <w:jc w:val="center"/>
              <w:rPr>
                <w:sz w:val="24"/>
                <w:szCs w:val="24"/>
              </w:rPr>
            </w:pPr>
          </w:p>
        </w:tc>
        <w:tc>
          <w:tcPr>
            <w:tcW w:w="947" w:type="dxa"/>
            <w:vAlign w:val="center"/>
          </w:tcPr>
          <w:p w14:paraId="2F561F2A">
            <w:pPr>
              <w:adjustRightInd w:val="0"/>
              <w:snapToGrid w:val="0"/>
              <w:jc w:val="center"/>
              <w:rPr>
                <w:sz w:val="24"/>
                <w:szCs w:val="24"/>
              </w:rPr>
            </w:pPr>
          </w:p>
        </w:tc>
      </w:tr>
      <w:tr w14:paraId="38965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7AB568C9">
            <w:pPr>
              <w:adjustRightInd w:val="0"/>
              <w:snapToGrid w:val="0"/>
              <w:jc w:val="center"/>
              <w:rPr>
                <w:sz w:val="24"/>
                <w:szCs w:val="24"/>
              </w:rPr>
            </w:pPr>
            <w:r>
              <w:rPr>
                <w:rFonts w:hint="eastAsia"/>
                <w:sz w:val="24"/>
                <w:szCs w:val="24"/>
              </w:rPr>
              <w:t>4</w:t>
            </w:r>
          </w:p>
        </w:tc>
        <w:tc>
          <w:tcPr>
            <w:tcW w:w="3720" w:type="dxa"/>
            <w:vAlign w:val="center"/>
          </w:tcPr>
          <w:p w14:paraId="0E933F97">
            <w:pPr>
              <w:adjustRightInd w:val="0"/>
              <w:snapToGrid w:val="0"/>
              <w:jc w:val="center"/>
              <w:rPr>
                <w:sz w:val="24"/>
                <w:szCs w:val="24"/>
              </w:rPr>
            </w:pPr>
          </w:p>
        </w:tc>
        <w:tc>
          <w:tcPr>
            <w:tcW w:w="1065" w:type="dxa"/>
            <w:vAlign w:val="center"/>
          </w:tcPr>
          <w:p w14:paraId="20E2571E">
            <w:pPr>
              <w:adjustRightInd w:val="0"/>
              <w:snapToGrid w:val="0"/>
              <w:jc w:val="center"/>
              <w:rPr>
                <w:sz w:val="24"/>
                <w:szCs w:val="24"/>
              </w:rPr>
            </w:pPr>
          </w:p>
        </w:tc>
        <w:tc>
          <w:tcPr>
            <w:tcW w:w="1065" w:type="dxa"/>
            <w:vAlign w:val="center"/>
          </w:tcPr>
          <w:p w14:paraId="4926EAC3">
            <w:pPr>
              <w:adjustRightInd w:val="0"/>
              <w:snapToGrid w:val="0"/>
              <w:jc w:val="center"/>
              <w:rPr>
                <w:sz w:val="24"/>
                <w:szCs w:val="24"/>
              </w:rPr>
            </w:pPr>
          </w:p>
        </w:tc>
        <w:tc>
          <w:tcPr>
            <w:tcW w:w="1066" w:type="dxa"/>
            <w:vAlign w:val="center"/>
          </w:tcPr>
          <w:p w14:paraId="4CB0FB5E">
            <w:pPr>
              <w:adjustRightInd w:val="0"/>
              <w:snapToGrid w:val="0"/>
              <w:jc w:val="center"/>
              <w:rPr>
                <w:sz w:val="24"/>
                <w:szCs w:val="24"/>
              </w:rPr>
            </w:pPr>
          </w:p>
        </w:tc>
        <w:tc>
          <w:tcPr>
            <w:tcW w:w="947" w:type="dxa"/>
            <w:vAlign w:val="center"/>
          </w:tcPr>
          <w:p w14:paraId="1AE6C72B">
            <w:pPr>
              <w:adjustRightInd w:val="0"/>
              <w:snapToGrid w:val="0"/>
              <w:jc w:val="center"/>
              <w:rPr>
                <w:sz w:val="24"/>
                <w:szCs w:val="24"/>
              </w:rPr>
            </w:pPr>
          </w:p>
        </w:tc>
      </w:tr>
      <w:tr w14:paraId="5DDA8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1B531FEC">
            <w:pPr>
              <w:adjustRightInd w:val="0"/>
              <w:snapToGrid w:val="0"/>
              <w:jc w:val="center"/>
              <w:rPr>
                <w:sz w:val="24"/>
                <w:szCs w:val="24"/>
              </w:rPr>
            </w:pPr>
            <w:r>
              <w:rPr>
                <w:rFonts w:hint="eastAsia"/>
                <w:sz w:val="24"/>
                <w:szCs w:val="24"/>
              </w:rPr>
              <w:t>5</w:t>
            </w:r>
          </w:p>
        </w:tc>
        <w:tc>
          <w:tcPr>
            <w:tcW w:w="3720" w:type="dxa"/>
            <w:vAlign w:val="center"/>
          </w:tcPr>
          <w:p w14:paraId="4EBB71F8">
            <w:pPr>
              <w:adjustRightInd w:val="0"/>
              <w:snapToGrid w:val="0"/>
              <w:jc w:val="center"/>
              <w:rPr>
                <w:sz w:val="24"/>
                <w:szCs w:val="24"/>
              </w:rPr>
            </w:pPr>
          </w:p>
        </w:tc>
        <w:tc>
          <w:tcPr>
            <w:tcW w:w="1065" w:type="dxa"/>
            <w:vAlign w:val="center"/>
          </w:tcPr>
          <w:p w14:paraId="5DF921FD">
            <w:pPr>
              <w:adjustRightInd w:val="0"/>
              <w:snapToGrid w:val="0"/>
              <w:jc w:val="center"/>
              <w:rPr>
                <w:sz w:val="24"/>
                <w:szCs w:val="24"/>
              </w:rPr>
            </w:pPr>
          </w:p>
        </w:tc>
        <w:tc>
          <w:tcPr>
            <w:tcW w:w="1065" w:type="dxa"/>
            <w:vAlign w:val="center"/>
          </w:tcPr>
          <w:p w14:paraId="23CA57D9">
            <w:pPr>
              <w:adjustRightInd w:val="0"/>
              <w:snapToGrid w:val="0"/>
              <w:jc w:val="center"/>
              <w:rPr>
                <w:sz w:val="24"/>
                <w:szCs w:val="24"/>
              </w:rPr>
            </w:pPr>
          </w:p>
        </w:tc>
        <w:tc>
          <w:tcPr>
            <w:tcW w:w="1066" w:type="dxa"/>
            <w:vAlign w:val="center"/>
          </w:tcPr>
          <w:p w14:paraId="4CB71DF5">
            <w:pPr>
              <w:adjustRightInd w:val="0"/>
              <w:snapToGrid w:val="0"/>
              <w:jc w:val="center"/>
              <w:rPr>
                <w:sz w:val="24"/>
                <w:szCs w:val="24"/>
              </w:rPr>
            </w:pPr>
          </w:p>
        </w:tc>
        <w:tc>
          <w:tcPr>
            <w:tcW w:w="947" w:type="dxa"/>
            <w:vAlign w:val="center"/>
          </w:tcPr>
          <w:p w14:paraId="13FB43E0">
            <w:pPr>
              <w:adjustRightInd w:val="0"/>
              <w:snapToGrid w:val="0"/>
              <w:jc w:val="center"/>
              <w:rPr>
                <w:sz w:val="24"/>
                <w:szCs w:val="24"/>
              </w:rPr>
            </w:pPr>
          </w:p>
        </w:tc>
      </w:tr>
      <w:tr w14:paraId="7E43B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6A114509">
            <w:pPr>
              <w:adjustRightInd w:val="0"/>
              <w:snapToGrid w:val="0"/>
              <w:jc w:val="center"/>
              <w:rPr>
                <w:sz w:val="24"/>
                <w:szCs w:val="24"/>
              </w:rPr>
            </w:pPr>
            <w:r>
              <w:rPr>
                <w:rFonts w:hint="eastAsia"/>
                <w:sz w:val="24"/>
                <w:szCs w:val="24"/>
              </w:rPr>
              <w:t>6</w:t>
            </w:r>
          </w:p>
        </w:tc>
        <w:tc>
          <w:tcPr>
            <w:tcW w:w="3720" w:type="dxa"/>
            <w:vAlign w:val="center"/>
          </w:tcPr>
          <w:p w14:paraId="60F0B29A">
            <w:pPr>
              <w:adjustRightInd w:val="0"/>
              <w:snapToGrid w:val="0"/>
              <w:jc w:val="center"/>
              <w:rPr>
                <w:sz w:val="24"/>
                <w:szCs w:val="24"/>
              </w:rPr>
            </w:pPr>
          </w:p>
        </w:tc>
        <w:tc>
          <w:tcPr>
            <w:tcW w:w="1065" w:type="dxa"/>
            <w:vAlign w:val="center"/>
          </w:tcPr>
          <w:p w14:paraId="1141CD4B">
            <w:pPr>
              <w:adjustRightInd w:val="0"/>
              <w:snapToGrid w:val="0"/>
              <w:jc w:val="center"/>
              <w:rPr>
                <w:sz w:val="24"/>
                <w:szCs w:val="24"/>
              </w:rPr>
            </w:pPr>
          </w:p>
        </w:tc>
        <w:tc>
          <w:tcPr>
            <w:tcW w:w="1065" w:type="dxa"/>
            <w:vAlign w:val="center"/>
          </w:tcPr>
          <w:p w14:paraId="2BA6905B">
            <w:pPr>
              <w:adjustRightInd w:val="0"/>
              <w:snapToGrid w:val="0"/>
              <w:jc w:val="center"/>
              <w:rPr>
                <w:sz w:val="24"/>
                <w:szCs w:val="24"/>
              </w:rPr>
            </w:pPr>
          </w:p>
        </w:tc>
        <w:tc>
          <w:tcPr>
            <w:tcW w:w="1066" w:type="dxa"/>
            <w:vAlign w:val="center"/>
          </w:tcPr>
          <w:p w14:paraId="7753B1D2">
            <w:pPr>
              <w:adjustRightInd w:val="0"/>
              <w:snapToGrid w:val="0"/>
              <w:jc w:val="center"/>
              <w:rPr>
                <w:sz w:val="24"/>
                <w:szCs w:val="24"/>
              </w:rPr>
            </w:pPr>
          </w:p>
        </w:tc>
        <w:tc>
          <w:tcPr>
            <w:tcW w:w="947" w:type="dxa"/>
            <w:vAlign w:val="center"/>
          </w:tcPr>
          <w:p w14:paraId="3063A2CF">
            <w:pPr>
              <w:adjustRightInd w:val="0"/>
              <w:snapToGrid w:val="0"/>
              <w:jc w:val="center"/>
              <w:rPr>
                <w:sz w:val="24"/>
                <w:szCs w:val="24"/>
              </w:rPr>
            </w:pPr>
          </w:p>
        </w:tc>
      </w:tr>
      <w:tr w14:paraId="06FBF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542DCB00">
            <w:pPr>
              <w:adjustRightInd w:val="0"/>
              <w:snapToGrid w:val="0"/>
              <w:jc w:val="center"/>
              <w:rPr>
                <w:sz w:val="24"/>
                <w:szCs w:val="24"/>
              </w:rPr>
            </w:pPr>
            <w:r>
              <w:rPr>
                <w:rFonts w:hint="eastAsia"/>
                <w:sz w:val="24"/>
                <w:szCs w:val="24"/>
              </w:rPr>
              <w:t>7</w:t>
            </w:r>
          </w:p>
        </w:tc>
        <w:tc>
          <w:tcPr>
            <w:tcW w:w="3720" w:type="dxa"/>
            <w:vAlign w:val="center"/>
          </w:tcPr>
          <w:p w14:paraId="50AA09AF">
            <w:pPr>
              <w:adjustRightInd w:val="0"/>
              <w:snapToGrid w:val="0"/>
              <w:jc w:val="center"/>
              <w:rPr>
                <w:sz w:val="24"/>
                <w:szCs w:val="24"/>
              </w:rPr>
            </w:pPr>
          </w:p>
        </w:tc>
        <w:tc>
          <w:tcPr>
            <w:tcW w:w="1065" w:type="dxa"/>
            <w:vAlign w:val="center"/>
          </w:tcPr>
          <w:p w14:paraId="3820FBAB">
            <w:pPr>
              <w:adjustRightInd w:val="0"/>
              <w:snapToGrid w:val="0"/>
              <w:jc w:val="center"/>
              <w:rPr>
                <w:sz w:val="24"/>
                <w:szCs w:val="24"/>
              </w:rPr>
            </w:pPr>
          </w:p>
        </w:tc>
        <w:tc>
          <w:tcPr>
            <w:tcW w:w="1065" w:type="dxa"/>
            <w:vAlign w:val="center"/>
          </w:tcPr>
          <w:p w14:paraId="6527899F">
            <w:pPr>
              <w:adjustRightInd w:val="0"/>
              <w:snapToGrid w:val="0"/>
              <w:jc w:val="center"/>
              <w:rPr>
                <w:sz w:val="24"/>
                <w:szCs w:val="24"/>
              </w:rPr>
            </w:pPr>
          </w:p>
        </w:tc>
        <w:tc>
          <w:tcPr>
            <w:tcW w:w="1066" w:type="dxa"/>
            <w:vAlign w:val="center"/>
          </w:tcPr>
          <w:p w14:paraId="41CC5932">
            <w:pPr>
              <w:adjustRightInd w:val="0"/>
              <w:snapToGrid w:val="0"/>
              <w:jc w:val="center"/>
              <w:rPr>
                <w:sz w:val="24"/>
                <w:szCs w:val="24"/>
              </w:rPr>
            </w:pPr>
          </w:p>
        </w:tc>
        <w:tc>
          <w:tcPr>
            <w:tcW w:w="947" w:type="dxa"/>
            <w:vAlign w:val="center"/>
          </w:tcPr>
          <w:p w14:paraId="0C0B3A27">
            <w:pPr>
              <w:adjustRightInd w:val="0"/>
              <w:snapToGrid w:val="0"/>
              <w:jc w:val="center"/>
              <w:rPr>
                <w:sz w:val="24"/>
                <w:szCs w:val="24"/>
              </w:rPr>
            </w:pPr>
          </w:p>
        </w:tc>
      </w:tr>
      <w:tr w14:paraId="5DF51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1B7BB04F">
            <w:pPr>
              <w:adjustRightInd w:val="0"/>
              <w:snapToGrid w:val="0"/>
              <w:jc w:val="center"/>
              <w:rPr>
                <w:sz w:val="24"/>
                <w:szCs w:val="24"/>
              </w:rPr>
            </w:pPr>
            <w:r>
              <w:rPr>
                <w:rFonts w:hint="eastAsia"/>
                <w:sz w:val="24"/>
                <w:szCs w:val="24"/>
              </w:rPr>
              <w:t>8</w:t>
            </w:r>
          </w:p>
        </w:tc>
        <w:tc>
          <w:tcPr>
            <w:tcW w:w="3720" w:type="dxa"/>
            <w:vAlign w:val="center"/>
          </w:tcPr>
          <w:p w14:paraId="61D0E58B">
            <w:pPr>
              <w:adjustRightInd w:val="0"/>
              <w:snapToGrid w:val="0"/>
              <w:jc w:val="center"/>
              <w:rPr>
                <w:sz w:val="24"/>
                <w:szCs w:val="24"/>
              </w:rPr>
            </w:pPr>
          </w:p>
        </w:tc>
        <w:tc>
          <w:tcPr>
            <w:tcW w:w="1065" w:type="dxa"/>
            <w:vAlign w:val="center"/>
          </w:tcPr>
          <w:p w14:paraId="22FF8623">
            <w:pPr>
              <w:adjustRightInd w:val="0"/>
              <w:snapToGrid w:val="0"/>
              <w:jc w:val="center"/>
              <w:rPr>
                <w:sz w:val="24"/>
                <w:szCs w:val="24"/>
              </w:rPr>
            </w:pPr>
          </w:p>
        </w:tc>
        <w:tc>
          <w:tcPr>
            <w:tcW w:w="1065" w:type="dxa"/>
            <w:vAlign w:val="center"/>
          </w:tcPr>
          <w:p w14:paraId="70857909">
            <w:pPr>
              <w:adjustRightInd w:val="0"/>
              <w:snapToGrid w:val="0"/>
              <w:jc w:val="center"/>
              <w:rPr>
                <w:sz w:val="24"/>
                <w:szCs w:val="24"/>
              </w:rPr>
            </w:pPr>
          </w:p>
        </w:tc>
        <w:tc>
          <w:tcPr>
            <w:tcW w:w="1066" w:type="dxa"/>
            <w:vAlign w:val="center"/>
          </w:tcPr>
          <w:p w14:paraId="5CF30865">
            <w:pPr>
              <w:adjustRightInd w:val="0"/>
              <w:snapToGrid w:val="0"/>
              <w:jc w:val="center"/>
              <w:rPr>
                <w:sz w:val="24"/>
                <w:szCs w:val="24"/>
              </w:rPr>
            </w:pPr>
          </w:p>
        </w:tc>
        <w:tc>
          <w:tcPr>
            <w:tcW w:w="947" w:type="dxa"/>
            <w:vAlign w:val="center"/>
          </w:tcPr>
          <w:p w14:paraId="185CC391">
            <w:pPr>
              <w:adjustRightInd w:val="0"/>
              <w:snapToGrid w:val="0"/>
              <w:jc w:val="center"/>
              <w:rPr>
                <w:sz w:val="24"/>
                <w:szCs w:val="24"/>
              </w:rPr>
            </w:pPr>
          </w:p>
        </w:tc>
      </w:tr>
      <w:tr w14:paraId="4DFDC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1D85D6D5">
            <w:pPr>
              <w:adjustRightInd w:val="0"/>
              <w:snapToGrid w:val="0"/>
              <w:jc w:val="center"/>
              <w:rPr>
                <w:sz w:val="24"/>
                <w:szCs w:val="24"/>
              </w:rPr>
            </w:pPr>
            <w:r>
              <w:rPr>
                <w:rFonts w:hint="eastAsia"/>
                <w:sz w:val="24"/>
                <w:szCs w:val="24"/>
              </w:rPr>
              <w:t>9</w:t>
            </w:r>
          </w:p>
        </w:tc>
        <w:tc>
          <w:tcPr>
            <w:tcW w:w="3720" w:type="dxa"/>
            <w:vAlign w:val="center"/>
          </w:tcPr>
          <w:p w14:paraId="3E62D82E">
            <w:pPr>
              <w:adjustRightInd w:val="0"/>
              <w:snapToGrid w:val="0"/>
              <w:jc w:val="center"/>
              <w:rPr>
                <w:sz w:val="24"/>
                <w:szCs w:val="24"/>
              </w:rPr>
            </w:pPr>
          </w:p>
        </w:tc>
        <w:tc>
          <w:tcPr>
            <w:tcW w:w="1065" w:type="dxa"/>
            <w:vAlign w:val="center"/>
          </w:tcPr>
          <w:p w14:paraId="308419E5">
            <w:pPr>
              <w:adjustRightInd w:val="0"/>
              <w:snapToGrid w:val="0"/>
              <w:jc w:val="center"/>
              <w:rPr>
                <w:sz w:val="24"/>
                <w:szCs w:val="24"/>
              </w:rPr>
            </w:pPr>
          </w:p>
        </w:tc>
        <w:tc>
          <w:tcPr>
            <w:tcW w:w="1065" w:type="dxa"/>
            <w:vAlign w:val="center"/>
          </w:tcPr>
          <w:p w14:paraId="0541542A">
            <w:pPr>
              <w:adjustRightInd w:val="0"/>
              <w:snapToGrid w:val="0"/>
              <w:jc w:val="center"/>
              <w:rPr>
                <w:sz w:val="24"/>
                <w:szCs w:val="24"/>
              </w:rPr>
            </w:pPr>
          </w:p>
        </w:tc>
        <w:tc>
          <w:tcPr>
            <w:tcW w:w="1066" w:type="dxa"/>
            <w:vAlign w:val="center"/>
          </w:tcPr>
          <w:p w14:paraId="28BF9C8D">
            <w:pPr>
              <w:adjustRightInd w:val="0"/>
              <w:snapToGrid w:val="0"/>
              <w:jc w:val="center"/>
              <w:rPr>
                <w:sz w:val="24"/>
                <w:szCs w:val="24"/>
              </w:rPr>
            </w:pPr>
          </w:p>
        </w:tc>
        <w:tc>
          <w:tcPr>
            <w:tcW w:w="947" w:type="dxa"/>
            <w:vAlign w:val="center"/>
          </w:tcPr>
          <w:p w14:paraId="573D01B7">
            <w:pPr>
              <w:adjustRightInd w:val="0"/>
              <w:snapToGrid w:val="0"/>
              <w:jc w:val="center"/>
              <w:rPr>
                <w:sz w:val="24"/>
                <w:szCs w:val="24"/>
              </w:rPr>
            </w:pPr>
          </w:p>
        </w:tc>
      </w:tr>
      <w:tr w14:paraId="20A8F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303D6946">
            <w:pPr>
              <w:adjustRightInd w:val="0"/>
              <w:snapToGrid w:val="0"/>
              <w:jc w:val="center"/>
              <w:rPr>
                <w:sz w:val="24"/>
                <w:szCs w:val="24"/>
              </w:rPr>
            </w:pPr>
            <w:r>
              <w:rPr>
                <w:rFonts w:hint="eastAsia"/>
                <w:sz w:val="24"/>
                <w:szCs w:val="24"/>
              </w:rPr>
              <w:t>10</w:t>
            </w:r>
          </w:p>
        </w:tc>
        <w:tc>
          <w:tcPr>
            <w:tcW w:w="3720" w:type="dxa"/>
            <w:vAlign w:val="center"/>
          </w:tcPr>
          <w:p w14:paraId="09EE1B84">
            <w:pPr>
              <w:adjustRightInd w:val="0"/>
              <w:snapToGrid w:val="0"/>
              <w:jc w:val="center"/>
              <w:rPr>
                <w:sz w:val="24"/>
                <w:szCs w:val="24"/>
              </w:rPr>
            </w:pPr>
          </w:p>
        </w:tc>
        <w:tc>
          <w:tcPr>
            <w:tcW w:w="1065" w:type="dxa"/>
            <w:vAlign w:val="center"/>
          </w:tcPr>
          <w:p w14:paraId="522F022B">
            <w:pPr>
              <w:adjustRightInd w:val="0"/>
              <w:snapToGrid w:val="0"/>
              <w:jc w:val="center"/>
              <w:rPr>
                <w:sz w:val="24"/>
                <w:szCs w:val="24"/>
              </w:rPr>
            </w:pPr>
          </w:p>
        </w:tc>
        <w:tc>
          <w:tcPr>
            <w:tcW w:w="1065" w:type="dxa"/>
            <w:vAlign w:val="center"/>
          </w:tcPr>
          <w:p w14:paraId="2925DC1A">
            <w:pPr>
              <w:adjustRightInd w:val="0"/>
              <w:snapToGrid w:val="0"/>
              <w:jc w:val="center"/>
              <w:rPr>
                <w:sz w:val="24"/>
                <w:szCs w:val="24"/>
              </w:rPr>
            </w:pPr>
          </w:p>
        </w:tc>
        <w:tc>
          <w:tcPr>
            <w:tcW w:w="1066" w:type="dxa"/>
            <w:vAlign w:val="center"/>
          </w:tcPr>
          <w:p w14:paraId="4D95E508">
            <w:pPr>
              <w:adjustRightInd w:val="0"/>
              <w:snapToGrid w:val="0"/>
              <w:jc w:val="center"/>
              <w:rPr>
                <w:sz w:val="24"/>
                <w:szCs w:val="24"/>
              </w:rPr>
            </w:pPr>
          </w:p>
        </w:tc>
        <w:tc>
          <w:tcPr>
            <w:tcW w:w="947" w:type="dxa"/>
            <w:vAlign w:val="center"/>
          </w:tcPr>
          <w:p w14:paraId="5D244FA3">
            <w:pPr>
              <w:adjustRightInd w:val="0"/>
              <w:snapToGrid w:val="0"/>
              <w:jc w:val="center"/>
              <w:rPr>
                <w:sz w:val="24"/>
                <w:szCs w:val="24"/>
              </w:rPr>
            </w:pPr>
          </w:p>
        </w:tc>
      </w:tr>
      <w:tr w14:paraId="7C763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2AFABBC0">
            <w:pPr>
              <w:adjustRightInd w:val="0"/>
              <w:snapToGrid w:val="0"/>
              <w:jc w:val="center"/>
              <w:rPr>
                <w:sz w:val="24"/>
                <w:szCs w:val="24"/>
              </w:rPr>
            </w:pPr>
            <w:r>
              <w:rPr>
                <w:rFonts w:hint="eastAsia"/>
                <w:sz w:val="24"/>
                <w:szCs w:val="24"/>
              </w:rPr>
              <w:t>……</w:t>
            </w:r>
          </w:p>
        </w:tc>
        <w:tc>
          <w:tcPr>
            <w:tcW w:w="3720" w:type="dxa"/>
            <w:vAlign w:val="center"/>
          </w:tcPr>
          <w:p w14:paraId="1F188388">
            <w:pPr>
              <w:adjustRightInd w:val="0"/>
              <w:snapToGrid w:val="0"/>
              <w:jc w:val="center"/>
              <w:rPr>
                <w:sz w:val="24"/>
                <w:szCs w:val="24"/>
              </w:rPr>
            </w:pPr>
            <w:r>
              <w:rPr>
                <w:rFonts w:hint="eastAsia"/>
                <w:sz w:val="24"/>
                <w:szCs w:val="24"/>
              </w:rPr>
              <w:t>……</w:t>
            </w:r>
          </w:p>
        </w:tc>
        <w:tc>
          <w:tcPr>
            <w:tcW w:w="1065" w:type="dxa"/>
            <w:vAlign w:val="center"/>
          </w:tcPr>
          <w:p w14:paraId="685B06D1">
            <w:pPr>
              <w:adjustRightInd w:val="0"/>
              <w:snapToGrid w:val="0"/>
              <w:jc w:val="center"/>
              <w:rPr>
                <w:sz w:val="24"/>
                <w:szCs w:val="24"/>
              </w:rPr>
            </w:pPr>
          </w:p>
        </w:tc>
        <w:tc>
          <w:tcPr>
            <w:tcW w:w="1065" w:type="dxa"/>
            <w:vAlign w:val="center"/>
          </w:tcPr>
          <w:p w14:paraId="4FEC6F1A">
            <w:pPr>
              <w:adjustRightInd w:val="0"/>
              <w:snapToGrid w:val="0"/>
              <w:jc w:val="center"/>
              <w:rPr>
                <w:sz w:val="24"/>
                <w:szCs w:val="24"/>
              </w:rPr>
            </w:pPr>
          </w:p>
        </w:tc>
        <w:tc>
          <w:tcPr>
            <w:tcW w:w="1066" w:type="dxa"/>
            <w:vAlign w:val="center"/>
          </w:tcPr>
          <w:p w14:paraId="58094B6C">
            <w:pPr>
              <w:adjustRightInd w:val="0"/>
              <w:snapToGrid w:val="0"/>
              <w:jc w:val="center"/>
              <w:rPr>
                <w:sz w:val="24"/>
                <w:szCs w:val="24"/>
              </w:rPr>
            </w:pPr>
          </w:p>
        </w:tc>
        <w:tc>
          <w:tcPr>
            <w:tcW w:w="947" w:type="dxa"/>
            <w:vAlign w:val="center"/>
          </w:tcPr>
          <w:p w14:paraId="742D88A4">
            <w:pPr>
              <w:adjustRightInd w:val="0"/>
              <w:snapToGrid w:val="0"/>
              <w:jc w:val="center"/>
              <w:rPr>
                <w:sz w:val="24"/>
                <w:szCs w:val="24"/>
              </w:rPr>
            </w:pPr>
          </w:p>
        </w:tc>
      </w:tr>
      <w:tr w14:paraId="171F5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915" w:type="dxa"/>
            <w:gridSpan w:val="4"/>
            <w:vAlign w:val="center"/>
          </w:tcPr>
          <w:p w14:paraId="3AE40DAF">
            <w:pPr>
              <w:adjustRightInd w:val="0"/>
              <w:snapToGrid w:val="0"/>
              <w:jc w:val="center"/>
              <w:rPr>
                <w:sz w:val="24"/>
                <w:szCs w:val="24"/>
              </w:rPr>
            </w:pPr>
            <w:r>
              <w:rPr>
                <w:rFonts w:hint="eastAsia"/>
                <w:sz w:val="24"/>
                <w:szCs w:val="24"/>
              </w:rPr>
              <w:t>投标报价合计（元）</w:t>
            </w:r>
          </w:p>
        </w:tc>
        <w:tc>
          <w:tcPr>
            <w:tcW w:w="2013" w:type="dxa"/>
            <w:gridSpan w:val="2"/>
            <w:vAlign w:val="center"/>
          </w:tcPr>
          <w:p w14:paraId="0DFB7B95">
            <w:pPr>
              <w:adjustRightInd w:val="0"/>
              <w:snapToGrid w:val="0"/>
              <w:jc w:val="center"/>
              <w:rPr>
                <w:sz w:val="24"/>
                <w:szCs w:val="24"/>
              </w:rPr>
            </w:pPr>
          </w:p>
        </w:tc>
      </w:tr>
    </w:tbl>
    <w:p w14:paraId="66456377">
      <w:pPr>
        <w:pStyle w:val="34"/>
        <w:snapToGrid/>
        <w:spacing w:beforeAutospacing="0" w:after="0" w:afterAutospacing="0" w:line="560" w:lineRule="exact"/>
        <w:ind w:left="0" w:leftChars="0" w:right="0" w:rightChars="0" w:firstLine="482" w:firstLineChars="0"/>
        <w:jc w:val="left"/>
        <w:rPr>
          <w:rFonts w:hint="eastAsia" w:ascii="宋体" w:hAnsi="宋体" w:eastAsia="宋体" w:cs="宋体"/>
          <w:sz w:val="24"/>
          <w:szCs w:val="24"/>
        </w:rPr>
      </w:pPr>
    </w:p>
    <w:p w14:paraId="5F1B6FF6">
      <w:pPr>
        <w:snapToGrid/>
        <w:spacing w:beforeAutospacing="0" w:afterAutospacing="0" w:line="560" w:lineRule="exact"/>
        <w:ind w:left="0" w:leftChars="0" w:right="0" w:rightChars="0" w:firstLine="482" w:firstLineChars="0"/>
        <w:jc w:val="left"/>
        <w:rPr>
          <w:rFonts w:hint="eastAsia" w:ascii="宋体" w:hAnsi="宋体" w:eastAsia="宋体" w:cs="宋体"/>
          <w:sz w:val="24"/>
          <w:szCs w:val="24"/>
        </w:rPr>
      </w:pPr>
    </w:p>
    <w:p w14:paraId="132E7A01">
      <w:pPr>
        <w:numPr>
          <w:ilvl w:val="0"/>
          <w:numId w:val="12"/>
        </w:numPr>
        <w:adjustRightInd w:val="0"/>
        <w:snapToGrid/>
        <w:spacing w:beforeAutospacing="0" w:afterAutospacing="0" w:line="560" w:lineRule="exact"/>
        <w:ind w:left="0" w:leftChars="0" w:right="0" w:rightChars="0" w:firstLine="482" w:firstLineChars="0"/>
        <w:jc w:val="left"/>
        <w:rPr>
          <w:rFonts w:hint="eastAsia" w:ascii="宋体" w:hAnsi="宋体" w:eastAsia="宋体" w:cs="宋体"/>
          <w:sz w:val="24"/>
          <w:szCs w:val="24"/>
        </w:rPr>
      </w:pPr>
      <w:r>
        <w:rPr>
          <w:rFonts w:hint="eastAsia" w:ascii="宋体" w:hAnsi="宋体" w:eastAsia="宋体" w:cs="宋体"/>
          <w:sz w:val="24"/>
          <w:szCs w:val="24"/>
        </w:rPr>
        <w:t>所有价格按照“供应商须知”要求执行。</w:t>
      </w:r>
    </w:p>
    <w:p w14:paraId="49FF8987">
      <w:pPr>
        <w:numPr>
          <w:ilvl w:val="0"/>
          <w:numId w:val="12"/>
        </w:numPr>
        <w:adjustRightInd w:val="0"/>
        <w:snapToGrid/>
        <w:spacing w:beforeAutospacing="0" w:afterAutospacing="0" w:line="560" w:lineRule="exact"/>
        <w:ind w:left="0" w:leftChars="0" w:right="0" w:rightChars="0" w:firstLine="482" w:firstLineChars="0"/>
        <w:jc w:val="left"/>
        <w:rPr>
          <w:rFonts w:hint="eastAsia" w:ascii="宋体" w:hAnsi="宋体" w:eastAsia="宋体" w:cs="宋体"/>
          <w:sz w:val="24"/>
          <w:szCs w:val="24"/>
        </w:rPr>
      </w:pPr>
      <w:r>
        <w:rPr>
          <w:rFonts w:hint="eastAsia" w:ascii="宋体" w:hAnsi="宋体" w:eastAsia="宋体" w:cs="宋体"/>
          <w:sz w:val="24"/>
          <w:szCs w:val="24"/>
        </w:rPr>
        <w:t>分项报价总计价格必须与《报价一览表》报价一致。</w:t>
      </w:r>
    </w:p>
    <w:p w14:paraId="5DA28F1C">
      <w:pPr>
        <w:snapToGrid/>
        <w:spacing w:beforeAutospacing="0" w:afterAutospacing="0" w:line="560" w:lineRule="exact"/>
        <w:ind w:left="0" w:leftChars="0" w:right="0" w:rightChars="0" w:firstLine="482" w:firstLineChars="0"/>
        <w:jc w:val="left"/>
        <w:rPr>
          <w:rFonts w:hint="eastAsia" w:ascii="宋体" w:hAnsi="宋体" w:eastAsia="宋体" w:cs="宋体"/>
          <w:sz w:val="24"/>
          <w:szCs w:val="21"/>
        </w:rPr>
      </w:pPr>
    </w:p>
    <w:p w14:paraId="72D0072C">
      <w:pPr>
        <w:snapToGrid/>
        <w:spacing w:beforeAutospacing="0" w:afterAutospacing="0" w:line="560" w:lineRule="exact"/>
        <w:ind w:left="0" w:leftChars="0" w:right="0" w:rightChars="0" w:firstLine="482" w:firstLineChars="0"/>
        <w:jc w:val="left"/>
        <w:rPr>
          <w:rFonts w:hint="eastAsia" w:ascii="宋体" w:hAnsi="宋体" w:eastAsia="宋体" w:cs="宋体"/>
          <w:sz w:val="24"/>
          <w:szCs w:val="21"/>
        </w:rPr>
      </w:pPr>
    </w:p>
    <w:p w14:paraId="033C7162">
      <w:pPr>
        <w:snapToGrid/>
        <w:spacing w:beforeAutospacing="0" w:afterAutospacing="0" w:line="560" w:lineRule="exact"/>
        <w:ind w:left="0" w:leftChars="0" w:right="0" w:rightChars="0" w:firstLine="482" w:firstLineChars="0"/>
        <w:jc w:val="left"/>
        <w:rPr>
          <w:rFonts w:hint="eastAsia" w:ascii="宋体" w:hAnsi="宋体" w:eastAsia="宋体" w:cs="宋体"/>
          <w:sz w:val="24"/>
          <w:szCs w:val="21"/>
        </w:rPr>
        <w:sectPr>
          <w:pgSz w:w="11905" w:h="16838"/>
          <w:pgMar w:top="1440" w:right="1797" w:bottom="1440" w:left="1797" w:header="850" w:footer="850" w:gutter="0"/>
          <w:pgNumType w:fmt="decimal"/>
          <w:cols w:space="720" w:num="1"/>
        </w:sectPr>
      </w:pPr>
    </w:p>
    <w:p w14:paraId="1F461799">
      <w:pPr>
        <w:pStyle w:val="4"/>
        <w:snapToGrid/>
        <w:spacing w:before="200" w:beforeAutospacing="0" w:after="100" w:afterAutospacing="0" w:line="240" w:lineRule="auto"/>
        <w:ind w:left="0" w:leftChars="0" w:right="0" w:rightChars="0" w:firstLine="0" w:firstLineChars="0"/>
        <w:jc w:val="left"/>
        <w:outlineLvl w:val="1"/>
        <w:rPr>
          <w:rFonts w:hint="eastAsia" w:ascii="宋体" w:hAnsi="宋体" w:eastAsia="宋体" w:cs="宋体"/>
          <w:b w:val="0"/>
          <w:sz w:val="32"/>
        </w:rPr>
      </w:pPr>
      <w:bookmarkStart w:id="785" w:name="_Toc109900019"/>
      <w:bookmarkStart w:id="786" w:name="_Toc109897501"/>
      <w:bookmarkStart w:id="787" w:name="_Toc232"/>
      <w:bookmarkStart w:id="788" w:name="_Toc109900438"/>
      <w:bookmarkStart w:id="789" w:name="_Toc56708580"/>
      <w:r>
        <w:rPr>
          <w:rFonts w:hint="eastAsia" w:ascii="宋体" w:hAnsi="宋体" w:eastAsia="宋体" w:cs="宋体"/>
          <w:b w:val="0"/>
          <w:sz w:val="28"/>
          <w:szCs w:val="28"/>
        </w:rPr>
        <w:t>三、商务文件</w:t>
      </w:r>
      <w:bookmarkEnd w:id="785"/>
      <w:bookmarkEnd w:id="786"/>
      <w:bookmarkEnd w:id="787"/>
      <w:bookmarkEnd w:id="788"/>
      <w:bookmarkEnd w:id="789"/>
    </w:p>
    <w:p w14:paraId="07BD3F6A">
      <w:pPr>
        <w:keepNext/>
        <w:keepLines/>
        <w:snapToGrid/>
        <w:spacing w:beforeAutospacing="0" w:afterAutospacing="0" w:line="560" w:lineRule="exact"/>
        <w:ind w:left="0" w:leftChars="0" w:right="0" w:rightChars="0" w:firstLine="482" w:firstLineChars="0"/>
        <w:jc w:val="center"/>
        <w:outlineLvl w:val="1"/>
        <w:rPr>
          <w:rFonts w:hint="eastAsia" w:ascii="宋体" w:hAnsi="宋体" w:eastAsia="宋体" w:cs="宋体"/>
          <w:b/>
          <w:sz w:val="24"/>
          <w:szCs w:val="28"/>
        </w:rPr>
      </w:pPr>
      <w:bookmarkStart w:id="790" w:name="_Toc109900020"/>
      <w:bookmarkStart w:id="791" w:name="_Toc109900439"/>
      <w:bookmarkStart w:id="792" w:name="_Toc32235"/>
      <w:bookmarkStart w:id="793" w:name="_Toc56708581"/>
      <w:bookmarkStart w:id="794" w:name="_Toc109897502"/>
      <w:r>
        <w:rPr>
          <w:rFonts w:hint="eastAsia" w:ascii="宋体" w:hAnsi="宋体" w:eastAsia="宋体" w:cs="宋体"/>
          <w:b/>
          <w:sz w:val="24"/>
          <w:szCs w:val="28"/>
        </w:rPr>
        <w:t>（一）供应商基本情况表</w:t>
      </w:r>
      <w:bookmarkEnd w:id="790"/>
      <w:bookmarkEnd w:id="791"/>
      <w:bookmarkEnd w:id="792"/>
      <w:bookmarkEnd w:id="793"/>
      <w:bookmarkEnd w:id="794"/>
    </w:p>
    <w:p w14:paraId="1EAFB14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rPr>
      </w:pPr>
    </w:p>
    <w:p w14:paraId="4FBD56D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rPr>
      </w:pPr>
      <w:r>
        <w:rPr>
          <w:rFonts w:hint="eastAsia" w:ascii="宋体" w:hAnsi="宋体" w:eastAsia="宋体" w:cs="宋体"/>
          <w:sz w:val="24"/>
        </w:rPr>
        <w:t xml:space="preserve">项目名称：             </w:t>
      </w:r>
    </w:p>
    <w:p w14:paraId="3694841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rPr>
      </w:pPr>
      <w:r>
        <w:rPr>
          <w:rFonts w:hint="eastAsia" w:ascii="宋体" w:hAnsi="宋体" w:eastAsia="宋体" w:cs="宋体"/>
          <w:sz w:val="24"/>
        </w:rPr>
        <w:t xml:space="preserve">项目编号：                         </w:t>
      </w:r>
    </w:p>
    <w:tbl>
      <w:tblPr>
        <w:tblStyle w:val="88"/>
        <w:tblW w:w="8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7"/>
        <w:gridCol w:w="1791"/>
        <w:gridCol w:w="1024"/>
        <w:gridCol w:w="1032"/>
        <w:gridCol w:w="129"/>
        <w:gridCol w:w="2236"/>
      </w:tblGrid>
      <w:tr w14:paraId="08CD9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2087" w:type="dxa"/>
            <w:tcBorders>
              <w:top w:val="single" w:color="auto" w:sz="4" w:space="0"/>
              <w:left w:val="single" w:color="auto" w:sz="4" w:space="0"/>
              <w:bottom w:val="single" w:color="auto" w:sz="4" w:space="0"/>
              <w:right w:val="single" w:color="auto" w:sz="4" w:space="0"/>
            </w:tcBorders>
            <w:vAlign w:val="center"/>
          </w:tcPr>
          <w:p w14:paraId="6C2E687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rPr>
            </w:pPr>
            <w:r>
              <w:rPr>
                <w:rFonts w:hint="eastAsia" w:ascii="宋体" w:hAnsi="宋体" w:eastAsia="宋体" w:cs="宋体"/>
                <w:sz w:val="22"/>
                <w:szCs w:val="22"/>
              </w:rPr>
              <w:t>供应商名称</w:t>
            </w:r>
          </w:p>
        </w:tc>
        <w:tc>
          <w:tcPr>
            <w:tcW w:w="6212" w:type="dxa"/>
            <w:gridSpan w:val="5"/>
            <w:tcBorders>
              <w:top w:val="single" w:color="auto" w:sz="4" w:space="0"/>
              <w:left w:val="single" w:color="auto" w:sz="4" w:space="0"/>
              <w:bottom w:val="single" w:color="auto" w:sz="4" w:space="0"/>
              <w:right w:val="single" w:color="auto" w:sz="4" w:space="0"/>
            </w:tcBorders>
            <w:vAlign w:val="center"/>
          </w:tcPr>
          <w:p w14:paraId="2110F21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rPr>
            </w:pPr>
          </w:p>
        </w:tc>
      </w:tr>
      <w:tr w14:paraId="66AEF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2087" w:type="dxa"/>
            <w:tcBorders>
              <w:top w:val="single" w:color="auto" w:sz="4" w:space="0"/>
              <w:left w:val="single" w:color="auto" w:sz="4" w:space="0"/>
              <w:bottom w:val="single" w:color="auto" w:sz="4" w:space="0"/>
              <w:right w:val="single" w:color="auto" w:sz="4" w:space="0"/>
            </w:tcBorders>
            <w:vAlign w:val="center"/>
          </w:tcPr>
          <w:p w14:paraId="547B321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rPr>
            </w:pPr>
            <w:r>
              <w:rPr>
                <w:rFonts w:hint="eastAsia" w:ascii="宋体" w:hAnsi="宋体" w:eastAsia="宋体" w:cs="宋体"/>
                <w:sz w:val="22"/>
                <w:szCs w:val="22"/>
              </w:rPr>
              <w:t>注册地址</w:t>
            </w:r>
          </w:p>
        </w:tc>
        <w:tc>
          <w:tcPr>
            <w:tcW w:w="2815" w:type="dxa"/>
            <w:gridSpan w:val="2"/>
            <w:tcBorders>
              <w:top w:val="single" w:color="auto" w:sz="4" w:space="0"/>
              <w:left w:val="single" w:color="auto" w:sz="4" w:space="0"/>
              <w:bottom w:val="single" w:color="auto" w:sz="4" w:space="0"/>
              <w:right w:val="single" w:color="auto" w:sz="4" w:space="0"/>
            </w:tcBorders>
            <w:vAlign w:val="center"/>
          </w:tcPr>
          <w:p w14:paraId="7708C6A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rPr>
            </w:pPr>
          </w:p>
        </w:tc>
        <w:tc>
          <w:tcPr>
            <w:tcW w:w="1161" w:type="dxa"/>
            <w:gridSpan w:val="2"/>
            <w:tcBorders>
              <w:top w:val="single" w:color="auto" w:sz="4" w:space="0"/>
              <w:left w:val="single" w:color="auto" w:sz="4" w:space="0"/>
              <w:bottom w:val="single" w:color="auto" w:sz="4" w:space="0"/>
              <w:right w:val="single" w:color="auto" w:sz="4" w:space="0"/>
            </w:tcBorders>
            <w:vAlign w:val="center"/>
          </w:tcPr>
          <w:p w14:paraId="406715D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rPr>
            </w:pPr>
            <w:r>
              <w:rPr>
                <w:rFonts w:hint="eastAsia" w:ascii="宋体" w:hAnsi="宋体" w:eastAsia="宋体" w:cs="宋体"/>
                <w:sz w:val="22"/>
                <w:szCs w:val="22"/>
              </w:rPr>
              <w:t>邮政编码</w:t>
            </w:r>
          </w:p>
        </w:tc>
        <w:tc>
          <w:tcPr>
            <w:tcW w:w="2236" w:type="dxa"/>
            <w:tcBorders>
              <w:top w:val="single" w:color="auto" w:sz="4" w:space="0"/>
              <w:left w:val="single" w:color="auto" w:sz="4" w:space="0"/>
              <w:bottom w:val="single" w:color="auto" w:sz="4" w:space="0"/>
              <w:right w:val="single" w:color="auto" w:sz="4" w:space="0"/>
            </w:tcBorders>
            <w:vAlign w:val="center"/>
          </w:tcPr>
          <w:p w14:paraId="2F45377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rPr>
            </w:pPr>
          </w:p>
        </w:tc>
      </w:tr>
      <w:tr w14:paraId="02E53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2087" w:type="dxa"/>
            <w:tcBorders>
              <w:top w:val="single" w:color="auto" w:sz="4" w:space="0"/>
              <w:left w:val="single" w:color="auto" w:sz="4" w:space="0"/>
              <w:bottom w:val="single" w:color="auto" w:sz="4" w:space="0"/>
              <w:right w:val="single" w:color="auto" w:sz="4" w:space="0"/>
            </w:tcBorders>
            <w:vAlign w:val="center"/>
          </w:tcPr>
          <w:p w14:paraId="3C54ADB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rPr>
            </w:pPr>
            <w:r>
              <w:rPr>
                <w:rFonts w:hint="eastAsia" w:ascii="宋体" w:hAnsi="宋体" w:eastAsia="宋体" w:cs="宋体"/>
                <w:sz w:val="22"/>
                <w:szCs w:val="22"/>
              </w:rPr>
              <w:t>企业资质</w:t>
            </w:r>
          </w:p>
        </w:tc>
        <w:tc>
          <w:tcPr>
            <w:tcW w:w="6212" w:type="dxa"/>
            <w:gridSpan w:val="5"/>
            <w:tcBorders>
              <w:top w:val="single" w:color="auto" w:sz="4" w:space="0"/>
              <w:left w:val="single" w:color="auto" w:sz="4" w:space="0"/>
              <w:bottom w:val="single" w:color="auto" w:sz="4" w:space="0"/>
              <w:right w:val="single" w:color="auto" w:sz="4" w:space="0"/>
            </w:tcBorders>
            <w:vAlign w:val="center"/>
          </w:tcPr>
          <w:p w14:paraId="402F046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2"/>
                <w:szCs w:val="22"/>
              </w:rPr>
            </w:pPr>
            <w:r>
              <w:rPr>
                <w:rFonts w:hint="eastAsia" w:ascii="宋体" w:hAnsi="宋体" w:eastAsia="宋体" w:cs="宋体"/>
                <w:sz w:val="22"/>
                <w:szCs w:val="22"/>
              </w:rPr>
              <w:t>1.等级：　　　2.证书号：　　 3.发证单位</w:t>
            </w:r>
          </w:p>
        </w:tc>
      </w:tr>
      <w:tr w14:paraId="265F5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9" w:hRule="atLeast"/>
          <w:jc w:val="center"/>
        </w:trPr>
        <w:tc>
          <w:tcPr>
            <w:tcW w:w="2087" w:type="dxa"/>
            <w:tcBorders>
              <w:top w:val="single" w:color="auto" w:sz="4" w:space="0"/>
              <w:left w:val="single" w:color="auto" w:sz="4" w:space="0"/>
              <w:right w:val="single" w:color="auto" w:sz="4" w:space="0"/>
            </w:tcBorders>
            <w:vAlign w:val="center"/>
          </w:tcPr>
          <w:p w14:paraId="3A9CF7E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rPr>
            </w:pPr>
            <w:r>
              <w:rPr>
                <w:rFonts w:hint="eastAsia" w:ascii="宋体" w:hAnsi="宋体" w:eastAsia="宋体" w:cs="宋体"/>
                <w:sz w:val="22"/>
                <w:szCs w:val="22"/>
              </w:rPr>
              <w:t>营业执照注册号</w:t>
            </w:r>
          </w:p>
        </w:tc>
        <w:tc>
          <w:tcPr>
            <w:tcW w:w="1791" w:type="dxa"/>
            <w:tcBorders>
              <w:top w:val="single" w:color="auto" w:sz="4" w:space="0"/>
              <w:left w:val="single" w:color="auto" w:sz="4" w:space="0"/>
              <w:right w:val="single" w:color="auto" w:sz="4" w:space="0"/>
            </w:tcBorders>
            <w:vAlign w:val="center"/>
          </w:tcPr>
          <w:p w14:paraId="3515EC9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rPr>
            </w:pPr>
          </w:p>
        </w:tc>
        <w:tc>
          <w:tcPr>
            <w:tcW w:w="2056" w:type="dxa"/>
            <w:gridSpan w:val="2"/>
            <w:tcBorders>
              <w:top w:val="single" w:color="auto" w:sz="4" w:space="0"/>
              <w:left w:val="single" w:color="auto" w:sz="4" w:space="0"/>
              <w:right w:val="single" w:color="auto" w:sz="4" w:space="0"/>
            </w:tcBorders>
            <w:vAlign w:val="center"/>
          </w:tcPr>
          <w:p w14:paraId="36DEE6D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rPr>
            </w:pPr>
            <w:r>
              <w:rPr>
                <w:rFonts w:hint="eastAsia" w:ascii="宋体" w:hAnsi="宋体" w:eastAsia="宋体" w:cs="宋体"/>
                <w:sz w:val="22"/>
                <w:szCs w:val="22"/>
              </w:rPr>
              <w:t>现有员工总人数</w:t>
            </w:r>
          </w:p>
        </w:tc>
        <w:tc>
          <w:tcPr>
            <w:tcW w:w="2365" w:type="dxa"/>
            <w:gridSpan w:val="2"/>
            <w:tcBorders>
              <w:top w:val="single" w:color="auto" w:sz="4" w:space="0"/>
              <w:left w:val="single" w:color="auto" w:sz="4" w:space="0"/>
              <w:right w:val="single" w:color="auto" w:sz="4" w:space="0"/>
            </w:tcBorders>
            <w:vAlign w:val="center"/>
          </w:tcPr>
          <w:p w14:paraId="7B380F1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2"/>
                <w:szCs w:val="22"/>
              </w:rPr>
            </w:pPr>
          </w:p>
        </w:tc>
      </w:tr>
      <w:tr w14:paraId="1B53A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9" w:hRule="atLeast"/>
          <w:jc w:val="center"/>
        </w:trPr>
        <w:tc>
          <w:tcPr>
            <w:tcW w:w="2087" w:type="dxa"/>
            <w:tcBorders>
              <w:top w:val="single" w:color="auto" w:sz="4" w:space="0"/>
              <w:left w:val="single" w:color="auto" w:sz="4" w:space="0"/>
              <w:right w:val="single" w:color="auto" w:sz="4" w:space="0"/>
            </w:tcBorders>
            <w:vAlign w:val="center"/>
          </w:tcPr>
          <w:p w14:paraId="279418D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rPr>
            </w:pPr>
            <w:r>
              <w:rPr>
                <w:rFonts w:hint="eastAsia" w:ascii="宋体" w:hAnsi="宋体" w:eastAsia="宋体" w:cs="宋体"/>
                <w:sz w:val="22"/>
                <w:szCs w:val="22"/>
              </w:rPr>
              <w:t>注册资本金</w:t>
            </w:r>
          </w:p>
        </w:tc>
        <w:tc>
          <w:tcPr>
            <w:tcW w:w="1791" w:type="dxa"/>
            <w:tcBorders>
              <w:top w:val="single" w:color="auto" w:sz="4" w:space="0"/>
              <w:left w:val="single" w:color="auto" w:sz="4" w:space="0"/>
              <w:right w:val="single" w:color="auto" w:sz="4" w:space="0"/>
            </w:tcBorders>
            <w:vAlign w:val="center"/>
          </w:tcPr>
          <w:p w14:paraId="7FBF314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rPr>
            </w:pPr>
          </w:p>
        </w:tc>
        <w:tc>
          <w:tcPr>
            <w:tcW w:w="2056" w:type="dxa"/>
            <w:gridSpan w:val="2"/>
            <w:tcBorders>
              <w:top w:val="single" w:color="auto" w:sz="4" w:space="0"/>
              <w:left w:val="single" w:color="auto" w:sz="4" w:space="0"/>
              <w:right w:val="single" w:color="auto" w:sz="4" w:space="0"/>
            </w:tcBorders>
            <w:vAlign w:val="center"/>
          </w:tcPr>
          <w:p w14:paraId="7DBA499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rPr>
            </w:pPr>
            <w:r>
              <w:rPr>
                <w:rFonts w:hint="eastAsia" w:ascii="宋体" w:hAnsi="宋体" w:eastAsia="宋体" w:cs="宋体"/>
                <w:sz w:val="22"/>
                <w:szCs w:val="22"/>
              </w:rPr>
              <w:t>高级职称人员</w:t>
            </w:r>
          </w:p>
        </w:tc>
        <w:tc>
          <w:tcPr>
            <w:tcW w:w="2365" w:type="dxa"/>
            <w:gridSpan w:val="2"/>
            <w:tcBorders>
              <w:top w:val="single" w:color="auto" w:sz="4" w:space="0"/>
              <w:left w:val="single" w:color="auto" w:sz="4" w:space="0"/>
              <w:right w:val="single" w:color="auto" w:sz="4" w:space="0"/>
            </w:tcBorders>
            <w:vAlign w:val="center"/>
          </w:tcPr>
          <w:p w14:paraId="1A20BB7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2"/>
                <w:szCs w:val="22"/>
              </w:rPr>
            </w:pPr>
          </w:p>
        </w:tc>
      </w:tr>
      <w:tr w14:paraId="7F535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9" w:hRule="atLeast"/>
          <w:jc w:val="center"/>
        </w:trPr>
        <w:tc>
          <w:tcPr>
            <w:tcW w:w="2087" w:type="dxa"/>
            <w:tcBorders>
              <w:top w:val="single" w:color="auto" w:sz="4" w:space="0"/>
              <w:left w:val="single" w:color="auto" w:sz="4" w:space="0"/>
              <w:right w:val="single" w:color="auto" w:sz="4" w:space="0"/>
            </w:tcBorders>
            <w:vAlign w:val="center"/>
          </w:tcPr>
          <w:p w14:paraId="0940009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rPr>
            </w:pPr>
            <w:r>
              <w:rPr>
                <w:rFonts w:hint="eastAsia" w:ascii="宋体" w:hAnsi="宋体" w:eastAsia="宋体" w:cs="宋体"/>
                <w:sz w:val="22"/>
                <w:szCs w:val="22"/>
              </w:rPr>
              <w:t>成立时间</w:t>
            </w:r>
          </w:p>
        </w:tc>
        <w:tc>
          <w:tcPr>
            <w:tcW w:w="1791" w:type="dxa"/>
            <w:tcBorders>
              <w:top w:val="single" w:color="auto" w:sz="4" w:space="0"/>
              <w:left w:val="single" w:color="auto" w:sz="4" w:space="0"/>
              <w:right w:val="single" w:color="auto" w:sz="4" w:space="0"/>
            </w:tcBorders>
            <w:vAlign w:val="center"/>
          </w:tcPr>
          <w:p w14:paraId="198257B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rPr>
            </w:pPr>
          </w:p>
        </w:tc>
        <w:tc>
          <w:tcPr>
            <w:tcW w:w="2056" w:type="dxa"/>
            <w:gridSpan w:val="2"/>
            <w:tcBorders>
              <w:top w:val="single" w:color="auto" w:sz="4" w:space="0"/>
              <w:left w:val="single" w:color="auto" w:sz="4" w:space="0"/>
              <w:right w:val="single" w:color="auto" w:sz="4" w:space="0"/>
            </w:tcBorders>
            <w:vAlign w:val="center"/>
          </w:tcPr>
          <w:p w14:paraId="560682E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rPr>
            </w:pPr>
            <w:r>
              <w:rPr>
                <w:rFonts w:hint="eastAsia" w:ascii="宋体" w:hAnsi="宋体" w:eastAsia="宋体" w:cs="宋体"/>
                <w:sz w:val="22"/>
                <w:szCs w:val="22"/>
              </w:rPr>
              <w:t>中级职称人员</w:t>
            </w:r>
          </w:p>
        </w:tc>
        <w:tc>
          <w:tcPr>
            <w:tcW w:w="2365" w:type="dxa"/>
            <w:gridSpan w:val="2"/>
            <w:tcBorders>
              <w:top w:val="single" w:color="auto" w:sz="4" w:space="0"/>
              <w:left w:val="single" w:color="auto" w:sz="4" w:space="0"/>
              <w:right w:val="single" w:color="auto" w:sz="4" w:space="0"/>
            </w:tcBorders>
            <w:vAlign w:val="center"/>
          </w:tcPr>
          <w:p w14:paraId="7ADBBB0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2"/>
                <w:szCs w:val="22"/>
              </w:rPr>
            </w:pPr>
          </w:p>
        </w:tc>
      </w:tr>
      <w:tr w14:paraId="35BA2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087" w:type="dxa"/>
            <w:tcBorders>
              <w:top w:val="single" w:color="auto" w:sz="4" w:space="0"/>
              <w:left w:val="single" w:color="auto" w:sz="4" w:space="0"/>
              <w:bottom w:val="single" w:color="auto" w:sz="4" w:space="0"/>
              <w:right w:val="single" w:color="auto" w:sz="4" w:space="0"/>
            </w:tcBorders>
            <w:vAlign w:val="center"/>
          </w:tcPr>
          <w:p w14:paraId="3A7CD79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rPr>
            </w:pPr>
            <w:r>
              <w:rPr>
                <w:rFonts w:hint="eastAsia" w:ascii="宋体" w:hAnsi="宋体" w:eastAsia="宋体" w:cs="宋体"/>
                <w:sz w:val="22"/>
                <w:szCs w:val="22"/>
              </w:rPr>
              <w:t>法定代表人</w:t>
            </w:r>
          </w:p>
        </w:tc>
        <w:tc>
          <w:tcPr>
            <w:tcW w:w="6212" w:type="dxa"/>
            <w:gridSpan w:val="5"/>
            <w:tcBorders>
              <w:top w:val="single" w:color="auto" w:sz="4" w:space="0"/>
              <w:left w:val="single" w:color="auto" w:sz="4" w:space="0"/>
              <w:bottom w:val="single" w:color="auto" w:sz="4" w:space="0"/>
              <w:right w:val="single" w:color="auto" w:sz="4" w:space="0"/>
            </w:tcBorders>
            <w:vAlign w:val="center"/>
          </w:tcPr>
          <w:p w14:paraId="5CE4C4F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2"/>
                <w:szCs w:val="22"/>
              </w:rPr>
            </w:pPr>
            <w:r>
              <w:rPr>
                <w:rFonts w:hint="eastAsia" w:ascii="宋体" w:hAnsi="宋体" w:eastAsia="宋体" w:cs="宋体"/>
                <w:sz w:val="22"/>
                <w:szCs w:val="22"/>
              </w:rPr>
              <w:t>姓名：　　　职务：　　　职称：       电话：</w:t>
            </w:r>
          </w:p>
        </w:tc>
      </w:tr>
      <w:tr w14:paraId="65DA7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087" w:type="dxa"/>
            <w:tcBorders>
              <w:top w:val="single" w:color="auto" w:sz="4" w:space="0"/>
              <w:left w:val="single" w:color="auto" w:sz="4" w:space="0"/>
              <w:bottom w:val="single" w:color="auto" w:sz="4" w:space="0"/>
              <w:right w:val="single" w:color="auto" w:sz="4" w:space="0"/>
            </w:tcBorders>
            <w:vAlign w:val="center"/>
          </w:tcPr>
          <w:p w14:paraId="1659B54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rPr>
            </w:pPr>
            <w:r>
              <w:rPr>
                <w:rFonts w:hint="eastAsia" w:ascii="宋体" w:hAnsi="宋体" w:eastAsia="宋体" w:cs="宋体"/>
                <w:sz w:val="22"/>
                <w:szCs w:val="22"/>
              </w:rPr>
              <w:t>技术负责人</w:t>
            </w:r>
          </w:p>
        </w:tc>
        <w:tc>
          <w:tcPr>
            <w:tcW w:w="6212" w:type="dxa"/>
            <w:gridSpan w:val="5"/>
            <w:tcBorders>
              <w:top w:val="single" w:color="auto" w:sz="4" w:space="0"/>
              <w:left w:val="single" w:color="auto" w:sz="4" w:space="0"/>
              <w:bottom w:val="single" w:color="auto" w:sz="4" w:space="0"/>
              <w:right w:val="single" w:color="auto" w:sz="4" w:space="0"/>
            </w:tcBorders>
            <w:vAlign w:val="center"/>
          </w:tcPr>
          <w:p w14:paraId="33B4956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2"/>
                <w:szCs w:val="22"/>
              </w:rPr>
            </w:pPr>
            <w:r>
              <w:rPr>
                <w:rFonts w:hint="eastAsia" w:ascii="宋体" w:hAnsi="宋体" w:eastAsia="宋体" w:cs="宋体"/>
                <w:sz w:val="22"/>
                <w:szCs w:val="22"/>
              </w:rPr>
              <w:t>姓名：　　　职务：　　　职称：       电话：</w:t>
            </w:r>
          </w:p>
        </w:tc>
      </w:tr>
      <w:tr w14:paraId="3B8BD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087" w:type="dxa"/>
            <w:tcBorders>
              <w:top w:val="single" w:color="auto" w:sz="4" w:space="0"/>
              <w:left w:val="single" w:color="auto" w:sz="4" w:space="0"/>
              <w:bottom w:val="single" w:color="auto" w:sz="4" w:space="0"/>
              <w:right w:val="single" w:color="auto" w:sz="4" w:space="0"/>
            </w:tcBorders>
            <w:vAlign w:val="center"/>
          </w:tcPr>
          <w:p w14:paraId="76F7E85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rPr>
            </w:pPr>
            <w:r>
              <w:rPr>
                <w:rFonts w:hint="eastAsia" w:ascii="宋体" w:hAnsi="宋体" w:eastAsia="宋体" w:cs="宋体"/>
                <w:sz w:val="22"/>
                <w:szCs w:val="22"/>
              </w:rPr>
              <w:t>联系方式</w:t>
            </w:r>
          </w:p>
        </w:tc>
        <w:tc>
          <w:tcPr>
            <w:tcW w:w="6212" w:type="dxa"/>
            <w:gridSpan w:val="5"/>
            <w:tcBorders>
              <w:top w:val="single" w:color="auto" w:sz="4" w:space="0"/>
              <w:left w:val="single" w:color="auto" w:sz="4" w:space="0"/>
              <w:bottom w:val="single" w:color="auto" w:sz="4" w:space="0"/>
              <w:right w:val="single" w:color="auto" w:sz="4" w:space="0"/>
            </w:tcBorders>
            <w:vAlign w:val="center"/>
          </w:tcPr>
          <w:p w14:paraId="7692EED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2"/>
                <w:szCs w:val="22"/>
              </w:rPr>
            </w:pPr>
            <w:r>
              <w:rPr>
                <w:rFonts w:hint="eastAsia" w:ascii="宋体" w:hAnsi="宋体" w:eastAsia="宋体" w:cs="宋体"/>
                <w:sz w:val="22"/>
                <w:szCs w:val="22"/>
              </w:rPr>
              <w:t>联系人：                      电　话：</w:t>
            </w:r>
          </w:p>
          <w:p w14:paraId="3CADA7F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2"/>
                <w:szCs w:val="22"/>
              </w:rPr>
            </w:pPr>
            <w:r>
              <w:rPr>
                <w:rFonts w:hint="eastAsia" w:ascii="宋体" w:hAnsi="宋体" w:eastAsia="宋体" w:cs="宋体"/>
                <w:sz w:val="22"/>
                <w:szCs w:val="22"/>
              </w:rPr>
              <w:t>传　真：　　　　　　　　　　　网  址：</w:t>
            </w:r>
          </w:p>
        </w:tc>
      </w:tr>
      <w:tr w14:paraId="26A8E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087" w:type="dxa"/>
            <w:tcBorders>
              <w:top w:val="single" w:color="auto" w:sz="4" w:space="0"/>
              <w:left w:val="single" w:color="auto" w:sz="4" w:space="0"/>
              <w:bottom w:val="single" w:color="auto" w:sz="4" w:space="0"/>
              <w:right w:val="single" w:color="auto" w:sz="4" w:space="0"/>
            </w:tcBorders>
            <w:vAlign w:val="center"/>
          </w:tcPr>
          <w:p w14:paraId="3438000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rPr>
            </w:pPr>
            <w:r>
              <w:rPr>
                <w:rFonts w:hint="eastAsia" w:ascii="宋体" w:hAnsi="宋体" w:eastAsia="宋体" w:cs="宋体"/>
                <w:sz w:val="22"/>
                <w:szCs w:val="22"/>
              </w:rPr>
              <w:t>开户银行</w:t>
            </w:r>
          </w:p>
        </w:tc>
        <w:tc>
          <w:tcPr>
            <w:tcW w:w="6212" w:type="dxa"/>
            <w:gridSpan w:val="5"/>
            <w:tcBorders>
              <w:top w:val="single" w:color="auto" w:sz="4" w:space="0"/>
              <w:left w:val="single" w:color="auto" w:sz="4" w:space="0"/>
              <w:bottom w:val="single" w:color="auto" w:sz="4" w:space="0"/>
              <w:right w:val="single" w:color="auto" w:sz="4" w:space="0"/>
            </w:tcBorders>
            <w:vAlign w:val="center"/>
          </w:tcPr>
          <w:p w14:paraId="04DD914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2"/>
                <w:szCs w:val="22"/>
              </w:rPr>
            </w:pPr>
            <w:r>
              <w:rPr>
                <w:rFonts w:hint="eastAsia" w:ascii="宋体" w:hAnsi="宋体" w:eastAsia="宋体" w:cs="宋体"/>
                <w:sz w:val="22"/>
                <w:szCs w:val="22"/>
              </w:rPr>
              <w:t>名　称：　　　　　　　　　　　账号：</w:t>
            </w:r>
          </w:p>
        </w:tc>
      </w:tr>
      <w:tr w14:paraId="426F4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087" w:type="dxa"/>
            <w:tcBorders>
              <w:top w:val="single" w:color="auto" w:sz="4" w:space="0"/>
              <w:left w:val="single" w:color="auto" w:sz="4" w:space="0"/>
              <w:bottom w:val="single" w:color="auto" w:sz="4" w:space="0"/>
              <w:right w:val="single" w:color="auto" w:sz="4" w:space="0"/>
            </w:tcBorders>
            <w:vAlign w:val="center"/>
          </w:tcPr>
          <w:p w14:paraId="4104AF7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rPr>
            </w:pPr>
            <w:r>
              <w:rPr>
                <w:rFonts w:hint="eastAsia" w:ascii="宋体" w:hAnsi="宋体" w:eastAsia="宋体" w:cs="宋体"/>
                <w:sz w:val="22"/>
                <w:szCs w:val="22"/>
              </w:rPr>
              <w:t>资金情况</w:t>
            </w:r>
          </w:p>
        </w:tc>
        <w:tc>
          <w:tcPr>
            <w:tcW w:w="6212" w:type="dxa"/>
            <w:gridSpan w:val="5"/>
            <w:tcBorders>
              <w:top w:val="single" w:color="auto" w:sz="4" w:space="0"/>
              <w:left w:val="single" w:color="auto" w:sz="4" w:space="0"/>
              <w:bottom w:val="single" w:color="auto" w:sz="4" w:space="0"/>
              <w:right w:val="single" w:color="auto" w:sz="4" w:space="0"/>
            </w:tcBorders>
            <w:vAlign w:val="center"/>
          </w:tcPr>
          <w:p w14:paraId="6C8F51A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2"/>
                <w:szCs w:val="22"/>
              </w:rPr>
            </w:pPr>
            <w:r>
              <w:rPr>
                <w:rFonts w:hint="eastAsia" w:ascii="宋体" w:hAnsi="宋体" w:eastAsia="宋体" w:cs="宋体"/>
                <w:sz w:val="22"/>
                <w:szCs w:val="22"/>
              </w:rPr>
              <w:t>固定资产：（万元）            流动资产：（万元）</w:t>
            </w:r>
          </w:p>
        </w:tc>
      </w:tr>
      <w:tr w14:paraId="7292A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2087" w:type="dxa"/>
            <w:tcBorders>
              <w:top w:val="single" w:color="auto" w:sz="4" w:space="0"/>
              <w:left w:val="single" w:color="auto" w:sz="4" w:space="0"/>
              <w:bottom w:val="single" w:color="auto" w:sz="4" w:space="0"/>
              <w:right w:val="single" w:color="auto" w:sz="4" w:space="0"/>
            </w:tcBorders>
            <w:vAlign w:val="center"/>
          </w:tcPr>
          <w:p w14:paraId="1A6B8FC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rPr>
            </w:pPr>
            <w:r>
              <w:rPr>
                <w:rFonts w:hint="eastAsia" w:ascii="宋体" w:hAnsi="宋体" w:eastAsia="宋体" w:cs="宋体"/>
                <w:sz w:val="22"/>
                <w:szCs w:val="22"/>
              </w:rPr>
              <w:t>经营范围</w:t>
            </w:r>
          </w:p>
        </w:tc>
        <w:tc>
          <w:tcPr>
            <w:tcW w:w="6212" w:type="dxa"/>
            <w:gridSpan w:val="5"/>
            <w:tcBorders>
              <w:top w:val="single" w:color="auto" w:sz="4" w:space="0"/>
              <w:left w:val="single" w:color="auto" w:sz="4" w:space="0"/>
              <w:bottom w:val="single" w:color="auto" w:sz="4" w:space="0"/>
              <w:right w:val="single" w:color="auto" w:sz="4" w:space="0"/>
            </w:tcBorders>
            <w:vAlign w:val="center"/>
          </w:tcPr>
          <w:p w14:paraId="4A24ED1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rPr>
            </w:pPr>
          </w:p>
        </w:tc>
      </w:tr>
      <w:tr w14:paraId="12419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2087" w:type="dxa"/>
            <w:tcBorders>
              <w:top w:val="single" w:color="auto" w:sz="4" w:space="0"/>
              <w:left w:val="single" w:color="auto" w:sz="4" w:space="0"/>
              <w:bottom w:val="single" w:color="auto" w:sz="4" w:space="0"/>
              <w:right w:val="single" w:color="auto" w:sz="4" w:space="0"/>
            </w:tcBorders>
            <w:vAlign w:val="center"/>
          </w:tcPr>
          <w:p w14:paraId="3DEFBA6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rPr>
            </w:pPr>
            <w:r>
              <w:rPr>
                <w:rFonts w:hint="eastAsia" w:ascii="宋体" w:hAnsi="宋体" w:eastAsia="宋体" w:cs="宋体"/>
                <w:sz w:val="22"/>
                <w:szCs w:val="22"/>
              </w:rPr>
              <w:t>组织结构框图</w:t>
            </w:r>
          </w:p>
        </w:tc>
        <w:tc>
          <w:tcPr>
            <w:tcW w:w="6212" w:type="dxa"/>
            <w:gridSpan w:val="5"/>
            <w:tcBorders>
              <w:top w:val="single" w:color="auto" w:sz="4" w:space="0"/>
              <w:left w:val="single" w:color="auto" w:sz="4" w:space="0"/>
              <w:bottom w:val="single" w:color="auto" w:sz="4" w:space="0"/>
              <w:right w:val="single" w:color="auto" w:sz="4" w:space="0"/>
            </w:tcBorders>
            <w:vAlign w:val="center"/>
          </w:tcPr>
          <w:p w14:paraId="649AE60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rPr>
            </w:pPr>
          </w:p>
          <w:p w14:paraId="7D0CDCC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2"/>
                <w:szCs w:val="22"/>
              </w:rPr>
            </w:pPr>
          </w:p>
        </w:tc>
      </w:tr>
      <w:tr w14:paraId="24E01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2087" w:type="dxa"/>
            <w:tcBorders>
              <w:top w:val="single" w:color="auto" w:sz="4" w:space="0"/>
              <w:left w:val="single" w:color="auto" w:sz="4" w:space="0"/>
              <w:bottom w:val="single" w:color="auto" w:sz="4" w:space="0"/>
              <w:right w:val="single" w:color="auto" w:sz="4" w:space="0"/>
            </w:tcBorders>
            <w:vAlign w:val="center"/>
          </w:tcPr>
          <w:p w14:paraId="3A37101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rPr>
            </w:pPr>
            <w:r>
              <w:rPr>
                <w:rFonts w:hint="eastAsia" w:ascii="宋体" w:hAnsi="宋体" w:eastAsia="宋体" w:cs="宋体"/>
                <w:sz w:val="22"/>
                <w:szCs w:val="22"/>
              </w:rPr>
              <w:t>备注</w:t>
            </w:r>
          </w:p>
        </w:tc>
        <w:tc>
          <w:tcPr>
            <w:tcW w:w="6212" w:type="dxa"/>
            <w:gridSpan w:val="5"/>
            <w:tcBorders>
              <w:top w:val="single" w:color="auto" w:sz="4" w:space="0"/>
              <w:left w:val="single" w:color="auto" w:sz="4" w:space="0"/>
              <w:bottom w:val="single" w:color="auto" w:sz="4" w:space="0"/>
              <w:right w:val="single" w:color="auto" w:sz="4" w:space="0"/>
            </w:tcBorders>
            <w:vAlign w:val="center"/>
          </w:tcPr>
          <w:p w14:paraId="6D68D88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rPr>
            </w:pPr>
          </w:p>
        </w:tc>
      </w:tr>
    </w:tbl>
    <w:p w14:paraId="2C88A79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rPr>
      </w:pPr>
    </w:p>
    <w:p w14:paraId="4750E25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rPr>
      </w:pPr>
      <w:r>
        <w:rPr>
          <w:rFonts w:hint="eastAsia" w:ascii="宋体" w:hAnsi="宋体" w:eastAsia="宋体" w:cs="宋体"/>
          <w:sz w:val="24"/>
        </w:rPr>
        <w:t>供应商名称：</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sz w:val="24"/>
          <w:lang w:val="en-US" w:eastAsia="zh-CN"/>
        </w:rPr>
        <w:t>盖单位章</w:t>
      </w:r>
      <w:r>
        <w:rPr>
          <w:rFonts w:hint="eastAsia" w:ascii="宋体" w:hAnsi="宋体" w:eastAsia="宋体" w:cs="宋体"/>
          <w:sz w:val="24"/>
        </w:rPr>
        <w:t>）</w:t>
      </w:r>
    </w:p>
    <w:p w14:paraId="1ED18A0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rPr>
      </w:pPr>
      <w:r>
        <w:rPr>
          <w:rFonts w:hint="eastAsia" w:ascii="宋体" w:hAnsi="宋体" w:eastAsia="宋体" w:cs="宋体"/>
          <w:sz w:val="24"/>
        </w:rPr>
        <w:t>法定代表人或授权代表：</w:t>
      </w:r>
      <w:r>
        <w:rPr>
          <w:rFonts w:hint="eastAsia" w:ascii="宋体" w:hAnsi="宋体" w:eastAsia="宋体" w:cs="宋体"/>
          <w:sz w:val="24"/>
          <w:u w:val="single"/>
        </w:rPr>
        <w:t xml:space="preserve">          </w:t>
      </w:r>
      <w:r>
        <w:rPr>
          <w:rFonts w:hint="eastAsia" w:ascii="宋体" w:hAnsi="宋体" w:eastAsia="宋体" w:cs="宋体"/>
          <w:sz w:val="24"/>
        </w:rPr>
        <w:t>（签字）</w:t>
      </w:r>
    </w:p>
    <w:p w14:paraId="69B7F7D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rPr>
      </w:pPr>
      <w:r>
        <w:rPr>
          <w:rFonts w:hint="eastAsia" w:ascii="宋体" w:hAnsi="宋体" w:eastAsia="宋体" w:cs="宋体"/>
          <w:sz w:val="24"/>
        </w:rPr>
        <w:t>日      期：   年   月   日</w:t>
      </w:r>
    </w:p>
    <w:p w14:paraId="5229BAD3">
      <w:pPr>
        <w:snapToGrid/>
        <w:spacing w:beforeAutospacing="0" w:afterAutospacing="0" w:line="560" w:lineRule="exact"/>
        <w:ind w:left="0" w:leftChars="0" w:right="0" w:rightChars="0" w:firstLine="482" w:firstLineChars="0"/>
        <w:jc w:val="left"/>
        <w:rPr>
          <w:rFonts w:hint="eastAsia" w:ascii="宋体" w:hAnsi="宋体" w:eastAsia="宋体" w:cs="宋体"/>
          <w:sz w:val="24"/>
        </w:rPr>
      </w:pPr>
    </w:p>
    <w:p w14:paraId="45A71B8F">
      <w:pPr>
        <w:keepNext/>
        <w:keepLines/>
        <w:snapToGrid/>
        <w:spacing w:beforeAutospacing="0" w:afterAutospacing="0" w:line="560" w:lineRule="exact"/>
        <w:ind w:left="0" w:leftChars="0" w:right="0" w:rightChars="0" w:firstLine="482" w:firstLineChars="0"/>
        <w:jc w:val="left"/>
        <w:outlineLvl w:val="1"/>
        <w:rPr>
          <w:rFonts w:hint="eastAsia" w:ascii="宋体" w:hAnsi="宋体" w:eastAsia="宋体" w:cs="宋体"/>
          <w:b/>
          <w:sz w:val="24"/>
          <w:szCs w:val="32"/>
        </w:rPr>
        <w:sectPr>
          <w:type w:val="nextColumn"/>
          <w:pgSz w:w="11905" w:h="16838"/>
          <w:pgMar w:top="1440" w:right="1797" w:bottom="1440" w:left="1797" w:header="850" w:footer="850" w:gutter="0"/>
          <w:pgNumType w:fmt="decimal"/>
          <w:cols w:space="720" w:num="1"/>
        </w:sectPr>
      </w:pPr>
    </w:p>
    <w:p w14:paraId="0F62F279">
      <w:pPr>
        <w:keepNext/>
        <w:keepLines/>
        <w:snapToGrid/>
        <w:spacing w:beforeAutospacing="0" w:afterAutospacing="0" w:line="560" w:lineRule="exact"/>
        <w:ind w:left="0" w:leftChars="0" w:right="0" w:rightChars="0" w:firstLine="482" w:firstLineChars="0"/>
        <w:jc w:val="center"/>
        <w:outlineLvl w:val="1"/>
        <w:rPr>
          <w:rFonts w:hint="eastAsia" w:ascii="宋体" w:hAnsi="宋体" w:eastAsia="宋体" w:cs="宋体"/>
          <w:b/>
          <w:sz w:val="24"/>
          <w:szCs w:val="28"/>
        </w:rPr>
      </w:pPr>
      <w:bookmarkStart w:id="795" w:name="_Toc104196136"/>
      <w:bookmarkStart w:id="796" w:name="_Toc5006"/>
      <w:bookmarkStart w:id="797" w:name="_Toc109897503"/>
      <w:bookmarkStart w:id="798" w:name="_Toc109900021"/>
      <w:bookmarkStart w:id="799" w:name="_Toc109900440"/>
      <w:bookmarkStart w:id="800" w:name="_Toc56708582"/>
      <w:r>
        <w:rPr>
          <w:rFonts w:hint="eastAsia" w:ascii="宋体" w:hAnsi="宋体" w:eastAsia="宋体" w:cs="宋体"/>
          <w:b/>
          <w:sz w:val="24"/>
          <w:szCs w:val="28"/>
        </w:rPr>
        <w:t>（二）关于资格条件的有关承诺</w:t>
      </w:r>
      <w:bookmarkEnd w:id="795"/>
      <w:r>
        <w:rPr>
          <w:rFonts w:hint="eastAsia" w:ascii="宋体" w:hAnsi="宋体" w:eastAsia="宋体" w:cs="宋体"/>
          <w:b/>
          <w:sz w:val="24"/>
          <w:szCs w:val="28"/>
        </w:rPr>
        <w:t>及声明</w:t>
      </w:r>
      <w:bookmarkEnd w:id="796"/>
      <w:bookmarkEnd w:id="797"/>
      <w:bookmarkEnd w:id="798"/>
      <w:bookmarkEnd w:id="799"/>
    </w:p>
    <w:p w14:paraId="59F70439">
      <w:pPr>
        <w:snapToGrid/>
        <w:spacing w:beforeAutospacing="0" w:afterAutospacing="0" w:line="560" w:lineRule="exact"/>
        <w:ind w:left="0" w:leftChars="0" w:right="0" w:rightChars="0" w:firstLine="482" w:firstLineChars="0"/>
        <w:jc w:val="left"/>
        <w:rPr>
          <w:rFonts w:hint="eastAsia" w:ascii="宋体" w:hAnsi="宋体" w:eastAsia="宋体" w:cs="宋体"/>
          <w:b/>
          <w:sz w:val="24"/>
          <w:szCs w:val="21"/>
        </w:rPr>
      </w:pPr>
    </w:p>
    <w:p w14:paraId="1E1E814F">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82" w:firstLineChars="0"/>
        <w:jc w:val="left"/>
        <w:textAlignment w:val="auto"/>
        <w:rPr>
          <w:rFonts w:hint="eastAsia" w:ascii="宋体" w:hAnsi="宋体" w:eastAsia="宋体" w:cs="宋体"/>
          <w:b/>
          <w:sz w:val="24"/>
        </w:rPr>
      </w:pPr>
      <w:r>
        <w:rPr>
          <w:rFonts w:hint="eastAsia" w:ascii="宋体" w:hAnsi="宋体" w:eastAsia="宋体" w:cs="宋体"/>
          <w:b/>
          <w:sz w:val="24"/>
        </w:rPr>
        <w:t>（磋商供应商应根据本单位实际情况进行承诺和声明）</w:t>
      </w:r>
    </w:p>
    <w:p w14:paraId="551F89F2">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rPr>
      </w:pPr>
      <w:r>
        <w:rPr>
          <w:rFonts w:hint="eastAsia" w:ascii="宋体" w:hAnsi="宋体" w:eastAsia="宋体" w:cs="宋体"/>
          <w:sz w:val="24"/>
        </w:rPr>
        <w:t>采购人和采购代理机构：</w:t>
      </w:r>
    </w:p>
    <w:p w14:paraId="74DC2773">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82" w:firstLineChars="0"/>
        <w:jc w:val="left"/>
        <w:textAlignment w:val="auto"/>
        <w:rPr>
          <w:rFonts w:hint="eastAsia" w:ascii="宋体" w:hAnsi="宋体" w:eastAsia="宋体" w:cs="宋体"/>
          <w:color w:val="auto"/>
          <w:sz w:val="24"/>
        </w:rPr>
      </w:pPr>
      <w:r>
        <w:rPr>
          <w:rFonts w:hint="eastAsia" w:ascii="宋体" w:hAnsi="宋体" w:eastAsia="宋体" w:cs="宋体"/>
          <w:color w:val="auto"/>
          <w:sz w:val="24"/>
        </w:rPr>
        <w:t>一、我方在此郑重承诺，我方满足《中华人民共和国政府采购法》第二十二条的以下规定且无纳税、社保等方面失信记录：</w:t>
      </w:r>
    </w:p>
    <w:p w14:paraId="3CE9F467">
      <w:pPr>
        <w:pStyle w:val="81"/>
        <w:keepNext w:val="0"/>
        <w:keepLines w:val="0"/>
        <w:pageBreakBefore w:val="0"/>
        <w:kinsoku/>
        <w:wordWrap/>
        <w:overflowPunct/>
        <w:topLinePunct w:val="0"/>
        <w:autoSpaceDE/>
        <w:autoSpaceDN/>
        <w:bidi w:val="0"/>
        <w:adjustRightInd/>
        <w:snapToGrid/>
        <w:spacing w:before="0" w:beforeAutospacing="0" w:after="0" w:afterAutospacing="0" w:line="360" w:lineRule="auto"/>
        <w:ind w:left="0" w:leftChars="0" w:right="0" w:rightChars="0" w:firstLine="482" w:firstLineChars="0"/>
        <w:jc w:val="left"/>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1、具有独立承担民事责任的能力；</w:t>
      </w:r>
    </w:p>
    <w:p w14:paraId="0ADA31C4">
      <w:pPr>
        <w:pStyle w:val="81"/>
        <w:keepNext w:val="0"/>
        <w:keepLines w:val="0"/>
        <w:pageBreakBefore w:val="0"/>
        <w:kinsoku/>
        <w:wordWrap/>
        <w:overflowPunct/>
        <w:topLinePunct w:val="0"/>
        <w:autoSpaceDE/>
        <w:autoSpaceDN/>
        <w:bidi w:val="0"/>
        <w:adjustRightInd/>
        <w:snapToGrid/>
        <w:spacing w:before="0" w:beforeAutospacing="0" w:after="0" w:afterAutospacing="0" w:line="360" w:lineRule="auto"/>
        <w:ind w:left="0" w:leftChars="0" w:right="0" w:rightChars="0" w:firstLine="482" w:firstLineChars="0"/>
        <w:jc w:val="left"/>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2</w:t>
      </w:r>
      <w:r>
        <w:rPr>
          <w:rFonts w:hint="eastAsia" w:ascii="宋体" w:hAnsi="宋体" w:eastAsia="宋体" w:cs="宋体"/>
          <w:color w:val="auto"/>
          <w:sz w:val="24"/>
        </w:rPr>
        <w:t xml:space="preserve">、具有良好的商业信誉和健全的财务会计制度； </w:t>
      </w:r>
    </w:p>
    <w:p w14:paraId="4D3FEFD6">
      <w:pPr>
        <w:pStyle w:val="81"/>
        <w:keepNext w:val="0"/>
        <w:keepLines w:val="0"/>
        <w:pageBreakBefore w:val="0"/>
        <w:kinsoku/>
        <w:wordWrap/>
        <w:overflowPunct/>
        <w:topLinePunct w:val="0"/>
        <w:autoSpaceDE/>
        <w:autoSpaceDN/>
        <w:bidi w:val="0"/>
        <w:adjustRightInd/>
        <w:snapToGrid/>
        <w:spacing w:before="0" w:beforeAutospacing="0" w:after="0" w:afterAutospacing="0" w:line="360" w:lineRule="auto"/>
        <w:ind w:left="0" w:leftChars="0" w:right="0" w:rightChars="0" w:firstLine="482" w:firstLineChars="0"/>
        <w:jc w:val="left"/>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 xml:space="preserve">、具有履行合同所必需的设备和专业技术能力； </w:t>
      </w:r>
    </w:p>
    <w:p w14:paraId="3F3E98A9">
      <w:pPr>
        <w:pStyle w:val="81"/>
        <w:keepNext w:val="0"/>
        <w:keepLines w:val="0"/>
        <w:pageBreakBefore w:val="0"/>
        <w:kinsoku/>
        <w:wordWrap/>
        <w:overflowPunct/>
        <w:topLinePunct w:val="0"/>
        <w:autoSpaceDE/>
        <w:autoSpaceDN/>
        <w:bidi w:val="0"/>
        <w:adjustRightInd/>
        <w:snapToGrid/>
        <w:spacing w:before="0" w:beforeAutospacing="0" w:after="0" w:afterAutospacing="0" w:line="360" w:lineRule="auto"/>
        <w:ind w:left="0" w:leftChars="0" w:right="0" w:rightChars="0" w:firstLine="482" w:firstLineChars="0"/>
        <w:jc w:val="left"/>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4</w:t>
      </w:r>
      <w:r>
        <w:rPr>
          <w:rFonts w:hint="eastAsia" w:ascii="宋体" w:hAnsi="宋体" w:eastAsia="宋体" w:cs="宋体"/>
          <w:color w:val="auto"/>
          <w:sz w:val="24"/>
        </w:rPr>
        <w:t xml:space="preserve">、有依法缴纳税收和社会保障资金的良好记录； </w:t>
      </w:r>
    </w:p>
    <w:p w14:paraId="5E3CF4E8">
      <w:pPr>
        <w:pStyle w:val="81"/>
        <w:keepNext w:val="0"/>
        <w:keepLines w:val="0"/>
        <w:pageBreakBefore w:val="0"/>
        <w:kinsoku/>
        <w:wordWrap/>
        <w:overflowPunct/>
        <w:topLinePunct w:val="0"/>
        <w:autoSpaceDE/>
        <w:autoSpaceDN/>
        <w:bidi w:val="0"/>
        <w:adjustRightInd/>
        <w:snapToGrid/>
        <w:spacing w:before="0" w:beforeAutospacing="0" w:after="0" w:afterAutospacing="0" w:line="360" w:lineRule="auto"/>
        <w:ind w:left="0" w:leftChars="0" w:right="0" w:rightChars="0" w:firstLine="482" w:firstLineChars="0"/>
        <w:jc w:val="left"/>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5</w:t>
      </w:r>
      <w:r>
        <w:rPr>
          <w:rFonts w:hint="eastAsia" w:ascii="宋体" w:hAnsi="宋体" w:eastAsia="宋体" w:cs="宋体"/>
          <w:color w:val="auto"/>
          <w:sz w:val="24"/>
        </w:rPr>
        <w:t xml:space="preserve">、参加政府采购活动前三年内，在经营活动中没有重大违法记录； </w:t>
      </w:r>
    </w:p>
    <w:p w14:paraId="23169867">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82" w:firstLineChars="0"/>
        <w:jc w:val="left"/>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6</w:t>
      </w:r>
      <w:r>
        <w:rPr>
          <w:rFonts w:hint="eastAsia" w:ascii="宋体" w:hAnsi="宋体" w:eastAsia="宋体" w:cs="宋体"/>
          <w:color w:val="auto"/>
          <w:sz w:val="24"/>
        </w:rPr>
        <w:t>、法律、行政法规规定的其他条件。</w:t>
      </w:r>
    </w:p>
    <w:p w14:paraId="35B01A19">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rPr>
      </w:pPr>
      <w:r>
        <w:rPr>
          <w:rFonts w:hint="eastAsia" w:ascii="宋体" w:hAnsi="宋体" w:eastAsia="宋体" w:cs="宋体"/>
          <w:sz w:val="24"/>
        </w:rPr>
        <w:t>二、我方在此声明，我方在参加本</w:t>
      </w:r>
      <w:r>
        <w:rPr>
          <w:rFonts w:hint="eastAsia" w:ascii="宋体" w:hAnsi="宋体" w:eastAsia="宋体" w:cs="宋体"/>
          <w:sz w:val="24"/>
          <w:shd w:val="clear" w:color="auto" w:fill="FFFFFF"/>
        </w:rPr>
        <w:t>次政府采购活动前三年内，在经营活动中没有以下重大违法记录：</w:t>
      </w:r>
    </w:p>
    <w:p w14:paraId="777F7F24">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rPr>
      </w:pPr>
      <w:r>
        <w:rPr>
          <w:rFonts w:hint="eastAsia" w:ascii="宋体" w:hAnsi="宋体" w:eastAsia="宋体" w:cs="宋体"/>
          <w:sz w:val="24"/>
          <w:shd w:val="clear" w:color="auto" w:fill="FFFFFF"/>
        </w:rPr>
        <w:t>1、我方因违法经营被追究过刑事责任；</w:t>
      </w:r>
    </w:p>
    <w:p w14:paraId="2933E6D1">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rPr>
      </w:pPr>
      <w:r>
        <w:rPr>
          <w:rFonts w:hint="eastAsia" w:ascii="宋体" w:hAnsi="宋体" w:eastAsia="宋体" w:cs="宋体"/>
          <w:sz w:val="24"/>
          <w:shd w:val="clear" w:color="auto" w:fill="FFFFFF"/>
        </w:rPr>
        <w:t>2、我方因违法经营被责令停产停业、吊销许可证或者执照；</w:t>
      </w:r>
    </w:p>
    <w:p w14:paraId="5D4DA98C">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rPr>
      </w:pPr>
      <w:r>
        <w:rPr>
          <w:rFonts w:hint="eastAsia" w:ascii="宋体" w:hAnsi="宋体" w:eastAsia="宋体" w:cs="宋体"/>
          <w:sz w:val="24"/>
          <w:shd w:val="clear" w:color="auto" w:fill="FFFFFF"/>
        </w:rPr>
        <w:t>3、我方因违法经营被处以较大数额罚款等行政处罚。</w:t>
      </w:r>
    </w:p>
    <w:p w14:paraId="45E6CFB5">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82" w:firstLineChars="0"/>
        <w:jc w:val="left"/>
        <w:textAlignment w:val="auto"/>
        <w:rPr>
          <w:rFonts w:hint="eastAsia" w:ascii="宋体" w:hAnsi="宋体" w:eastAsia="宋体" w:cs="宋体"/>
          <w:sz w:val="24"/>
        </w:rPr>
      </w:pPr>
      <w:r>
        <w:rPr>
          <w:rFonts w:hint="eastAsia" w:ascii="宋体" w:hAnsi="宋体" w:eastAsia="宋体" w:cs="宋体"/>
          <w:sz w:val="24"/>
          <w:shd w:val="clear" w:color="auto" w:fill="FFFFFF"/>
        </w:rPr>
        <w:t>我方保证上述承诺或声明内容的客观、真实、准确，并愿意承担我方因提供虚假承诺或声明谋骗取中标、成交所引起的一切法律后果。</w:t>
      </w:r>
    </w:p>
    <w:p w14:paraId="7FFD20EE">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shd w:val="clear" w:color="auto" w:fill="FFFFFF"/>
        </w:rPr>
        <w:t>特此声明！</w:t>
      </w:r>
    </w:p>
    <w:p w14:paraId="139443AD">
      <w:pPr>
        <w:snapToGrid w:val="0"/>
        <w:spacing w:line="480" w:lineRule="auto"/>
        <w:ind w:firstLine="480" w:firstLineChars="200"/>
        <w:rPr>
          <w:rFonts w:hint="eastAsia" w:ascii="宋体" w:hAnsi="宋体" w:eastAsia="宋体" w:cs="宋体"/>
          <w:sz w:val="24"/>
        </w:rPr>
      </w:pPr>
    </w:p>
    <w:p w14:paraId="50B2A9A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hd w:val="clear" w:color="auto" w:fill="FFFFFF"/>
        </w:rPr>
      </w:pPr>
      <w:r>
        <w:rPr>
          <w:rFonts w:hint="eastAsia" w:ascii="宋体" w:hAnsi="宋体" w:eastAsia="宋体" w:cs="宋体"/>
          <w:sz w:val="24"/>
          <w:shd w:val="clear" w:color="auto" w:fill="FFFFFF"/>
        </w:rPr>
        <w:t>供应商：</w:t>
      </w:r>
      <w:r>
        <w:rPr>
          <w:rFonts w:hint="eastAsia" w:ascii="宋体" w:hAnsi="宋体" w:eastAsia="宋体" w:cs="宋体"/>
          <w:sz w:val="24"/>
          <w:u w:val="single"/>
          <w:shd w:val="clear" w:color="auto" w:fill="FFFFFF"/>
        </w:rPr>
        <w:t>                    </w:t>
      </w:r>
      <w:r>
        <w:rPr>
          <w:rFonts w:hint="eastAsia" w:ascii="宋体" w:hAnsi="宋体" w:eastAsia="宋体" w:cs="宋体"/>
          <w:sz w:val="24"/>
          <w:shd w:val="clear" w:color="auto" w:fill="FFFFFF"/>
        </w:rPr>
        <w:t>（盖单位章）</w:t>
      </w:r>
    </w:p>
    <w:p w14:paraId="5C2259B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shd w:val="clear" w:color="auto" w:fill="FFFFFF"/>
        </w:rPr>
        <w:t>法定代表人或其委托代理人：</w:t>
      </w:r>
      <w:r>
        <w:rPr>
          <w:rFonts w:hint="eastAsia" w:ascii="宋体" w:hAnsi="宋体" w:eastAsia="宋体" w:cs="宋体"/>
          <w:sz w:val="24"/>
          <w:u w:val="single"/>
          <w:shd w:val="clear" w:color="auto" w:fill="FFFFFF"/>
        </w:rPr>
        <w:t>               </w:t>
      </w:r>
      <w:r>
        <w:rPr>
          <w:rFonts w:hint="eastAsia" w:ascii="宋体" w:hAnsi="宋体" w:eastAsia="宋体" w:cs="宋体"/>
          <w:sz w:val="24"/>
          <w:shd w:val="clear" w:color="auto" w:fill="FFFFFF"/>
        </w:rPr>
        <w:t>（签字）</w:t>
      </w:r>
    </w:p>
    <w:p w14:paraId="6786EAA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eastAsia="宋体" w:cs="宋体"/>
          <w:sz w:val="24"/>
          <w:shd w:val="clear" w:color="auto" w:fill="FFFFFF"/>
        </w:rPr>
        <w:sectPr>
          <w:type w:val="nextColumn"/>
          <w:pgSz w:w="11905" w:h="16838"/>
          <w:pgMar w:top="1440" w:right="1797" w:bottom="1440" w:left="1797" w:header="850" w:footer="850" w:gutter="0"/>
          <w:pgNumType w:fmt="decimal"/>
          <w:cols w:space="720" w:num="1"/>
        </w:sectPr>
      </w:pPr>
      <w:r>
        <w:rPr>
          <w:rFonts w:hint="eastAsia" w:ascii="宋体" w:hAnsi="宋体" w:eastAsia="宋体" w:cs="宋体"/>
          <w:sz w:val="24"/>
          <w:u w:val="single"/>
          <w:shd w:val="clear" w:color="auto" w:fill="FFFFFF"/>
        </w:rPr>
        <w:t>          </w:t>
      </w:r>
      <w:r>
        <w:rPr>
          <w:rFonts w:hint="eastAsia" w:ascii="宋体" w:hAnsi="宋体" w:eastAsia="宋体" w:cs="宋体"/>
          <w:sz w:val="24"/>
          <w:shd w:val="clear" w:color="auto" w:fill="FFFFFF"/>
        </w:rPr>
        <w:t>年</w:t>
      </w:r>
      <w:r>
        <w:rPr>
          <w:rFonts w:hint="eastAsia" w:ascii="宋体" w:hAnsi="宋体" w:eastAsia="宋体" w:cs="宋体"/>
          <w:sz w:val="24"/>
          <w:u w:val="single"/>
          <w:shd w:val="clear" w:color="auto" w:fill="FFFFFF"/>
        </w:rPr>
        <w:t>        </w:t>
      </w:r>
      <w:r>
        <w:rPr>
          <w:rFonts w:hint="eastAsia" w:ascii="宋体" w:hAnsi="宋体" w:eastAsia="宋体" w:cs="宋体"/>
          <w:sz w:val="24"/>
          <w:shd w:val="clear" w:color="auto" w:fill="FFFFFF"/>
        </w:rPr>
        <w:t>月</w:t>
      </w:r>
      <w:r>
        <w:rPr>
          <w:rFonts w:hint="eastAsia" w:ascii="宋体" w:hAnsi="宋体" w:eastAsia="宋体" w:cs="宋体"/>
          <w:sz w:val="24"/>
          <w:u w:val="single"/>
          <w:shd w:val="clear" w:color="auto" w:fill="FFFFFF"/>
        </w:rPr>
        <w:t>        </w:t>
      </w:r>
      <w:r>
        <w:rPr>
          <w:rFonts w:hint="eastAsia" w:ascii="宋体" w:hAnsi="宋体" w:eastAsia="宋体" w:cs="宋体"/>
          <w:sz w:val="24"/>
          <w:shd w:val="clear" w:color="auto" w:fill="FFFFFF"/>
        </w:rPr>
        <w:t>日</w:t>
      </w:r>
      <w:bookmarkStart w:id="801" w:name="_Toc25994"/>
      <w:bookmarkEnd w:id="801"/>
      <w:bookmarkStart w:id="802" w:name="_Toc27204"/>
      <w:bookmarkEnd w:id="802"/>
    </w:p>
    <w:p w14:paraId="7B1369A0">
      <w:pPr>
        <w:keepNext/>
        <w:keepLines/>
        <w:snapToGrid/>
        <w:spacing w:beforeAutospacing="0" w:afterAutospacing="0" w:line="560" w:lineRule="exact"/>
        <w:ind w:left="0" w:leftChars="0" w:right="0" w:rightChars="0" w:firstLine="482" w:firstLineChars="0"/>
        <w:jc w:val="center"/>
        <w:outlineLvl w:val="1"/>
        <w:rPr>
          <w:rFonts w:hint="eastAsia" w:ascii="宋体" w:hAnsi="宋体" w:eastAsia="宋体" w:cs="宋体"/>
          <w:b/>
          <w:sz w:val="28"/>
          <w:szCs w:val="28"/>
        </w:rPr>
      </w:pPr>
      <w:bookmarkStart w:id="803" w:name="_Toc5648"/>
      <w:bookmarkStart w:id="804" w:name="_Toc109897504"/>
      <w:bookmarkStart w:id="805" w:name="_Toc109900022"/>
      <w:bookmarkStart w:id="806" w:name="_Toc109900441"/>
      <w:r>
        <w:rPr>
          <w:rFonts w:hint="eastAsia" w:ascii="宋体" w:hAnsi="宋体" w:eastAsia="宋体" w:cs="宋体"/>
          <w:b/>
          <w:sz w:val="24"/>
          <w:szCs w:val="28"/>
        </w:rPr>
        <w:t>（三）资质证明文件</w:t>
      </w:r>
      <w:bookmarkEnd w:id="800"/>
      <w:bookmarkEnd w:id="803"/>
      <w:bookmarkEnd w:id="804"/>
      <w:bookmarkEnd w:id="805"/>
      <w:bookmarkEnd w:id="806"/>
    </w:p>
    <w:p w14:paraId="568EDCBE">
      <w:pPr>
        <w:spacing w:line="360" w:lineRule="auto"/>
        <w:ind w:firstLine="480" w:firstLineChars="200"/>
        <w:rPr>
          <w:rFonts w:hint="eastAsia" w:ascii="宋体" w:hAnsi="宋体" w:eastAsia="宋体" w:cs="宋体"/>
          <w:sz w:val="24"/>
        </w:rPr>
      </w:pPr>
      <w:bookmarkStart w:id="807" w:name="_Hlk46779191"/>
    </w:p>
    <w:bookmarkEnd w:id="807"/>
    <w:p w14:paraId="791EE12B">
      <w:pPr>
        <w:snapToGrid w:val="0"/>
        <w:spacing w:line="360" w:lineRule="auto"/>
        <w:ind w:firstLine="480" w:firstLineChars="200"/>
        <w:rPr>
          <w:rFonts w:hint="eastAsia" w:ascii="宋体" w:hAnsi="宋体" w:eastAsia="宋体" w:cs="宋体"/>
          <w:sz w:val="24"/>
        </w:rPr>
        <w:sectPr>
          <w:footerReference r:id="rId14" w:type="default"/>
          <w:type w:val="nextColumn"/>
          <w:pgSz w:w="11906" w:h="16838"/>
          <w:pgMar w:top="1440" w:right="1797" w:bottom="1440" w:left="1797" w:header="851" w:footer="992" w:gutter="0"/>
          <w:pgNumType w:fmt="decimal"/>
          <w:cols w:space="720" w:num="1"/>
          <w:docGrid w:linePitch="312" w:charSpace="0"/>
        </w:sectPr>
      </w:pPr>
      <w:r>
        <w:rPr>
          <w:rFonts w:hint="eastAsia" w:ascii="宋体" w:hAnsi="宋体" w:eastAsia="宋体" w:cs="宋体"/>
          <w:sz w:val="24"/>
        </w:rPr>
        <w:t>供应商须提供的资格证明文件详见第</w:t>
      </w:r>
      <w:r>
        <w:rPr>
          <w:rFonts w:hint="eastAsia" w:ascii="宋体" w:hAnsi="宋体" w:eastAsia="宋体" w:cs="宋体"/>
          <w:sz w:val="24"/>
          <w:lang w:val="en-US" w:eastAsia="zh-CN"/>
        </w:rPr>
        <w:t>五</w:t>
      </w:r>
      <w:r>
        <w:rPr>
          <w:rFonts w:hint="eastAsia" w:ascii="宋体" w:hAnsi="宋体" w:eastAsia="宋体" w:cs="宋体"/>
          <w:sz w:val="24"/>
        </w:rPr>
        <w:t>章《资格审查表》。</w:t>
      </w:r>
    </w:p>
    <w:p w14:paraId="186E534F">
      <w:pPr>
        <w:keepNext/>
        <w:keepLines/>
        <w:snapToGrid/>
        <w:spacing w:beforeAutospacing="0" w:afterAutospacing="0" w:line="560" w:lineRule="exact"/>
        <w:ind w:right="0" w:rightChars="0"/>
        <w:jc w:val="center"/>
        <w:outlineLvl w:val="1"/>
        <w:rPr>
          <w:rFonts w:hint="eastAsia" w:ascii="宋体" w:hAnsi="宋体" w:eastAsia="宋体" w:cs="宋体"/>
          <w:b/>
          <w:sz w:val="28"/>
          <w:szCs w:val="28"/>
        </w:rPr>
      </w:pPr>
      <w:bookmarkStart w:id="808" w:name="_Toc18419"/>
      <w:bookmarkStart w:id="809" w:name="_Toc56708583"/>
      <w:bookmarkStart w:id="810" w:name="_Toc109900442"/>
      <w:bookmarkStart w:id="811" w:name="_Toc109900023"/>
      <w:bookmarkStart w:id="812" w:name="_Toc109897505"/>
      <w:r>
        <w:rPr>
          <w:rFonts w:hint="eastAsia" w:ascii="宋体" w:hAnsi="宋体" w:eastAsia="宋体" w:cs="宋体"/>
          <w:b/>
          <w:sz w:val="24"/>
          <w:szCs w:val="28"/>
        </w:rPr>
        <w:t>（四）业绩证明文件</w:t>
      </w:r>
      <w:bookmarkEnd w:id="808"/>
      <w:bookmarkEnd w:id="809"/>
      <w:bookmarkEnd w:id="810"/>
      <w:bookmarkEnd w:id="811"/>
      <w:bookmarkEnd w:id="812"/>
    </w:p>
    <w:p w14:paraId="03E319E9">
      <w:pPr>
        <w:spacing w:line="360" w:lineRule="auto"/>
        <w:rPr>
          <w:rFonts w:hint="eastAsia" w:ascii="宋体" w:hAnsi="宋体" w:eastAsia="宋体" w:cs="宋体"/>
          <w:sz w:val="24"/>
          <w:szCs w:val="24"/>
        </w:rPr>
      </w:pP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LINK Word.Document.8 "D:\\音乐厅\\4通用设备\\招标文件\\音乐厅空调设备招标文件v1.0.doc" "OLE_LINK8" \r  \* MERGEFORMAT </w:instrText>
      </w:r>
      <w:r>
        <w:rPr>
          <w:rFonts w:hint="eastAsia" w:ascii="宋体" w:hAnsi="宋体" w:eastAsia="宋体" w:cs="宋体"/>
          <w:bCs/>
          <w:sz w:val="24"/>
          <w:szCs w:val="24"/>
        </w:rPr>
        <w:fldChar w:fldCharType="separate"/>
      </w:r>
      <w:r>
        <w:rPr>
          <w:rFonts w:hint="eastAsia" w:ascii="宋体" w:hAnsi="宋体" w:eastAsia="宋体" w:cs="宋体"/>
          <w:sz w:val="24"/>
          <w:szCs w:val="24"/>
        </w:rPr>
        <w:t xml:space="preserve">项目名称：                                         </w:t>
      </w:r>
    </w:p>
    <w:p w14:paraId="235F58A2">
      <w:pPr>
        <w:spacing w:line="360" w:lineRule="auto"/>
        <w:rPr>
          <w:rFonts w:hint="eastAsia" w:ascii="宋体" w:hAnsi="宋体" w:eastAsia="宋体" w:cs="宋体"/>
          <w:bCs/>
          <w:sz w:val="24"/>
          <w:szCs w:val="24"/>
        </w:rPr>
      </w:pPr>
      <w:r>
        <w:rPr>
          <w:rFonts w:hint="eastAsia" w:ascii="宋体" w:hAnsi="宋体" w:eastAsia="宋体" w:cs="宋体"/>
          <w:sz w:val="24"/>
          <w:szCs w:val="24"/>
        </w:rPr>
        <w:t>项目编号：</w:t>
      </w:r>
      <w:r>
        <w:rPr>
          <w:rFonts w:hint="eastAsia" w:ascii="宋体" w:hAnsi="宋体" w:eastAsia="宋体" w:cs="宋体"/>
          <w:bCs/>
          <w:sz w:val="24"/>
          <w:szCs w:val="24"/>
        </w:rPr>
        <w:fldChar w:fldCharType="end"/>
      </w:r>
    </w:p>
    <w:tbl>
      <w:tblPr>
        <w:tblStyle w:val="88"/>
        <w:tblW w:w="82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1256"/>
        <w:gridCol w:w="1256"/>
        <w:gridCol w:w="1256"/>
        <w:gridCol w:w="1256"/>
        <w:gridCol w:w="1256"/>
        <w:gridCol w:w="1260"/>
      </w:tblGrid>
      <w:tr w14:paraId="07D02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9" w:type="dxa"/>
            <w:vAlign w:val="center"/>
          </w:tcPr>
          <w:p w14:paraId="2FDC0810">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序号</w:t>
            </w:r>
          </w:p>
        </w:tc>
        <w:tc>
          <w:tcPr>
            <w:tcW w:w="1256" w:type="dxa"/>
            <w:vAlign w:val="center"/>
          </w:tcPr>
          <w:p w14:paraId="02384683">
            <w:pPr>
              <w:spacing w:line="360" w:lineRule="auto"/>
              <w:rPr>
                <w:rFonts w:hint="eastAsia" w:ascii="宋体" w:hAnsi="宋体" w:eastAsia="宋体" w:cs="宋体"/>
                <w:sz w:val="24"/>
                <w:szCs w:val="24"/>
              </w:rPr>
            </w:pPr>
            <w:r>
              <w:rPr>
                <w:rFonts w:hint="eastAsia" w:ascii="宋体" w:hAnsi="宋体" w:eastAsia="宋体" w:cs="宋体"/>
                <w:sz w:val="24"/>
                <w:szCs w:val="24"/>
              </w:rPr>
              <w:t>完成时间</w:t>
            </w:r>
          </w:p>
        </w:tc>
        <w:tc>
          <w:tcPr>
            <w:tcW w:w="1256" w:type="dxa"/>
            <w:vAlign w:val="center"/>
          </w:tcPr>
          <w:p w14:paraId="25B8612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项目名称</w:t>
            </w:r>
          </w:p>
        </w:tc>
        <w:tc>
          <w:tcPr>
            <w:tcW w:w="1256" w:type="dxa"/>
            <w:vAlign w:val="center"/>
          </w:tcPr>
          <w:p w14:paraId="7B6F85A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服务内容</w:t>
            </w:r>
          </w:p>
        </w:tc>
        <w:tc>
          <w:tcPr>
            <w:tcW w:w="1256" w:type="dxa"/>
            <w:vAlign w:val="center"/>
          </w:tcPr>
          <w:p w14:paraId="467B94D1">
            <w:pPr>
              <w:spacing w:line="360" w:lineRule="auto"/>
              <w:jc w:val="center"/>
              <w:rPr>
                <w:rFonts w:hint="eastAsia" w:ascii="宋体" w:hAnsi="宋体" w:eastAsia="宋体" w:cs="宋体"/>
                <w:sz w:val="24"/>
                <w:szCs w:val="24"/>
              </w:rPr>
            </w:pPr>
            <w:r>
              <w:rPr>
                <w:rFonts w:hint="eastAsia" w:ascii="宋体" w:hAnsi="宋体" w:eastAsia="宋体" w:cs="宋体"/>
                <w:sz w:val="24"/>
                <w:szCs w:val="24"/>
              </w:rPr>
              <w:t>甲方名称</w:t>
            </w:r>
          </w:p>
        </w:tc>
        <w:tc>
          <w:tcPr>
            <w:tcW w:w="1256" w:type="dxa"/>
            <w:vAlign w:val="center"/>
          </w:tcPr>
          <w:p w14:paraId="626054DC">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联系人</w:t>
            </w:r>
          </w:p>
        </w:tc>
        <w:tc>
          <w:tcPr>
            <w:tcW w:w="1260" w:type="dxa"/>
            <w:vAlign w:val="center"/>
          </w:tcPr>
          <w:p w14:paraId="4F789D60">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联系电话</w:t>
            </w:r>
          </w:p>
        </w:tc>
      </w:tr>
      <w:tr w14:paraId="40593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9" w:type="dxa"/>
            <w:vAlign w:val="center"/>
          </w:tcPr>
          <w:p w14:paraId="6196F6B8">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1256" w:type="dxa"/>
            <w:vAlign w:val="center"/>
          </w:tcPr>
          <w:p w14:paraId="593BEDB7">
            <w:pPr>
              <w:spacing w:line="360" w:lineRule="auto"/>
              <w:rPr>
                <w:rFonts w:hint="eastAsia" w:ascii="宋体" w:hAnsi="宋体" w:eastAsia="宋体" w:cs="宋体"/>
                <w:sz w:val="24"/>
                <w:szCs w:val="24"/>
              </w:rPr>
            </w:pPr>
          </w:p>
        </w:tc>
        <w:tc>
          <w:tcPr>
            <w:tcW w:w="1256" w:type="dxa"/>
            <w:vAlign w:val="center"/>
          </w:tcPr>
          <w:p w14:paraId="63AB17C6">
            <w:pPr>
              <w:spacing w:line="360" w:lineRule="auto"/>
              <w:rPr>
                <w:rFonts w:hint="eastAsia" w:ascii="宋体" w:hAnsi="宋体" w:eastAsia="宋体" w:cs="宋体"/>
                <w:sz w:val="24"/>
                <w:szCs w:val="24"/>
              </w:rPr>
            </w:pPr>
          </w:p>
        </w:tc>
        <w:tc>
          <w:tcPr>
            <w:tcW w:w="1256" w:type="dxa"/>
            <w:vAlign w:val="center"/>
          </w:tcPr>
          <w:p w14:paraId="50FC41EF">
            <w:pPr>
              <w:spacing w:line="360" w:lineRule="auto"/>
              <w:rPr>
                <w:rFonts w:hint="eastAsia" w:ascii="宋体" w:hAnsi="宋体" w:eastAsia="宋体" w:cs="宋体"/>
                <w:sz w:val="24"/>
                <w:szCs w:val="24"/>
              </w:rPr>
            </w:pPr>
          </w:p>
        </w:tc>
        <w:tc>
          <w:tcPr>
            <w:tcW w:w="1256" w:type="dxa"/>
            <w:vAlign w:val="center"/>
          </w:tcPr>
          <w:p w14:paraId="23EDC1FD">
            <w:pPr>
              <w:spacing w:line="360" w:lineRule="auto"/>
              <w:rPr>
                <w:rFonts w:hint="eastAsia" w:ascii="宋体" w:hAnsi="宋体" w:eastAsia="宋体" w:cs="宋体"/>
                <w:sz w:val="24"/>
                <w:szCs w:val="24"/>
              </w:rPr>
            </w:pPr>
          </w:p>
        </w:tc>
        <w:tc>
          <w:tcPr>
            <w:tcW w:w="1256" w:type="dxa"/>
            <w:vAlign w:val="center"/>
          </w:tcPr>
          <w:p w14:paraId="5C7539EC">
            <w:pPr>
              <w:spacing w:line="360" w:lineRule="auto"/>
              <w:rPr>
                <w:rFonts w:hint="eastAsia" w:ascii="宋体" w:hAnsi="宋体" w:eastAsia="宋体" w:cs="宋体"/>
                <w:sz w:val="24"/>
                <w:szCs w:val="24"/>
              </w:rPr>
            </w:pPr>
          </w:p>
        </w:tc>
        <w:tc>
          <w:tcPr>
            <w:tcW w:w="1260" w:type="dxa"/>
            <w:vAlign w:val="center"/>
          </w:tcPr>
          <w:p w14:paraId="7428D700">
            <w:pPr>
              <w:spacing w:line="360" w:lineRule="auto"/>
              <w:rPr>
                <w:rFonts w:hint="eastAsia" w:ascii="宋体" w:hAnsi="宋体" w:eastAsia="宋体" w:cs="宋体"/>
                <w:sz w:val="24"/>
                <w:szCs w:val="24"/>
              </w:rPr>
            </w:pPr>
          </w:p>
        </w:tc>
      </w:tr>
      <w:tr w14:paraId="30DC0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9" w:type="dxa"/>
            <w:vAlign w:val="center"/>
          </w:tcPr>
          <w:p w14:paraId="5403677C">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1256" w:type="dxa"/>
            <w:vAlign w:val="center"/>
          </w:tcPr>
          <w:p w14:paraId="4C63BC4F">
            <w:pPr>
              <w:spacing w:line="360" w:lineRule="auto"/>
              <w:rPr>
                <w:rFonts w:hint="eastAsia" w:ascii="宋体" w:hAnsi="宋体" w:eastAsia="宋体" w:cs="宋体"/>
                <w:sz w:val="24"/>
                <w:szCs w:val="24"/>
              </w:rPr>
            </w:pPr>
          </w:p>
        </w:tc>
        <w:tc>
          <w:tcPr>
            <w:tcW w:w="1256" w:type="dxa"/>
            <w:vAlign w:val="center"/>
          </w:tcPr>
          <w:p w14:paraId="6AF2C871">
            <w:pPr>
              <w:spacing w:line="360" w:lineRule="auto"/>
              <w:rPr>
                <w:rFonts w:hint="eastAsia" w:ascii="宋体" w:hAnsi="宋体" w:eastAsia="宋体" w:cs="宋体"/>
                <w:sz w:val="24"/>
                <w:szCs w:val="24"/>
              </w:rPr>
            </w:pPr>
          </w:p>
        </w:tc>
        <w:tc>
          <w:tcPr>
            <w:tcW w:w="1256" w:type="dxa"/>
            <w:vAlign w:val="center"/>
          </w:tcPr>
          <w:p w14:paraId="707EC5F2">
            <w:pPr>
              <w:spacing w:line="360" w:lineRule="auto"/>
              <w:rPr>
                <w:rFonts w:hint="eastAsia" w:ascii="宋体" w:hAnsi="宋体" w:eastAsia="宋体" w:cs="宋体"/>
                <w:sz w:val="24"/>
                <w:szCs w:val="24"/>
              </w:rPr>
            </w:pPr>
          </w:p>
        </w:tc>
        <w:tc>
          <w:tcPr>
            <w:tcW w:w="1256" w:type="dxa"/>
            <w:vAlign w:val="center"/>
          </w:tcPr>
          <w:p w14:paraId="7E8EF0E7">
            <w:pPr>
              <w:spacing w:line="360" w:lineRule="auto"/>
              <w:rPr>
                <w:rFonts w:hint="eastAsia" w:ascii="宋体" w:hAnsi="宋体" w:eastAsia="宋体" w:cs="宋体"/>
                <w:sz w:val="24"/>
                <w:szCs w:val="24"/>
              </w:rPr>
            </w:pPr>
          </w:p>
        </w:tc>
        <w:tc>
          <w:tcPr>
            <w:tcW w:w="1256" w:type="dxa"/>
            <w:vAlign w:val="center"/>
          </w:tcPr>
          <w:p w14:paraId="7E6F4534">
            <w:pPr>
              <w:spacing w:line="360" w:lineRule="auto"/>
              <w:rPr>
                <w:rFonts w:hint="eastAsia" w:ascii="宋体" w:hAnsi="宋体" w:eastAsia="宋体" w:cs="宋体"/>
                <w:sz w:val="24"/>
                <w:szCs w:val="24"/>
              </w:rPr>
            </w:pPr>
          </w:p>
        </w:tc>
        <w:tc>
          <w:tcPr>
            <w:tcW w:w="1260" w:type="dxa"/>
            <w:vAlign w:val="center"/>
          </w:tcPr>
          <w:p w14:paraId="75D7A601">
            <w:pPr>
              <w:spacing w:line="360" w:lineRule="auto"/>
              <w:rPr>
                <w:rFonts w:hint="eastAsia" w:ascii="宋体" w:hAnsi="宋体" w:eastAsia="宋体" w:cs="宋体"/>
                <w:sz w:val="24"/>
                <w:szCs w:val="24"/>
              </w:rPr>
            </w:pPr>
          </w:p>
        </w:tc>
      </w:tr>
      <w:tr w14:paraId="163DB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9" w:type="dxa"/>
            <w:vAlign w:val="center"/>
          </w:tcPr>
          <w:p w14:paraId="2850B1AA">
            <w:pPr>
              <w:spacing w:line="36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1256" w:type="dxa"/>
            <w:vAlign w:val="center"/>
          </w:tcPr>
          <w:p w14:paraId="040542FE">
            <w:pPr>
              <w:spacing w:line="360" w:lineRule="auto"/>
              <w:rPr>
                <w:rFonts w:hint="eastAsia" w:ascii="宋体" w:hAnsi="宋体" w:eastAsia="宋体" w:cs="宋体"/>
                <w:sz w:val="24"/>
                <w:szCs w:val="24"/>
              </w:rPr>
            </w:pPr>
          </w:p>
        </w:tc>
        <w:tc>
          <w:tcPr>
            <w:tcW w:w="1256" w:type="dxa"/>
            <w:vAlign w:val="center"/>
          </w:tcPr>
          <w:p w14:paraId="447AD0E2">
            <w:pPr>
              <w:spacing w:line="360" w:lineRule="auto"/>
              <w:rPr>
                <w:rFonts w:hint="eastAsia" w:ascii="宋体" w:hAnsi="宋体" w:eastAsia="宋体" w:cs="宋体"/>
                <w:sz w:val="24"/>
                <w:szCs w:val="24"/>
              </w:rPr>
            </w:pPr>
          </w:p>
        </w:tc>
        <w:tc>
          <w:tcPr>
            <w:tcW w:w="1256" w:type="dxa"/>
            <w:vAlign w:val="center"/>
          </w:tcPr>
          <w:p w14:paraId="4C313AC5">
            <w:pPr>
              <w:spacing w:line="360" w:lineRule="auto"/>
              <w:rPr>
                <w:rFonts w:hint="eastAsia" w:ascii="宋体" w:hAnsi="宋体" w:eastAsia="宋体" w:cs="宋体"/>
                <w:sz w:val="24"/>
                <w:szCs w:val="24"/>
              </w:rPr>
            </w:pPr>
          </w:p>
        </w:tc>
        <w:tc>
          <w:tcPr>
            <w:tcW w:w="1256" w:type="dxa"/>
            <w:vAlign w:val="center"/>
          </w:tcPr>
          <w:p w14:paraId="76856508">
            <w:pPr>
              <w:spacing w:line="360" w:lineRule="auto"/>
              <w:rPr>
                <w:rFonts w:hint="eastAsia" w:ascii="宋体" w:hAnsi="宋体" w:eastAsia="宋体" w:cs="宋体"/>
                <w:sz w:val="24"/>
                <w:szCs w:val="24"/>
              </w:rPr>
            </w:pPr>
          </w:p>
        </w:tc>
        <w:tc>
          <w:tcPr>
            <w:tcW w:w="1256" w:type="dxa"/>
            <w:vAlign w:val="center"/>
          </w:tcPr>
          <w:p w14:paraId="41B883A1">
            <w:pPr>
              <w:spacing w:line="360" w:lineRule="auto"/>
              <w:rPr>
                <w:rFonts w:hint="eastAsia" w:ascii="宋体" w:hAnsi="宋体" w:eastAsia="宋体" w:cs="宋体"/>
                <w:sz w:val="24"/>
                <w:szCs w:val="24"/>
              </w:rPr>
            </w:pPr>
          </w:p>
        </w:tc>
        <w:tc>
          <w:tcPr>
            <w:tcW w:w="1260" w:type="dxa"/>
            <w:vAlign w:val="center"/>
          </w:tcPr>
          <w:p w14:paraId="5D5C7DFB">
            <w:pPr>
              <w:spacing w:line="360" w:lineRule="auto"/>
              <w:rPr>
                <w:rFonts w:hint="eastAsia" w:ascii="宋体" w:hAnsi="宋体" w:eastAsia="宋体" w:cs="宋体"/>
                <w:sz w:val="24"/>
                <w:szCs w:val="24"/>
              </w:rPr>
            </w:pPr>
          </w:p>
        </w:tc>
      </w:tr>
      <w:tr w14:paraId="42269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9" w:type="dxa"/>
            <w:vAlign w:val="center"/>
          </w:tcPr>
          <w:p w14:paraId="4E6DB16C">
            <w:pPr>
              <w:spacing w:line="360"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1256" w:type="dxa"/>
            <w:vAlign w:val="center"/>
          </w:tcPr>
          <w:p w14:paraId="037255A6">
            <w:pPr>
              <w:spacing w:line="360" w:lineRule="auto"/>
              <w:rPr>
                <w:rFonts w:hint="eastAsia" w:ascii="宋体" w:hAnsi="宋体" w:eastAsia="宋体" w:cs="宋体"/>
                <w:sz w:val="24"/>
                <w:szCs w:val="24"/>
              </w:rPr>
            </w:pPr>
          </w:p>
        </w:tc>
        <w:tc>
          <w:tcPr>
            <w:tcW w:w="1256" w:type="dxa"/>
            <w:vAlign w:val="center"/>
          </w:tcPr>
          <w:p w14:paraId="54629889">
            <w:pPr>
              <w:spacing w:line="360" w:lineRule="auto"/>
              <w:rPr>
                <w:rFonts w:hint="eastAsia" w:ascii="宋体" w:hAnsi="宋体" w:eastAsia="宋体" w:cs="宋体"/>
                <w:sz w:val="24"/>
                <w:szCs w:val="24"/>
              </w:rPr>
            </w:pPr>
          </w:p>
        </w:tc>
        <w:tc>
          <w:tcPr>
            <w:tcW w:w="1256" w:type="dxa"/>
            <w:vAlign w:val="center"/>
          </w:tcPr>
          <w:p w14:paraId="25556005">
            <w:pPr>
              <w:spacing w:line="360" w:lineRule="auto"/>
              <w:rPr>
                <w:rFonts w:hint="eastAsia" w:ascii="宋体" w:hAnsi="宋体" w:eastAsia="宋体" w:cs="宋体"/>
                <w:sz w:val="24"/>
                <w:szCs w:val="24"/>
              </w:rPr>
            </w:pPr>
          </w:p>
        </w:tc>
        <w:tc>
          <w:tcPr>
            <w:tcW w:w="1256" w:type="dxa"/>
            <w:vAlign w:val="center"/>
          </w:tcPr>
          <w:p w14:paraId="4040143E">
            <w:pPr>
              <w:spacing w:line="360" w:lineRule="auto"/>
              <w:rPr>
                <w:rFonts w:hint="eastAsia" w:ascii="宋体" w:hAnsi="宋体" w:eastAsia="宋体" w:cs="宋体"/>
                <w:sz w:val="24"/>
                <w:szCs w:val="24"/>
              </w:rPr>
            </w:pPr>
          </w:p>
        </w:tc>
        <w:tc>
          <w:tcPr>
            <w:tcW w:w="1256" w:type="dxa"/>
            <w:vAlign w:val="center"/>
          </w:tcPr>
          <w:p w14:paraId="178A50FD">
            <w:pPr>
              <w:spacing w:line="360" w:lineRule="auto"/>
              <w:rPr>
                <w:rFonts w:hint="eastAsia" w:ascii="宋体" w:hAnsi="宋体" w:eastAsia="宋体" w:cs="宋体"/>
                <w:sz w:val="24"/>
                <w:szCs w:val="24"/>
              </w:rPr>
            </w:pPr>
          </w:p>
        </w:tc>
        <w:tc>
          <w:tcPr>
            <w:tcW w:w="1260" w:type="dxa"/>
            <w:vAlign w:val="center"/>
          </w:tcPr>
          <w:p w14:paraId="60C6BA3B">
            <w:pPr>
              <w:spacing w:line="360" w:lineRule="auto"/>
              <w:rPr>
                <w:rFonts w:hint="eastAsia" w:ascii="宋体" w:hAnsi="宋体" w:eastAsia="宋体" w:cs="宋体"/>
                <w:sz w:val="24"/>
                <w:szCs w:val="24"/>
              </w:rPr>
            </w:pPr>
          </w:p>
        </w:tc>
      </w:tr>
      <w:tr w14:paraId="371E6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9" w:type="dxa"/>
            <w:vAlign w:val="center"/>
          </w:tcPr>
          <w:p w14:paraId="47A1B927">
            <w:pPr>
              <w:spacing w:line="360" w:lineRule="auto"/>
              <w:jc w:val="center"/>
              <w:rPr>
                <w:rFonts w:hint="eastAsia" w:ascii="宋体" w:hAnsi="宋体" w:eastAsia="宋体" w:cs="宋体"/>
                <w:sz w:val="24"/>
                <w:szCs w:val="24"/>
              </w:rPr>
            </w:pPr>
            <w:r>
              <w:rPr>
                <w:rFonts w:hint="eastAsia" w:ascii="宋体" w:hAnsi="宋体" w:eastAsia="宋体" w:cs="宋体"/>
                <w:sz w:val="24"/>
                <w:szCs w:val="24"/>
              </w:rPr>
              <w:t>5</w:t>
            </w:r>
          </w:p>
        </w:tc>
        <w:tc>
          <w:tcPr>
            <w:tcW w:w="1256" w:type="dxa"/>
            <w:vAlign w:val="center"/>
          </w:tcPr>
          <w:p w14:paraId="13460A20">
            <w:pPr>
              <w:spacing w:line="360" w:lineRule="auto"/>
              <w:rPr>
                <w:rFonts w:hint="eastAsia" w:ascii="宋体" w:hAnsi="宋体" w:eastAsia="宋体" w:cs="宋体"/>
                <w:sz w:val="24"/>
                <w:szCs w:val="24"/>
              </w:rPr>
            </w:pPr>
          </w:p>
        </w:tc>
        <w:tc>
          <w:tcPr>
            <w:tcW w:w="1256" w:type="dxa"/>
            <w:vAlign w:val="center"/>
          </w:tcPr>
          <w:p w14:paraId="2A75B112">
            <w:pPr>
              <w:spacing w:line="360" w:lineRule="auto"/>
              <w:rPr>
                <w:rFonts w:hint="eastAsia" w:ascii="宋体" w:hAnsi="宋体" w:eastAsia="宋体" w:cs="宋体"/>
                <w:sz w:val="24"/>
                <w:szCs w:val="24"/>
              </w:rPr>
            </w:pPr>
          </w:p>
        </w:tc>
        <w:tc>
          <w:tcPr>
            <w:tcW w:w="1256" w:type="dxa"/>
            <w:vAlign w:val="center"/>
          </w:tcPr>
          <w:p w14:paraId="724B0141">
            <w:pPr>
              <w:spacing w:line="360" w:lineRule="auto"/>
              <w:rPr>
                <w:rFonts w:hint="eastAsia" w:ascii="宋体" w:hAnsi="宋体" w:eastAsia="宋体" w:cs="宋体"/>
                <w:sz w:val="24"/>
                <w:szCs w:val="24"/>
              </w:rPr>
            </w:pPr>
          </w:p>
        </w:tc>
        <w:tc>
          <w:tcPr>
            <w:tcW w:w="1256" w:type="dxa"/>
            <w:vAlign w:val="center"/>
          </w:tcPr>
          <w:p w14:paraId="4CA69567">
            <w:pPr>
              <w:spacing w:line="360" w:lineRule="auto"/>
              <w:rPr>
                <w:rFonts w:hint="eastAsia" w:ascii="宋体" w:hAnsi="宋体" w:eastAsia="宋体" w:cs="宋体"/>
                <w:sz w:val="24"/>
                <w:szCs w:val="24"/>
              </w:rPr>
            </w:pPr>
          </w:p>
        </w:tc>
        <w:tc>
          <w:tcPr>
            <w:tcW w:w="1256" w:type="dxa"/>
            <w:vAlign w:val="center"/>
          </w:tcPr>
          <w:p w14:paraId="28088C39">
            <w:pPr>
              <w:spacing w:line="360" w:lineRule="auto"/>
              <w:rPr>
                <w:rFonts w:hint="eastAsia" w:ascii="宋体" w:hAnsi="宋体" w:eastAsia="宋体" w:cs="宋体"/>
                <w:sz w:val="24"/>
                <w:szCs w:val="24"/>
              </w:rPr>
            </w:pPr>
          </w:p>
        </w:tc>
        <w:tc>
          <w:tcPr>
            <w:tcW w:w="1260" w:type="dxa"/>
            <w:vAlign w:val="center"/>
          </w:tcPr>
          <w:p w14:paraId="56016F18">
            <w:pPr>
              <w:spacing w:line="360" w:lineRule="auto"/>
              <w:rPr>
                <w:rFonts w:hint="eastAsia" w:ascii="宋体" w:hAnsi="宋体" w:eastAsia="宋体" w:cs="宋体"/>
                <w:sz w:val="24"/>
                <w:szCs w:val="24"/>
              </w:rPr>
            </w:pPr>
          </w:p>
        </w:tc>
      </w:tr>
      <w:tr w14:paraId="66CFF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9" w:type="dxa"/>
            <w:vAlign w:val="center"/>
          </w:tcPr>
          <w:p w14:paraId="4DE128E1">
            <w:pPr>
              <w:spacing w:line="360" w:lineRule="auto"/>
              <w:jc w:val="center"/>
              <w:rPr>
                <w:rFonts w:hint="eastAsia" w:ascii="宋体" w:hAnsi="宋体" w:eastAsia="宋体" w:cs="宋体"/>
                <w:sz w:val="24"/>
                <w:szCs w:val="24"/>
              </w:rPr>
            </w:pPr>
            <w:r>
              <w:rPr>
                <w:rFonts w:hint="eastAsia" w:ascii="宋体" w:hAnsi="宋体" w:eastAsia="宋体" w:cs="宋体"/>
                <w:sz w:val="24"/>
                <w:szCs w:val="24"/>
              </w:rPr>
              <w:t>6</w:t>
            </w:r>
          </w:p>
        </w:tc>
        <w:tc>
          <w:tcPr>
            <w:tcW w:w="1256" w:type="dxa"/>
            <w:vAlign w:val="center"/>
          </w:tcPr>
          <w:p w14:paraId="16A33743">
            <w:pPr>
              <w:spacing w:line="360" w:lineRule="auto"/>
              <w:rPr>
                <w:rFonts w:hint="eastAsia" w:ascii="宋体" w:hAnsi="宋体" w:eastAsia="宋体" w:cs="宋体"/>
                <w:sz w:val="24"/>
                <w:szCs w:val="24"/>
              </w:rPr>
            </w:pPr>
          </w:p>
        </w:tc>
        <w:tc>
          <w:tcPr>
            <w:tcW w:w="1256" w:type="dxa"/>
            <w:vAlign w:val="center"/>
          </w:tcPr>
          <w:p w14:paraId="63087135">
            <w:pPr>
              <w:spacing w:line="360" w:lineRule="auto"/>
              <w:rPr>
                <w:rFonts w:hint="eastAsia" w:ascii="宋体" w:hAnsi="宋体" w:eastAsia="宋体" w:cs="宋体"/>
                <w:sz w:val="24"/>
                <w:szCs w:val="24"/>
              </w:rPr>
            </w:pPr>
          </w:p>
        </w:tc>
        <w:tc>
          <w:tcPr>
            <w:tcW w:w="1256" w:type="dxa"/>
            <w:vAlign w:val="center"/>
          </w:tcPr>
          <w:p w14:paraId="0BD8A805">
            <w:pPr>
              <w:spacing w:line="360" w:lineRule="auto"/>
              <w:rPr>
                <w:rFonts w:hint="eastAsia" w:ascii="宋体" w:hAnsi="宋体" w:eastAsia="宋体" w:cs="宋体"/>
                <w:sz w:val="24"/>
                <w:szCs w:val="24"/>
              </w:rPr>
            </w:pPr>
          </w:p>
        </w:tc>
        <w:tc>
          <w:tcPr>
            <w:tcW w:w="1256" w:type="dxa"/>
            <w:vAlign w:val="center"/>
          </w:tcPr>
          <w:p w14:paraId="6903414C">
            <w:pPr>
              <w:spacing w:line="360" w:lineRule="auto"/>
              <w:rPr>
                <w:rFonts w:hint="eastAsia" w:ascii="宋体" w:hAnsi="宋体" w:eastAsia="宋体" w:cs="宋体"/>
                <w:sz w:val="24"/>
                <w:szCs w:val="24"/>
              </w:rPr>
            </w:pPr>
          </w:p>
        </w:tc>
        <w:tc>
          <w:tcPr>
            <w:tcW w:w="1256" w:type="dxa"/>
            <w:vAlign w:val="center"/>
          </w:tcPr>
          <w:p w14:paraId="7B686DEC">
            <w:pPr>
              <w:spacing w:line="360" w:lineRule="auto"/>
              <w:rPr>
                <w:rFonts w:hint="eastAsia" w:ascii="宋体" w:hAnsi="宋体" w:eastAsia="宋体" w:cs="宋体"/>
                <w:sz w:val="24"/>
                <w:szCs w:val="24"/>
              </w:rPr>
            </w:pPr>
          </w:p>
        </w:tc>
        <w:tc>
          <w:tcPr>
            <w:tcW w:w="1260" w:type="dxa"/>
            <w:vAlign w:val="center"/>
          </w:tcPr>
          <w:p w14:paraId="4969312D">
            <w:pPr>
              <w:spacing w:line="360" w:lineRule="auto"/>
              <w:rPr>
                <w:rFonts w:hint="eastAsia" w:ascii="宋体" w:hAnsi="宋体" w:eastAsia="宋体" w:cs="宋体"/>
                <w:sz w:val="24"/>
                <w:szCs w:val="24"/>
              </w:rPr>
            </w:pPr>
          </w:p>
        </w:tc>
      </w:tr>
      <w:tr w14:paraId="67BBA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9" w:type="dxa"/>
            <w:vAlign w:val="center"/>
          </w:tcPr>
          <w:p w14:paraId="4ECDDD0A">
            <w:pPr>
              <w:spacing w:line="360" w:lineRule="auto"/>
              <w:jc w:val="center"/>
              <w:rPr>
                <w:rFonts w:hint="eastAsia" w:ascii="宋体" w:hAnsi="宋体" w:eastAsia="宋体" w:cs="宋体"/>
                <w:sz w:val="24"/>
                <w:szCs w:val="24"/>
              </w:rPr>
            </w:pPr>
            <w:r>
              <w:rPr>
                <w:rFonts w:hint="eastAsia" w:ascii="宋体" w:hAnsi="宋体" w:eastAsia="宋体" w:cs="宋体"/>
                <w:sz w:val="24"/>
                <w:szCs w:val="24"/>
              </w:rPr>
              <w:t>7</w:t>
            </w:r>
          </w:p>
        </w:tc>
        <w:tc>
          <w:tcPr>
            <w:tcW w:w="1256" w:type="dxa"/>
            <w:vAlign w:val="center"/>
          </w:tcPr>
          <w:p w14:paraId="1C9529FC">
            <w:pPr>
              <w:spacing w:line="360" w:lineRule="auto"/>
              <w:rPr>
                <w:rFonts w:hint="eastAsia" w:ascii="宋体" w:hAnsi="宋体" w:eastAsia="宋体" w:cs="宋体"/>
                <w:sz w:val="24"/>
                <w:szCs w:val="24"/>
              </w:rPr>
            </w:pPr>
          </w:p>
        </w:tc>
        <w:tc>
          <w:tcPr>
            <w:tcW w:w="1256" w:type="dxa"/>
            <w:vAlign w:val="center"/>
          </w:tcPr>
          <w:p w14:paraId="272F5708">
            <w:pPr>
              <w:spacing w:line="360" w:lineRule="auto"/>
              <w:rPr>
                <w:rFonts w:hint="eastAsia" w:ascii="宋体" w:hAnsi="宋体" w:eastAsia="宋体" w:cs="宋体"/>
                <w:sz w:val="24"/>
                <w:szCs w:val="24"/>
              </w:rPr>
            </w:pPr>
          </w:p>
        </w:tc>
        <w:tc>
          <w:tcPr>
            <w:tcW w:w="1256" w:type="dxa"/>
            <w:vAlign w:val="center"/>
          </w:tcPr>
          <w:p w14:paraId="17F69312">
            <w:pPr>
              <w:spacing w:line="360" w:lineRule="auto"/>
              <w:rPr>
                <w:rFonts w:hint="eastAsia" w:ascii="宋体" w:hAnsi="宋体" w:eastAsia="宋体" w:cs="宋体"/>
                <w:sz w:val="24"/>
                <w:szCs w:val="24"/>
              </w:rPr>
            </w:pPr>
          </w:p>
        </w:tc>
        <w:tc>
          <w:tcPr>
            <w:tcW w:w="1256" w:type="dxa"/>
            <w:vAlign w:val="center"/>
          </w:tcPr>
          <w:p w14:paraId="46C00AB7">
            <w:pPr>
              <w:spacing w:line="360" w:lineRule="auto"/>
              <w:rPr>
                <w:rFonts w:hint="eastAsia" w:ascii="宋体" w:hAnsi="宋体" w:eastAsia="宋体" w:cs="宋体"/>
                <w:sz w:val="24"/>
                <w:szCs w:val="24"/>
              </w:rPr>
            </w:pPr>
          </w:p>
        </w:tc>
        <w:tc>
          <w:tcPr>
            <w:tcW w:w="1256" w:type="dxa"/>
            <w:vAlign w:val="center"/>
          </w:tcPr>
          <w:p w14:paraId="06D41FB6">
            <w:pPr>
              <w:spacing w:line="360" w:lineRule="auto"/>
              <w:rPr>
                <w:rFonts w:hint="eastAsia" w:ascii="宋体" w:hAnsi="宋体" w:eastAsia="宋体" w:cs="宋体"/>
                <w:sz w:val="24"/>
                <w:szCs w:val="24"/>
              </w:rPr>
            </w:pPr>
          </w:p>
        </w:tc>
        <w:tc>
          <w:tcPr>
            <w:tcW w:w="1260" w:type="dxa"/>
            <w:vAlign w:val="center"/>
          </w:tcPr>
          <w:p w14:paraId="26876AE0">
            <w:pPr>
              <w:spacing w:line="360" w:lineRule="auto"/>
              <w:rPr>
                <w:rFonts w:hint="eastAsia" w:ascii="宋体" w:hAnsi="宋体" w:eastAsia="宋体" w:cs="宋体"/>
                <w:sz w:val="24"/>
                <w:szCs w:val="24"/>
              </w:rPr>
            </w:pPr>
          </w:p>
        </w:tc>
      </w:tr>
      <w:tr w14:paraId="6C2FD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9" w:type="dxa"/>
            <w:vAlign w:val="center"/>
          </w:tcPr>
          <w:p w14:paraId="541830A7">
            <w:pPr>
              <w:spacing w:line="360" w:lineRule="auto"/>
              <w:jc w:val="center"/>
              <w:rPr>
                <w:rFonts w:hint="eastAsia" w:ascii="宋体" w:hAnsi="宋体" w:eastAsia="宋体" w:cs="宋体"/>
                <w:sz w:val="24"/>
                <w:szCs w:val="24"/>
              </w:rPr>
            </w:pPr>
            <w:r>
              <w:rPr>
                <w:rFonts w:hint="eastAsia" w:ascii="宋体" w:hAnsi="宋体" w:eastAsia="宋体" w:cs="宋体"/>
                <w:sz w:val="24"/>
                <w:szCs w:val="24"/>
              </w:rPr>
              <w:t>8</w:t>
            </w:r>
          </w:p>
        </w:tc>
        <w:tc>
          <w:tcPr>
            <w:tcW w:w="1256" w:type="dxa"/>
            <w:vAlign w:val="center"/>
          </w:tcPr>
          <w:p w14:paraId="30230DCE">
            <w:pPr>
              <w:spacing w:line="360" w:lineRule="auto"/>
              <w:rPr>
                <w:rFonts w:hint="eastAsia" w:ascii="宋体" w:hAnsi="宋体" w:eastAsia="宋体" w:cs="宋体"/>
                <w:sz w:val="24"/>
                <w:szCs w:val="24"/>
              </w:rPr>
            </w:pPr>
          </w:p>
        </w:tc>
        <w:tc>
          <w:tcPr>
            <w:tcW w:w="1256" w:type="dxa"/>
            <w:vAlign w:val="center"/>
          </w:tcPr>
          <w:p w14:paraId="3445AA0C">
            <w:pPr>
              <w:spacing w:line="360" w:lineRule="auto"/>
              <w:rPr>
                <w:rFonts w:hint="eastAsia" w:ascii="宋体" w:hAnsi="宋体" w:eastAsia="宋体" w:cs="宋体"/>
                <w:sz w:val="24"/>
                <w:szCs w:val="24"/>
              </w:rPr>
            </w:pPr>
          </w:p>
        </w:tc>
        <w:tc>
          <w:tcPr>
            <w:tcW w:w="1256" w:type="dxa"/>
            <w:vAlign w:val="center"/>
          </w:tcPr>
          <w:p w14:paraId="23061EED">
            <w:pPr>
              <w:spacing w:line="360" w:lineRule="auto"/>
              <w:rPr>
                <w:rFonts w:hint="eastAsia" w:ascii="宋体" w:hAnsi="宋体" w:eastAsia="宋体" w:cs="宋体"/>
                <w:sz w:val="24"/>
                <w:szCs w:val="24"/>
              </w:rPr>
            </w:pPr>
          </w:p>
        </w:tc>
        <w:tc>
          <w:tcPr>
            <w:tcW w:w="1256" w:type="dxa"/>
            <w:vAlign w:val="center"/>
          </w:tcPr>
          <w:p w14:paraId="51A083E7">
            <w:pPr>
              <w:spacing w:line="360" w:lineRule="auto"/>
              <w:rPr>
                <w:rFonts w:hint="eastAsia" w:ascii="宋体" w:hAnsi="宋体" w:eastAsia="宋体" w:cs="宋体"/>
                <w:sz w:val="24"/>
                <w:szCs w:val="24"/>
              </w:rPr>
            </w:pPr>
          </w:p>
        </w:tc>
        <w:tc>
          <w:tcPr>
            <w:tcW w:w="1256" w:type="dxa"/>
            <w:vAlign w:val="center"/>
          </w:tcPr>
          <w:p w14:paraId="148468CF">
            <w:pPr>
              <w:spacing w:line="360" w:lineRule="auto"/>
              <w:rPr>
                <w:rFonts w:hint="eastAsia" w:ascii="宋体" w:hAnsi="宋体" w:eastAsia="宋体" w:cs="宋体"/>
                <w:sz w:val="24"/>
                <w:szCs w:val="24"/>
              </w:rPr>
            </w:pPr>
          </w:p>
        </w:tc>
        <w:tc>
          <w:tcPr>
            <w:tcW w:w="1260" w:type="dxa"/>
            <w:vAlign w:val="center"/>
          </w:tcPr>
          <w:p w14:paraId="5E6BB75C">
            <w:pPr>
              <w:spacing w:line="360" w:lineRule="auto"/>
              <w:rPr>
                <w:rFonts w:hint="eastAsia" w:ascii="宋体" w:hAnsi="宋体" w:eastAsia="宋体" w:cs="宋体"/>
                <w:sz w:val="24"/>
                <w:szCs w:val="24"/>
              </w:rPr>
            </w:pPr>
          </w:p>
        </w:tc>
      </w:tr>
      <w:tr w14:paraId="4CDC2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9" w:type="dxa"/>
            <w:vAlign w:val="center"/>
          </w:tcPr>
          <w:p w14:paraId="142DB771">
            <w:pPr>
              <w:spacing w:line="360" w:lineRule="auto"/>
              <w:jc w:val="center"/>
              <w:rPr>
                <w:rFonts w:hint="eastAsia" w:ascii="宋体" w:hAnsi="宋体" w:eastAsia="宋体" w:cs="宋体"/>
                <w:sz w:val="24"/>
                <w:szCs w:val="24"/>
              </w:rPr>
            </w:pPr>
            <w:r>
              <w:rPr>
                <w:rFonts w:hint="eastAsia" w:ascii="宋体" w:hAnsi="宋体" w:eastAsia="宋体" w:cs="宋体"/>
                <w:sz w:val="24"/>
                <w:szCs w:val="24"/>
              </w:rPr>
              <w:t>9</w:t>
            </w:r>
          </w:p>
        </w:tc>
        <w:tc>
          <w:tcPr>
            <w:tcW w:w="1256" w:type="dxa"/>
            <w:vAlign w:val="center"/>
          </w:tcPr>
          <w:p w14:paraId="34FE5397">
            <w:pPr>
              <w:spacing w:line="360" w:lineRule="auto"/>
              <w:rPr>
                <w:rFonts w:hint="eastAsia" w:ascii="宋体" w:hAnsi="宋体" w:eastAsia="宋体" w:cs="宋体"/>
                <w:sz w:val="24"/>
                <w:szCs w:val="24"/>
              </w:rPr>
            </w:pPr>
          </w:p>
        </w:tc>
        <w:tc>
          <w:tcPr>
            <w:tcW w:w="1256" w:type="dxa"/>
            <w:vAlign w:val="center"/>
          </w:tcPr>
          <w:p w14:paraId="0F742BE2">
            <w:pPr>
              <w:spacing w:line="360" w:lineRule="auto"/>
              <w:rPr>
                <w:rFonts w:hint="eastAsia" w:ascii="宋体" w:hAnsi="宋体" w:eastAsia="宋体" w:cs="宋体"/>
                <w:sz w:val="24"/>
                <w:szCs w:val="24"/>
              </w:rPr>
            </w:pPr>
          </w:p>
        </w:tc>
        <w:tc>
          <w:tcPr>
            <w:tcW w:w="1256" w:type="dxa"/>
            <w:vAlign w:val="center"/>
          </w:tcPr>
          <w:p w14:paraId="67DE5739">
            <w:pPr>
              <w:spacing w:line="360" w:lineRule="auto"/>
              <w:rPr>
                <w:rFonts w:hint="eastAsia" w:ascii="宋体" w:hAnsi="宋体" w:eastAsia="宋体" w:cs="宋体"/>
                <w:sz w:val="24"/>
                <w:szCs w:val="24"/>
              </w:rPr>
            </w:pPr>
          </w:p>
        </w:tc>
        <w:tc>
          <w:tcPr>
            <w:tcW w:w="1256" w:type="dxa"/>
            <w:vAlign w:val="center"/>
          </w:tcPr>
          <w:p w14:paraId="2386EFA3">
            <w:pPr>
              <w:spacing w:line="360" w:lineRule="auto"/>
              <w:rPr>
                <w:rFonts w:hint="eastAsia" w:ascii="宋体" w:hAnsi="宋体" w:eastAsia="宋体" w:cs="宋体"/>
                <w:sz w:val="24"/>
                <w:szCs w:val="24"/>
              </w:rPr>
            </w:pPr>
          </w:p>
        </w:tc>
        <w:tc>
          <w:tcPr>
            <w:tcW w:w="1256" w:type="dxa"/>
            <w:vAlign w:val="center"/>
          </w:tcPr>
          <w:p w14:paraId="675675C7">
            <w:pPr>
              <w:spacing w:line="360" w:lineRule="auto"/>
              <w:rPr>
                <w:rFonts w:hint="eastAsia" w:ascii="宋体" w:hAnsi="宋体" w:eastAsia="宋体" w:cs="宋体"/>
                <w:sz w:val="24"/>
                <w:szCs w:val="24"/>
              </w:rPr>
            </w:pPr>
          </w:p>
        </w:tc>
        <w:tc>
          <w:tcPr>
            <w:tcW w:w="1260" w:type="dxa"/>
            <w:vAlign w:val="center"/>
          </w:tcPr>
          <w:p w14:paraId="4F5556EA">
            <w:pPr>
              <w:spacing w:line="360" w:lineRule="auto"/>
              <w:rPr>
                <w:rFonts w:hint="eastAsia" w:ascii="宋体" w:hAnsi="宋体" w:eastAsia="宋体" w:cs="宋体"/>
                <w:sz w:val="24"/>
                <w:szCs w:val="24"/>
              </w:rPr>
            </w:pPr>
          </w:p>
        </w:tc>
      </w:tr>
      <w:tr w14:paraId="6EB59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9" w:type="dxa"/>
            <w:vAlign w:val="center"/>
          </w:tcPr>
          <w:p w14:paraId="28F63030">
            <w:pPr>
              <w:spacing w:line="360" w:lineRule="auto"/>
              <w:jc w:val="center"/>
              <w:rPr>
                <w:rFonts w:hint="eastAsia" w:ascii="宋体" w:hAnsi="宋体" w:eastAsia="宋体" w:cs="宋体"/>
                <w:sz w:val="24"/>
                <w:szCs w:val="24"/>
              </w:rPr>
            </w:pPr>
            <w:r>
              <w:rPr>
                <w:rFonts w:hint="eastAsia" w:ascii="宋体" w:hAnsi="宋体" w:eastAsia="宋体" w:cs="宋体"/>
                <w:sz w:val="24"/>
                <w:szCs w:val="24"/>
              </w:rPr>
              <w:t>…</w:t>
            </w:r>
          </w:p>
        </w:tc>
        <w:tc>
          <w:tcPr>
            <w:tcW w:w="1256" w:type="dxa"/>
            <w:vAlign w:val="center"/>
          </w:tcPr>
          <w:p w14:paraId="254F679B">
            <w:pPr>
              <w:spacing w:line="360" w:lineRule="auto"/>
              <w:rPr>
                <w:rFonts w:hint="eastAsia" w:ascii="宋体" w:hAnsi="宋体" w:eastAsia="宋体" w:cs="宋体"/>
                <w:sz w:val="24"/>
                <w:szCs w:val="24"/>
              </w:rPr>
            </w:pPr>
          </w:p>
        </w:tc>
        <w:tc>
          <w:tcPr>
            <w:tcW w:w="1256" w:type="dxa"/>
            <w:vAlign w:val="center"/>
          </w:tcPr>
          <w:p w14:paraId="548EEE92">
            <w:pPr>
              <w:spacing w:line="360" w:lineRule="auto"/>
              <w:rPr>
                <w:rFonts w:hint="eastAsia" w:ascii="宋体" w:hAnsi="宋体" w:eastAsia="宋体" w:cs="宋体"/>
                <w:sz w:val="24"/>
                <w:szCs w:val="24"/>
              </w:rPr>
            </w:pPr>
          </w:p>
        </w:tc>
        <w:tc>
          <w:tcPr>
            <w:tcW w:w="1256" w:type="dxa"/>
            <w:vAlign w:val="center"/>
          </w:tcPr>
          <w:p w14:paraId="3B27B177">
            <w:pPr>
              <w:spacing w:line="360" w:lineRule="auto"/>
              <w:rPr>
                <w:rFonts w:hint="eastAsia" w:ascii="宋体" w:hAnsi="宋体" w:eastAsia="宋体" w:cs="宋体"/>
                <w:sz w:val="24"/>
                <w:szCs w:val="24"/>
              </w:rPr>
            </w:pPr>
          </w:p>
        </w:tc>
        <w:tc>
          <w:tcPr>
            <w:tcW w:w="1256" w:type="dxa"/>
            <w:vAlign w:val="center"/>
          </w:tcPr>
          <w:p w14:paraId="5ABC3F72">
            <w:pPr>
              <w:spacing w:line="360" w:lineRule="auto"/>
              <w:rPr>
                <w:rFonts w:hint="eastAsia" w:ascii="宋体" w:hAnsi="宋体" w:eastAsia="宋体" w:cs="宋体"/>
                <w:sz w:val="24"/>
                <w:szCs w:val="24"/>
              </w:rPr>
            </w:pPr>
          </w:p>
        </w:tc>
        <w:tc>
          <w:tcPr>
            <w:tcW w:w="1256" w:type="dxa"/>
            <w:vAlign w:val="center"/>
          </w:tcPr>
          <w:p w14:paraId="5CF10FB5">
            <w:pPr>
              <w:spacing w:line="360" w:lineRule="auto"/>
              <w:rPr>
                <w:rFonts w:hint="eastAsia" w:ascii="宋体" w:hAnsi="宋体" w:eastAsia="宋体" w:cs="宋体"/>
                <w:sz w:val="24"/>
                <w:szCs w:val="24"/>
              </w:rPr>
            </w:pPr>
          </w:p>
        </w:tc>
        <w:tc>
          <w:tcPr>
            <w:tcW w:w="1260" w:type="dxa"/>
            <w:vAlign w:val="center"/>
          </w:tcPr>
          <w:p w14:paraId="70D80D03">
            <w:pPr>
              <w:spacing w:line="360" w:lineRule="auto"/>
              <w:rPr>
                <w:rFonts w:hint="eastAsia" w:ascii="宋体" w:hAnsi="宋体" w:eastAsia="宋体" w:cs="宋体"/>
                <w:sz w:val="24"/>
                <w:szCs w:val="24"/>
              </w:rPr>
            </w:pPr>
          </w:p>
        </w:tc>
      </w:tr>
    </w:tbl>
    <w:p w14:paraId="4D6205DC">
      <w:pPr>
        <w:spacing w:line="360" w:lineRule="auto"/>
        <w:rPr>
          <w:rFonts w:hint="eastAsia" w:ascii="宋体" w:hAnsi="宋体" w:eastAsia="宋体" w:cs="宋体"/>
          <w:sz w:val="24"/>
          <w:szCs w:val="24"/>
        </w:rPr>
      </w:pPr>
      <w:r>
        <w:rPr>
          <w:rFonts w:hint="eastAsia" w:ascii="宋体" w:hAnsi="宋体" w:eastAsia="宋体" w:cs="宋体"/>
          <w:sz w:val="24"/>
          <w:szCs w:val="24"/>
        </w:rPr>
        <w:t>注：供应商须按上表提供相应的业绩证明资料。</w:t>
      </w:r>
    </w:p>
    <w:p w14:paraId="6E20CB96">
      <w:pPr>
        <w:widowControl/>
        <w:spacing w:before="100" w:beforeAutospacing="1" w:after="100" w:afterAutospacing="1"/>
        <w:rPr>
          <w:rFonts w:hint="eastAsia" w:ascii="宋体" w:hAnsi="宋体" w:eastAsia="宋体" w:cs="宋体"/>
          <w:sz w:val="24"/>
          <w:szCs w:val="24"/>
        </w:rPr>
      </w:pPr>
    </w:p>
    <w:p w14:paraId="3128A4F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供应商名称：</w:t>
      </w: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szCs w:val="24"/>
          <w:lang w:val="en-US" w:eastAsia="zh-CN"/>
        </w:rPr>
        <w:t>盖单位章</w:t>
      </w:r>
      <w:r>
        <w:rPr>
          <w:rFonts w:hint="eastAsia" w:ascii="宋体" w:hAnsi="宋体" w:eastAsia="宋体" w:cs="宋体"/>
          <w:sz w:val="24"/>
          <w:szCs w:val="24"/>
        </w:rPr>
        <w:t>）</w:t>
      </w:r>
    </w:p>
    <w:p w14:paraId="1E35130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法定代表人或授权代表：</w:t>
      </w:r>
      <w:r>
        <w:rPr>
          <w:rFonts w:hint="eastAsia" w:ascii="宋体" w:hAnsi="宋体" w:eastAsia="宋体" w:cs="宋体"/>
          <w:sz w:val="24"/>
          <w:szCs w:val="24"/>
          <w:u w:val="single"/>
        </w:rPr>
        <w:t xml:space="preserve">          </w:t>
      </w:r>
      <w:r>
        <w:rPr>
          <w:rFonts w:hint="eastAsia" w:ascii="宋体" w:hAnsi="宋体" w:eastAsia="宋体" w:cs="宋体"/>
          <w:sz w:val="24"/>
          <w:szCs w:val="24"/>
        </w:rPr>
        <w:t>（签字）</w:t>
      </w:r>
    </w:p>
    <w:p w14:paraId="096974D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日      期：    年   月   日</w:t>
      </w:r>
    </w:p>
    <w:p w14:paraId="71F4D50A">
      <w:pPr>
        <w:keepNext/>
        <w:keepLines/>
        <w:snapToGrid/>
        <w:spacing w:beforeAutospacing="0" w:afterAutospacing="0" w:line="560" w:lineRule="exact"/>
        <w:ind w:right="0" w:rightChars="0"/>
        <w:jc w:val="center"/>
        <w:outlineLvl w:val="1"/>
        <w:rPr>
          <w:rFonts w:hint="eastAsia" w:ascii="宋体" w:hAnsi="宋体" w:eastAsia="宋体" w:cs="宋体"/>
          <w:b/>
          <w:sz w:val="28"/>
          <w:szCs w:val="28"/>
        </w:rPr>
      </w:pPr>
      <w:r>
        <w:rPr>
          <w:rFonts w:hint="eastAsia" w:ascii="宋体" w:hAnsi="宋体" w:eastAsia="宋体" w:cs="宋体"/>
          <w:szCs w:val="21"/>
        </w:rPr>
        <w:br w:type="page"/>
      </w:r>
      <w:bookmarkStart w:id="813" w:name="_Toc56708584"/>
      <w:bookmarkStart w:id="814" w:name="_Toc109900443"/>
      <w:bookmarkStart w:id="815" w:name="_Toc109900024"/>
      <w:bookmarkStart w:id="816" w:name="_Toc15105"/>
      <w:bookmarkStart w:id="817" w:name="_Toc109897506"/>
      <w:r>
        <w:rPr>
          <w:rFonts w:hint="eastAsia" w:ascii="宋体" w:hAnsi="宋体" w:eastAsia="宋体" w:cs="宋体"/>
          <w:b/>
          <w:sz w:val="24"/>
          <w:szCs w:val="28"/>
        </w:rPr>
        <w:t>（五）信誉、荣誉状况证明文件</w:t>
      </w:r>
      <w:bookmarkEnd w:id="813"/>
      <w:bookmarkEnd w:id="814"/>
      <w:bookmarkEnd w:id="815"/>
      <w:bookmarkEnd w:id="816"/>
      <w:bookmarkEnd w:id="817"/>
    </w:p>
    <w:p w14:paraId="522C0B5A">
      <w:pPr>
        <w:rPr>
          <w:rFonts w:hint="eastAsia" w:ascii="宋体" w:hAnsi="宋体" w:eastAsia="宋体" w:cs="宋体"/>
        </w:rPr>
      </w:pPr>
      <w:bookmarkStart w:id="818" w:name="_Toc6382"/>
      <w:bookmarkStart w:id="819" w:name="_Toc430813367"/>
    </w:p>
    <w:bookmarkEnd w:id="818"/>
    <w:bookmarkEnd w:id="819"/>
    <w:p w14:paraId="5B5259E3">
      <w:pPr>
        <w:spacing w:line="360" w:lineRule="auto"/>
        <w:ind w:firstLine="480" w:firstLineChars="200"/>
        <w:rPr>
          <w:rFonts w:hint="eastAsia" w:ascii="宋体" w:hAnsi="宋体" w:eastAsia="宋体" w:cs="宋体"/>
          <w:sz w:val="24"/>
        </w:rPr>
      </w:pPr>
      <w:r>
        <w:rPr>
          <w:rFonts w:hint="eastAsia" w:ascii="宋体" w:hAnsi="宋体" w:eastAsia="宋体" w:cs="宋体"/>
          <w:sz w:val="24"/>
        </w:rPr>
        <w:t>企业获得的荣誉证书、认证体系等。</w:t>
      </w:r>
    </w:p>
    <w:p w14:paraId="13029078">
      <w:pPr>
        <w:spacing w:line="360" w:lineRule="auto"/>
        <w:rPr>
          <w:rFonts w:hint="eastAsia" w:ascii="宋体" w:hAnsi="宋体" w:eastAsia="宋体" w:cs="宋体"/>
          <w:sz w:val="24"/>
        </w:rPr>
      </w:pPr>
      <w:r>
        <w:rPr>
          <w:rFonts w:hint="eastAsia" w:ascii="宋体" w:hAnsi="宋体" w:eastAsia="宋体" w:cs="宋体"/>
          <w:sz w:val="24"/>
        </w:rPr>
        <w:t xml:space="preserve"> </w:t>
      </w:r>
    </w:p>
    <w:p w14:paraId="1FD1A2A4">
      <w:pPr>
        <w:rPr>
          <w:rFonts w:hint="eastAsia" w:ascii="宋体" w:hAnsi="宋体" w:eastAsia="宋体" w:cs="宋体"/>
        </w:rPr>
      </w:pPr>
    </w:p>
    <w:p w14:paraId="2EB84505">
      <w:pPr>
        <w:spacing w:line="360" w:lineRule="auto"/>
        <w:rPr>
          <w:rFonts w:hint="eastAsia" w:ascii="宋体" w:hAnsi="宋体" w:eastAsia="宋体" w:cs="宋体"/>
          <w:bCs/>
          <w:szCs w:val="21"/>
        </w:rPr>
      </w:pPr>
      <w:r>
        <w:rPr>
          <w:rFonts w:hint="eastAsia" w:ascii="宋体" w:hAnsi="宋体" w:eastAsia="宋体" w:cs="宋体"/>
          <w:szCs w:val="21"/>
        </w:rPr>
        <w:br w:type="page"/>
      </w:r>
    </w:p>
    <w:p w14:paraId="0511F85F">
      <w:pPr>
        <w:keepNext/>
        <w:keepLines/>
        <w:snapToGrid/>
        <w:spacing w:beforeAutospacing="0" w:afterAutospacing="0" w:line="560" w:lineRule="exact"/>
        <w:ind w:right="0" w:rightChars="0"/>
        <w:jc w:val="center"/>
        <w:outlineLvl w:val="1"/>
        <w:rPr>
          <w:rFonts w:hint="eastAsia" w:ascii="宋体" w:hAnsi="宋体" w:eastAsia="宋体" w:cs="宋体"/>
          <w:b/>
          <w:sz w:val="28"/>
          <w:szCs w:val="28"/>
        </w:rPr>
      </w:pPr>
      <w:bookmarkStart w:id="820" w:name="_Toc26851"/>
      <w:bookmarkStart w:id="821" w:name="_Toc109900444"/>
      <w:bookmarkStart w:id="822" w:name="_Toc430813369"/>
      <w:bookmarkStart w:id="823" w:name="_Toc109897507"/>
      <w:bookmarkStart w:id="824" w:name="_Toc56708585"/>
      <w:bookmarkStart w:id="825" w:name="_Toc432367437"/>
      <w:bookmarkStart w:id="826" w:name="_Toc109900025"/>
      <w:r>
        <w:rPr>
          <w:rFonts w:hint="eastAsia" w:ascii="宋体" w:hAnsi="宋体" w:eastAsia="宋体" w:cs="宋体"/>
          <w:b/>
          <w:sz w:val="24"/>
          <w:szCs w:val="28"/>
        </w:rPr>
        <w:t>（六）商务偏离表</w:t>
      </w:r>
      <w:bookmarkEnd w:id="820"/>
      <w:bookmarkEnd w:id="821"/>
      <w:bookmarkEnd w:id="822"/>
      <w:bookmarkEnd w:id="823"/>
      <w:bookmarkEnd w:id="824"/>
      <w:bookmarkEnd w:id="825"/>
      <w:bookmarkEnd w:id="826"/>
    </w:p>
    <w:p w14:paraId="456A3A1E">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                                         </w:t>
      </w:r>
    </w:p>
    <w:p w14:paraId="39DACD26">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        </w:t>
      </w:r>
    </w:p>
    <w:tbl>
      <w:tblPr>
        <w:tblStyle w:val="88"/>
        <w:tblW w:w="89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020"/>
        <w:gridCol w:w="2717"/>
        <w:gridCol w:w="2446"/>
        <w:gridCol w:w="1027"/>
      </w:tblGrid>
      <w:tr w14:paraId="7B77A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06E385C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2020" w:type="dxa"/>
            <w:vAlign w:val="center"/>
          </w:tcPr>
          <w:p w14:paraId="0236FDA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磋商文件条款项</w:t>
            </w:r>
          </w:p>
        </w:tc>
        <w:tc>
          <w:tcPr>
            <w:tcW w:w="2717" w:type="dxa"/>
            <w:vAlign w:val="center"/>
          </w:tcPr>
          <w:p w14:paraId="1E7E915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磋商文件的商务条款</w:t>
            </w:r>
          </w:p>
        </w:tc>
        <w:tc>
          <w:tcPr>
            <w:tcW w:w="2446" w:type="dxa"/>
            <w:vAlign w:val="center"/>
          </w:tcPr>
          <w:p w14:paraId="39684AE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响应文件的商务条款</w:t>
            </w:r>
          </w:p>
        </w:tc>
        <w:tc>
          <w:tcPr>
            <w:tcW w:w="1027" w:type="dxa"/>
            <w:vAlign w:val="center"/>
          </w:tcPr>
          <w:p w14:paraId="65D3A32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说明</w:t>
            </w:r>
          </w:p>
        </w:tc>
      </w:tr>
      <w:tr w14:paraId="7C0E6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7DB2D68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020" w:type="dxa"/>
            <w:vAlign w:val="center"/>
          </w:tcPr>
          <w:p w14:paraId="39601B5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717" w:type="dxa"/>
            <w:vAlign w:val="center"/>
          </w:tcPr>
          <w:p w14:paraId="511D3B5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446" w:type="dxa"/>
            <w:vAlign w:val="center"/>
          </w:tcPr>
          <w:p w14:paraId="61E99FE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027" w:type="dxa"/>
            <w:vAlign w:val="center"/>
          </w:tcPr>
          <w:p w14:paraId="784FC1E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r>
      <w:tr w14:paraId="6F281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709" w:type="dxa"/>
            <w:vAlign w:val="center"/>
          </w:tcPr>
          <w:p w14:paraId="268E2DD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020" w:type="dxa"/>
            <w:vAlign w:val="center"/>
          </w:tcPr>
          <w:p w14:paraId="58D28BD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717" w:type="dxa"/>
            <w:vAlign w:val="center"/>
          </w:tcPr>
          <w:p w14:paraId="3194576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446" w:type="dxa"/>
            <w:vAlign w:val="center"/>
          </w:tcPr>
          <w:p w14:paraId="125FE7C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027" w:type="dxa"/>
            <w:vAlign w:val="center"/>
          </w:tcPr>
          <w:p w14:paraId="255B22C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r>
      <w:tr w14:paraId="05A25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2C1E5BF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020" w:type="dxa"/>
            <w:vAlign w:val="center"/>
          </w:tcPr>
          <w:p w14:paraId="35A2F79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717" w:type="dxa"/>
            <w:vAlign w:val="center"/>
          </w:tcPr>
          <w:p w14:paraId="53C357F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446" w:type="dxa"/>
            <w:vAlign w:val="center"/>
          </w:tcPr>
          <w:p w14:paraId="7892299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027" w:type="dxa"/>
            <w:vAlign w:val="center"/>
          </w:tcPr>
          <w:p w14:paraId="66D9715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r>
      <w:tr w14:paraId="3AA30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776530D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020" w:type="dxa"/>
            <w:vAlign w:val="center"/>
          </w:tcPr>
          <w:p w14:paraId="7724A7B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717" w:type="dxa"/>
            <w:vAlign w:val="center"/>
          </w:tcPr>
          <w:p w14:paraId="150E774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446" w:type="dxa"/>
            <w:vAlign w:val="center"/>
          </w:tcPr>
          <w:p w14:paraId="4C74947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027" w:type="dxa"/>
            <w:vAlign w:val="center"/>
          </w:tcPr>
          <w:p w14:paraId="2BA07B6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r>
      <w:tr w14:paraId="51662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497465C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020" w:type="dxa"/>
            <w:vAlign w:val="center"/>
          </w:tcPr>
          <w:p w14:paraId="40AEC0C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717" w:type="dxa"/>
            <w:vAlign w:val="center"/>
          </w:tcPr>
          <w:p w14:paraId="6E864DA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446" w:type="dxa"/>
            <w:vAlign w:val="center"/>
          </w:tcPr>
          <w:p w14:paraId="4E3484A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027" w:type="dxa"/>
            <w:vAlign w:val="center"/>
          </w:tcPr>
          <w:p w14:paraId="1B797BF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r>
      <w:tr w14:paraId="4AB9B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2CDD6F9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020" w:type="dxa"/>
            <w:vAlign w:val="center"/>
          </w:tcPr>
          <w:p w14:paraId="651C3D4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717" w:type="dxa"/>
            <w:vAlign w:val="center"/>
          </w:tcPr>
          <w:p w14:paraId="3C64189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446" w:type="dxa"/>
            <w:vAlign w:val="center"/>
          </w:tcPr>
          <w:p w14:paraId="029E452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027" w:type="dxa"/>
            <w:vAlign w:val="center"/>
          </w:tcPr>
          <w:p w14:paraId="0416000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r>
      <w:tr w14:paraId="7F9B4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2557387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020" w:type="dxa"/>
            <w:vAlign w:val="center"/>
          </w:tcPr>
          <w:p w14:paraId="207D6C7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717" w:type="dxa"/>
            <w:vAlign w:val="center"/>
          </w:tcPr>
          <w:p w14:paraId="7167BF6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446" w:type="dxa"/>
            <w:vAlign w:val="center"/>
          </w:tcPr>
          <w:p w14:paraId="6CB2F1D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027" w:type="dxa"/>
            <w:vAlign w:val="center"/>
          </w:tcPr>
          <w:p w14:paraId="20F6D81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r>
      <w:tr w14:paraId="0B12C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6011F2F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020" w:type="dxa"/>
            <w:vAlign w:val="center"/>
          </w:tcPr>
          <w:p w14:paraId="48AB971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717" w:type="dxa"/>
            <w:vAlign w:val="center"/>
          </w:tcPr>
          <w:p w14:paraId="0736D6B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446" w:type="dxa"/>
            <w:vAlign w:val="center"/>
          </w:tcPr>
          <w:p w14:paraId="6042B40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027" w:type="dxa"/>
            <w:vAlign w:val="center"/>
          </w:tcPr>
          <w:p w14:paraId="183174F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r>
      <w:tr w14:paraId="542C0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7134E3D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020" w:type="dxa"/>
            <w:vAlign w:val="center"/>
          </w:tcPr>
          <w:p w14:paraId="3B6BA2D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717" w:type="dxa"/>
            <w:vAlign w:val="center"/>
          </w:tcPr>
          <w:p w14:paraId="0AF234A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446" w:type="dxa"/>
            <w:vAlign w:val="center"/>
          </w:tcPr>
          <w:p w14:paraId="1469797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027" w:type="dxa"/>
            <w:vAlign w:val="center"/>
          </w:tcPr>
          <w:p w14:paraId="5296C93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r>
      <w:tr w14:paraId="77D9B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0251393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020" w:type="dxa"/>
            <w:vAlign w:val="center"/>
          </w:tcPr>
          <w:p w14:paraId="3DE518C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717" w:type="dxa"/>
            <w:vAlign w:val="center"/>
          </w:tcPr>
          <w:p w14:paraId="51FE05F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446" w:type="dxa"/>
            <w:vAlign w:val="center"/>
          </w:tcPr>
          <w:p w14:paraId="269667E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027" w:type="dxa"/>
            <w:vAlign w:val="center"/>
          </w:tcPr>
          <w:p w14:paraId="3ED69C8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r>
      <w:tr w14:paraId="095CC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16DF1E3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020" w:type="dxa"/>
            <w:vAlign w:val="center"/>
          </w:tcPr>
          <w:p w14:paraId="7F59F2E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717" w:type="dxa"/>
            <w:vAlign w:val="center"/>
          </w:tcPr>
          <w:p w14:paraId="4B00416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446" w:type="dxa"/>
            <w:vAlign w:val="center"/>
          </w:tcPr>
          <w:p w14:paraId="633F49E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027" w:type="dxa"/>
            <w:vAlign w:val="center"/>
          </w:tcPr>
          <w:p w14:paraId="7F17B6D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r>
      <w:tr w14:paraId="687F8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052E525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020" w:type="dxa"/>
            <w:vAlign w:val="center"/>
          </w:tcPr>
          <w:p w14:paraId="68AC499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717" w:type="dxa"/>
            <w:vAlign w:val="center"/>
          </w:tcPr>
          <w:p w14:paraId="48EB7AF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446" w:type="dxa"/>
            <w:vAlign w:val="center"/>
          </w:tcPr>
          <w:p w14:paraId="0B374E1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027" w:type="dxa"/>
            <w:vAlign w:val="center"/>
          </w:tcPr>
          <w:p w14:paraId="7F8DFB8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r>
      <w:tr w14:paraId="72EF5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0FCBE1C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020" w:type="dxa"/>
            <w:vAlign w:val="center"/>
          </w:tcPr>
          <w:p w14:paraId="62684D7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717" w:type="dxa"/>
            <w:vAlign w:val="center"/>
          </w:tcPr>
          <w:p w14:paraId="2012220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446" w:type="dxa"/>
            <w:vAlign w:val="center"/>
          </w:tcPr>
          <w:p w14:paraId="3AA4F14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027" w:type="dxa"/>
            <w:vAlign w:val="center"/>
          </w:tcPr>
          <w:p w14:paraId="05E2E79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r>
      <w:tr w14:paraId="58F0D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5422C4C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020" w:type="dxa"/>
            <w:vAlign w:val="center"/>
          </w:tcPr>
          <w:p w14:paraId="361DBCC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717" w:type="dxa"/>
            <w:vAlign w:val="center"/>
          </w:tcPr>
          <w:p w14:paraId="2E483D7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446" w:type="dxa"/>
            <w:vAlign w:val="center"/>
          </w:tcPr>
          <w:p w14:paraId="1B3253E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027" w:type="dxa"/>
            <w:vAlign w:val="center"/>
          </w:tcPr>
          <w:p w14:paraId="1D8A2E3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r>
    </w:tbl>
    <w:p w14:paraId="1387400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注：</w:t>
      </w:r>
    </w:p>
    <w:p w14:paraId="7B3A4D74">
      <w:pPr>
        <w:spacing w:line="360" w:lineRule="auto"/>
        <w:ind w:firstLine="480" w:firstLineChars="200"/>
        <w:rPr>
          <w:rFonts w:hint="eastAsia" w:ascii="宋体" w:hAnsi="宋体" w:eastAsia="宋体" w:cs="宋体"/>
          <w:sz w:val="24"/>
          <w:szCs w:val="24"/>
        </w:rPr>
      </w:pPr>
      <w:bookmarkStart w:id="827" w:name="_Hlk46779266"/>
      <w:r>
        <w:rPr>
          <w:rFonts w:hint="eastAsia" w:ascii="宋体" w:hAnsi="宋体" w:eastAsia="宋体" w:cs="宋体"/>
          <w:sz w:val="24"/>
          <w:szCs w:val="24"/>
        </w:rPr>
        <w:t>1. 供应商应对商务基本要求，提出遵守声明；</w:t>
      </w:r>
    </w:p>
    <w:p w14:paraId="21592D2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 供应商须在本附件内，列出不能符合的有关段落，附件并举出原因，同时，供应商亦须提出解决偏离的详细方案；</w:t>
      </w:r>
    </w:p>
    <w:p w14:paraId="788CC40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 除本附件列出的偏差获得采购人许可外，在合同签订后，所有不符合采购要求的项目，供应商必须加以纠正。</w:t>
      </w:r>
    </w:p>
    <w:bookmarkEnd w:id="827"/>
    <w:p w14:paraId="4D6D0C03">
      <w:pPr>
        <w:spacing w:line="360" w:lineRule="auto"/>
        <w:ind w:firstLine="480" w:firstLineChars="200"/>
        <w:rPr>
          <w:rFonts w:hint="eastAsia" w:ascii="宋体" w:hAnsi="宋体" w:eastAsia="宋体" w:cs="宋体"/>
          <w:sz w:val="24"/>
          <w:szCs w:val="24"/>
        </w:rPr>
      </w:pPr>
    </w:p>
    <w:p w14:paraId="481326A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供应商名称：</w:t>
      </w: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szCs w:val="24"/>
          <w:lang w:val="en-US" w:eastAsia="zh-CN"/>
        </w:rPr>
        <w:t>盖单位章</w:t>
      </w:r>
      <w:r>
        <w:rPr>
          <w:rFonts w:hint="eastAsia" w:ascii="宋体" w:hAnsi="宋体" w:eastAsia="宋体" w:cs="宋体"/>
          <w:sz w:val="24"/>
          <w:szCs w:val="24"/>
        </w:rPr>
        <w:t>）</w:t>
      </w:r>
    </w:p>
    <w:p w14:paraId="5C6345B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法定代表人或授权代表：</w:t>
      </w:r>
      <w:r>
        <w:rPr>
          <w:rFonts w:hint="eastAsia" w:ascii="宋体" w:hAnsi="宋体" w:eastAsia="宋体" w:cs="宋体"/>
          <w:sz w:val="24"/>
          <w:szCs w:val="24"/>
          <w:u w:val="single"/>
        </w:rPr>
        <w:t xml:space="preserve">          </w:t>
      </w:r>
      <w:r>
        <w:rPr>
          <w:rFonts w:hint="eastAsia" w:ascii="宋体" w:hAnsi="宋体" w:eastAsia="宋体" w:cs="宋体"/>
          <w:sz w:val="24"/>
          <w:szCs w:val="24"/>
        </w:rPr>
        <w:t>（签字）</w:t>
      </w:r>
    </w:p>
    <w:p w14:paraId="259ED57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日      期：   年    月    日</w:t>
      </w:r>
    </w:p>
    <w:p w14:paraId="0780251F">
      <w:pPr>
        <w:spacing w:line="360" w:lineRule="auto"/>
        <w:rPr>
          <w:rFonts w:hint="eastAsia" w:ascii="宋体" w:hAnsi="宋体" w:eastAsia="宋体" w:cs="宋体"/>
          <w:b/>
          <w:bCs/>
        </w:rPr>
      </w:pPr>
    </w:p>
    <w:p w14:paraId="37076974">
      <w:pPr>
        <w:keepNext/>
        <w:keepLines/>
        <w:spacing w:line="360" w:lineRule="auto"/>
        <w:ind w:left="3747" w:hanging="2666" w:hangingChars="1333"/>
        <w:jc w:val="center"/>
        <w:outlineLvl w:val="1"/>
        <w:rPr>
          <w:rFonts w:hint="eastAsia" w:ascii="宋体" w:hAnsi="宋体" w:eastAsia="宋体" w:cs="宋体"/>
        </w:rPr>
        <w:sectPr>
          <w:headerReference r:id="rId15" w:type="default"/>
          <w:pgSz w:w="11906" w:h="16838"/>
          <w:pgMar w:top="1797" w:right="1440" w:bottom="1797" w:left="1440" w:header="851" w:footer="992" w:gutter="0"/>
          <w:pgNumType w:fmt="decimal"/>
          <w:cols w:space="720" w:num="1"/>
          <w:docGrid w:linePitch="312" w:charSpace="0"/>
        </w:sectPr>
      </w:pPr>
    </w:p>
    <w:p w14:paraId="7C7F3A9E">
      <w:pPr>
        <w:keepNext/>
        <w:keepLines/>
        <w:snapToGrid/>
        <w:spacing w:beforeAutospacing="0" w:afterAutospacing="0" w:line="560" w:lineRule="exact"/>
        <w:ind w:right="0" w:rightChars="0"/>
        <w:jc w:val="center"/>
        <w:outlineLvl w:val="1"/>
        <w:rPr>
          <w:rFonts w:hint="eastAsia" w:ascii="宋体" w:hAnsi="宋体" w:eastAsia="宋体" w:cs="宋体"/>
          <w:b/>
          <w:sz w:val="24"/>
          <w:szCs w:val="28"/>
        </w:rPr>
      </w:pPr>
      <w:bookmarkStart w:id="828" w:name="_Toc109897508"/>
      <w:bookmarkStart w:id="829" w:name="_Toc9865"/>
      <w:bookmarkStart w:id="830" w:name="_Toc56708586"/>
      <w:bookmarkStart w:id="831" w:name="_Toc109900445"/>
      <w:bookmarkStart w:id="832" w:name="_Toc109900026"/>
      <w:r>
        <w:rPr>
          <w:rFonts w:hint="eastAsia" w:ascii="宋体" w:hAnsi="宋体" w:eastAsia="宋体" w:cs="宋体"/>
          <w:b/>
          <w:sz w:val="24"/>
          <w:szCs w:val="28"/>
        </w:rPr>
        <w:t>（</w:t>
      </w:r>
      <w:r>
        <w:rPr>
          <w:rFonts w:hint="eastAsia" w:ascii="宋体" w:hAnsi="宋体" w:cs="宋体"/>
          <w:b/>
          <w:sz w:val="24"/>
          <w:szCs w:val="28"/>
          <w:lang w:val="en-US" w:eastAsia="zh-CN"/>
        </w:rPr>
        <w:t>七</w:t>
      </w:r>
      <w:r>
        <w:rPr>
          <w:rFonts w:hint="eastAsia" w:ascii="宋体" w:hAnsi="宋体" w:eastAsia="宋体" w:cs="宋体"/>
          <w:b/>
          <w:sz w:val="24"/>
          <w:szCs w:val="28"/>
        </w:rPr>
        <w:t>）其它商务文件</w:t>
      </w:r>
      <w:bookmarkEnd w:id="828"/>
      <w:bookmarkEnd w:id="829"/>
      <w:bookmarkEnd w:id="830"/>
      <w:bookmarkEnd w:id="831"/>
      <w:bookmarkEnd w:id="832"/>
    </w:p>
    <w:p w14:paraId="3F3BE23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 磋商文件要求提供的资料和证明材料；</w:t>
      </w:r>
    </w:p>
    <w:p w14:paraId="30BD9DB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 供应商认为需要提供的其它商务资料和说明。</w:t>
      </w:r>
      <w:r>
        <w:rPr>
          <w:rFonts w:hint="eastAsia" w:ascii="宋体" w:hAnsi="宋体" w:eastAsia="宋体" w:cs="宋体"/>
          <w:sz w:val="24"/>
          <w:szCs w:val="24"/>
        </w:rPr>
        <w:br w:type="page"/>
      </w:r>
    </w:p>
    <w:p w14:paraId="3A9DA59C">
      <w:pPr>
        <w:pStyle w:val="4"/>
        <w:snapToGrid/>
        <w:spacing w:before="200" w:beforeAutospacing="0" w:after="100" w:afterAutospacing="0" w:line="240" w:lineRule="auto"/>
        <w:ind w:left="0" w:leftChars="0" w:right="0" w:rightChars="0" w:firstLine="0" w:firstLineChars="0"/>
        <w:jc w:val="left"/>
        <w:outlineLvl w:val="1"/>
        <w:rPr>
          <w:rFonts w:hint="eastAsia" w:ascii="宋体" w:hAnsi="宋体" w:eastAsia="宋体" w:cs="宋体"/>
          <w:b w:val="0"/>
          <w:sz w:val="28"/>
          <w:szCs w:val="28"/>
        </w:rPr>
      </w:pPr>
      <w:bookmarkStart w:id="833" w:name="_Toc56708587"/>
      <w:bookmarkStart w:id="834" w:name="_Toc109897509"/>
      <w:bookmarkStart w:id="835" w:name="_Toc16998"/>
      <w:bookmarkStart w:id="836" w:name="_Toc109900446"/>
      <w:bookmarkStart w:id="837" w:name="_Toc109900027"/>
      <w:r>
        <w:rPr>
          <w:rFonts w:hint="eastAsia" w:ascii="宋体" w:hAnsi="宋体" w:eastAsia="宋体" w:cs="宋体"/>
          <w:b w:val="0"/>
          <w:sz w:val="28"/>
          <w:szCs w:val="28"/>
        </w:rPr>
        <w:t>四、技术文件</w:t>
      </w:r>
      <w:bookmarkEnd w:id="833"/>
      <w:bookmarkEnd w:id="834"/>
      <w:bookmarkEnd w:id="835"/>
      <w:bookmarkEnd w:id="836"/>
      <w:bookmarkEnd w:id="837"/>
    </w:p>
    <w:p w14:paraId="3820D50B">
      <w:pPr>
        <w:keepNext/>
        <w:keepLines/>
        <w:snapToGrid/>
        <w:spacing w:beforeAutospacing="0" w:afterAutospacing="0" w:line="560" w:lineRule="exact"/>
        <w:ind w:right="0" w:rightChars="0"/>
        <w:jc w:val="center"/>
        <w:outlineLvl w:val="1"/>
        <w:rPr>
          <w:rFonts w:hint="eastAsia" w:ascii="宋体" w:hAnsi="宋体" w:eastAsia="宋体" w:cs="宋体"/>
          <w:b/>
          <w:sz w:val="24"/>
          <w:szCs w:val="24"/>
        </w:rPr>
      </w:pPr>
      <w:bookmarkStart w:id="838" w:name="_Toc12369"/>
      <w:bookmarkStart w:id="839" w:name="_Toc109897510"/>
      <w:bookmarkStart w:id="840" w:name="_Toc109900447"/>
      <w:bookmarkStart w:id="841" w:name="_Toc109900028"/>
      <w:bookmarkStart w:id="842" w:name="_Toc56708588"/>
      <w:r>
        <w:rPr>
          <w:rFonts w:hint="eastAsia" w:ascii="宋体" w:hAnsi="宋体" w:eastAsia="宋体" w:cs="宋体"/>
          <w:b/>
          <w:sz w:val="24"/>
          <w:szCs w:val="28"/>
        </w:rPr>
        <w:t>（一）技术要求偏离表</w:t>
      </w:r>
      <w:bookmarkEnd w:id="838"/>
      <w:bookmarkEnd w:id="839"/>
      <w:bookmarkEnd w:id="840"/>
      <w:bookmarkEnd w:id="841"/>
      <w:bookmarkEnd w:id="842"/>
    </w:p>
    <w:p w14:paraId="7B90A309">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                                         </w:t>
      </w:r>
    </w:p>
    <w:p w14:paraId="68D52D57">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         </w:t>
      </w:r>
    </w:p>
    <w:tbl>
      <w:tblPr>
        <w:tblStyle w:val="88"/>
        <w:tblW w:w="83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9"/>
        <w:gridCol w:w="2405"/>
        <w:gridCol w:w="1661"/>
        <w:gridCol w:w="1660"/>
        <w:gridCol w:w="1657"/>
      </w:tblGrid>
      <w:tr w14:paraId="70AEE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919" w:type="dxa"/>
            <w:vAlign w:val="center"/>
          </w:tcPr>
          <w:p w14:paraId="2C552AE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2405" w:type="dxa"/>
            <w:vAlign w:val="center"/>
          </w:tcPr>
          <w:p w14:paraId="21FE9A5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磋商文件技术、服务要求条款</w:t>
            </w:r>
          </w:p>
        </w:tc>
        <w:tc>
          <w:tcPr>
            <w:tcW w:w="1661" w:type="dxa"/>
            <w:vAlign w:val="center"/>
          </w:tcPr>
          <w:p w14:paraId="27F84BA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响应文件内容对应简述</w:t>
            </w:r>
          </w:p>
        </w:tc>
        <w:tc>
          <w:tcPr>
            <w:tcW w:w="1660" w:type="dxa"/>
            <w:vAlign w:val="center"/>
          </w:tcPr>
          <w:p w14:paraId="7188601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偏离说明</w:t>
            </w:r>
          </w:p>
        </w:tc>
        <w:tc>
          <w:tcPr>
            <w:tcW w:w="1657" w:type="dxa"/>
            <w:vAlign w:val="center"/>
          </w:tcPr>
          <w:p w14:paraId="202E6FF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对应的页码</w:t>
            </w:r>
          </w:p>
        </w:tc>
      </w:tr>
      <w:tr w14:paraId="64B20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919" w:type="dxa"/>
            <w:vAlign w:val="center"/>
          </w:tcPr>
          <w:p w14:paraId="399F4DB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p>
        </w:tc>
        <w:tc>
          <w:tcPr>
            <w:tcW w:w="2405" w:type="dxa"/>
            <w:vAlign w:val="center"/>
          </w:tcPr>
          <w:p w14:paraId="0CF5856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p>
        </w:tc>
        <w:tc>
          <w:tcPr>
            <w:tcW w:w="1661" w:type="dxa"/>
            <w:vAlign w:val="center"/>
          </w:tcPr>
          <w:p w14:paraId="5DD286D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p>
        </w:tc>
        <w:tc>
          <w:tcPr>
            <w:tcW w:w="1660" w:type="dxa"/>
            <w:vAlign w:val="center"/>
          </w:tcPr>
          <w:p w14:paraId="7793C74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p>
        </w:tc>
        <w:tc>
          <w:tcPr>
            <w:tcW w:w="1657" w:type="dxa"/>
            <w:vAlign w:val="center"/>
          </w:tcPr>
          <w:p w14:paraId="30D55F7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p>
        </w:tc>
      </w:tr>
      <w:tr w14:paraId="34DE9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919" w:type="dxa"/>
            <w:vAlign w:val="center"/>
          </w:tcPr>
          <w:p w14:paraId="7B7BE52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405" w:type="dxa"/>
            <w:vAlign w:val="center"/>
          </w:tcPr>
          <w:p w14:paraId="23AB80E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661" w:type="dxa"/>
            <w:vAlign w:val="center"/>
          </w:tcPr>
          <w:p w14:paraId="29D6D9A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660" w:type="dxa"/>
            <w:vAlign w:val="center"/>
          </w:tcPr>
          <w:p w14:paraId="408FD91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657" w:type="dxa"/>
            <w:vAlign w:val="center"/>
          </w:tcPr>
          <w:p w14:paraId="3776595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r>
      <w:tr w14:paraId="3EDAC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919" w:type="dxa"/>
            <w:vAlign w:val="center"/>
          </w:tcPr>
          <w:p w14:paraId="050BAC4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405" w:type="dxa"/>
            <w:vAlign w:val="center"/>
          </w:tcPr>
          <w:p w14:paraId="4D01148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661" w:type="dxa"/>
            <w:vAlign w:val="center"/>
          </w:tcPr>
          <w:p w14:paraId="580607B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660" w:type="dxa"/>
            <w:vAlign w:val="center"/>
          </w:tcPr>
          <w:p w14:paraId="2B7A0E7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657" w:type="dxa"/>
            <w:vAlign w:val="center"/>
          </w:tcPr>
          <w:p w14:paraId="2F51A3F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r>
      <w:tr w14:paraId="28782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919" w:type="dxa"/>
            <w:vAlign w:val="center"/>
          </w:tcPr>
          <w:p w14:paraId="1141D8D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405" w:type="dxa"/>
            <w:vAlign w:val="center"/>
          </w:tcPr>
          <w:p w14:paraId="25A05C4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661" w:type="dxa"/>
            <w:vAlign w:val="center"/>
          </w:tcPr>
          <w:p w14:paraId="042176F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660" w:type="dxa"/>
            <w:vAlign w:val="center"/>
          </w:tcPr>
          <w:p w14:paraId="491DF33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657" w:type="dxa"/>
            <w:vAlign w:val="center"/>
          </w:tcPr>
          <w:p w14:paraId="33578B1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r>
      <w:tr w14:paraId="1EBCB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919" w:type="dxa"/>
            <w:vAlign w:val="center"/>
          </w:tcPr>
          <w:p w14:paraId="2224219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405" w:type="dxa"/>
            <w:vAlign w:val="center"/>
          </w:tcPr>
          <w:p w14:paraId="4AB3BFF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661" w:type="dxa"/>
            <w:vAlign w:val="center"/>
          </w:tcPr>
          <w:p w14:paraId="5264ABE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660" w:type="dxa"/>
            <w:vAlign w:val="center"/>
          </w:tcPr>
          <w:p w14:paraId="780C7AB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657" w:type="dxa"/>
            <w:vAlign w:val="center"/>
          </w:tcPr>
          <w:p w14:paraId="4B3E588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r>
      <w:tr w14:paraId="11BE8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919" w:type="dxa"/>
            <w:vAlign w:val="center"/>
          </w:tcPr>
          <w:p w14:paraId="2D88032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405" w:type="dxa"/>
            <w:vAlign w:val="center"/>
          </w:tcPr>
          <w:p w14:paraId="1A7646E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661" w:type="dxa"/>
            <w:vAlign w:val="center"/>
          </w:tcPr>
          <w:p w14:paraId="0A8713F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660" w:type="dxa"/>
            <w:vAlign w:val="center"/>
          </w:tcPr>
          <w:p w14:paraId="3298007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657" w:type="dxa"/>
            <w:vAlign w:val="center"/>
          </w:tcPr>
          <w:p w14:paraId="7BC2F15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r>
      <w:tr w14:paraId="405C5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919" w:type="dxa"/>
            <w:vAlign w:val="center"/>
          </w:tcPr>
          <w:p w14:paraId="33D8D52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405" w:type="dxa"/>
            <w:vAlign w:val="center"/>
          </w:tcPr>
          <w:p w14:paraId="05263B9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661" w:type="dxa"/>
            <w:vAlign w:val="center"/>
          </w:tcPr>
          <w:p w14:paraId="03A7100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660" w:type="dxa"/>
            <w:vAlign w:val="center"/>
          </w:tcPr>
          <w:p w14:paraId="0B113F8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657" w:type="dxa"/>
            <w:vAlign w:val="center"/>
          </w:tcPr>
          <w:p w14:paraId="337457E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r>
      <w:tr w14:paraId="37E89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919" w:type="dxa"/>
            <w:vAlign w:val="center"/>
          </w:tcPr>
          <w:p w14:paraId="458F23E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405" w:type="dxa"/>
            <w:vAlign w:val="center"/>
          </w:tcPr>
          <w:p w14:paraId="0323430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661" w:type="dxa"/>
            <w:vAlign w:val="center"/>
          </w:tcPr>
          <w:p w14:paraId="131F7A0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660" w:type="dxa"/>
            <w:vAlign w:val="center"/>
          </w:tcPr>
          <w:p w14:paraId="22C3ABE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657" w:type="dxa"/>
            <w:vAlign w:val="center"/>
          </w:tcPr>
          <w:p w14:paraId="77713F7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r>
      <w:tr w14:paraId="38FD8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919" w:type="dxa"/>
            <w:vAlign w:val="center"/>
          </w:tcPr>
          <w:p w14:paraId="7179202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405" w:type="dxa"/>
            <w:vAlign w:val="center"/>
          </w:tcPr>
          <w:p w14:paraId="4524D4D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661" w:type="dxa"/>
            <w:vAlign w:val="center"/>
          </w:tcPr>
          <w:p w14:paraId="2919FA7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660" w:type="dxa"/>
            <w:vAlign w:val="center"/>
          </w:tcPr>
          <w:p w14:paraId="209DAFB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657" w:type="dxa"/>
            <w:vAlign w:val="center"/>
          </w:tcPr>
          <w:p w14:paraId="1954A95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r>
      <w:tr w14:paraId="0A246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919" w:type="dxa"/>
            <w:vAlign w:val="center"/>
          </w:tcPr>
          <w:p w14:paraId="71770B7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405" w:type="dxa"/>
            <w:vAlign w:val="center"/>
          </w:tcPr>
          <w:p w14:paraId="1B852DF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661" w:type="dxa"/>
            <w:vAlign w:val="center"/>
          </w:tcPr>
          <w:p w14:paraId="7EF596A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660" w:type="dxa"/>
            <w:vAlign w:val="center"/>
          </w:tcPr>
          <w:p w14:paraId="00FADB1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657" w:type="dxa"/>
            <w:vAlign w:val="center"/>
          </w:tcPr>
          <w:p w14:paraId="2AD0C1A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r>
      <w:tr w14:paraId="177FD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919" w:type="dxa"/>
            <w:vAlign w:val="center"/>
          </w:tcPr>
          <w:p w14:paraId="325F872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405" w:type="dxa"/>
            <w:vAlign w:val="center"/>
          </w:tcPr>
          <w:p w14:paraId="6F633E1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661" w:type="dxa"/>
            <w:vAlign w:val="center"/>
          </w:tcPr>
          <w:p w14:paraId="48397C1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660" w:type="dxa"/>
            <w:vAlign w:val="center"/>
          </w:tcPr>
          <w:p w14:paraId="6AAB004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657" w:type="dxa"/>
            <w:vAlign w:val="center"/>
          </w:tcPr>
          <w:p w14:paraId="10AD636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r>
      <w:tr w14:paraId="3D3E3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919" w:type="dxa"/>
            <w:vAlign w:val="center"/>
          </w:tcPr>
          <w:p w14:paraId="26628D7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2405" w:type="dxa"/>
            <w:vAlign w:val="center"/>
          </w:tcPr>
          <w:p w14:paraId="26ECC0C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661" w:type="dxa"/>
            <w:vAlign w:val="center"/>
          </w:tcPr>
          <w:p w14:paraId="3F0E6F4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660" w:type="dxa"/>
            <w:vAlign w:val="center"/>
          </w:tcPr>
          <w:p w14:paraId="588DF39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c>
          <w:tcPr>
            <w:tcW w:w="1657" w:type="dxa"/>
            <w:vAlign w:val="center"/>
          </w:tcPr>
          <w:p w14:paraId="0BA3E68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p>
        </w:tc>
      </w:tr>
    </w:tbl>
    <w:p w14:paraId="720874B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说明：</w:t>
      </w:r>
    </w:p>
    <w:p w14:paraId="1C4A816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供应商应对照磋商文件技术服务要求，逐条说明所提供的服务已对磋商文件的要求做出了实质性的响应，并申明与技术要求条文的偏差和例外。</w:t>
      </w:r>
    </w:p>
    <w:p w14:paraId="31DC3DB7">
      <w:pPr>
        <w:spacing w:line="360" w:lineRule="auto"/>
        <w:ind w:firstLine="480" w:firstLineChars="200"/>
        <w:rPr>
          <w:rFonts w:hint="eastAsia" w:ascii="宋体" w:hAnsi="宋体" w:eastAsia="宋体" w:cs="宋体"/>
          <w:sz w:val="24"/>
          <w:szCs w:val="24"/>
        </w:rPr>
      </w:pPr>
    </w:p>
    <w:p w14:paraId="438F092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供应商名称：</w:t>
      </w: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szCs w:val="24"/>
          <w:lang w:val="en-US" w:eastAsia="zh-CN"/>
        </w:rPr>
        <w:t>盖单位章</w:t>
      </w:r>
      <w:r>
        <w:rPr>
          <w:rFonts w:hint="eastAsia" w:ascii="宋体" w:hAnsi="宋体" w:eastAsia="宋体" w:cs="宋体"/>
          <w:sz w:val="24"/>
          <w:szCs w:val="24"/>
        </w:rPr>
        <w:t>）</w:t>
      </w:r>
    </w:p>
    <w:p w14:paraId="62D4C14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法定代表人或授权代表：</w:t>
      </w:r>
      <w:r>
        <w:rPr>
          <w:rFonts w:hint="eastAsia" w:ascii="宋体" w:hAnsi="宋体" w:eastAsia="宋体" w:cs="宋体"/>
          <w:sz w:val="24"/>
          <w:szCs w:val="24"/>
          <w:u w:val="single"/>
        </w:rPr>
        <w:t xml:space="preserve">          </w:t>
      </w:r>
      <w:r>
        <w:rPr>
          <w:rFonts w:hint="eastAsia" w:ascii="宋体" w:hAnsi="宋体" w:eastAsia="宋体" w:cs="宋体"/>
          <w:sz w:val="24"/>
          <w:szCs w:val="24"/>
        </w:rPr>
        <w:t>（签字）</w:t>
      </w:r>
    </w:p>
    <w:p w14:paraId="43C7E55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日      期：   年    月    日</w:t>
      </w:r>
    </w:p>
    <w:p w14:paraId="6CD71043">
      <w:pPr>
        <w:spacing w:line="360" w:lineRule="auto"/>
        <w:rPr>
          <w:rFonts w:hint="eastAsia" w:ascii="宋体" w:hAnsi="宋体" w:eastAsia="宋体" w:cs="宋体"/>
          <w:i/>
          <w:iCs/>
          <w:sz w:val="24"/>
          <w:szCs w:val="24"/>
        </w:rPr>
      </w:pPr>
    </w:p>
    <w:p w14:paraId="2CEF3AC4">
      <w:pPr>
        <w:spacing w:line="300" w:lineRule="auto"/>
        <w:rPr>
          <w:rFonts w:hint="eastAsia" w:ascii="宋体" w:hAnsi="宋体" w:eastAsia="宋体" w:cs="宋体"/>
          <w:sz w:val="24"/>
          <w:szCs w:val="24"/>
          <w:u w:val="single"/>
        </w:rPr>
      </w:pPr>
    </w:p>
    <w:p w14:paraId="5AAFE29C">
      <w:pPr>
        <w:keepNext/>
        <w:keepLines/>
        <w:snapToGrid/>
        <w:spacing w:beforeAutospacing="0" w:afterAutospacing="0" w:line="560" w:lineRule="exact"/>
        <w:ind w:right="0" w:rightChars="0"/>
        <w:jc w:val="center"/>
        <w:outlineLvl w:val="1"/>
        <w:rPr>
          <w:rFonts w:hint="eastAsia" w:ascii="宋体" w:hAnsi="宋体" w:eastAsia="宋体" w:cs="宋体"/>
          <w:b/>
          <w:sz w:val="24"/>
          <w:szCs w:val="24"/>
        </w:rPr>
      </w:pPr>
      <w:r>
        <w:rPr>
          <w:rFonts w:hint="eastAsia" w:ascii="宋体" w:hAnsi="宋体" w:eastAsia="宋体" w:cs="宋体"/>
          <w:sz w:val="24"/>
          <w:szCs w:val="24"/>
          <w:u w:val="single"/>
        </w:rPr>
        <w:br w:type="page"/>
      </w:r>
      <w:bookmarkStart w:id="843" w:name="_Toc109900029"/>
      <w:bookmarkStart w:id="844" w:name="_Toc109900448"/>
      <w:bookmarkStart w:id="845" w:name="_Toc8761"/>
      <w:bookmarkStart w:id="846" w:name="_Toc109897511"/>
      <w:bookmarkStart w:id="847" w:name="_Toc56708589"/>
      <w:r>
        <w:rPr>
          <w:rFonts w:hint="eastAsia" w:ascii="宋体" w:hAnsi="宋体" w:eastAsia="宋体" w:cs="宋体"/>
          <w:b/>
          <w:sz w:val="24"/>
          <w:szCs w:val="28"/>
        </w:rPr>
        <w:t>（二）技术方案</w:t>
      </w:r>
      <w:bookmarkEnd w:id="843"/>
      <w:bookmarkEnd w:id="844"/>
      <w:bookmarkEnd w:id="845"/>
      <w:bookmarkEnd w:id="846"/>
      <w:bookmarkEnd w:id="847"/>
    </w:p>
    <w:p w14:paraId="3171D5C3">
      <w:pPr>
        <w:tabs>
          <w:tab w:val="left" w:pos="3075"/>
        </w:tabs>
        <w:spacing w:line="300" w:lineRule="auto"/>
        <w:jc w:val="center"/>
        <w:rPr>
          <w:rFonts w:hint="eastAsia" w:ascii="宋体" w:hAnsi="宋体" w:eastAsia="宋体" w:cs="宋体"/>
          <w:sz w:val="24"/>
          <w:szCs w:val="24"/>
        </w:rPr>
      </w:pPr>
    </w:p>
    <w:p w14:paraId="074A4ED7">
      <w:pPr>
        <w:pStyle w:val="763"/>
        <w:rPr>
          <w:sz w:val="24"/>
          <w:szCs w:val="24"/>
        </w:rPr>
      </w:pPr>
      <w:r>
        <w:rPr>
          <w:rFonts w:hint="eastAsia"/>
          <w:sz w:val="24"/>
          <w:szCs w:val="24"/>
          <w:lang w:val="en-US" w:eastAsia="zh-CN"/>
        </w:rPr>
        <w:t>供应商</w:t>
      </w:r>
      <w:r>
        <w:rPr>
          <w:rFonts w:hint="eastAsia"/>
          <w:sz w:val="24"/>
          <w:szCs w:val="24"/>
        </w:rPr>
        <w:t>应按照</w:t>
      </w:r>
      <w:r>
        <w:rPr>
          <w:rFonts w:hint="eastAsia"/>
          <w:sz w:val="24"/>
          <w:szCs w:val="24"/>
          <w:lang w:val="en-US" w:eastAsia="zh-CN"/>
        </w:rPr>
        <w:t>磋商</w:t>
      </w:r>
      <w:r>
        <w:rPr>
          <w:rFonts w:hint="eastAsia"/>
          <w:sz w:val="24"/>
          <w:szCs w:val="24"/>
        </w:rPr>
        <w:t>文件的要求，提供详细的服务方案，包括文字描述或图表显示。格式自拟。</w:t>
      </w:r>
    </w:p>
    <w:p w14:paraId="6F3B77D2">
      <w:pPr>
        <w:tabs>
          <w:tab w:val="left" w:pos="3075"/>
        </w:tabs>
        <w:spacing w:line="300" w:lineRule="auto"/>
        <w:jc w:val="center"/>
        <w:rPr>
          <w:rFonts w:hint="eastAsia" w:ascii="宋体" w:hAnsi="宋体" w:eastAsia="宋体" w:cs="宋体"/>
          <w:sz w:val="24"/>
          <w:szCs w:val="24"/>
        </w:rPr>
      </w:pPr>
    </w:p>
    <w:p w14:paraId="46408D0A">
      <w:pPr>
        <w:tabs>
          <w:tab w:val="left" w:pos="3075"/>
        </w:tabs>
        <w:spacing w:line="300" w:lineRule="auto"/>
        <w:jc w:val="center"/>
        <w:rPr>
          <w:rFonts w:hint="eastAsia" w:ascii="宋体" w:hAnsi="宋体" w:eastAsia="宋体" w:cs="宋体"/>
          <w:sz w:val="24"/>
          <w:szCs w:val="24"/>
        </w:rPr>
      </w:pPr>
    </w:p>
    <w:p w14:paraId="031D4A10">
      <w:pPr>
        <w:tabs>
          <w:tab w:val="left" w:pos="3075"/>
        </w:tabs>
        <w:spacing w:line="300" w:lineRule="auto"/>
        <w:jc w:val="center"/>
        <w:rPr>
          <w:rFonts w:hint="eastAsia" w:ascii="宋体" w:hAnsi="宋体" w:eastAsia="宋体" w:cs="宋体"/>
          <w:sz w:val="24"/>
          <w:szCs w:val="24"/>
        </w:rPr>
      </w:pPr>
    </w:p>
    <w:p w14:paraId="6E831914">
      <w:pPr>
        <w:tabs>
          <w:tab w:val="left" w:pos="3075"/>
        </w:tabs>
        <w:spacing w:line="300" w:lineRule="auto"/>
        <w:jc w:val="center"/>
        <w:rPr>
          <w:rFonts w:hint="eastAsia" w:ascii="宋体" w:hAnsi="宋体" w:eastAsia="宋体" w:cs="宋体"/>
          <w:sz w:val="24"/>
          <w:szCs w:val="24"/>
        </w:rPr>
      </w:pPr>
    </w:p>
    <w:p w14:paraId="4F332956">
      <w:pPr>
        <w:tabs>
          <w:tab w:val="left" w:pos="3075"/>
        </w:tabs>
        <w:spacing w:line="300" w:lineRule="auto"/>
        <w:jc w:val="center"/>
        <w:rPr>
          <w:rFonts w:hint="eastAsia" w:ascii="宋体" w:hAnsi="宋体" w:eastAsia="宋体" w:cs="宋体"/>
          <w:sz w:val="24"/>
          <w:szCs w:val="24"/>
        </w:rPr>
      </w:pPr>
    </w:p>
    <w:p w14:paraId="605CCC47">
      <w:pPr>
        <w:tabs>
          <w:tab w:val="left" w:pos="3075"/>
        </w:tabs>
        <w:spacing w:line="300" w:lineRule="auto"/>
        <w:jc w:val="center"/>
        <w:rPr>
          <w:rFonts w:hint="eastAsia" w:ascii="宋体" w:hAnsi="宋体" w:eastAsia="宋体" w:cs="宋体"/>
          <w:sz w:val="24"/>
          <w:szCs w:val="24"/>
        </w:rPr>
      </w:pPr>
    </w:p>
    <w:p w14:paraId="203E3E2E">
      <w:pPr>
        <w:tabs>
          <w:tab w:val="left" w:pos="3075"/>
        </w:tabs>
        <w:spacing w:line="300" w:lineRule="auto"/>
        <w:jc w:val="center"/>
        <w:rPr>
          <w:rFonts w:hint="eastAsia" w:ascii="宋体" w:hAnsi="宋体" w:eastAsia="宋体" w:cs="宋体"/>
          <w:sz w:val="24"/>
          <w:szCs w:val="24"/>
        </w:rPr>
      </w:pPr>
    </w:p>
    <w:p w14:paraId="5E6A3BAA">
      <w:pPr>
        <w:tabs>
          <w:tab w:val="left" w:pos="3075"/>
        </w:tabs>
        <w:spacing w:line="300" w:lineRule="auto"/>
        <w:jc w:val="right"/>
        <w:rPr>
          <w:rFonts w:hint="eastAsia" w:ascii="宋体" w:hAnsi="宋体" w:eastAsia="宋体" w:cs="宋体"/>
          <w:sz w:val="24"/>
          <w:szCs w:val="24"/>
        </w:rPr>
      </w:pPr>
    </w:p>
    <w:p w14:paraId="2924891D">
      <w:pPr>
        <w:spacing w:line="360" w:lineRule="auto"/>
        <w:ind w:firstLine="480" w:firstLineChars="200"/>
        <w:rPr>
          <w:rFonts w:hint="eastAsia" w:ascii="宋体" w:hAnsi="宋体" w:eastAsia="宋体" w:cs="宋体"/>
          <w:sz w:val="24"/>
          <w:szCs w:val="24"/>
        </w:rPr>
      </w:pPr>
    </w:p>
    <w:p w14:paraId="5430AF29">
      <w:pPr>
        <w:keepNext/>
        <w:keepLines/>
        <w:snapToGrid/>
        <w:spacing w:beforeAutospacing="0" w:afterAutospacing="0" w:line="560" w:lineRule="exact"/>
        <w:ind w:right="0" w:rightChars="0"/>
        <w:jc w:val="center"/>
        <w:outlineLvl w:val="1"/>
        <w:rPr>
          <w:rFonts w:hint="eastAsia" w:ascii="宋体" w:hAnsi="宋体" w:eastAsia="宋体" w:cs="宋体"/>
          <w:b/>
          <w:sz w:val="24"/>
          <w:szCs w:val="24"/>
        </w:rPr>
      </w:pPr>
      <w:r>
        <w:rPr>
          <w:rFonts w:hint="eastAsia" w:ascii="宋体" w:hAnsi="宋体" w:eastAsia="宋体" w:cs="宋体"/>
          <w:sz w:val="24"/>
          <w:szCs w:val="24"/>
          <w:u w:val="single"/>
        </w:rPr>
        <w:br w:type="page"/>
      </w:r>
      <w:bookmarkStart w:id="848" w:name="_Toc432367445"/>
      <w:bookmarkStart w:id="849" w:name="_Toc430813377"/>
      <w:bookmarkStart w:id="850" w:name="_Toc109900449"/>
      <w:bookmarkStart w:id="851" w:name="_Toc109900030"/>
      <w:bookmarkStart w:id="852" w:name="_Toc56708590"/>
      <w:bookmarkStart w:id="853" w:name="_Toc22775"/>
      <w:bookmarkStart w:id="854" w:name="_Toc109897512"/>
      <w:r>
        <w:rPr>
          <w:rFonts w:hint="eastAsia" w:ascii="宋体" w:hAnsi="宋体" w:eastAsia="宋体" w:cs="宋体"/>
          <w:b/>
          <w:sz w:val="24"/>
          <w:szCs w:val="28"/>
        </w:rPr>
        <w:t>（三）其它</w:t>
      </w:r>
      <w:bookmarkEnd w:id="848"/>
      <w:bookmarkEnd w:id="849"/>
      <w:r>
        <w:rPr>
          <w:rFonts w:hint="eastAsia" w:ascii="宋体" w:hAnsi="宋体" w:eastAsia="宋体" w:cs="宋体"/>
          <w:b/>
          <w:sz w:val="24"/>
          <w:szCs w:val="28"/>
        </w:rPr>
        <w:t>技术文件</w:t>
      </w:r>
      <w:bookmarkEnd w:id="850"/>
      <w:bookmarkEnd w:id="851"/>
      <w:bookmarkEnd w:id="852"/>
      <w:bookmarkEnd w:id="853"/>
      <w:bookmarkEnd w:id="854"/>
    </w:p>
    <w:p w14:paraId="0A31A38F">
      <w:pPr>
        <w:spacing w:line="360" w:lineRule="auto"/>
        <w:ind w:firstLine="480" w:firstLineChars="200"/>
        <w:rPr>
          <w:rFonts w:hint="eastAsia" w:ascii="宋体" w:hAnsi="宋体" w:eastAsia="宋体" w:cs="宋体"/>
          <w:sz w:val="24"/>
          <w:szCs w:val="24"/>
        </w:rPr>
      </w:pPr>
    </w:p>
    <w:p w14:paraId="5F52CEE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 磋商文件要求供应商须提交的其它技术资料；</w:t>
      </w:r>
    </w:p>
    <w:p w14:paraId="3EF43AE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 供应商认为需加以说明的其它内容。</w:t>
      </w:r>
    </w:p>
    <w:p w14:paraId="78DEADF9">
      <w:pPr>
        <w:spacing w:line="360" w:lineRule="auto"/>
        <w:ind w:firstLine="480" w:firstLineChars="200"/>
        <w:rPr>
          <w:rFonts w:hint="eastAsia" w:ascii="宋体" w:hAnsi="宋体" w:eastAsia="宋体" w:cs="宋体"/>
          <w:sz w:val="24"/>
          <w:szCs w:val="24"/>
        </w:rPr>
      </w:pPr>
    </w:p>
    <w:p w14:paraId="5E2D1369">
      <w:pPr>
        <w:spacing w:line="360" w:lineRule="auto"/>
        <w:ind w:firstLine="120"/>
        <w:jc w:val="center"/>
        <w:rPr>
          <w:rFonts w:hint="eastAsia" w:ascii="宋体" w:hAnsi="宋体" w:eastAsia="宋体" w:cs="宋体"/>
          <w:b/>
          <w:bCs/>
          <w:sz w:val="24"/>
          <w:szCs w:val="24"/>
        </w:rPr>
      </w:pPr>
    </w:p>
    <w:p w14:paraId="6719FFC3">
      <w:pPr>
        <w:spacing w:line="360" w:lineRule="auto"/>
        <w:ind w:firstLine="120"/>
        <w:jc w:val="center"/>
        <w:rPr>
          <w:rFonts w:hint="eastAsia" w:ascii="宋体" w:hAnsi="宋体" w:eastAsia="宋体" w:cs="宋体"/>
          <w:b/>
          <w:bCs/>
          <w:sz w:val="24"/>
          <w:szCs w:val="24"/>
        </w:rPr>
      </w:pPr>
    </w:p>
    <w:p w14:paraId="226E8306">
      <w:pPr>
        <w:spacing w:line="360" w:lineRule="auto"/>
        <w:ind w:firstLine="120"/>
        <w:jc w:val="center"/>
        <w:rPr>
          <w:rFonts w:hint="eastAsia" w:ascii="宋体" w:hAnsi="宋体" w:eastAsia="宋体" w:cs="宋体"/>
          <w:b/>
          <w:bCs/>
          <w:sz w:val="24"/>
          <w:szCs w:val="24"/>
        </w:rPr>
      </w:pPr>
    </w:p>
    <w:p w14:paraId="259B6CFE">
      <w:pPr>
        <w:spacing w:line="360" w:lineRule="auto"/>
        <w:ind w:firstLine="120"/>
        <w:jc w:val="center"/>
        <w:rPr>
          <w:rFonts w:hint="eastAsia" w:ascii="宋体" w:hAnsi="宋体" w:eastAsia="宋体" w:cs="宋体"/>
          <w:b/>
          <w:bCs/>
          <w:sz w:val="24"/>
          <w:szCs w:val="24"/>
        </w:rPr>
      </w:pPr>
    </w:p>
    <w:p w14:paraId="2684970F">
      <w:pPr>
        <w:spacing w:line="360" w:lineRule="auto"/>
        <w:ind w:firstLine="120"/>
        <w:jc w:val="center"/>
        <w:rPr>
          <w:rFonts w:hint="eastAsia" w:ascii="宋体" w:hAnsi="宋体" w:eastAsia="宋体" w:cs="宋体"/>
          <w:b/>
          <w:bCs/>
          <w:sz w:val="24"/>
          <w:szCs w:val="24"/>
        </w:rPr>
      </w:pPr>
    </w:p>
    <w:p w14:paraId="0E7A6A0B">
      <w:pPr>
        <w:spacing w:line="360" w:lineRule="auto"/>
        <w:ind w:firstLine="120"/>
        <w:jc w:val="center"/>
        <w:rPr>
          <w:rFonts w:hint="eastAsia" w:ascii="宋体" w:hAnsi="宋体" w:eastAsia="宋体" w:cs="宋体"/>
          <w:b/>
          <w:bCs/>
          <w:sz w:val="24"/>
          <w:szCs w:val="24"/>
        </w:rPr>
      </w:pPr>
    </w:p>
    <w:p w14:paraId="59256C92">
      <w:pPr>
        <w:spacing w:line="360" w:lineRule="auto"/>
        <w:ind w:firstLine="120"/>
        <w:jc w:val="center"/>
        <w:rPr>
          <w:rFonts w:hint="eastAsia" w:ascii="宋体" w:hAnsi="宋体" w:eastAsia="宋体" w:cs="宋体"/>
          <w:b/>
          <w:bCs/>
          <w:sz w:val="24"/>
          <w:szCs w:val="24"/>
        </w:rPr>
      </w:pPr>
    </w:p>
    <w:p w14:paraId="16923402">
      <w:pPr>
        <w:spacing w:line="360" w:lineRule="auto"/>
        <w:ind w:firstLine="120"/>
        <w:jc w:val="center"/>
        <w:rPr>
          <w:rFonts w:hint="eastAsia" w:ascii="宋体" w:hAnsi="宋体" w:eastAsia="宋体" w:cs="宋体"/>
          <w:b/>
          <w:bCs/>
          <w:sz w:val="24"/>
          <w:szCs w:val="24"/>
        </w:rPr>
      </w:pPr>
    </w:p>
    <w:p w14:paraId="1013A4D2">
      <w:pPr>
        <w:spacing w:line="360" w:lineRule="auto"/>
        <w:ind w:firstLine="120"/>
        <w:jc w:val="center"/>
        <w:rPr>
          <w:rFonts w:hint="eastAsia" w:ascii="宋体" w:hAnsi="宋体" w:eastAsia="宋体" w:cs="宋体"/>
          <w:b/>
          <w:bCs/>
          <w:sz w:val="24"/>
          <w:szCs w:val="24"/>
        </w:rPr>
      </w:pPr>
    </w:p>
    <w:p w14:paraId="35713C90">
      <w:pPr>
        <w:spacing w:line="360" w:lineRule="auto"/>
        <w:ind w:firstLine="120"/>
        <w:jc w:val="center"/>
        <w:rPr>
          <w:rFonts w:hint="eastAsia" w:ascii="宋体" w:hAnsi="宋体" w:eastAsia="宋体" w:cs="宋体"/>
          <w:b/>
          <w:bCs/>
          <w:sz w:val="24"/>
          <w:szCs w:val="24"/>
        </w:rPr>
      </w:pPr>
    </w:p>
    <w:p w14:paraId="0337087E">
      <w:pPr>
        <w:spacing w:line="360" w:lineRule="auto"/>
        <w:ind w:firstLine="120"/>
        <w:jc w:val="center"/>
        <w:rPr>
          <w:rFonts w:hint="eastAsia" w:ascii="宋体" w:hAnsi="宋体" w:eastAsia="宋体" w:cs="宋体"/>
          <w:b/>
          <w:bCs/>
          <w:sz w:val="24"/>
          <w:szCs w:val="24"/>
        </w:rPr>
      </w:pPr>
    </w:p>
    <w:p w14:paraId="597B4633">
      <w:pPr>
        <w:spacing w:line="360" w:lineRule="auto"/>
        <w:ind w:firstLine="120"/>
        <w:jc w:val="center"/>
        <w:rPr>
          <w:rFonts w:hint="eastAsia" w:ascii="宋体" w:hAnsi="宋体" w:eastAsia="宋体" w:cs="宋体"/>
          <w:b/>
          <w:bCs/>
          <w:sz w:val="24"/>
          <w:szCs w:val="24"/>
        </w:rPr>
      </w:pPr>
    </w:p>
    <w:p w14:paraId="09D4DDEC">
      <w:pPr>
        <w:spacing w:line="360" w:lineRule="auto"/>
        <w:ind w:firstLine="120"/>
        <w:jc w:val="center"/>
        <w:rPr>
          <w:rFonts w:hint="eastAsia" w:ascii="宋体" w:hAnsi="宋体" w:eastAsia="宋体" w:cs="宋体"/>
          <w:b/>
          <w:bCs/>
          <w:sz w:val="24"/>
          <w:szCs w:val="24"/>
        </w:rPr>
      </w:pPr>
    </w:p>
    <w:p w14:paraId="5A39B528">
      <w:pPr>
        <w:spacing w:line="360" w:lineRule="auto"/>
        <w:ind w:firstLine="120"/>
        <w:jc w:val="center"/>
        <w:rPr>
          <w:rFonts w:hint="eastAsia" w:ascii="宋体" w:hAnsi="宋体" w:eastAsia="宋体" w:cs="宋体"/>
          <w:b/>
          <w:bCs/>
          <w:sz w:val="24"/>
          <w:szCs w:val="24"/>
        </w:rPr>
      </w:pPr>
    </w:p>
    <w:p w14:paraId="45F2C753">
      <w:pPr>
        <w:spacing w:line="360" w:lineRule="auto"/>
        <w:ind w:firstLine="120"/>
        <w:jc w:val="center"/>
        <w:rPr>
          <w:rFonts w:hint="eastAsia" w:ascii="宋体" w:hAnsi="宋体" w:eastAsia="宋体" w:cs="宋体"/>
          <w:b/>
          <w:bCs/>
          <w:sz w:val="24"/>
          <w:szCs w:val="24"/>
        </w:rPr>
      </w:pPr>
    </w:p>
    <w:p w14:paraId="3C7946B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供应商名称：</w:t>
      </w: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szCs w:val="24"/>
          <w:lang w:val="en-US" w:eastAsia="zh-CN"/>
        </w:rPr>
        <w:t>盖单位章</w:t>
      </w:r>
      <w:r>
        <w:rPr>
          <w:rFonts w:hint="eastAsia" w:ascii="宋体" w:hAnsi="宋体" w:eastAsia="宋体" w:cs="宋体"/>
          <w:sz w:val="24"/>
          <w:szCs w:val="24"/>
        </w:rPr>
        <w:t>）</w:t>
      </w:r>
    </w:p>
    <w:p w14:paraId="624960B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法定代表人或授权代表：</w:t>
      </w:r>
      <w:r>
        <w:rPr>
          <w:rFonts w:hint="eastAsia" w:ascii="宋体" w:hAnsi="宋体" w:eastAsia="宋体" w:cs="宋体"/>
          <w:sz w:val="24"/>
          <w:szCs w:val="24"/>
          <w:u w:val="single"/>
        </w:rPr>
        <w:t xml:space="preserve">          </w:t>
      </w:r>
      <w:r>
        <w:rPr>
          <w:rFonts w:hint="eastAsia" w:ascii="宋体" w:hAnsi="宋体" w:eastAsia="宋体" w:cs="宋体"/>
          <w:sz w:val="24"/>
          <w:szCs w:val="24"/>
        </w:rPr>
        <w:t>（签字）</w:t>
      </w:r>
    </w:p>
    <w:p w14:paraId="2667807E">
      <w:pPr>
        <w:spacing w:line="360" w:lineRule="auto"/>
        <w:ind w:firstLine="480" w:firstLineChars="200"/>
        <w:rPr>
          <w:rFonts w:hint="eastAsia" w:ascii="宋体" w:hAnsi="宋体" w:eastAsia="宋体" w:cs="宋体"/>
          <w:sz w:val="24"/>
          <w:szCs w:val="24"/>
        </w:rPr>
        <w:sectPr>
          <w:footerReference r:id="rId16" w:type="default"/>
          <w:pgSz w:w="11906" w:h="16838"/>
          <w:pgMar w:top="1440" w:right="1797" w:bottom="1440" w:left="1797" w:header="851" w:footer="992" w:gutter="0"/>
          <w:pgNumType w:fmt="decimal"/>
          <w:cols w:space="720" w:num="1"/>
          <w:docGrid w:linePitch="312" w:charSpace="0"/>
        </w:sectPr>
      </w:pPr>
      <w:r>
        <w:rPr>
          <w:rFonts w:hint="eastAsia" w:ascii="宋体" w:hAnsi="宋体" w:eastAsia="宋体" w:cs="宋体"/>
          <w:sz w:val="24"/>
          <w:szCs w:val="24"/>
        </w:rPr>
        <w:t>日      期：   年    月    日</w:t>
      </w:r>
    </w:p>
    <w:p w14:paraId="16ECA744">
      <w:pPr>
        <w:pStyle w:val="4"/>
        <w:snapToGrid/>
        <w:spacing w:before="200" w:beforeAutospacing="0" w:after="100" w:afterAutospacing="0" w:line="240" w:lineRule="auto"/>
        <w:ind w:left="0" w:leftChars="0" w:right="0" w:rightChars="0" w:firstLine="0" w:firstLineChars="0"/>
        <w:jc w:val="left"/>
        <w:outlineLvl w:val="1"/>
        <w:rPr>
          <w:rFonts w:hint="eastAsia" w:ascii="宋体" w:hAnsi="宋体" w:eastAsia="宋体" w:cs="宋体"/>
          <w:b w:val="0"/>
          <w:sz w:val="28"/>
          <w:szCs w:val="28"/>
        </w:rPr>
      </w:pPr>
      <w:bookmarkStart w:id="855" w:name="_Toc109897513"/>
      <w:bookmarkStart w:id="856" w:name="_Toc109900031"/>
      <w:bookmarkStart w:id="857" w:name="_Toc4366"/>
      <w:bookmarkStart w:id="858" w:name="_Toc109900450"/>
      <w:bookmarkStart w:id="859" w:name="_Hlk89808228"/>
      <w:r>
        <w:rPr>
          <w:rFonts w:hint="eastAsia" w:ascii="宋体" w:hAnsi="宋体" w:eastAsia="宋体" w:cs="宋体"/>
          <w:b w:val="0"/>
          <w:sz w:val="28"/>
          <w:szCs w:val="28"/>
        </w:rPr>
        <w:t>五、落实政府采购政策相关证明文件</w:t>
      </w:r>
      <w:bookmarkEnd w:id="855"/>
      <w:bookmarkEnd w:id="856"/>
      <w:bookmarkEnd w:id="857"/>
      <w:bookmarkEnd w:id="858"/>
    </w:p>
    <w:p w14:paraId="2DF7F084">
      <w:pPr>
        <w:keepNext/>
        <w:keepLines/>
        <w:snapToGrid/>
        <w:spacing w:beforeAutospacing="0" w:afterAutospacing="0" w:line="560" w:lineRule="exact"/>
        <w:ind w:right="0" w:rightChars="0"/>
        <w:jc w:val="center"/>
        <w:outlineLvl w:val="1"/>
        <w:rPr>
          <w:rFonts w:hint="eastAsia" w:ascii="宋体" w:hAnsi="宋体" w:eastAsia="宋体" w:cs="宋体"/>
          <w:b/>
          <w:sz w:val="24"/>
          <w:szCs w:val="28"/>
        </w:rPr>
      </w:pPr>
      <w:bookmarkStart w:id="860" w:name="_Toc109900033"/>
      <w:bookmarkStart w:id="861" w:name="_Toc3781"/>
      <w:bookmarkStart w:id="862" w:name="_Toc109900452"/>
      <w:bookmarkStart w:id="863" w:name="_Toc109897515"/>
      <w:r>
        <w:rPr>
          <w:rFonts w:hint="eastAsia" w:ascii="宋体" w:hAnsi="宋体" w:eastAsia="宋体" w:cs="宋体"/>
          <w:b/>
          <w:sz w:val="24"/>
          <w:szCs w:val="28"/>
        </w:rPr>
        <w:t>（</w:t>
      </w:r>
      <w:r>
        <w:rPr>
          <w:rFonts w:hint="eastAsia" w:ascii="宋体" w:hAnsi="宋体" w:eastAsia="宋体" w:cs="宋体"/>
          <w:b/>
          <w:sz w:val="24"/>
          <w:szCs w:val="28"/>
          <w:lang w:val="en-US" w:eastAsia="zh-CN"/>
        </w:rPr>
        <w:t>一</w:t>
      </w:r>
      <w:r>
        <w:rPr>
          <w:rFonts w:hint="eastAsia" w:ascii="宋体" w:hAnsi="宋体" w:eastAsia="宋体" w:cs="宋体"/>
          <w:b/>
          <w:sz w:val="24"/>
          <w:szCs w:val="28"/>
        </w:rPr>
        <w:t>）中小企业声明函（工程、服务）</w:t>
      </w:r>
      <w:bookmarkEnd w:id="860"/>
      <w:bookmarkEnd w:id="861"/>
      <w:bookmarkEnd w:id="862"/>
      <w:bookmarkEnd w:id="863"/>
    </w:p>
    <w:p w14:paraId="3B81B1B2">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spacing w:val="6"/>
          <w:sz w:val="24"/>
          <w:szCs w:val="24"/>
        </w:rPr>
      </w:pPr>
      <w:r>
        <w:rPr>
          <w:rFonts w:hint="eastAsia" w:ascii="宋体" w:hAnsi="宋体" w:eastAsia="宋体" w:cs="宋体"/>
          <w:spacing w:val="6"/>
          <w:sz w:val="24"/>
          <w:szCs w:val="24"/>
        </w:rPr>
        <w:t>本公司（联合体）郑重声明，根据《政府采购促进中小企业发展管理办法》（财库﹝2020﹞46 号）的规定，本公司（联合体）参加 （单位名称） 的 （项目名称） 采购活动，工程的施工单位全部为符合政策要求的中小企业（或者：服务全部由符合政策要求的中小企业承接）。相关企业（含联合体中的中小企业、签订分包意向协议的中小企业）的具体情况如下：</w:t>
      </w:r>
    </w:p>
    <w:p w14:paraId="533145CA">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spacing w:val="6"/>
          <w:sz w:val="24"/>
          <w:szCs w:val="24"/>
          <w:u w:val="single"/>
        </w:rPr>
      </w:pPr>
      <w:r>
        <w:rPr>
          <w:rFonts w:hint="eastAsia" w:ascii="宋体" w:hAnsi="宋体" w:eastAsia="宋体" w:cs="宋体"/>
          <w:spacing w:val="6"/>
          <w:sz w:val="24"/>
          <w:szCs w:val="24"/>
        </w:rPr>
        <w:t>1.</w:t>
      </w:r>
      <w:r>
        <w:rPr>
          <w:rFonts w:hint="eastAsia" w:ascii="宋体" w:hAnsi="宋体" w:eastAsia="宋体" w:cs="宋体"/>
          <w:spacing w:val="6"/>
          <w:sz w:val="24"/>
          <w:szCs w:val="24"/>
          <w:u w:val="single"/>
        </w:rPr>
        <w:t xml:space="preserve"> （标的名称） </w:t>
      </w:r>
      <w:r>
        <w:rPr>
          <w:rFonts w:hint="eastAsia" w:ascii="宋体" w:hAnsi="宋体" w:eastAsia="宋体" w:cs="宋体"/>
          <w:spacing w:val="6"/>
          <w:sz w:val="24"/>
          <w:szCs w:val="24"/>
        </w:rPr>
        <w:t>，属于</w:t>
      </w:r>
      <w:r>
        <w:rPr>
          <w:rFonts w:hint="eastAsia" w:ascii="宋体" w:hAnsi="宋体" w:eastAsia="宋体" w:cs="宋体"/>
          <w:spacing w:val="6"/>
          <w:sz w:val="24"/>
          <w:szCs w:val="24"/>
          <w:u w:val="single"/>
        </w:rPr>
        <w:t xml:space="preserve"> （采购文件中明确的所属行业） </w:t>
      </w:r>
      <w:r>
        <w:rPr>
          <w:rFonts w:hint="eastAsia" w:ascii="宋体" w:hAnsi="宋体" w:eastAsia="宋体" w:cs="宋体"/>
          <w:spacing w:val="6"/>
          <w:sz w:val="24"/>
          <w:szCs w:val="24"/>
        </w:rPr>
        <w:t>；承建（承接）企业为</w:t>
      </w:r>
      <w:r>
        <w:rPr>
          <w:rFonts w:hint="eastAsia" w:ascii="宋体" w:hAnsi="宋体" w:eastAsia="宋体" w:cs="宋体"/>
          <w:spacing w:val="6"/>
          <w:sz w:val="24"/>
          <w:szCs w:val="24"/>
          <w:u w:val="single"/>
        </w:rPr>
        <w:t xml:space="preserve"> （企业名称）  </w:t>
      </w:r>
      <w:r>
        <w:rPr>
          <w:rFonts w:hint="eastAsia" w:ascii="宋体" w:hAnsi="宋体" w:eastAsia="宋体" w:cs="宋体"/>
          <w:spacing w:val="6"/>
          <w:sz w:val="24"/>
          <w:szCs w:val="24"/>
        </w:rPr>
        <w:t>，从业人员</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rPr>
        <w:t>人，营业收入为</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rPr>
        <w:t>万元，资产总额为</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rPr>
        <w:t>万元，属于</w:t>
      </w:r>
      <w:r>
        <w:rPr>
          <w:rFonts w:hint="eastAsia" w:ascii="宋体" w:hAnsi="宋体" w:eastAsia="宋体" w:cs="宋体"/>
          <w:spacing w:val="6"/>
          <w:sz w:val="24"/>
          <w:szCs w:val="24"/>
          <w:u w:val="single"/>
        </w:rPr>
        <w:t>（中型企业、小型企业、微型企业）</w:t>
      </w:r>
      <w:r>
        <w:rPr>
          <w:rFonts w:hint="eastAsia" w:ascii="宋体" w:hAnsi="宋体" w:eastAsia="宋体" w:cs="宋体"/>
          <w:spacing w:val="6"/>
          <w:sz w:val="24"/>
          <w:szCs w:val="24"/>
        </w:rPr>
        <w:t>；</w:t>
      </w:r>
    </w:p>
    <w:p w14:paraId="253BC1D5">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spacing w:val="6"/>
          <w:sz w:val="24"/>
          <w:szCs w:val="24"/>
          <w:u w:val="single"/>
        </w:rPr>
      </w:pPr>
      <w:r>
        <w:rPr>
          <w:rFonts w:hint="eastAsia" w:ascii="宋体" w:hAnsi="宋体" w:eastAsia="宋体" w:cs="宋体"/>
          <w:spacing w:val="6"/>
          <w:sz w:val="24"/>
          <w:szCs w:val="24"/>
        </w:rPr>
        <w:t>2.</w:t>
      </w:r>
      <w:r>
        <w:rPr>
          <w:rFonts w:hint="eastAsia" w:ascii="宋体" w:hAnsi="宋体" w:eastAsia="宋体" w:cs="宋体"/>
          <w:spacing w:val="6"/>
          <w:sz w:val="24"/>
          <w:szCs w:val="24"/>
          <w:u w:val="single"/>
        </w:rPr>
        <w:t xml:space="preserve"> （标的名称） </w:t>
      </w:r>
      <w:r>
        <w:rPr>
          <w:rFonts w:hint="eastAsia" w:ascii="宋体" w:hAnsi="宋体" w:eastAsia="宋体" w:cs="宋体"/>
          <w:spacing w:val="6"/>
          <w:sz w:val="24"/>
          <w:szCs w:val="24"/>
        </w:rPr>
        <w:t>，属于</w:t>
      </w:r>
      <w:r>
        <w:rPr>
          <w:rFonts w:hint="eastAsia" w:ascii="宋体" w:hAnsi="宋体" w:eastAsia="宋体" w:cs="宋体"/>
          <w:spacing w:val="6"/>
          <w:sz w:val="24"/>
          <w:szCs w:val="24"/>
          <w:u w:val="single"/>
        </w:rPr>
        <w:t xml:space="preserve"> （采购文件中明确的所属行业） </w:t>
      </w:r>
      <w:r>
        <w:rPr>
          <w:rFonts w:hint="eastAsia" w:ascii="宋体" w:hAnsi="宋体" w:eastAsia="宋体" w:cs="宋体"/>
          <w:spacing w:val="6"/>
          <w:sz w:val="24"/>
          <w:szCs w:val="24"/>
        </w:rPr>
        <w:t>；承建（承接）企业为</w:t>
      </w:r>
      <w:r>
        <w:rPr>
          <w:rFonts w:hint="eastAsia" w:ascii="宋体" w:hAnsi="宋体" w:eastAsia="宋体" w:cs="宋体"/>
          <w:spacing w:val="6"/>
          <w:sz w:val="24"/>
          <w:szCs w:val="24"/>
          <w:u w:val="single"/>
        </w:rPr>
        <w:t xml:space="preserve"> （企业名称）  </w:t>
      </w:r>
      <w:r>
        <w:rPr>
          <w:rFonts w:hint="eastAsia" w:ascii="宋体" w:hAnsi="宋体" w:eastAsia="宋体" w:cs="宋体"/>
          <w:spacing w:val="6"/>
          <w:sz w:val="24"/>
          <w:szCs w:val="24"/>
        </w:rPr>
        <w:t>，从业人员</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rPr>
        <w:t>人，营业收入为</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rPr>
        <w:t>万元，资产总额为</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rPr>
        <w:t>万元，属于</w:t>
      </w:r>
      <w:r>
        <w:rPr>
          <w:rFonts w:hint="eastAsia" w:ascii="宋体" w:hAnsi="宋体" w:eastAsia="宋体" w:cs="宋体"/>
          <w:spacing w:val="6"/>
          <w:sz w:val="24"/>
          <w:szCs w:val="24"/>
          <w:u w:val="single"/>
        </w:rPr>
        <w:t>（中型企业、小型企业、微型企业）</w:t>
      </w:r>
      <w:r>
        <w:rPr>
          <w:rFonts w:hint="eastAsia" w:ascii="宋体" w:hAnsi="宋体" w:eastAsia="宋体" w:cs="宋体"/>
          <w:spacing w:val="6"/>
          <w:sz w:val="24"/>
          <w:szCs w:val="24"/>
        </w:rPr>
        <w:t>；</w:t>
      </w:r>
    </w:p>
    <w:p w14:paraId="0D31EB15">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spacing w:val="6"/>
          <w:sz w:val="24"/>
          <w:szCs w:val="24"/>
        </w:rPr>
      </w:pPr>
      <w:r>
        <w:rPr>
          <w:rFonts w:hint="eastAsia" w:ascii="宋体" w:hAnsi="宋体" w:eastAsia="宋体" w:cs="宋体"/>
          <w:spacing w:val="6"/>
          <w:sz w:val="24"/>
          <w:szCs w:val="24"/>
        </w:rPr>
        <w:t>……</w:t>
      </w:r>
    </w:p>
    <w:p w14:paraId="354953A3">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spacing w:val="6"/>
          <w:sz w:val="24"/>
          <w:szCs w:val="24"/>
        </w:rPr>
      </w:pPr>
      <w:r>
        <w:rPr>
          <w:rFonts w:hint="eastAsia" w:ascii="宋体" w:hAnsi="宋体" w:eastAsia="宋体" w:cs="宋体"/>
          <w:spacing w:val="6"/>
          <w:sz w:val="24"/>
          <w:szCs w:val="24"/>
        </w:rPr>
        <w:t>以上企业，不属于大企业的分支机构，不存在控股股东为大企业的情形，也不存在与大企业的负责人为同一人的情形。</w:t>
      </w:r>
    </w:p>
    <w:p w14:paraId="5564F10C">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spacing w:val="6"/>
          <w:sz w:val="24"/>
          <w:szCs w:val="24"/>
        </w:rPr>
      </w:pPr>
      <w:r>
        <w:rPr>
          <w:rFonts w:hint="eastAsia" w:ascii="宋体" w:hAnsi="宋体" w:eastAsia="宋体" w:cs="宋体"/>
          <w:spacing w:val="6"/>
          <w:sz w:val="24"/>
          <w:szCs w:val="24"/>
        </w:rPr>
        <w:t>本企业对上述声明内容的真实性负责。如有虚假，将依法承担相应责任。</w:t>
      </w:r>
    </w:p>
    <w:p w14:paraId="4AA34F11">
      <w:pPr>
        <w:keepNext w:val="0"/>
        <w:keepLines w:val="0"/>
        <w:pageBreakBefore w:val="0"/>
        <w:widowControl w:val="0"/>
        <w:kinsoku/>
        <w:wordWrap/>
        <w:overflowPunct/>
        <w:topLinePunct w:val="0"/>
        <w:autoSpaceDE/>
        <w:autoSpaceDN/>
        <w:bidi w:val="0"/>
        <w:adjustRightInd/>
        <w:snapToGrid/>
        <w:spacing w:line="360" w:lineRule="auto"/>
        <w:ind w:right="1008" w:firstLine="504" w:firstLineChars="200"/>
        <w:textAlignment w:val="auto"/>
        <w:rPr>
          <w:rFonts w:hint="eastAsia" w:ascii="宋体" w:hAnsi="宋体" w:eastAsia="宋体" w:cs="宋体"/>
          <w:spacing w:val="6"/>
          <w:sz w:val="24"/>
          <w:szCs w:val="24"/>
        </w:rPr>
      </w:pPr>
    </w:p>
    <w:p w14:paraId="2122CE90">
      <w:pPr>
        <w:keepNext w:val="0"/>
        <w:keepLines w:val="0"/>
        <w:pageBreakBefore w:val="0"/>
        <w:widowControl w:val="0"/>
        <w:kinsoku/>
        <w:wordWrap/>
        <w:overflowPunct/>
        <w:topLinePunct w:val="0"/>
        <w:autoSpaceDE/>
        <w:autoSpaceDN/>
        <w:bidi w:val="0"/>
        <w:adjustRightInd/>
        <w:snapToGrid/>
        <w:spacing w:line="360" w:lineRule="auto"/>
        <w:ind w:right="1008" w:firstLine="504" w:firstLineChars="200"/>
        <w:textAlignment w:val="auto"/>
        <w:rPr>
          <w:rFonts w:hint="eastAsia" w:ascii="宋体" w:hAnsi="宋体" w:eastAsia="宋体" w:cs="宋体"/>
          <w:spacing w:val="6"/>
          <w:sz w:val="24"/>
          <w:szCs w:val="24"/>
        </w:rPr>
      </w:pPr>
      <w:r>
        <w:rPr>
          <w:rFonts w:hint="eastAsia" w:ascii="宋体" w:hAnsi="宋体" w:eastAsia="宋体" w:cs="宋体"/>
          <w:spacing w:val="6"/>
          <w:sz w:val="24"/>
          <w:szCs w:val="24"/>
        </w:rPr>
        <w:t>企业名称（盖章）：</w:t>
      </w:r>
    </w:p>
    <w:p w14:paraId="40C2F0C7">
      <w:pPr>
        <w:keepNext w:val="0"/>
        <w:keepLines w:val="0"/>
        <w:pageBreakBefore w:val="0"/>
        <w:widowControl w:val="0"/>
        <w:kinsoku/>
        <w:wordWrap/>
        <w:overflowPunct/>
        <w:topLinePunct w:val="0"/>
        <w:autoSpaceDE/>
        <w:autoSpaceDN/>
        <w:bidi w:val="0"/>
        <w:adjustRightInd/>
        <w:snapToGrid/>
        <w:spacing w:line="360" w:lineRule="auto"/>
        <w:ind w:right="1008" w:firstLine="504" w:firstLineChars="200"/>
        <w:textAlignment w:val="auto"/>
        <w:rPr>
          <w:rFonts w:hint="eastAsia" w:ascii="宋体" w:hAnsi="宋体" w:eastAsia="宋体" w:cs="宋体"/>
          <w:spacing w:val="6"/>
          <w:sz w:val="24"/>
          <w:szCs w:val="24"/>
        </w:rPr>
      </w:pPr>
      <w:r>
        <w:rPr>
          <w:rFonts w:hint="eastAsia" w:ascii="宋体" w:hAnsi="宋体" w:eastAsia="宋体" w:cs="宋体"/>
          <w:spacing w:val="6"/>
          <w:sz w:val="24"/>
          <w:szCs w:val="24"/>
        </w:rPr>
        <w:t>日 期：</w:t>
      </w:r>
    </w:p>
    <w:p w14:paraId="7BFE6E66">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spacing w:val="6"/>
          <w:sz w:val="24"/>
          <w:szCs w:val="24"/>
        </w:rPr>
      </w:pPr>
    </w:p>
    <w:p w14:paraId="52C45B39">
      <w:pPr>
        <w:keepNext w:val="0"/>
        <w:keepLines w:val="0"/>
        <w:pageBreakBefore w:val="0"/>
        <w:widowControl w:val="0"/>
        <w:kinsoku/>
        <w:wordWrap/>
        <w:overflowPunct/>
        <w:topLinePunct w:val="0"/>
        <w:autoSpaceDE/>
        <w:autoSpaceDN/>
        <w:bidi w:val="0"/>
        <w:adjustRightInd/>
        <w:snapToGrid/>
        <w:spacing w:line="360" w:lineRule="auto"/>
        <w:ind w:firstLine="506" w:firstLineChars="200"/>
        <w:textAlignment w:val="auto"/>
        <w:rPr>
          <w:rFonts w:hint="eastAsia" w:ascii="宋体" w:hAnsi="宋体" w:eastAsia="宋体" w:cs="宋体"/>
          <w:spacing w:val="6"/>
          <w:sz w:val="24"/>
          <w:szCs w:val="24"/>
        </w:rPr>
      </w:pPr>
      <w:r>
        <w:rPr>
          <w:rFonts w:hint="eastAsia" w:ascii="宋体" w:hAnsi="宋体" w:eastAsia="宋体" w:cs="宋体"/>
          <w:b/>
          <w:bCs/>
          <w:spacing w:val="6"/>
          <w:sz w:val="24"/>
          <w:szCs w:val="24"/>
        </w:rPr>
        <w:t>说明：</w:t>
      </w:r>
      <w:r>
        <w:rPr>
          <w:rFonts w:hint="eastAsia" w:ascii="宋体" w:hAnsi="宋体" w:eastAsia="宋体" w:cs="宋体"/>
          <w:spacing w:val="6"/>
          <w:sz w:val="24"/>
          <w:szCs w:val="24"/>
        </w:rPr>
        <w:t>从业人员、营业收入、资产总额填报上一年度数据，无上一年度数据的新成立企业可不填报。</w:t>
      </w:r>
    </w:p>
    <w:p w14:paraId="6CE9563D">
      <w:pPr>
        <w:spacing w:line="360" w:lineRule="auto"/>
        <w:ind w:firstLine="504" w:firstLineChars="200"/>
        <w:rPr>
          <w:rFonts w:hint="eastAsia" w:ascii="宋体" w:hAnsi="宋体" w:eastAsia="宋体" w:cs="宋体"/>
          <w:spacing w:val="6"/>
          <w:sz w:val="24"/>
          <w:szCs w:val="24"/>
        </w:rPr>
        <w:sectPr>
          <w:type w:val="nextColumn"/>
          <w:pgSz w:w="11906" w:h="16838"/>
          <w:pgMar w:top="1440" w:right="1797" w:bottom="1440" w:left="1797" w:header="851" w:footer="992" w:gutter="0"/>
          <w:pgNumType w:fmt="decimal"/>
          <w:cols w:space="720" w:num="1"/>
          <w:docGrid w:linePitch="312" w:charSpace="0"/>
        </w:sectPr>
      </w:pPr>
    </w:p>
    <w:p w14:paraId="71022B91">
      <w:pPr>
        <w:keepNext/>
        <w:keepLines/>
        <w:snapToGrid/>
        <w:spacing w:beforeAutospacing="0" w:afterAutospacing="0" w:line="560" w:lineRule="exact"/>
        <w:ind w:right="0" w:rightChars="0"/>
        <w:jc w:val="center"/>
        <w:outlineLvl w:val="1"/>
        <w:rPr>
          <w:rFonts w:hint="eastAsia" w:ascii="宋体" w:hAnsi="宋体" w:eastAsia="宋体" w:cs="宋体"/>
          <w:b/>
          <w:sz w:val="24"/>
          <w:szCs w:val="28"/>
        </w:rPr>
      </w:pPr>
      <w:bookmarkStart w:id="864" w:name="_Toc109900453"/>
      <w:bookmarkStart w:id="865" w:name="_Toc109897516"/>
      <w:bookmarkStart w:id="866" w:name="_Toc13025"/>
      <w:bookmarkStart w:id="867" w:name="_Toc109900034"/>
      <w:r>
        <w:rPr>
          <w:rFonts w:hint="eastAsia" w:ascii="宋体" w:hAnsi="宋体" w:eastAsia="宋体" w:cs="宋体"/>
          <w:b/>
          <w:sz w:val="24"/>
          <w:szCs w:val="28"/>
        </w:rPr>
        <w:t>（</w:t>
      </w:r>
      <w:r>
        <w:rPr>
          <w:rFonts w:hint="eastAsia" w:ascii="宋体" w:hAnsi="宋体" w:eastAsia="宋体" w:cs="宋体"/>
          <w:b/>
          <w:sz w:val="24"/>
          <w:szCs w:val="28"/>
          <w:lang w:val="en-US" w:eastAsia="zh-CN"/>
        </w:rPr>
        <w:t>二</w:t>
      </w:r>
      <w:r>
        <w:rPr>
          <w:rFonts w:hint="eastAsia" w:ascii="宋体" w:hAnsi="宋体" w:eastAsia="宋体" w:cs="宋体"/>
          <w:b/>
          <w:sz w:val="24"/>
          <w:szCs w:val="28"/>
        </w:rPr>
        <w:t>）监狱企业证明文件</w:t>
      </w:r>
      <w:bookmarkEnd w:id="864"/>
      <w:bookmarkEnd w:id="865"/>
      <w:bookmarkEnd w:id="866"/>
      <w:bookmarkEnd w:id="867"/>
    </w:p>
    <w:p w14:paraId="0CA72725">
      <w:pPr>
        <w:widowControl/>
        <w:spacing w:before="100" w:beforeAutospacing="1" w:after="100" w:afterAutospacing="1"/>
        <w:ind w:firstLine="360" w:firstLineChars="150"/>
        <w:rPr>
          <w:rFonts w:hint="eastAsia" w:ascii="宋体" w:hAnsi="宋体" w:eastAsia="宋体" w:cs="宋体"/>
          <w:sz w:val="24"/>
          <w:szCs w:val="24"/>
        </w:rPr>
      </w:pPr>
      <w:r>
        <w:rPr>
          <w:rFonts w:hint="eastAsia" w:ascii="宋体" w:hAnsi="宋体" w:eastAsia="宋体" w:cs="宋体"/>
          <w:sz w:val="24"/>
          <w:szCs w:val="24"/>
        </w:rPr>
        <w:t>供应商如是监狱企业，提供相关证明文件。</w:t>
      </w:r>
    </w:p>
    <w:p w14:paraId="73AD81A2">
      <w:pPr>
        <w:widowControl/>
        <w:spacing w:before="100" w:beforeAutospacing="1" w:after="100" w:afterAutospacing="1"/>
        <w:rPr>
          <w:rFonts w:hint="eastAsia" w:ascii="宋体" w:hAnsi="宋体" w:eastAsia="宋体" w:cs="宋体"/>
          <w:sz w:val="24"/>
          <w:szCs w:val="24"/>
        </w:rPr>
      </w:pPr>
    </w:p>
    <w:p w14:paraId="2FFB7553">
      <w:pPr>
        <w:widowControl/>
        <w:spacing w:before="100" w:beforeAutospacing="1" w:after="100" w:afterAutospacing="1"/>
        <w:rPr>
          <w:rFonts w:hint="eastAsia" w:ascii="宋体" w:hAnsi="宋体" w:eastAsia="宋体" w:cs="宋体"/>
          <w:sz w:val="24"/>
          <w:szCs w:val="24"/>
        </w:rPr>
      </w:pPr>
    </w:p>
    <w:p w14:paraId="40C3A0DD">
      <w:pPr>
        <w:widowControl/>
        <w:spacing w:before="100" w:beforeAutospacing="1" w:after="100" w:afterAutospacing="1"/>
        <w:rPr>
          <w:rFonts w:hint="eastAsia" w:ascii="宋体" w:hAnsi="宋体" w:eastAsia="宋体" w:cs="宋体"/>
          <w:sz w:val="24"/>
          <w:szCs w:val="24"/>
        </w:rPr>
      </w:pPr>
    </w:p>
    <w:p w14:paraId="5710FBD9">
      <w:pPr>
        <w:widowControl/>
        <w:spacing w:before="100" w:beforeAutospacing="1" w:after="100" w:afterAutospacing="1"/>
        <w:rPr>
          <w:rFonts w:hint="eastAsia" w:ascii="宋体" w:hAnsi="宋体" w:eastAsia="宋体" w:cs="宋体"/>
          <w:sz w:val="24"/>
          <w:szCs w:val="24"/>
        </w:rPr>
      </w:pPr>
    </w:p>
    <w:p w14:paraId="224C0A6F">
      <w:pPr>
        <w:widowControl/>
        <w:spacing w:before="100" w:beforeAutospacing="1" w:after="100" w:afterAutospacing="1"/>
        <w:rPr>
          <w:rFonts w:hint="eastAsia" w:ascii="宋体" w:hAnsi="宋体" w:eastAsia="宋体" w:cs="宋体"/>
          <w:sz w:val="24"/>
          <w:szCs w:val="24"/>
        </w:rPr>
      </w:pPr>
    </w:p>
    <w:p w14:paraId="7F45D6ED">
      <w:pPr>
        <w:spacing w:line="300" w:lineRule="auto"/>
        <w:rPr>
          <w:rFonts w:hint="eastAsia" w:ascii="宋体" w:hAnsi="宋体" w:eastAsia="宋体" w:cs="宋体"/>
          <w:sz w:val="24"/>
          <w:szCs w:val="24"/>
        </w:rPr>
      </w:pPr>
      <w:r>
        <w:rPr>
          <w:rFonts w:hint="eastAsia" w:ascii="宋体" w:hAnsi="宋体" w:eastAsia="宋体" w:cs="宋体"/>
          <w:sz w:val="24"/>
          <w:szCs w:val="24"/>
        </w:rPr>
        <w:t xml:space="preserve">供应商名称[盖章]： </w:t>
      </w:r>
    </w:p>
    <w:p w14:paraId="6C04CA64">
      <w:pPr>
        <w:widowControl/>
        <w:spacing w:before="100" w:beforeAutospacing="1" w:after="100" w:afterAutospacing="1"/>
        <w:rPr>
          <w:rFonts w:hint="eastAsia" w:ascii="宋体" w:hAnsi="宋体" w:eastAsia="宋体" w:cs="宋体"/>
          <w:sz w:val="24"/>
          <w:szCs w:val="24"/>
        </w:rPr>
      </w:pPr>
      <w:r>
        <w:rPr>
          <w:rFonts w:hint="eastAsia" w:ascii="宋体" w:hAnsi="宋体" w:eastAsia="宋体" w:cs="宋体"/>
          <w:sz w:val="24"/>
          <w:szCs w:val="24"/>
        </w:rPr>
        <w:t xml:space="preserve">供应商授权代表签字：               </w:t>
      </w:r>
    </w:p>
    <w:p w14:paraId="4B7B6C9C">
      <w:pPr>
        <w:widowControl/>
        <w:spacing w:before="100" w:beforeAutospacing="1" w:after="100" w:afterAutospacing="1"/>
        <w:rPr>
          <w:rFonts w:hint="eastAsia" w:ascii="宋体" w:hAnsi="宋体" w:eastAsia="宋体" w:cs="宋体"/>
          <w:sz w:val="24"/>
          <w:szCs w:val="24"/>
          <w:u w:val="single"/>
        </w:rPr>
      </w:pPr>
      <w:r>
        <w:rPr>
          <w:rFonts w:hint="eastAsia" w:ascii="宋体" w:hAnsi="宋体" w:eastAsia="宋体" w:cs="宋体"/>
          <w:sz w:val="24"/>
          <w:szCs w:val="24"/>
        </w:rPr>
        <w:t>日期：</w:t>
      </w:r>
    </w:p>
    <w:p w14:paraId="7E5E3712">
      <w:pPr>
        <w:rPr>
          <w:rFonts w:hint="eastAsia" w:ascii="宋体" w:hAnsi="宋体" w:eastAsia="宋体" w:cs="宋体"/>
          <w:sz w:val="24"/>
          <w:szCs w:val="24"/>
        </w:rPr>
      </w:pPr>
    </w:p>
    <w:p w14:paraId="70C46FD8">
      <w:pPr>
        <w:rPr>
          <w:rFonts w:hint="eastAsia" w:ascii="宋体" w:hAnsi="宋体" w:eastAsia="宋体" w:cs="宋体"/>
          <w:sz w:val="24"/>
          <w:szCs w:val="24"/>
        </w:rPr>
      </w:pPr>
    </w:p>
    <w:p w14:paraId="51554E0C">
      <w:pPr>
        <w:keepNext/>
        <w:keepLines/>
        <w:snapToGrid/>
        <w:spacing w:beforeAutospacing="0" w:afterAutospacing="0" w:line="560" w:lineRule="exact"/>
        <w:ind w:right="0" w:rightChars="0"/>
        <w:jc w:val="center"/>
        <w:outlineLvl w:val="1"/>
        <w:rPr>
          <w:rFonts w:hint="eastAsia" w:ascii="宋体" w:hAnsi="宋体" w:eastAsia="宋体" w:cs="宋体"/>
          <w:b/>
          <w:sz w:val="24"/>
          <w:szCs w:val="24"/>
        </w:rPr>
      </w:pPr>
      <w:r>
        <w:rPr>
          <w:rFonts w:hint="eastAsia" w:ascii="宋体" w:hAnsi="宋体" w:eastAsia="宋体" w:cs="宋体"/>
          <w:b/>
          <w:bCs/>
          <w:sz w:val="24"/>
          <w:szCs w:val="24"/>
        </w:rPr>
        <w:br w:type="page"/>
      </w:r>
      <w:bookmarkStart w:id="868" w:name="_Toc109900035"/>
      <w:bookmarkStart w:id="869" w:name="_Toc109897517"/>
      <w:bookmarkStart w:id="870" w:name="_Toc109900454"/>
      <w:bookmarkStart w:id="871" w:name="_Toc311"/>
      <w:r>
        <w:rPr>
          <w:rFonts w:hint="eastAsia" w:ascii="宋体" w:hAnsi="宋体" w:eastAsia="宋体" w:cs="宋体"/>
          <w:b/>
          <w:sz w:val="24"/>
          <w:szCs w:val="28"/>
        </w:rPr>
        <w:t>（</w:t>
      </w:r>
      <w:r>
        <w:rPr>
          <w:rFonts w:hint="eastAsia" w:ascii="宋体" w:hAnsi="宋体" w:eastAsia="宋体" w:cs="宋体"/>
          <w:b/>
          <w:sz w:val="24"/>
          <w:szCs w:val="28"/>
          <w:lang w:val="en-US" w:eastAsia="zh-CN"/>
        </w:rPr>
        <w:t>三</w:t>
      </w:r>
      <w:r>
        <w:rPr>
          <w:rFonts w:hint="eastAsia" w:ascii="宋体" w:hAnsi="宋体" w:eastAsia="宋体" w:cs="宋体"/>
          <w:b/>
          <w:sz w:val="24"/>
          <w:szCs w:val="28"/>
        </w:rPr>
        <w:t>）残疾人福利性单位声明函</w:t>
      </w:r>
      <w:bookmarkEnd w:id="868"/>
      <w:bookmarkEnd w:id="869"/>
      <w:bookmarkEnd w:id="870"/>
      <w:bookmarkEnd w:id="871"/>
    </w:p>
    <w:p w14:paraId="1A6D36A0">
      <w:pPr>
        <w:spacing w:line="588" w:lineRule="exact"/>
        <w:jc w:val="center"/>
        <w:rPr>
          <w:rFonts w:hint="eastAsia" w:ascii="宋体" w:hAnsi="宋体" w:eastAsia="宋体" w:cs="宋体"/>
          <w:b/>
          <w:spacing w:val="6"/>
          <w:sz w:val="24"/>
          <w:szCs w:val="24"/>
        </w:rPr>
      </w:pPr>
      <w:r>
        <w:rPr>
          <w:rFonts w:hint="eastAsia" w:ascii="宋体" w:hAnsi="宋体" w:eastAsia="宋体" w:cs="宋体"/>
          <w:b/>
          <w:spacing w:val="6"/>
          <w:sz w:val="24"/>
          <w:szCs w:val="24"/>
        </w:rPr>
        <w:t>残疾人福利性单位声明函</w:t>
      </w:r>
    </w:p>
    <w:p w14:paraId="102FBA2C">
      <w:pPr>
        <w:spacing w:line="588" w:lineRule="exact"/>
        <w:rPr>
          <w:rFonts w:hint="eastAsia" w:ascii="宋体" w:hAnsi="宋体" w:eastAsia="宋体" w:cs="宋体"/>
          <w:b/>
          <w:spacing w:val="6"/>
          <w:sz w:val="24"/>
          <w:szCs w:val="24"/>
        </w:rPr>
      </w:pPr>
    </w:p>
    <w:p w14:paraId="7A69DC3F">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spacing w:val="6"/>
          <w:sz w:val="24"/>
          <w:szCs w:val="24"/>
        </w:rPr>
      </w:pPr>
      <w:r>
        <w:rPr>
          <w:rFonts w:hint="eastAsia" w:ascii="宋体" w:hAnsi="宋体" w:eastAsia="宋体" w:cs="宋体"/>
          <w:spacing w:val="6"/>
          <w:sz w:val="24"/>
          <w:szCs w:val="24"/>
        </w:rPr>
        <w:t>本单位郑重声明，根据《财政部 民政部 中国残疾人联合会关于促进残疾人就业政府采购政策的通知》（财库</w:t>
      </w:r>
      <w:r>
        <w:rPr>
          <w:rFonts w:hint="eastAsia" w:ascii="宋体" w:hAnsi="宋体" w:eastAsia="宋体" w:cs="宋体"/>
          <w:sz w:val="24"/>
          <w:szCs w:val="24"/>
        </w:rPr>
        <w:t>〔2017〕 141</w:t>
      </w:r>
      <w:r>
        <w:rPr>
          <w:rFonts w:hint="eastAsia" w:ascii="宋体" w:hAnsi="宋体" w:eastAsia="宋体" w:cs="宋体"/>
          <w:spacing w:val="6"/>
          <w:sz w:val="24"/>
          <w:szCs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2449C03">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spacing w:val="6"/>
          <w:sz w:val="24"/>
          <w:szCs w:val="24"/>
        </w:rPr>
      </w:pPr>
      <w:r>
        <w:rPr>
          <w:rFonts w:hint="eastAsia" w:ascii="宋体" w:hAnsi="宋体" w:eastAsia="宋体" w:cs="宋体"/>
          <w:spacing w:val="6"/>
          <w:sz w:val="24"/>
          <w:szCs w:val="24"/>
        </w:rPr>
        <w:t>本单位对上述声明的真实性负责。如有虚假，将依法承担相应责任。</w:t>
      </w:r>
    </w:p>
    <w:p w14:paraId="4835E232">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504" w:firstLineChars="200"/>
        <w:jc w:val="right"/>
        <w:textAlignment w:val="auto"/>
        <w:rPr>
          <w:rFonts w:hint="eastAsia" w:ascii="宋体" w:hAnsi="宋体" w:eastAsia="宋体" w:cs="宋体"/>
          <w:spacing w:val="6"/>
          <w:sz w:val="24"/>
          <w:szCs w:val="24"/>
        </w:rPr>
      </w:pPr>
      <w:r>
        <w:rPr>
          <w:rFonts w:hint="eastAsia" w:ascii="宋体" w:hAnsi="宋体" w:eastAsia="宋体" w:cs="宋体"/>
          <w:spacing w:val="6"/>
          <w:sz w:val="24"/>
          <w:szCs w:val="24"/>
        </w:rPr>
        <w:t>单位名称（盖章）：</w:t>
      </w:r>
    </w:p>
    <w:p w14:paraId="140A9264">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504" w:firstLineChars="200"/>
        <w:jc w:val="right"/>
        <w:textAlignment w:val="auto"/>
        <w:rPr>
          <w:rFonts w:hint="eastAsia" w:ascii="宋体" w:hAnsi="宋体" w:eastAsia="宋体" w:cs="宋体"/>
          <w:spacing w:val="6"/>
          <w:sz w:val="24"/>
          <w:szCs w:val="24"/>
        </w:rPr>
      </w:pPr>
      <w:r>
        <w:rPr>
          <w:rFonts w:hint="eastAsia" w:ascii="宋体" w:hAnsi="宋体" w:eastAsia="宋体" w:cs="宋体"/>
          <w:spacing w:val="6"/>
          <w:sz w:val="24"/>
          <w:szCs w:val="24"/>
        </w:rPr>
        <w:t>日  期：</w:t>
      </w:r>
    </w:p>
    <w:p w14:paraId="7BB48D1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备注：享受政府采购支持政策的残疾人福利性单位应当同时满足以下条件：</w:t>
      </w:r>
    </w:p>
    <w:p w14:paraId="6E707AA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（1）安置的残疾人占本单位在职职工人数的比例不低于25%（含25%），并且安置的残疾人人数不少于10人（含10人）；</w:t>
      </w:r>
    </w:p>
    <w:p w14:paraId="0B884D9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（2）依法与安置的每位残疾人签订了一年以上（含一年）的劳动合同或服务协议；</w:t>
      </w:r>
    </w:p>
    <w:p w14:paraId="50810F4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（3）为安置的每位残疾人按月足额缴纳了基本养老保险、基本医疗保险、失业保险、工伤保险和生育保险等社会保险费；</w:t>
      </w:r>
    </w:p>
    <w:p w14:paraId="73451DB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（4）通过银行等金融机构向安置的每位残疾人，按月支付了不低于单位所在区县适用的经省级人民政府批准的月最低工资标准的工资；</w:t>
      </w:r>
    </w:p>
    <w:p w14:paraId="2053C9F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（5）提供本单位制造的货物、承担的工程或者服务（以下简称产品），或者提供其他残疾人福利性单位制造的货物（不包括使用非残疾人福利性单位注册商标的货物）。</w:t>
      </w:r>
    </w:p>
    <w:p w14:paraId="4891F44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bookmarkEnd w:id="764"/>
    <w:bookmarkEnd w:id="859"/>
    <w:p w14:paraId="1E4B4296">
      <w:pPr>
        <w:keepNext w:val="0"/>
        <w:keepLines w:val="0"/>
        <w:pageBreakBefore w:val="0"/>
        <w:widowControl w:val="0"/>
        <w:kinsoku/>
        <w:wordWrap/>
        <w:overflowPunct/>
        <w:topLinePunct w:val="0"/>
        <w:autoSpaceDE/>
        <w:autoSpaceDN/>
        <w:bidi w:val="0"/>
        <w:adjustRightInd/>
        <w:spacing w:line="360" w:lineRule="auto"/>
        <w:ind w:firstLine="504" w:firstLineChars="200"/>
        <w:textAlignment w:val="auto"/>
        <w:rPr>
          <w:rFonts w:hint="eastAsia" w:ascii="宋体" w:hAnsi="宋体" w:eastAsia="宋体" w:cs="宋体"/>
          <w:spacing w:val="6"/>
          <w:sz w:val="24"/>
          <w:szCs w:val="24"/>
        </w:rPr>
        <w:sectPr>
          <w:pgSz w:w="11906" w:h="16838"/>
          <w:pgMar w:top="1440" w:right="1800" w:bottom="1440" w:left="1800" w:header="851" w:footer="992" w:gutter="0"/>
          <w:pgNumType w:fmt="decimal"/>
          <w:cols w:space="425" w:num="1"/>
          <w:docGrid w:type="lines" w:linePitch="312" w:charSpace="0"/>
        </w:sectPr>
      </w:pPr>
    </w:p>
    <w:p w14:paraId="752F6932">
      <w:pPr>
        <w:spacing w:line="276" w:lineRule="auto"/>
        <w:ind w:right="-62" w:rightChars="-31"/>
        <w:jc w:val="center"/>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en-US" w:eastAsia="zh-CN"/>
        </w:rPr>
        <w:t>中小企业</w:t>
      </w:r>
      <w:r>
        <w:rPr>
          <w:rFonts w:hint="eastAsia" w:ascii="宋体" w:hAnsi="宋体" w:eastAsia="宋体" w:cs="宋体"/>
          <w:b/>
          <w:sz w:val="24"/>
          <w:szCs w:val="24"/>
          <w:highlight w:val="none"/>
          <w:lang w:val="zh-CN"/>
        </w:rPr>
        <w:t>划型标准（关于印发中小企业划型标准规定的通知 工信部联企业[2011]300号）</w:t>
      </w:r>
    </w:p>
    <w:tbl>
      <w:tblPr>
        <w:tblStyle w:val="88"/>
        <w:tblW w:w="0" w:type="dxa"/>
        <w:jc w:val="center"/>
        <w:tblLayout w:type="fixed"/>
        <w:tblCellMar>
          <w:top w:w="0" w:type="dxa"/>
          <w:left w:w="108" w:type="dxa"/>
          <w:bottom w:w="0" w:type="dxa"/>
          <w:right w:w="108" w:type="dxa"/>
        </w:tblCellMar>
      </w:tblPr>
      <w:tblGrid>
        <w:gridCol w:w="490"/>
        <w:gridCol w:w="1954"/>
        <w:gridCol w:w="953"/>
        <w:gridCol w:w="993"/>
        <w:gridCol w:w="1134"/>
        <w:gridCol w:w="850"/>
        <w:gridCol w:w="992"/>
        <w:gridCol w:w="1134"/>
        <w:gridCol w:w="993"/>
        <w:gridCol w:w="992"/>
        <w:gridCol w:w="1143"/>
        <w:gridCol w:w="983"/>
        <w:gridCol w:w="1008"/>
        <w:gridCol w:w="977"/>
      </w:tblGrid>
      <w:tr w14:paraId="2F7317B9">
        <w:tblPrEx>
          <w:tblCellMar>
            <w:top w:w="0" w:type="dxa"/>
            <w:left w:w="108" w:type="dxa"/>
            <w:bottom w:w="0" w:type="dxa"/>
            <w:right w:w="108" w:type="dxa"/>
          </w:tblCellMar>
        </w:tblPrEx>
        <w:trPr>
          <w:trHeight w:val="20" w:hRule="atLeast"/>
          <w:tblHeader/>
          <w:jc w:val="center"/>
        </w:trPr>
        <w:tc>
          <w:tcPr>
            <w:tcW w:w="490" w:type="dxa"/>
            <w:vMerge w:val="restart"/>
            <w:tcBorders>
              <w:top w:val="single" w:color="auto" w:sz="4" w:space="0"/>
              <w:left w:val="single" w:color="auto" w:sz="4" w:space="0"/>
              <w:bottom w:val="single" w:color="auto" w:sz="4" w:space="0"/>
              <w:right w:val="single" w:color="auto" w:sz="4" w:space="0"/>
            </w:tcBorders>
            <w:vAlign w:val="center"/>
          </w:tcPr>
          <w:p w14:paraId="4F331BA5">
            <w:pPr>
              <w:spacing w:line="276" w:lineRule="auto"/>
              <w:ind w:left="-46" w:leftChars="-23" w:right="-62" w:rightChars="-3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序号</w:t>
            </w:r>
          </w:p>
        </w:tc>
        <w:tc>
          <w:tcPr>
            <w:tcW w:w="1954" w:type="dxa"/>
            <w:vMerge w:val="restart"/>
            <w:tcBorders>
              <w:top w:val="single" w:color="auto" w:sz="4" w:space="0"/>
              <w:left w:val="nil"/>
              <w:bottom w:val="single" w:color="auto" w:sz="4" w:space="0"/>
              <w:right w:val="single" w:color="auto" w:sz="4" w:space="0"/>
            </w:tcBorders>
            <w:vAlign w:val="center"/>
          </w:tcPr>
          <w:p w14:paraId="62E774CE">
            <w:pPr>
              <w:spacing w:line="276" w:lineRule="auto"/>
              <w:ind w:left="-46" w:leftChars="-23" w:right="-62" w:rightChars="-3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行业</w:t>
            </w:r>
          </w:p>
        </w:tc>
        <w:tc>
          <w:tcPr>
            <w:tcW w:w="3080" w:type="dxa"/>
            <w:gridSpan w:val="3"/>
            <w:tcBorders>
              <w:top w:val="single" w:color="auto" w:sz="4" w:space="0"/>
              <w:left w:val="nil"/>
              <w:bottom w:val="single" w:color="auto" w:sz="4" w:space="0"/>
              <w:right w:val="single" w:color="auto" w:sz="4" w:space="0"/>
            </w:tcBorders>
            <w:vAlign w:val="center"/>
          </w:tcPr>
          <w:p w14:paraId="1874721E">
            <w:pPr>
              <w:spacing w:line="276" w:lineRule="auto"/>
              <w:ind w:left="-46" w:leftChars="-23" w:right="-62" w:rightChars="-3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大型企业</w:t>
            </w:r>
          </w:p>
        </w:tc>
        <w:tc>
          <w:tcPr>
            <w:tcW w:w="2976" w:type="dxa"/>
            <w:gridSpan w:val="3"/>
            <w:tcBorders>
              <w:top w:val="single" w:color="auto" w:sz="4" w:space="0"/>
              <w:left w:val="nil"/>
              <w:bottom w:val="single" w:color="auto" w:sz="4" w:space="0"/>
              <w:right w:val="single" w:color="auto" w:sz="4" w:space="0"/>
            </w:tcBorders>
            <w:vAlign w:val="center"/>
          </w:tcPr>
          <w:p w14:paraId="04A201DA">
            <w:pPr>
              <w:spacing w:line="276" w:lineRule="auto"/>
              <w:ind w:left="-46" w:leftChars="-23" w:right="-62" w:rightChars="-3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中型企业</w:t>
            </w:r>
          </w:p>
        </w:tc>
        <w:tc>
          <w:tcPr>
            <w:tcW w:w="3128" w:type="dxa"/>
            <w:gridSpan w:val="3"/>
            <w:tcBorders>
              <w:top w:val="single" w:color="auto" w:sz="4" w:space="0"/>
              <w:left w:val="nil"/>
              <w:bottom w:val="single" w:color="auto" w:sz="4" w:space="0"/>
              <w:right w:val="single" w:color="auto" w:sz="4" w:space="0"/>
            </w:tcBorders>
            <w:vAlign w:val="center"/>
          </w:tcPr>
          <w:p w14:paraId="3A41BDD4">
            <w:pPr>
              <w:spacing w:line="276" w:lineRule="auto"/>
              <w:ind w:left="-46" w:leftChars="-23" w:right="-62" w:rightChars="-3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小型企业</w:t>
            </w:r>
          </w:p>
        </w:tc>
        <w:tc>
          <w:tcPr>
            <w:tcW w:w="2968" w:type="dxa"/>
            <w:gridSpan w:val="3"/>
            <w:tcBorders>
              <w:top w:val="single" w:color="auto" w:sz="4" w:space="0"/>
              <w:left w:val="nil"/>
              <w:bottom w:val="single" w:color="auto" w:sz="4" w:space="0"/>
              <w:right w:val="single" w:color="auto" w:sz="4" w:space="0"/>
            </w:tcBorders>
            <w:vAlign w:val="center"/>
          </w:tcPr>
          <w:p w14:paraId="17F2C3F3">
            <w:pPr>
              <w:spacing w:line="276" w:lineRule="auto"/>
              <w:ind w:left="-46" w:leftChars="-23" w:right="-62" w:rightChars="-3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微型企业</w:t>
            </w:r>
          </w:p>
        </w:tc>
      </w:tr>
      <w:tr w14:paraId="1119D221">
        <w:tblPrEx>
          <w:tblCellMar>
            <w:top w:w="0" w:type="dxa"/>
            <w:left w:w="108" w:type="dxa"/>
            <w:bottom w:w="0" w:type="dxa"/>
            <w:right w:w="108" w:type="dxa"/>
          </w:tblCellMar>
        </w:tblPrEx>
        <w:trPr>
          <w:trHeight w:val="20" w:hRule="atLeast"/>
          <w:tblHeader/>
          <w:jc w:val="center"/>
        </w:trPr>
        <w:tc>
          <w:tcPr>
            <w:tcW w:w="490" w:type="dxa"/>
            <w:vMerge w:val="continue"/>
            <w:tcBorders>
              <w:top w:val="single" w:color="auto" w:sz="4" w:space="0"/>
              <w:left w:val="single" w:color="auto" w:sz="4" w:space="0"/>
              <w:bottom w:val="single" w:color="auto" w:sz="4" w:space="0"/>
              <w:right w:val="single" w:color="auto" w:sz="4" w:space="0"/>
            </w:tcBorders>
            <w:vAlign w:val="center"/>
          </w:tcPr>
          <w:p w14:paraId="59229A72">
            <w:pPr>
              <w:jc w:val="left"/>
              <w:rPr>
                <w:rFonts w:hint="eastAsia" w:ascii="宋体" w:hAnsi="宋体" w:eastAsia="宋体" w:cs="宋体"/>
                <w:kern w:val="0"/>
                <w:sz w:val="24"/>
                <w:szCs w:val="24"/>
                <w:highlight w:val="none"/>
              </w:rPr>
            </w:pPr>
          </w:p>
        </w:tc>
        <w:tc>
          <w:tcPr>
            <w:tcW w:w="1954" w:type="dxa"/>
            <w:vMerge w:val="continue"/>
            <w:tcBorders>
              <w:top w:val="single" w:color="auto" w:sz="4" w:space="0"/>
              <w:left w:val="nil"/>
              <w:bottom w:val="single" w:color="auto" w:sz="4" w:space="0"/>
              <w:right w:val="single" w:color="auto" w:sz="4" w:space="0"/>
            </w:tcBorders>
            <w:vAlign w:val="center"/>
          </w:tcPr>
          <w:p w14:paraId="2E33A7F7">
            <w:pPr>
              <w:jc w:val="left"/>
              <w:rPr>
                <w:rFonts w:hint="eastAsia" w:ascii="宋体" w:hAnsi="宋体" w:eastAsia="宋体" w:cs="宋体"/>
                <w:kern w:val="0"/>
                <w:sz w:val="24"/>
                <w:szCs w:val="24"/>
                <w:highlight w:val="none"/>
              </w:rPr>
            </w:pPr>
          </w:p>
        </w:tc>
        <w:tc>
          <w:tcPr>
            <w:tcW w:w="953" w:type="dxa"/>
            <w:tcBorders>
              <w:top w:val="nil"/>
              <w:left w:val="nil"/>
              <w:bottom w:val="single" w:color="auto" w:sz="4" w:space="0"/>
              <w:right w:val="single" w:color="auto" w:sz="4" w:space="0"/>
            </w:tcBorders>
            <w:vAlign w:val="center"/>
          </w:tcPr>
          <w:p w14:paraId="271E1442">
            <w:pPr>
              <w:spacing w:line="276" w:lineRule="auto"/>
              <w:ind w:left="-46" w:leftChars="-23" w:right="-62" w:rightChars="-3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营业收入</w:t>
            </w:r>
          </w:p>
          <w:p w14:paraId="15B55F19">
            <w:pPr>
              <w:spacing w:line="276" w:lineRule="auto"/>
              <w:ind w:left="-46" w:leftChars="-23" w:right="-62" w:rightChars="-3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(万元)</w:t>
            </w:r>
          </w:p>
        </w:tc>
        <w:tc>
          <w:tcPr>
            <w:tcW w:w="993" w:type="dxa"/>
            <w:tcBorders>
              <w:top w:val="nil"/>
              <w:left w:val="nil"/>
              <w:bottom w:val="single" w:color="auto" w:sz="4" w:space="0"/>
              <w:right w:val="single" w:color="auto" w:sz="4" w:space="0"/>
            </w:tcBorders>
            <w:vAlign w:val="center"/>
          </w:tcPr>
          <w:p w14:paraId="2EB180FA">
            <w:pPr>
              <w:spacing w:line="276" w:lineRule="auto"/>
              <w:ind w:left="-46" w:leftChars="-23" w:right="-62" w:rightChars="-3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从业人员</w:t>
            </w:r>
          </w:p>
          <w:p w14:paraId="18FB18B9">
            <w:pPr>
              <w:spacing w:line="276" w:lineRule="auto"/>
              <w:ind w:left="-46" w:leftChars="-23" w:right="-62" w:rightChars="-3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(人)</w:t>
            </w:r>
          </w:p>
        </w:tc>
        <w:tc>
          <w:tcPr>
            <w:tcW w:w="1134" w:type="dxa"/>
            <w:tcBorders>
              <w:top w:val="nil"/>
              <w:left w:val="nil"/>
              <w:bottom w:val="single" w:color="auto" w:sz="4" w:space="0"/>
              <w:right w:val="single" w:color="auto" w:sz="4" w:space="0"/>
            </w:tcBorders>
            <w:vAlign w:val="center"/>
          </w:tcPr>
          <w:p w14:paraId="35776DD9">
            <w:pPr>
              <w:spacing w:line="276" w:lineRule="auto"/>
              <w:ind w:left="-46" w:leftChars="-23" w:right="-62" w:rightChars="-3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总资产</w:t>
            </w:r>
          </w:p>
          <w:p w14:paraId="5A303A0D">
            <w:pPr>
              <w:spacing w:line="276" w:lineRule="auto"/>
              <w:ind w:left="-46" w:leftChars="-23" w:right="-62" w:rightChars="-3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(万元)</w:t>
            </w:r>
          </w:p>
        </w:tc>
        <w:tc>
          <w:tcPr>
            <w:tcW w:w="850" w:type="dxa"/>
            <w:tcBorders>
              <w:top w:val="nil"/>
              <w:left w:val="nil"/>
              <w:bottom w:val="single" w:color="auto" w:sz="4" w:space="0"/>
              <w:right w:val="single" w:color="auto" w:sz="4" w:space="0"/>
            </w:tcBorders>
            <w:vAlign w:val="center"/>
          </w:tcPr>
          <w:p w14:paraId="7CC3B449">
            <w:pPr>
              <w:spacing w:line="276" w:lineRule="auto"/>
              <w:ind w:left="-46" w:leftChars="-23" w:right="-62" w:rightChars="-3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营业收入</w:t>
            </w:r>
          </w:p>
          <w:p w14:paraId="6BF66A60">
            <w:pPr>
              <w:spacing w:line="276" w:lineRule="auto"/>
              <w:ind w:left="-46" w:leftChars="-23" w:right="-62" w:rightChars="-3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(万元)</w:t>
            </w:r>
          </w:p>
        </w:tc>
        <w:tc>
          <w:tcPr>
            <w:tcW w:w="992" w:type="dxa"/>
            <w:tcBorders>
              <w:top w:val="nil"/>
              <w:left w:val="nil"/>
              <w:bottom w:val="single" w:color="auto" w:sz="4" w:space="0"/>
              <w:right w:val="single" w:color="auto" w:sz="4" w:space="0"/>
            </w:tcBorders>
            <w:vAlign w:val="center"/>
          </w:tcPr>
          <w:p w14:paraId="0C74EAF3">
            <w:pPr>
              <w:spacing w:line="276" w:lineRule="auto"/>
              <w:ind w:left="-46" w:leftChars="-23" w:right="-62" w:rightChars="-3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从业人员</w:t>
            </w:r>
          </w:p>
          <w:p w14:paraId="61D391F4">
            <w:pPr>
              <w:spacing w:line="276" w:lineRule="auto"/>
              <w:ind w:left="-46" w:leftChars="-23" w:right="-62" w:rightChars="-3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(人)</w:t>
            </w:r>
          </w:p>
        </w:tc>
        <w:tc>
          <w:tcPr>
            <w:tcW w:w="1134" w:type="dxa"/>
            <w:tcBorders>
              <w:top w:val="nil"/>
              <w:left w:val="nil"/>
              <w:bottom w:val="single" w:color="auto" w:sz="4" w:space="0"/>
              <w:right w:val="single" w:color="auto" w:sz="4" w:space="0"/>
            </w:tcBorders>
            <w:vAlign w:val="center"/>
          </w:tcPr>
          <w:p w14:paraId="3DACE24F">
            <w:pPr>
              <w:spacing w:line="276" w:lineRule="auto"/>
              <w:ind w:left="-46" w:leftChars="-23" w:right="-62" w:rightChars="-3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总资产</w:t>
            </w:r>
          </w:p>
          <w:p w14:paraId="2B19E5C0">
            <w:pPr>
              <w:spacing w:line="276" w:lineRule="auto"/>
              <w:ind w:left="-46" w:leftChars="-23" w:right="-62" w:rightChars="-3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(万元)</w:t>
            </w:r>
          </w:p>
        </w:tc>
        <w:tc>
          <w:tcPr>
            <w:tcW w:w="993" w:type="dxa"/>
            <w:tcBorders>
              <w:top w:val="nil"/>
              <w:left w:val="nil"/>
              <w:bottom w:val="single" w:color="auto" w:sz="4" w:space="0"/>
              <w:right w:val="single" w:color="auto" w:sz="4" w:space="0"/>
            </w:tcBorders>
            <w:vAlign w:val="center"/>
          </w:tcPr>
          <w:p w14:paraId="69A48FCC">
            <w:pPr>
              <w:spacing w:line="276" w:lineRule="auto"/>
              <w:ind w:left="-46" w:leftChars="-23" w:right="-62" w:rightChars="-3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营业收入</w:t>
            </w:r>
          </w:p>
          <w:p w14:paraId="331AE6D5">
            <w:pPr>
              <w:spacing w:line="276" w:lineRule="auto"/>
              <w:ind w:left="-46" w:leftChars="-23" w:right="-62" w:rightChars="-3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(万元)</w:t>
            </w:r>
          </w:p>
        </w:tc>
        <w:tc>
          <w:tcPr>
            <w:tcW w:w="992" w:type="dxa"/>
            <w:tcBorders>
              <w:top w:val="nil"/>
              <w:left w:val="nil"/>
              <w:bottom w:val="single" w:color="auto" w:sz="4" w:space="0"/>
              <w:right w:val="single" w:color="auto" w:sz="4" w:space="0"/>
            </w:tcBorders>
            <w:vAlign w:val="center"/>
          </w:tcPr>
          <w:p w14:paraId="1587980C">
            <w:pPr>
              <w:spacing w:line="276" w:lineRule="auto"/>
              <w:ind w:left="143" w:leftChars="-23" w:right="-62" w:rightChars="-31" w:hanging="189" w:hangingChars="79"/>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从业人员</w:t>
            </w:r>
          </w:p>
          <w:p w14:paraId="6141B26B">
            <w:pPr>
              <w:spacing w:line="276" w:lineRule="auto"/>
              <w:ind w:left="-46" w:leftChars="-23" w:right="-62" w:rightChars="-3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(人)</w:t>
            </w:r>
          </w:p>
        </w:tc>
        <w:tc>
          <w:tcPr>
            <w:tcW w:w="1143" w:type="dxa"/>
            <w:tcBorders>
              <w:top w:val="nil"/>
              <w:left w:val="nil"/>
              <w:bottom w:val="single" w:color="auto" w:sz="4" w:space="0"/>
              <w:right w:val="single" w:color="auto" w:sz="4" w:space="0"/>
            </w:tcBorders>
            <w:vAlign w:val="center"/>
          </w:tcPr>
          <w:p w14:paraId="05324492">
            <w:pPr>
              <w:spacing w:line="276" w:lineRule="auto"/>
              <w:ind w:left="-46" w:leftChars="-23" w:right="-62" w:rightChars="-3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总资产</w:t>
            </w:r>
          </w:p>
          <w:p w14:paraId="2AF01A29">
            <w:pPr>
              <w:spacing w:line="276" w:lineRule="auto"/>
              <w:ind w:left="-46" w:leftChars="-23" w:right="-62" w:rightChars="-3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(万元)</w:t>
            </w:r>
          </w:p>
        </w:tc>
        <w:tc>
          <w:tcPr>
            <w:tcW w:w="983" w:type="dxa"/>
            <w:tcBorders>
              <w:top w:val="nil"/>
              <w:left w:val="nil"/>
              <w:bottom w:val="single" w:color="auto" w:sz="4" w:space="0"/>
              <w:right w:val="single" w:color="auto" w:sz="4" w:space="0"/>
            </w:tcBorders>
            <w:vAlign w:val="center"/>
          </w:tcPr>
          <w:p w14:paraId="6FA60161">
            <w:pPr>
              <w:spacing w:line="276" w:lineRule="auto"/>
              <w:ind w:left="-46" w:leftChars="-23" w:right="-62" w:rightChars="-3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营业收入</w:t>
            </w:r>
          </w:p>
          <w:p w14:paraId="5565665D">
            <w:pPr>
              <w:spacing w:line="276" w:lineRule="auto"/>
              <w:ind w:left="-46" w:leftChars="-23" w:right="-62" w:rightChars="-3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(万元)</w:t>
            </w:r>
          </w:p>
        </w:tc>
        <w:tc>
          <w:tcPr>
            <w:tcW w:w="1008" w:type="dxa"/>
            <w:tcBorders>
              <w:top w:val="nil"/>
              <w:left w:val="nil"/>
              <w:bottom w:val="single" w:color="auto" w:sz="4" w:space="0"/>
              <w:right w:val="single" w:color="auto" w:sz="4" w:space="0"/>
            </w:tcBorders>
            <w:vAlign w:val="center"/>
          </w:tcPr>
          <w:p w14:paraId="36867A4B">
            <w:pPr>
              <w:spacing w:line="276" w:lineRule="auto"/>
              <w:ind w:left="-46" w:leftChars="-23" w:right="-62" w:rightChars="-3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从业人员</w:t>
            </w:r>
          </w:p>
          <w:p w14:paraId="5A38A962">
            <w:pPr>
              <w:spacing w:line="276" w:lineRule="auto"/>
              <w:ind w:left="-46" w:leftChars="-23" w:right="-62" w:rightChars="-3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(人)</w:t>
            </w:r>
          </w:p>
        </w:tc>
        <w:tc>
          <w:tcPr>
            <w:tcW w:w="977" w:type="dxa"/>
            <w:tcBorders>
              <w:top w:val="nil"/>
              <w:left w:val="nil"/>
              <w:bottom w:val="single" w:color="auto" w:sz="4" w:space="0"/>
              <w:right w:val="single" w:color="auto" w:sz="4" w:space="0"/>
            </w:tcBorders>
            <w:vAlign w:val="center"/>
          </w:tcPr>
          <w:p w14:paraId="2D3E84CF">
            <w:pPr>
              <w:spacing w:line="276" w:lineRule="auto"/>
              <w:ind w:left="-46" w:leftChars="-23" w:right="-62" w:rightChars="-3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总资产</w:t>
            </w:r>
          </w:p>
          <w:p w14:paraId="2B2D3C29">
            <w:pPr>
              <w:spacing w:line="276" w:lineRule="auto"/>
              <w:ind w:left="-46" w:leftChars="-23" w:right="-62" w:rightChars="-3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(万元)</w:t>
            </w:r>
          </w:p>
        </w:tc>
      </w:tr>
      <w:tr w14:paraId="73F89C72">
        <w:tblPrEx>
          <w:tblCellMar>
            <w:top w:w="0" w:type="dxa"/>
            <w:left w:w="108" w:type="dxa"/>
            <w:bottom w:w="0" w:type="dxa"/>
            <w:right w:w="108" w:type="dxa"/>
          </w:tblCellMar>
        </w:tblPrEx>
        <w:trPr>
          <w:trHeight w:val="20" w:hRule="atLeast"/>
          <w:jc w:val="center"/>
        </w:trPr>
        <w:tc>
          <w:tcPr>
            <w:tcW w:w="490" w:type="dxa"/>
            <w:tcBorders>
              <w:top w:val="single" w:color="auto" w:sz="4" w:space="0"/>
              <w:left w:val="single" w:color="auto" w:sz="4" w:space="0"/>
              <w:bottom w:val="single" w:color="auto" w:sz="4" w:space="0"/>
              <w:right w:val="single" w:color="auto" w:sz="4" w:space="0"/>
            </w:tcBorders>
            <w:vAlign w:val="center"/>
          </w:tcPr>
          <w:p w14:paraId="18570A1D">
            <w:pPr>
              <w:spacing w:line="276" w:lineRule="auto"/>
              <w:ind w:left="-102" w:leftChars="-51" w:right="-102" w:rightChars="-5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w:t>
            </w:r>
          </w:p>
        </w:tc>
        <w:tc>
          <w:tcPr>
            <w:tcW w:w="1954" w:type="dxa"/>
            <w:tcBorders>
              <w:top w:val="single" w:color="auto" w:sz="4" w:space="0"/>
              <w:left w:val="nil"/>
              <w:bottom w:val="single" w:color="auto" w:sz="4" w:space="0"/>
              <w:right w:val="single" w:color="auto" w:sz="4" w:space="0"/>
            </w:tcBorders>
            <w:vAlign w:val="center"/>
          </w:tcPr>
          <w:p w14:paraId="55C8C544">
            <w:pPr>
              <w:spacing w:line="276" w:lineRule="auto"/>
              <w:ind w:left="-26" w:leftChars="-13" w:right="-62" w:rightChars="-3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农、林、牧、渔业</w:t>
            </w:r>
          </w:p>
        </w:tc>
        <w:tc>
          <w:tcPr>
            <w:tcW w:w="953" w:type="dxa"/>
            <w:tcBorders>
              <w:top w:val="single" w:color="auto" w:sz="4" w:space="0"/>
              <w:left w:val="nil"/>
              <w:bottom w:val="single" w:color="auto" w:sz="4" w:space="0"/>
              <w:right w:val="single" w:color="auto" w:sz="4" w:space="0"/>
            </w:tcBorders>
            <w:vAlign w:val="center"/>
          </w:tcPr>
          <w:p w14:paraId="7E860DA4">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≥20000</w:t>
            </w:r>
          </w:p>
        </w:tc>
        <w:tc>
          <w:tcPr>
            <w:tcW w:w="993" w:type="dxa"/>
            <w:tcBorders>
              <w:top w:val="nil"/>
              <w:left w:val="nil"/>
              <w:bottom w:val="single" w:color="auto" w:sz="4" w:space="0"/>
              <w:right w:val="single" w:color="auto" w:sz="4" w:space="0"/>
            </w:tcBorders>
            <w:vAlign w:val="center"/>
          </w:tcPr>
          <w:p w14:paraId="56CB5882">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1134" w:type="dxa"/>
            <w:tcBorders>
              <w:top w:val="nil"/>
              <w:left w:val="nil"/>
              <w:bottom w:val="single" w:color="auto" w:sz="4" w:space="0"/>
              <w:right w:val="single" w:color="auto" w:sz="4" w:space="0"/>
            </w:tcBorders>
            <w:vAlign w:val="center"/>
          </w:tcPr>
          <w:p w14:paraId="2B869D91">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850" w:type="dxa"/>
            <w:tcBorders>
              <w:top w:val="nil"/>
              <w:left w:val="nil"/>
              <w:bottom w:val="single" w:color="auto" w:sz="4" w:space="0"/>
              <w:right w:val="single" w:color="auto" w:sz="4" w:space="0"/>
            </w:tcBorders>
            <w:vAlign w:val="center"/>
          </w:tcPr>
          <w:p w14:paraId="0B2CB712">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≥500</w:t>
            </w:r>
          </w:p>
        </w:tc>
        <w:tc>
          <w:tcPr>
            <w:tcW w:w="992" w:type="dxa"/>
            <w:tcBorders>
              <w:top w:val="nil"/>
              <w:left w:val="nil"/>
              <w:bottom w:val="single" w:color="auto" w:sz="4" w:space="0"/>
              <w:right w:val="single" w:color="auto" w:sz="4" w:space="0"/>
            </w:tcBorders>
            <w:vAlign w:val="center"/>
          </w:tcPr>
          <w:p w14:paraId="1CF67E51">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1134" w:type="dxa"/>
            <w:tcBorders>
              <w:top w:val="nil"/>
              <w:left w:val="nil"/>
              <w:bottom w:val="single" w:color="auto" w:sz="4" w:space="0"/>
              <w:right w:val="single" w:color="auto" w:sz="4" w:space="0"/>
            </w:tcBorders>
            <w:vAlign w:val="center"/>
          </w:tcPr>
          <w:p w14:paraId="15CE603D">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993" w:type="dxa"/>
            <w:tcBorders>
              <w:top w:val="nil"/>
              <w:left w:val="nil"/>
              <w:bottom w:val="single" w:color="auto" w:sz="4" w:space="0"/>
              <w:right w:val="single" w:color="auto" w:sz="4" w:space="0"/>
            </w:tcBorders>
            <w:vAlign w:val="center"/>
          </w:tcPr>
          <w:p w14:paraId="5C9F5CAC">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≥50</w:t>
            </w:r>
          </w:p>
        </w:tc>
        <w:tc>
          <w:tcPr>
            <w:tcW w:w="992" w:type="dxa"/>
            <w:tcBorders>
              <w:top w:val="nil"/>
              <w:left w:val="nil"/>
              <w:bottom w:val="single" w:color="auto" w:sz="4" w:space="0"/>
              <w:right w:val="single" w:color="auto" w:sz="4" w:space="0"/>
            </w:tcBorders>
            <w:vAlign w:val="center"/>
          </w:tcPr>
          <w:p w14:paraId="05CBFA2A">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1143" w:type="dxa"/>
            <w:tcBorders>
              <w:top w:val="nil"/>
              <w:left w:val="nil"/>
              <w:bottom w:val="single" w:color="auto" w:sz="4" w:space="0"/>
              <w:right w:val="single" w:color="auto" w:sz="4" w:space="0"/>
            </w:tcBorders>
            <w:vAlign w:val="center"/>
          </w:tcPr>
          <w:p w14:paraId="15F86F5B">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983" w:type="dxa"/>
            <w:tcBorders>
              <w:top w:val="nil"/>
              <w:left w:val="nil"/>
              <w:bottom w:val="single" w:color="auto" w:sz="4" w:space="0"/>
              <w:right w:val="single" w:color="auto" w:sz="4" w:space="0"/>
            </w:tcBorders>
            <w:vAlign w:val="center"/>
          </w:tcPr>
          <w:p w14:paraId="630AF924">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＜50</w:t>
            </w:r>
          </w:p>
        </w:tc>
        <w:tc>
          <w:tcPr>
            <w:tcW w:w="1008" w:type="dxa"/>
            <w:tcBorders>
              <w:top w:val="nil"/>
              <w:left w:val="nil"/>
              <w:bottom w:val="single" w:color="auto" w:sz="4" w:space="0"/>
              <w:right w:val="single" w:color="auto" w:sz="4" w:space="0"/>
            </w:tcBorders>
            <w:vAlign w:val="center"/>
          </w:tcPr>
          <w:p w14:paraId="7C0C03D9">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977" w:type="dxa"/>
            <w:tcBorders>
              <w:top w:val="nil"/>
              <w:left w:val="nil"/>
              <w:bottom w:val="single" w:color="auto" w:sz="4" w:space="0"/>
              <w:right w:val="single" w:color="auto" w:sz="4" w:space="0"/>
            </w:tcBorders>
            <w:vAlign w:val="center"/>
          </w:tcPr>
          <w:p w14:paraId="4A0606F8">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r>
      <w:tr w14:paraId="461D3D97">
        <w:tblPrEx>
          <w:tblCellMar>
            <w:top w:w="0" w:type="dxa"/>
            <w:left w:w="108" w:type="dxa"/>
            <w:bottom w:w="0" w:type="dxa"/>
            <w:right w:w="108" w:type="dxa"/>
          </w:tblCellMar>
        </w:tblPrEx>
        <w:trPr>
          <w:trHeight w:val="20" w:hRule="atLeast"/>
          <w:jc w:val="center"/>
        </w:trPr>
        <w:tc>
          <w:tcPr>
            <w:tcW w:w="490" w:type="dxa"/>
            <w:tcBorders>
              <w:top w:val="nil"/>
              <w:left w:val="single" w:color="auto" w:sz="4" w:space="0"/>
              <w:bottom w:val="single" w:color="auto" w:sz="4" w:space="0"/>
              <w:right w:val="single" w:color="auto" w:sz="4" w:space="0"/>
            </w:tcBorders>
            <w:vAlign w:val="center"/>
          </w:tcPr>
          <w:p w14:paraId="32FC0492">
            <w:pPr>
              <w:spacing w:line="276" w:lineRule="auto"/>
              <w:ind w:left="-102" w:leftChars="-51" w:right="-102" w:rightChars="-5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w:t>
            </w:r>
          </w:p>
        </w:tc>
        <w:tc>
          <w:tcPr>
            <w:tcW w:w="1954" w:type="dxa"/>
            <w:tcBorders>
              <w:top w:val="nil"/>
              <w:left w:val="nil"/>
              <w:bottom w:val="single" w:color="auto" w:sz="4" w:space="0"/>
              <w:right w:val="single" w:color="auto" w:sz="4" w:space="0"/>
            </w:tcBorders>
            <w:vAlign w:val="center"/>
          </w:tcPr>
          <w:p w14:paraId="30B1566E">
            <w:pPr>
              <w:spacing w:line="276" w:lineRule="auto"/>
              <w:ind w:left="-26" w:leftChars="-13" w:right="-62" w:rightChars="-3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工业</w:t>
            </w:r>
          </w:p>
        </w:tc>
        <w:tc>
          <w:tcPr>
            <w:tcW w:w="953" w:type="dxa"/>
            <w:tcBorders>
              <w:top w:val="nil"/>
              <w:left w:val="nil"/>
              <w:bottom w:val="single" w:color="auto" w:sz="4" w:space="0"/>
              <w:right w:val="single" w:color="auto" w:sz="4" w:space="0"/>
            </w:tcBorders>
            <w:vAlign w:val="center"/>
          </w:tcPr>
          <w:p w14:paraId="5389BC9B">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≥40000</w:t>
            </w:r>
          </w:p>
        </w:tc>
        <w:tc>
          <w:tcPr>
            <w:tcW w:w="993" w:type="dxa"/>
            <w:tcBorders>
              <w:top w:val="nil"/>
              <w:left w:val="nil"/>
              <w:bottom w:val="single" w:color="auto" w:sz="4" w:space="0"/>
              <w:right w:val="single" w:color="auto" w:sz="4" w:space="0"/>
            </w:tcBorders>
            <w:vAlign w:val="center"/>
          </w:tcPr>
          <w:p w14:paraId="5A0B32A1">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且≥1000</w:t>
            </w:r>
          </w:p>
        </w:tc>
        <w:tc>
          <w:tcPr>
            <w:tcW w:w="1134" w:type="dxa"/>
            <w:tcBorders>
              <w:top w:val="nil"/>
              <w:left w:val="nil"/>
              <w:bottom w:val="single" w:color="auto" w:sz="4" w:space="0"/>
              <w:right w:val="single" w:color="auto" w:sz="4" w:space="0"/>
            </w:tcBorders>
            <w:vAlign w:val="center"/>
          </w:tcPr>
          <w:p w14:paraId="15E77109">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850" w:type="dxa"/>
            <w:tcBorders>
              <w:top w:val="nil"/>
              <w:left w:val="nil"/>
              <w:bottom w:val="single" w:color="auto" w:sz="4" w:space="0"/>
              <w:right w:val="single" w:color="auto" w:sz="4" w:space="0"/>
            </w:tcBorders>
            <w:vAlign w:val="center"/>
          </w:tcPr>
          <w:p w14:paraId="183B28B7">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≥2000</w:t>
            </w:r>
          </w:p>
        </w:tc>
        <w:tc>
          <w:tcPr>
            <w:tcW w:w="992" w:type="dxa"/>
            <w:tcBorders>
              <w:top w:val="nil"/>
              <w:left w:val="nil"/>
              <w:bottom w:val="single" w:color="auto" w:sz="4" w:space="0"/>
              <w:right w:val="single" w:color="auto" w:sz="4" w:space="0"/>
            </w:tcBorders>
            <w:vAlign w:val="center"/>
          </w:tcPr>
          <w:p w14:paraId="55FEB4AD">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且≥300</w:t>
            </w:r>
          </w:p>
        </w:tc>
        <w:tc>
          <w:tcPr>
            <w:tcW w:w="1134" w:type="dxa"/>
            <w:tcBorders>
              <w:top w:val="nil"/>
              <w:left w:val="nil"/>
              <w:bottom w:val="single" w:color="auto" w:sz="4" w:space="0"/>
              <w:right w:val="single" w:color="auto" w:sz="4" w:space="0"/>
            </w:tcBorders>
            <w:vAlign w:val="center"/>
          </w:tcPr>
          <w:p w14:paraId="23528A23">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993" w:type="dxa"/>
            <w:tcBorders>
              <w:top w:val="nil"/>
              <w:left w:val="nil"/>
              <w:bottom w:val="single" w:color="auto" w:sz="4" w:space="0"/>
              <w:right w:val="single" w:color="auto" w:sz="4" w:space="0"/>
            </w:tcBorders>
            <w:vAlign w:val="center"/>
          </w:tcPr>
          <w:p w14:paraId="5834D7DD">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≥300</w:t>
            </w:r>
          </w:p>
        </w:tc>
        <w:tc>
          <w:tcPr>
            <w:tcW w:w="992" w:type="dxa"/>
            <w:tcBorders>
              <w:top w:val="nil"/>
              <w:left w:val="nil"/>
              <w:bottom w:val="single" w:color="auto" w:sz="4" w:space="0"/>
              <w:right w:val="single" w:color="auto" w:sz="4" w:space="0"/>
            </w:tcBorders>
            <w:vAlign w:val="center"/>
          </w:tcPr>
          <w:p w14:paraId="6EE4FCC8">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且≥20</w:t>
            </w:r>
          </w:p>
        </w:tc>
        <w:tc>
          <w:tcPr>
            <w:tcW w:w="1143" w:type="dxa"/>
            <w:tcBorders>
              <w:top w:val="nil"/>
              <w:left w:val="nil"/>
              <w:bottom w:val="single" w:color="auto" w:sz="4" w:space="0"/>
              <w:right w:val="single" w:color="auto" w:sz="4" w:space="0"/>
            </w:tcBorders>
            <w:vAlign w:val="center"/>
          </w:tcPr>
          <w:p w14:paraId="458EA846">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983" w:type="dxa"/>
            <w:tcBorders>
              <w:top w:val="nil"/>
              <w:left w:val="nil"/>
              <w:bottom w:val="single" w:color="auto" w:sz="4" w:space="0"/>
              <w:right w:val="single" w:color="auto" w:sz="4" w:space="0"/>
            </w:tcBorders>
            <w:vAlign w:val="center"/>
          </w:tcPr>
          <w:p w14:paraId="0BD5A4A3">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＜300</w:t>
            </w:r>
          </w:p>
        </w:tc>
        <w:tc>
          <w:tcPr>
            <w:tcW w:w="1008" w:type="dxa"/>
            <w:tcBorders>
              <w:top w:val="nil"/>
              <w:left w:val="nil"/>
              <w:bottom w:val="single" w:color="auto" w:sz="4" w:space="0"/>
              <w:right w:val="single" w:color="auto" w:sz="4" w:space="0"/>
            </w:tcBorders>
            <w:vAlign w:val="center"/>
          </w:tcPr>
          <w:p w14:paraId="7DE174E4">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或＜20</w:t>
            </w:r>
          </w:p>
        </w:tc>
        <w:tc>
          <w:tcPr>
            <w:tcW w:w="977" w:type="dxa"/>
            <w:tcBorders>
              <w:top w:val="nil"/>
              <w:left w:val="nil"/>
              <w:bottom w:val="single" w:color="auto" w:sz="4" w:space="0"/>
              <w:right w:val="single" w:color="auto" w:sz="4" w:space="0"/>
            </w:tcBorders>
            <w:vAlign w:val="center"/>
          </w:tcPr>
          <w:p w14:paraId="7F899BBD">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r>
      <w:tr w14:paraId="21AE37A5">
        <w:tblPrEx>
          <w:tblCellMar>
            <w:top w:w="0" w:type="dxa"/>
            <w:left w:w="108" w:type="dxa"/>
            <w:bottom w:w="0" w:type="dxa"/>
            <w:right w:w="108" w:type="dxa"/>
          </w:tblCellMar>
        </w:tblPrEx>
        <w:trPr>
          <w:trHeight w:val="20" w:hRule="atLeast"/>
          <w:jc w:val="center"/>
        </w:trPr>
        <w:tc>
          <w:tcPr>
            <w:tcW w:w="490" w:type="dxa"/>
            <w:tcBorders>
              <w:top w:val="nil"/>
              <w:left w:val="single" w:color="auto" w:sz="4" w:space="0"/>
              <w:bottom w:val="single" w:color="auto" w:sz="4" w:space="0"/>
              <w:right w:val="single" w:color="auto" w:sz="4" w:space="0"/>
            </w:tcBorders>
            <w:vAlign w:val="center"/>
          </w:tcPr>
          <w:p w14:paraId="057DF418">
            <w:pPr>
              <w:spacing w:line="276" w:lineRule="auto"/>
              <w:ind w:left="-102" w:leftChars="-51" w:right="-102" w:rightChars="-5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w:t>
            </w:r>
          </w:p>
        </w:tc>
        <w:tc>
          <w:tcPr>
            <w:tcW w:w="1954" w:type="dxa"/>
            <w:tcBorders>
              <w:top w:val="nil"/>
              <w:left w:val="nil"/>
              <w:bottom w:val="single" w:color="auto" w:sz="4" w:space="0"/>
              <w:right w:val="single" w:color="auto" w:sz="4" w:space="0"/>
            </w:tcBorders>
            <w:vAlign w:val="center"/>
          </w:tcPr>
          <w:p w14:paraId="5AECF83B">
            <w:pPr>
              <w:spacing w:line="276" w:lineRule="auto"/>
              <w:ind w:left="-26" w:leftChars="-13" w:right="-62" w:rightChars="-3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建筑业</w:t>
            </w:r>
          </w:p>
        </w:tc>
        <w:tc>
          <w:tcPr>
            <w:tcW w:w="953" w:type="dxa"/>
            <w:tcBorders>
              <w:top w:val="nil"/>
              <w:left w:val="nil"/>
              <w:bottom w:val="single" w:color="auto" w:sz="4" w:space="0"/>
              <w:right w:val="single" w:color="auto" w:sz="4" w:space="0"/>
            </w:tcBorders>
            <w:vAlign w:val="center"/>
          </w:tcPr>
          <w:p w14:paraId="62BB308C">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≥80000</w:t>
            </w:r>
          </w:p>
        </w:tc>
        <w:tc>
          <w:tcPr>
            <w:tcW w:w="993" w:type="dxa"/>
            <w:tcBorders>
              <w:top w:val="nil"/>
              <w:left w:val="nil"/>
              <w:bottom w:val="single" w:color="auto" w:sz="4" w:space="0"/>
              <w:right w:val="single" w:color="auto" w:sz="4" w:space="0"/>
            </w:tcBorders>
            <w:vAlign w:val="center"/>
          </w:tcPr>
          <w:p w14:paraId="46D77E51">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1134" w:type="dxa"/>
            <w:tcBorders>
              <w:top w:val="nil"/>
              <w:left w:val="nil"/>
              <w:bottom w:val="single" w:color="auto" w:sz="4" w:space="0"/>
              <w:right w:val="single" w:color="auto" w:sz="4" w:space="0"/>
            </w:tcBorders>
            <w:vAlign w:val="center"/>
          </w:tcPr>
          <w:p w14:paraId="049B115E">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且≥80000</w:t>
            </w:r>
          </w:p>
        </w:tc>
        <w:tc>
          <w:tcPr>
            <w:tcW w:w="850" w:type="dxa"/>
            <w:tcBorders>
              <w:top w:val="nil"/>
              <w:left w:val="nil"/>
              <w:bottom w:val="single" w:color="auto" w:sz="4" w:space="0"/>
              <w:right w:val="single" w:color="auto" w:sz="4" w:space="0"/>
            </w:tcBorders>
            <w:vAlign w:val="center"/>
          </w:tcPr>
          <w:p w14:paraId="1E0F416F">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≥6000</w:t>
            </w:r>
          </w:p>
        </w:tc>
        <w:tc>
          <w:tcPr>
            <w:tcW w:w="992" w:type="dxa"/>
            <w:tcBorders>
              <w:top w:val="nil"/>
              <w:left w:val="nil"/>
              <w:bottom w:val="single" w:color="auto" w:sz="4" w:space="0"/>
              <w:right w:val="single" w:color="auto" w:sz="4" w:space="0"/>
            </w:tcBorders>
            <w:vAlign w:val="center"/>
          </w:tcPr>
          <w:p w14:paraId="58291FD8">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1134" w:type="dxa"/>
            <w:tcBorders>
              <w:top w:val="nil"/>
              <w:left w:val="nil"/>
              <w:bottom w:val="single" w:color="auto" w:sz="4" w:space="0"/>
              <w:right w:val="single" w:color="auto" w:sz="4" w:space="0"/>
            </w:tcBorders>
            <w:vAlign w:val="center"/>
          </w:tcPr>
          <w:p w14:paraId="37A98936">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且≥5000</w:t>
            </w:r>
          </w:p>
        </w:tc>
        <w:tc>
          <w:tcPr>
            <w:tcW w:w="993" w:type="dxa"/>
            <w:tcBorders>
              <w:top w:val="nil"/>
              <w:left w:val="nil"/>
              <w:bottom w:val="single" w:color="auto" w:sz="4" w:space="0"/>
              <w:right w:val="single" w:color="auto" w:sz="4" w:space="0"/>
            </w:tcBorders>
            <w:vAlign w:val="center"/>
          </w:tcPr>
          <w:p w14:paraId="3034B865">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≥300</w:t>
            </w:r>
          </w:p>
        </w:tc>
        <w:tc>
          <w:tcPr>
            <w:tcW w:w="992" w:type="dxa"/>
            <w:tcBorders>
              <w:top w:val="nil"/>
              <w:left w:val="nil"/>
              <w:bottom w:val="single" w:color="auto" w:sz="4" w:space="0"/>
              <w:right w:val="single" w:color="auto" w:sz="4" w:space="0"/>
            </w:tcBorders>
            <w:vAlign w:val="center"/>
          </w:tcPr>
          <w:p w14:paraId="205FBB67">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1143" w:type="dxa"/>
            <w:tcBorders>
              <w:top w:val="nil"/>
              <w:left w:val="nil"/>
              <w:bottom w:val="single" w:color="auto" w:sz="4" w:space="0"/>
              <w:right w:val="single" w:color="auto" w:sz="4" w:space="0"/>
            </w:tcBorders>
            <w:vAlign w:val="center"/>
          </w:tcPr>
          <w:p w14:paraId="7F0DFCCC">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且≥300</w:t>
            </w:r>
          </w:p>
        </w:tc>
        <w:tc>
          <w:tcPr>
            <w:tcW w:w="983" w:type="dxa"/>
            <w:tcBorders>
              <w:top w:val="nil"/>
              <w:left w:val="nil"/>
              <w:bottom w:val="single" w:color="auto" w:sz="4" w:space="0"/>
              <w:right w:val="single" w:color="auto" w:sz="4" w:space="0"/>
            </w:tcBorders>
            <w:vAlign w:val="center"/>
          </w:tcPr>
          <w:p w14:paraId="182A195F">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＜300</w:t>
            </w:r>
          </w:p>
        </w:tc>
        <w:tc>
          <w:tcPr>
            <w:tcW w:w="1008" w:type="dxa"/>
            <w:tcBorders>
              <w:top w:val="nil"/>
              <w:left w:val="nil"/>
              <w:bottom w:val="single" w:color="auto" w:sz="4" w:space="0"/>
              <w:right w:val="single" w:color="auto" w:sz="4" w:space="0"/>
            </w:tcBorders>
            <w:vAlign w:val="center"/>
          </w:tcPr>
          <w:p w14:paraId="1808BE15">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977" w:type="dxa"/>
            <w:tcBorders>
              <w:top w:val="nil"/>
              <w:left w:val="nil"/>
              <w:bottom w:val="single" w:color="auto" w:sz="4" w:space="0"/>
              <w:right w:val="single" w:color="auto" w:sz="4" w:space="0"/>
            </w:tcBorders>
            <w:vAlign w:val="center"/>
          </w:tcPr>
          <w:p w14:paraId="1791CE23">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或＜300</w:t>
            </w:r>
          </w:p>
        </w:tc>
      </w:tr>
      <w:tr w14:paraId="7B6F4444">
        <w:tblPrEx>
          <w:tblCellMar>
            <w:top w:w="0" w:type="dxa"/>
            <w:left w:w="108" w:type="dxa"/>
            <w:bottom w:w="0" w:type="dxa"/>
            <w:right w:w="108" w:type="dxa"/>
          </w:tblCellMar>
        </w:tblPrEx>
        <w:trPr>
          <w:trHeight w:val="20" w:hRule="atLeast"/>
          <w:jc w:val="center"/>
        </w:trPr>
        <w:tc>
          <w:tcPr>
            <w:tcW w:w="490" w:type="dxa"/>
            <w:tcBorders>
              <w:top w:val="nil"/>
              <w:left w:val="single" w:color="auto" w:sz="4" w:space="0"/>
              <w:bottom w:val="single" w:color="auto" w:sz="4" w:space="0"/>
              <w:right w:val="single" w:color="auto" w:sz="4" w:space="0"/>
            </w:tcBorders>
            <w:vAlign w:val="center"/>
          </w:tcPr>
          <w:p w14:paraId="4FB7B8FB">
            <w:pPr>
              <w:spacing w:line="276" w:lineRule="auto"/>
              <w:ind w:left="-102" w:leftChars="-51" w:right="-102" w:rightChars="-5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4</w:t>
            </w:r>
          </w:p>
        </w:tc>
        <w:tc>
          <w:tcPr>
            <w:tcW w:w="1954" w:type="dxa"/>
            <w:tcBorders>
              <w:top w:val="nil"/>
              <w:left w:val="nil"/>
              <w:bottom w:val="single" w:color="auto" w:sz="4" w:space="0"/>
              <w:right w:val="single" w:color="auto" w:sz="4" w:space="0"/>
            </w:tcBorders>
            <w:vAlign w:val="center"/>
          </w:tcPr>
          <w:p w14:paraId="6195629C">
            <w:pPr>
              <w:spacing w:line="276" w:lineRule="auto"/>
              <w:ind w:left="-26" w:leftChars="-13" w:right="-62" w:rightChars="-3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批发业</w:t>
            </w:r>
          </w:p>
        </w:tc>
        <w:tc>
          <w:tcPr>
            <w:tcW w:w="953" w:type="dxa"/>
            <w:tcBorders>
              <w:top w:val="nil"/>
              <w:left w:val="nil"/>
              <w:bottom w:val="single" w:color="auto" w:sz="4" w:space="0"/>
              <w:right w:val="single" w:color="auto" w:sz="4" w:space="0"/>
            </w:tcBorders>
            <w:vAlign w:val="center"/>
          </w:tcPr>
          <w:p w14:paraId="1E1F2C38">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≥40000</w:t>
            </w:r>
          </w:p>
        </w:tc>
        <w:tc>
          <w:tcPr>
            <w:tcW w:w="993" w:type="dxa"/>
            <w:tcBorders>
              <w:top w:val="nil"/>
              <w:left w:val="nil"/>
              <w:bottom w:val="single" w:color="auto" w:sz="4" w:space="0"/>
              <w:right w:val="single" w:color="auto" w:sz="4" w:space="0"/>
            </w:tcBorders>
            <w:vAlign w:val="center"/>
          </w:tcPr>
          <w:p w14:paraId="4F903D8D">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且≥200</w:t>
            </w:r>
          </w:p>
        </w:tc>
        <w:tc>
          <w:tcPr>
            <w:tcW w:w="1134" w:type="dxa"/>
            <w:tcBorders>
              <w:top w:val="nil"/>
              <w:left w:val="nil"/>
              <w:bottom w:val="single" w:color="auto" w:sz="4" w:space="0"/>
              <w:right w:val="single" w:color="auto" w:sz="4" w:space="0"/>
            </w:tcBorders>
            <w:vAlign w:val="center"/>
          </w:tcPr>
          <w:p w14:paraId="2C2E7C4F">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850" w:type="dxa"/>
            <w:tcBorders>
              <w:top w:val="nil"/>
              <w:left w:val="nil"/>
              <w:bottom w:val="single" w:color="auto" w:sz="4" w:space="0"/>
              <w:right w:val="single" w:color="auto" w:sz="4" w:space="0"/>
            </w:tcBorders>
            <w:vAlign w:val="center"/>
          </w:tcPr>
          <w:p w14:paraId="005D098F">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≥5000</w:t>
            </w:r>
          </w:p>
        </w:tc>
        <w:tc>
          <w:tcPr>
            <w:tcW w:w="992" w:type="dxa"/>
            <w:tcBorders>
              <w:top w:val="nil"/>
              <w:left w:val="nil"/>
              <w:bottom w:val="single" w:color="auto" w:sz="4" w:space="0"/>
              <w:right w:val="single" w:color="auto" w:sz="4" w:space="0"/>
            </w:tcBorders>
            <w:vAlign w:val="center"/>
          </w:tcPr>
          <w:p w14:paraId="7FA7C37F">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且≥20</w:t>
            </w:r>
          </w:p>
        </w:tc>
        <w:tc>
          <w:tcPr>
            <w:tcW w:w="1134" w:type="dxa"/>
            <w:tcBorders>
              <w:top w:val="nil"/>
              <w:left w:val="nil"/>
              <w:bottom w:val="single" w:color="auto" w:sz="4" w:space="0"/>
              <w:right w:val="single" w:color="auto" w:sz="4" w:space="0"/>
            </w:tcBorders>
            <w:vAlign w:val="center"/>
          </w:tcPr>
          <w:p w14:paraId="3A0B4377">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993" w:type="dxa"/>
            <w:tcBorders>
              <w:top w:val="nil"/>
              <w:left w:val="nil"/>
              <w:bottom w:val="single" w:color="auto" w:sz="4" w:space="0"/>
              <w:right w:val="single" w:color="auto" w:sz="4" w:space="0"/>
            </w:tcBorders>
            <w:vAlign w:val="center"/>
          </w:tcPr>
          <w:p w14:paraId="7E22D59D">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≥1000</w:t>
            </w:r>
          </w:p>
        </w:tc>
        <w:tc>
          <w:tcPr>
            <w:tcW w:w="992" w:type="dxa"/>
            <w:tcBorders>
              <w:top w:val="nil"/>
              <w:left w:val="nil"/>
              <w:bottom w:val="single" w:color="auto" w:sz="4" w:space="0"/>
              <w:right w:val="single" w:color="auto" w:sz="4" w:space="0"/>
            </w:tcBorders>
            <w:vAlign w:val="center"/>
          </w:tcPr>
          <w:p w14:paraId="159C1711">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且≥10</w:t>
            </w:r>
          </w:p>
        </w:tc>
        <w:tc>
          <w:tcPr>
            <w:tcW w:w="1143" w:type="dxa"/>
            <w:tcBorders>
              <w:top w:val="nil"/>
              <w:left w:val="nil"/>
              <w:bottom w:val="single" w:color="auto" w:sz="4" w:space="0"/>
              <w:right w:val="single" w:color="auto" w:sz="4" w:space="0"/>
            </w:tcBorders>
            <w:vAlign w:val="center"/>
          </w:tcPr>
          <w:p w14:paraId="70D08AE6">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983" w:type="dxa"/>
            <w:tcBorders>
              <w:top w:val="nil"/>
              <w:left w:val="nil"/>
              <w:bottom w:val="single" w:color="auto" w:sz="4" w:space="0"/>
              <w:right w:val="single" w:color="auto" w:sz="4" w:space="0"/>
            </w:tcBorders>
            <w:vAlign w:val="center"/>
          </w:tcPr>
          <w:p w14:paraId="7CABA486">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＜1000</w:t>
            </w:r>
          </w:p>
        </w:tc>
        <w:tc>
          <w:tcPr>
            <w:tcW w:w="1008" w:type="dxa"/>
            <w:tcBorders>
              <w:top w:val="nil"/>
              <w:left w:val="nil"/>
              <w:bottom w:val="single" w:color="auto" w:sz="4" w:space="0"/>
              <w:right w:val="single" w:color="auto" w:sz="4" w:space="0"/>
            </w:tcBorders>
            <w:vAlign w:val="center"/>
          </w:tcPr>
          <w:p w14:paraId="09269F41">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或＜5</w:t>
            </w:r>
          </w:p>
        </w:tc>
        <w:tc>
          <w:tcPr>
            <w:tcW w:w="977" w:type="dxa"/>
            <w:tcBorders>
              <w:top w:val="nil"/>
              <w:left w:val="nil"/>
              <w:bottom w:val="single" w:color="auto" w:sz="4" w:space="0"/>
              <w:right w:val="single" w:color="auto" w:sz="4" w:space="0"/>
            </w:tcBorders>
            <w:vAlign w:val="center"/>
          </w:tcPr>
          <w:p w14:paraId="058FAFB5">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r>
      <w:tr w14:paraId="2E34723A">
        <w:tblPrEx>
          <w:tblCellMar>
            <w:top w:w="0" w:type="dxa"/>
            <w:left w:w="108" w:type="dxa"/>
            <w:bottom w:w="0" w:type="dxa"/>
            <w:right w:w="108" w:type="dxa"/>
          </w:tblCellMar>
        </w:tblPrEx>
        <w:trPr>
          <w:trHeight w:val="20" w:hRule="atLeast"/>
          <w:jc w:val="center"/>
        </w:trPr>
        <w:tc>
          <w:tcPr>
            <w:tcW w:w="490" w:type="dxa"/>
            <w:tcBorders>
              <w:top w:val="nil"/>
              <w:left w:val="single" w:color="auto" w:sz="4" w:space="0"/>
              <w:bottom w:val="single" w:color="auto" w:sz="4" w:space="0"/>
              <w:right w:val="single" w:color="auto" w:sz="4" w:space="0"/>
            </w:tcBorders>
            <w:vAlign w:val="center"/>
          </w:tcPr>
          <w:p w14:paraId="1D5A4967">
            <w:pPr>
              <w:spacing w:line="276" w:lineRule="auto"/>
              <w:ind w:left="-102" w:leftChars="-51" w:right="-102" w:rightChars="-5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5</w:t>
            </w:r>
          </w:p>
        </w:tc>
        <w:tc>
          <w:tcPr>
            <w:tcW w:w="1954" w:type="dxa"/>
            <w:tcBorders>
              <w:top w:val="nil"/>
              <w:left w:val="nil"/>
              <w:bottom w:val="single" w:color="auto" w:sz="4" w:space="0"/>
              <w:right w:val="single" w:color="auto" w:sz="4" w:space="0"/>
            </w:tcBorders>
            <w:vAlign w:val="center"/>
          </w:tcPr>
          <w:p w14:paraId="1DD11237">
            <w:pPr>
              <w:spacing w:line="276" w:lineRule="auto"/>
              <w:ind w:left="-26" w:leftChars="-13" w:right="-62" w:rightChars="-3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零售业</w:t>
            </w:r>
          </w:p>
        </w:tc>
        <w:tc>
          <w:tcPr>
            <w:tcW w:w="953" w:type="dxa"/>
            <w:tcBorders>
              <w:top w:val="nil"/>
              <w:left w:val="nil"/>
              <w:bottom w:val="single" w:color="auto" w:sz="4" w:space="0"/>
              <w:right w:val="single" w:color="auto" w:sz="4" w:space="0"/>
            </w:tcBorders>
            <w:vAlign w:val="center"/>
          </w:tcPr>
          <w:p w14:paraId="154F0754">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≥20000</w:t>
            </w:r>
          </w:p>
        </w:tc>
        <w:tc>
          <w:tcPr>
            <w:tcW w:w="993" w:type="dxa"/>
            <w:tcBorders>
              <w:top w:val="nil"/>
              <w:left w:val="nil"/>
              <w:bottom w:val="single" w:color="auto" w:sz="4" w:space="0"/>
              <w:right w:val="single" w:color="auto" w:sz="4" w:space="0"/>
            </w:tcBorders>
            <w:vAlign w:val="center"/>
          </w:tcPr>
          <w:p w14:paraId="6DA2C0CF">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且≥300</w:t>
            </w:r>
          </w:p>
        </w:tc>
        <w:tc>
          <w:tcPr>
            <w:tcW w:w="1134" w:type="dxa"/>
            <w:tcBorders>
              <w:top w:val="nil"/>
              <w:left w:val="nil"/>
              <w:bottom w:val="single" w:color="auto" w:sz="4" w:space="0"/>
              <w:right w:val="single" w:color="auto" w:sz="4" w:space="0"/>
            </w:tcBorders>
            <w:vAlign w:val="center"/>
          </w:tcPr>
          <w:p w14:paraId="544BBD5F">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850" w:type="dxa"/>
            <w:tcBorders>
              <w:top w:val="nil"/>
              <w:left w:val="nil"/>
              <w:bottom w:val="single" w:color="auto" w:sz="4" w:space="0"/>
              <w:right w:val="single" w:color="auto" w:sz="4" w:space="0"/>
            </w:tcBorders>
            <w:vAlign w:val="center"/>
          </w:tcPr>
          <w:p w14:paraId="796EE85D">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≥500</w:t>
            </w:r>
          </w:p>
        </w:tc>
        <w:tc>
          <w:tcPr>
            <w:tcW w:w="992" w:type="dxa"/>
            <w:tcBorders>
              <w:top w:val="nil"/>
              <w:left w:val="nil"/>
              <w:bottom w:val="single" w:color="auto" w:sz="4" w:space="0"/>
              <w:right w:val="single" w:color="auto" w:sz="4" w:space="0"/>
            </w:tcBorders>
            <w:vAlign w:val="center"/>
          </w:tcPr>
          <w:p w14:paraId="5F8E93A3">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且≥50</w:t>
            </w:r>
          </w:p>
        </w:tc>
        <w:tc>
          <w:tcPr>
            <w:tcW w:w="1134" w:type="dxa"/>
            <w:tcBorders>
              <w:top w:val="nil"/>
              <w:left w:val="nil"/>
              <w:bottom w:val="single" w:color="auto" w:sz="4" w:space="0"/>
              <w:right w:val="single" w:color="auto" w:sz="4" w:space="0"/>
            </w:tcBorders>
            <w:vAlign w:val="center"/>
          </w:tcPr>
          <w:p w14:paraId="01FC7B0B">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993" w:type="dxa"/>
            <w:tcBorders>
              <w:top w:val="nil"/>
              <w:left w:val="nil"/>
              <w:bottom w:val="single" w:color="auto" w:sz="4" w:space="0"/>
              <w:right w:val="single" w:color="auto" w:sz="4" w:space="0"/>
            </w:tcBorders>
            <w:vAlign w:val="center"/>
          </w:tcPr>
          <w:p w14:paraId="2E6DD07B">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≥100</w:t>
            </w:r>
          </w:p>
        </w:tc>
        <w:tc>
          <w:tcPr>
            <w:tcW w:w="992" w:type="dxa"/>
            <w:tcBorders>
              <w:top w:val="nil"/>
              <w:left w:val="nil"/>
              <w:bottom w:val="single" w:color="auto" w:sz="4" w:space="0"/>
              <w:right w:val="single" w:color="auto" w:sz="4" w:space="0"/>
            </w:tcBorders>
            <w:vAlign w:val="center"/>
          </w:tcPr>
          <w:p w14:paraId="75020853">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且≥10</w:t>
            </w:r>
          </w:p>
        </w:tc>
        <w:tc>
          <w:tcPr>
            <w:tcW w:w="1143" w:type="dxa"/>
            <w:tcBorders>
              <w:top w:val="nil"/>
              <w:left w:val="nil"/>
              <w:bottom w:val="single" w:color="auto" w:sz="4" w:space="0"/>
              <w:right w:val="single" w:color="auto" w:sz="4" w:space="0"/>
            </w:tcBorders>
            <w:vAlign w:val="center"/>
          </w:tcPr>
          <w:p w14:paraId="5EA391A4">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983" w:type="dxa"/>
            <w:tcBorders>
              <w:top w:val="nil"/>
              <w:left w:val="nil"/>
              <w:bottom w:val="single" w:color="auto" w:sz="4" w:space="0"/>
              <w:right w:val="single" w:color="auto" w:sz="4" w:space="0"/>
            </w:tcBorders>
            <w:vAlign w:val="center"/>
          </w:tcPr>
          <w:p w14:paraId="0EC46B31">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＜100</w:t>
            </w:r>
          </w:p>
        </w:tc>
        <w:tc>
          <w:tcPr>
            <w:tcW w:w="1008" w:type="dxa"/>
            <w:tcBorders>
              <w:top w:val="nil"/>
              <w:left w:val="nil"/>
              <w:bottom w:val="single" w:color="auto" w:sz="4" w:space="0"/>
              <w:right w:val="single" w:color="auto" w:sz="4" w:space="0"/>
            </w:tcBorders>
            <w:vAlign w:val="center"/>
          </w:tcPr>
          <w:p w14:paraId="14D6E71B">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或＜10</w:t>
            </w:r>
          </w:p>
        </w:tc>
        <w:tc>
          <w:tcPr>
            <w:tcW w:w="977" w:type="dxa"/>
            <w:tcBorders>
              <w:top w:val="nil"/>
              <w:left w:val="nil"/>
              <w:bottom w:val="single" w:color="auto" w:sz="4" w:space="0"/>
              <w:right w:val="single" w:color="auto" w:sz="4" w:space="0"/>
            </w:tcBorders>
            <w:vAlign w:val="center"/>
          </w:tcPr>
          <w:p w14:paraId="1684AB80">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r>
      <w:tr w14:paraId="2F7A0FC2">
        <w:tblPrEx>
          <w:tblCellMar>
            <w:top w:w="0" w:type="dxa"/>
            <w:left w:w="108" w:type="dxa"/>
            <w:bottom w:w="0" w:type="dxa"/>
            <w:right w:w="108" w:type="dxa"/>
          </w:tblCellMar>
        </w:tblPrEx>
        <w:trPr>
          <w:trHeight w:val="20" w:hRule="atLeast"/>
          <w:jc w:val="center"/>
        </w:trPr>
        <w:tc>
          <w:tcPr>
            <w:tcW w:w="490" w:type="dxa"/>
            <w:tcBorders>
              <w:top w:val="nil"/>
              <w:left w:val="single" w:color="auto" w:sz="4" w:space="0"/>
              <w:bottom w:val="single" w:color="auto" w:sz="4" w:space="0"/>
              <w:right w:val="single" w:color="auto" w:sz="4" w:space="0"/>
            </w:tcBorders>
            <w:vAlign w:val="center"/>
          </w:tcPr>
          <w:p w14:paraId="327AEB2C">
            <w:pPr>
              <w:spacing w:line="276" w:lineRule="auto"/>
              <w:ind w:left="-102" w:leftChars="-51" w:right="-102" w:rightChars="-5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6</w:t>
            </w:r>
          </w:p>
        </w:tc>
        <w:tc>
          <w:tcPr>
            <w:tcW w:w="1954" w:type="dxa"/>
            <w:tcBorders>
              <w:top w:val="nil"/>
              <w:left w:val="nil"/>
              <w:bottom w:val="single" w:color="auto" w:sz="4" w:space="0"/>
              <w:right w:val="single" w:color="auto" w:sz="4" w:space="0"/>
            </w:tcBorders>
            <w:vAlign w:val="center"/>
          </w:tcPr>
          <w:p w14:paraId="03F95E89">
            <w:pPr>
              <w:spacing w:line="276" w:lineRule="auto"/>
              <w:ind w:left="-26" w:leftChars="-13" w:right="-62" w:rightChars="-3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交通运输业</w:t>
            </w:r>
          </w:p>
        </w:tc>
        <w:tc>
          <w:tcPr>
            <w:tcW w:w="953" w:type="dxa"/>
            <w:tcBorders>
              <w:top w:val="nil"/>
              <w:left w:val="nil"/>
              <w:bottom w:val="single" w:color="auto" w:sz="4" w:space="0"/>
              <w:right w:val="single" w:color="auto" w:sz="4" w:space="0"/>
            </w:tcBorders>
            <w:vAlign w:val="center"/>
          </w:tcPr>
          <w:p w14:paraId="5C1D31C6">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≥30000</w:t>
            </w:r>
          </w:p>
        </w:tc>
        <w:tc>
          <w:tcPr>
            <w:tcW w:w="993" w:type="dxa"/>
            <w:tcBorders>
              <w:top w:val="nil"/>
              <w:left w:val="nil"/>
              <w:bottom w:val="single" w:color="auto" w:sz="4" w:space="0"/>
              <w:right w:val="single" w:color="auto" w:sz="4" w:space="0"/>
            </w:tcBorders>
            <w:vAlign w:val="center"/>
          </w:tcPr>
          <w:p w14:paraId="7766790A">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且≥1000</w:t>
            </w:r>
          </w:p>
        </w:tc>
        <w:tc>
          <w:tcPr>
            <w:tcW w:w="1134" w:type="dxa"/>
            <w:tcBorders>
              <w:top w:val="nil"/>
              <w:left w:val="nil"/>
              <w:bottom w:val="single" w:color="auto" w:sz="4" w:space="0"/>
              <w:right w:val="single" w:color="auto" w:sz="4" w:space="0"/>
            </w:tcBorders>
            <w:vAlign w:val="center"/>
          </w:tcPr>
          <w:p w14:paraId="031E774A">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850" w:type="dxa"/>
            <w:tcBorders>
              <w:top w:val="nil"/>
              <w:left w:val="nil"/>
              <w:bottom w:val="single" w:color="auto" w:sz="4" w:space="0"/>
              <w:right w:val="single" w:color="auto" w:sz="4" w:space="0"/>
            </w:tcBorders>
            <w:vAlign w:val="center"/>
          </w:tcPr>
          <w:p w14:paraId="7D8EE4EC">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≥3000</w:t>
            </w:r>
          </w:p>
        </w:tc>
        <w:tc>
          <w:tcPr>
            <w:tcW w:w="992" w:type="dxa"/>
            <w:tcBorders>
              <w:top w:val="nil"/>
              <w:left w:val="nil"/>
              <w:bottom w:val="single" w:color="auto" w:sz="4" w:space="0"/>
              <w:right w:val="single" w:color="auto" w:sz="4" w:space="0"/>
            </w:tcBorders>
            <w:vAlign w:val="center"/>
          </w:tcPr>
          <w:p w14:paraId="75F8C432">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且≥300</w:t>
            </w:r>
          </w:p>
        </w:tc>
        <w:tc>
          <w:tcPr>
            <w:tcW w:w="1134" w:type="dxa"/>
            <w:tcBorders>
              <w:top w:val="nil"/>
              <w:left w:val="nil"/>
              <w:bottom w:val="single" w:color="auto" w:sz="4" w:space="0"/>
              <w:right w:val="single" w:color="auto" w:sz="4" w:space="0"/>
            </w:tcBorders>
            <w:vAlign w:val="center"/>
          </w:tcPr>
          <w:p w14:paraId="11076B0C">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993" w:type="dxa"/>
            <w:tcBorders>
              <w:top w:val="nil"/>
              <w:left w:val="nil"/>
              <w:bottom w:val="single" w:color="auto" w:sz="4" w:space="0"/>
              <w:right w:val="single" w:color="auto" w:sz="4" w:space="0"/>
            </w:tcBorders>
            <w:vAlign w:val="center"/>
          </w:tcPr>
          <w:p w14:paraId="05028CEE">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≥200</w:t>
            </w:r>
          </w:p>
        </w:tc>
        <w:tc>
          <w:tcPr>
            <w:tcW w:w="992" w:type="dxa"/>
            <w:tcBorders>
              <w:top w:val="nil"/>
              <w:left w:val="nil"/>
              <w:bottom w:val="single" w:color="auto" w:sz="4" w:space="0"/>
              <w:right w:val="single" w:color="auto" w:sz="4" w:space="0"/>
            </w:tcBorders>
            <w:vAlign w:val="center"/>
          </w:tcPr>
          <w:p w14:paraId="028DFBF0">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且≥20</w:t>
            </w:r>
          </w:p>
        </w:tc>
        <w:tc>
          <w:tcPr>
            <w:tcW w:w="1143" w:type="dxa"/>
            <w:tcBorders>
              <w:top w:val="nil"/>
              <w:left w:val="nil"/>
              <w:bottom w:val="single" w:color="auto" w:sz="4" w:space="0"/>
              <w:right w:val="single" w:color="auto" w:sz="4" w:space="0"/>
            </w:tcBorders>
            <w:vAlign w:val="center"/>
          </w:tcPr>
          <w:p w14:paraId="23E3B405">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983" w:type="dxa"/>
            <w:tcBorders>
              <w:top w:val="nil"/>
              <w:left w:val="nil"/>
              <w:bottom w:val="single" w:color="auto" w:sz="4" w:space="0"/>
              <w:right w:val="single" w:color="auto" w:sz="4" w:space="0"/>
            </w:tcBorders>
            <w:vAlign w:val="center"/>
          </w:tcPr>
          <w:p w14:paraId="5B4428C9">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＜200</w:t>
            </w:r>
          </w:p>
        </w:tc>
        <w:tc>
          <w:tcPr>
            <w:tcW w:w="1008" w:type="dxa"/>
            <w:tcBorders>
              <w:top w:val="nil"/>
              <w:left w:val="nil"/>
              <w:bottom w:val="single" w:color="auto" w:sz="4" w:space="0"/>
              <w:right w:val="single" w:color="auto" w:sz="4" w:space="0"/>
            </w:tcBorders>
            <w:vAlign w:val="center"/>
          </w:tcPr>
          <w:p w14:paraId="44F78E9A">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或＜20</w:t>
            </w:r>
          </w:p>
        </w:tc>
        <w:tc>
          <w:tcPr>
            <w:tcW w:w="977" w:type="dxa"/>
            <w:tcBorders>
              <w:top w:val="nil"/>
              <w:left w:val="nil"/>
              <w:bottom w:val="single" w:color="auto" w:sz="4" w:space="0"/>
              <w:right w:val="single" w:color="auto" w:sz="4" w:space="0"/>
            </w:tcBorders>
            <w:vAlign w:val="center"/>
          </w:tcPr>
          <w:p w14:paraId="64B50AAD">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r>
      <w:tr w14:paraId="61514D78">
        <w:tblPrEx>
          <w:tblCellMar>
            <w:top w:w="0" w:type="dxa"/>
            <w:left w:w="108" w:type="dxa"/>
            <w:bottom w:w="0" w:type="dxa"/>
            <w:right w:w="108" w:type="dxa"/>
          </w:tblCellMar>
        </w:tblPrEx>
        <w:trPr>
          <w:trHeight w:val="20" w:hRule="atLeast"/>
          <w:jc w:val="center"/>
        </w:trPr>
        <w:tc>
          <w:tcPr>
            <w:tcW w:w="490" w:type="dxa"/>
            <w:tcBorders>
              <w:top w:val="nil"/>
              <w:left w:val="single" w:color="auto" w:sz="4" w:space="0"/>
              <w:bottom w:val="single" w:color="auto" w:sz="4" w:space="0"/>
              <w:right w:val="single" w:color="auto" w:sz="4" w:space="0"/>
            </w:tcBorders>
            <w:vAlign w:val="center"/>
          </w:tcPr>
          <w:p w14:paraId="0E893178">
            <w:pPr>
              <w:spacing w:line="276" w:lineRule="auto"/>
              <w:ind w:left="-102" w:leftChars="-51" w:right="-102" w:rightChars="-5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7</w:t>
            </w:r>
          </w:p>
        </w:tc>
        <w:tc>
          <w:tcPr>
            <w:tcW w:w="1954" w:type="dxa"/>
            <w:tcBorders>
              <w:top w:val="nil"/>
              <w:left w:val="nil"/>
              <w:bottom w:val="single" w:color="auto" w:sz="4" w:space="0"/>
              <w:right w:val="single" w:color="auto" w:sz="4" w:space="0"/>
            </w:tcBorders>
            <w:vAlign w:val="center"/>
          </w:tcPr>
          <w:p w14:paraId="374014E4">
            <w:pPr>
              <w:spacing w:line="276" w:lineRule="auto"/>
              <w:ind w:left="-26" w:leftChars="-13" w:right="-62" w:rightChars="-3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仓储业</w:t>
            </w:r>
          </w:p>
        </w:tc>
        <w:tc>
          <w:tcPr>
            <w:tcW w:w="953" w:type="dxa"/>
            <w:tcBorders>
              <w:top w:val="nil"/>
              <w:left w:val="nil"/>
              <w:bottom w:val="single" w:color="auto" w:sz="4" w:space="0"/>
              <w:right w:val="single" w:color="auto" w:sz="4" w:space="0"/>
            </w:tcBorders>
            <w:vAlign w:val="center"/>
          </w:tcPr>
          <w:p w14:paraId="1339BC00">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≥30000</w:t>
            </w:r>
          </w:p>
        </w:tc>
        <w:tc>
          <w:tcPr>
            <w:tcW w:w="993" w:type="dxa"/>
            <w:tcBorders>
              <w:top w:val="nil"/>
              <w:left w:val="nil"/>
              <w:bottom w:val="single" w:color="auto" w:sz="4" w:space="0"/>
              <w:right w:val="single" w:color="auto" w:sz="4" w:space="0"/>
            </w:tcBorders>
            <w:vAlign w:val="center"/>
          </w:tcPr>
          <w:p w14:paraId="78D1121C">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且≥200</w:t>
            </w:r>
          </w:p>
        </w:tc>
        <w:tc>
          <w:tcPr>
            <w:tcW w:w="1134" w:type="dxa"/>
            <w:tcBorders>
              <w:top w:val="nil"/>
              <w:left w:val="nil"/>
              <w:bottom w:val="single" w:color="auto" w:sz="4" w:space="0"/>
              <w:right w:val="single" w:color="auto" w:sz="4" w:space="0"/>
            </w:tcBorders>
            <w:vAlign w:val="center"/>
          </w:tcPr>
          <w:p w14:paraId="7906605D">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850" w:type="dxa"/>
            <w:tcBorders>
              <w:top w:val="nil"/>
              <w:left w:val="nil"/>
              <w:bottom w:val="single" w:color="auto" w:sz="4" w:space="0"/>
              <w:right w:val="single" w:color="auto" w:sz="4" w:space="0"/>
            </w:tcBorders>
            <w:vAlign w:val="center"/>
          </w:tcPr>
          <w:p w14:paraId="12F23CA4">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≥1000</w:t>
            </w:r>
          </w:p>
        </w:tc>
        <w:tc>
          <w:tcPr>
            <w:tcW w:w="992" w:type="dxa"/>
            <w:tcBorders>
              <w:top w:val="nil"/>
              <w:left w:val="nil"/>
              <w:bottom w:val="single" w:color="auto" w:sz="4" w:space="0"/>
              <w:right w:val="single" w:color="auto" w:sz="4" w:space="0"/>
            </w:tcBorders>
            <w:vAlign w:val="center"/>
          </w:tcPr>
          <w:p w14:paraId="1A5E191B">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且≥100</w:t>
            </w:r>
          </w:p>
        </w:tc>
        <w:tc>
          <w:tcPr>
            <w:tcW w:w="1134" w:type="dxa"/>
            <w:tcBorders>
              <w:top w:val="nil"/>
              <w:left w:val="nil"/>
              <w:bottom w:val="single" w:color="auto" w:sz="4" w:space="0"/>
              <w:right w:val="single" w:color="auto" w:sz="4" w:space="0"/>
            </w:tcBorders>
            <w:vAlign w:val="center"/>
          </w:tcPr>
          <w:p w14:paraId="5AC2B559">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993" w:type="dxa"/>
            <w:tcBorders>
              <w:top w:val="nil"/>
              <w:left w:val="nil"/>
              <w:bottom w:val="single" w:color="auto" w:sz="4" w:space="0"/>
              <w:right w:val="single" w:color="auto" w:sz="4" w:space="0"/>
            </w:tcBorders>
            <w:vAlign w:val="center"/>
          </w:tcPr>
          <w:p w14:paraId="6C38D5FF">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≥100</w:t>
            </w:r>
          </w:p>
        </w:tc>
        <w:tc>
          <w:tcPr>
            <w:tcW w:w="992" w:type="dxa"/>
            <w:tcBorders>
              <w:top w:val="nil"/>
              <w:left w:val="nil"/>
              <w:bottom w:val="single" w:color="auto" w:sz="4" w:space="0"/>
              <w:right w:val="single" w:color="auto" w:sz="4" w:space="0"/>
            </w:tcBorders>
            <w:vAlign w:val="center"/>
          </w:tcPr>
          <w:p w14:paraId="16EF321A">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且≥20</w:t>
            </w:r>
          </w:p>
        </w:tc>
        <w:tc>
          <w:tcPr>
            <w:tcW w:w="1143" w:type="dxa"/>
            <w:tcBorders>
              <w:top w:val="nil"/>
              <w:left w:val="nil"/>
              <w:bottom w:val="single" w:color="auto" w:sz="4" w:space="0"/>
              <w:right w:val="single" w:color="auto" w:sz="4" w:space="0"/>
            </w:tcBorders>
            <w:vAlign w:val="center"/>
          </w:tcPr>
          <w:p w14:paraId="4CD3ED85">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983" w:type="dxa"/>
            <w:tcBorders>
              <w:top w:val="nil"/>
              <w:left w:val="nil"/>
              <w:bottom w:val="single" w:color="auto" w:sz="4" w:space="0"/>
              <w:right w:val="single" w:color="auto" w:sz="4" w:space="0"/>
            </w:tcBorders>
            <w:vAlign w:val="center"/>
          </w:tcPr>
          <w:p w14:paraId="414BD1B8">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＜100</w:t>
            </w:r>
          </w:p>
        </w:tc>
        <w:tc>
          <w:tcPr>
            <w:tcW w:w="1008" w:type="dxa"/>
            <w:tcBorders>
              <w:top w:val="nil"/>
              <w:left w:val="nil"/>
              <w:bottom w:val="single" w:color="auto" w:sz="4" w:space="0"/>
              <w:right w:val="single" w:color="auto" w:sz="4" w:space="0"/>
            </w:tcBorders>
            <w:vAlign w:val="center"/>
          </w:tcPr>
          <w:p w14:paraId="684D31E4">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或＜20</w:t>
            </w:r>
          </w:p>
        </w:tc>
        <w:tc>
          <w:tcPr>
            <w:tcW w:w="977" w:type="dxa"/>
            <w:tcBorders>
              <w:top w:val="nil"/>
              <w:left w:val="nil"/>
              <w:bottom w:val="single" w:color="auto" w:sz="4" w:space="0"/>
              <w:right w:val="single" w:color="auto" w:sz="4" w:space="0"/>
            </w:tcBorders>
            <w:vAlign w:val="center"/>
          </w:tcPr>
          <w:p w14:paraId="4CF76E13">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r>
      <w:tr w14:paraId="704814EA">
        <w:tblPrEx>
          <w:tblCellMar>
            <w:top w:w="0" w:type="dxa"/>
            <w:left w:w="108" w:type="dxa"/>
            <w:bottom w:w="0" w:type="dxa"/>
            <w:right w:w="108" w:type="dxa"/>
          </w:tblCellMar>
        </w:tblPrEx>
        <w:trPr>
          <w:trHeight w:val="20" w:hRule="atLeast"/>
          <w:jc w:val="center"/>
        </w:trPr>
        <w:tc>
          <w:tcPr>
            <w:tcW w:w="490" w:type="dxa"/>
            <w:tcBorders>
              <w:top w:val="nil"/>
              <w:left w:val="single" w:color="auto" w:sz="4" w:space="0"/>
              <w:bottom w:val="single" w:color="auto" w:sz="4" w:space="0"/>
              <w:right w:val="single" w:color="auto" w:sz="4" w:space="0"/>
            </w:tcBorders>
            <w:vAlign w:val="center"/>
          </w:tcPr>
          <w:p w14:paraId="43D73A2B">
            <w:pPr>
              <w:spacing w:line="276" w:lineRule="auto"/>
              <w:ind w:left="-102" w:leftChars="-51" w:right="-102" w:rightChars="-5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8</w:t>
            </w:r>
          </w:p>
        </w:tc>
        <w:tc>
          <w:tcPr>
            <w:tcW w:w="1954" w:type="dxa"/>
            <w:tcBorders>
              <w:top w:val="nil"/>
              <w:left w:val="nil"/>
              <w:bottom w:val="single" w:color="auto" w:sz="4" w:space="0"/>
              <w:right w:val="single" w:color="auto" w:sz="4" w:space="0"/>
            </w:tcBorders>
            <w:vAlign w:val="center"/>
          </w:tcPr>
          <w:p w14:paraId="536BEDC5">
            <w:pPr>
              <w:spacing w:line="276" w:lineRule="auto"/>
              <w:ind w:left="-26" w:leftChars="-13" w:right="-62" w:rightChars="-3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邮政业</w:t>
            </w:r>
          </w:p>
        </w:tc>
        <w:tc>
          <w:tcPr>
            <w:tcW w:w="953" w:type="dxa"/>
            <w:tcBorders>
              <w:top w:val="nil"/>
              <w:left w:val="nil"/>
              <w:bottom w:val="single" w:color="auto" w:sz="4" w:space="0"/>
              <w:right w:val="single" w:color="auto" w:sz="4" w:space="0"/>
            </w:tcBorders>
            <w:vAlign w:val="center"/>
          </w:tcPr>
          <w:p w14:paraId="14AC47B2">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≥30000</w:t>
            </w:r>
          </w:p>
        </w:tc>
        <w:tc>
          <w:tcPr>
            <w:tcW w:w="993" w:type="dxa"/>
            <w:tcBorders>
              <w:top w:val="nil"/>
              <w:left w:val="nil"/>
              <w:bottom w:val="single" w:color="auto" w:sz="4" w:space="0"/>
              <w:right w:val="single" w:color="auto" w:sz="4" w:space="0"/>
            </w:tcBorders>
            <w:vAlign w:val="center"/>
          </w:tcPr>
          <w:p w14:paraId="57E09FE4">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且≥1000</w:t>
            </w:r>
          </w:p>
        </w:tc>
        <w:tc>
          <w:tcPr>
            <w:tcW w:w="1134" w:type="dxa"/>
            <w:tcBorders>
              <w:top w:val="nil"/>
              <w:left w:val="nil"/>
              <w:bottom w:val="single" w:color="auto" w:sz="4" w:space="0"/>
              <w:right w:val="single" w:color="auto" w:sz="4" w:space="0"/>
            </w:tcBorders>
            <w:vAlign w:val="center"/>
          </w:tcPr>
          <w:p w14:paraId="30401DA6">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850" w:type="dxa"/>
            <w:tcBorders>
              <w:top w:val="nil"/>
              <w:left w:val="nil"/>
              <w:bottom w:val="single" w:color="auto" w:sz="4" w:space="0"/>
              <w:right w:val="single" w:color="auto" w:sz="4" w:space="0"/>
            </w:tcBorders>
            <w:vAlign w:val="center"/>
          </w:tcPr>
          <w:p w14:paraId="03610D5F">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≥2000</w:t>
            </w:r>
          </w:p>
        </w:tc>
        <w:tc>
          <w:tcPr>
            <w:tcW w:w="992" w:type="dxa"/>
            <w:tcBorders>
              <w:top w:val="nil"/>
              <w:left w:val="nil"/>
              <w:bottom w:val="single" w:color="auto" w:sz="4" w:space="0"/>
              <w:right w:val="single" w:color="auto" w:sz="4" w:space="0"/>
            </w:tcBorders>
            <w:vAlign w:val="center"/>
          </w:tcPr>
          <w:p w14:paraId="6D1501DF">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且≥300</w:t>
            </w:r>
          </w:p>
        </w:tc>
        <w:tc>
          <w:tcPr>
            <w:tcW w:w="1134" w:type="dxa"/>
            <w:tcBorders>
              <w:top w:val="nil"/>
              <w:left w:val="nil"/>
              <w:bottom w:val="single" w:color="auto" w:sz="4" w:space="0"/>
              <w:right w:val="single" w:color="auto" w:sz="4" w:space="0"/>
            </w:tcBorders>
            <w:vAlign w:val="center"/>
          </w:tcPr>
          <w:p w14:paraId="260FBFB7">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993" w:type="dxa"/>
            <w:tcBorders>
              <w:top w:val="nil"/>
              <w:left w:val="nil"/>
              <w:bottom w:val="single" w:color="auto" w:sz="4" w:space="0"/>
              <w:right w:val="single" w:color="auto" w:sz="4" w:space="0"/>
            </w:tcBorders>
            <w:vAlign w:val="center"/>
          </w:tcPr>
          <w:p w14:paraId="54B05E48">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≥100</w:t>
            </w:r>
          </w:p>
        </w:tc>
        <w:tc>
          <w:tcPr>
            <w:tcW w:w="992" w:type="dxa"/>
            <w:tcBorders>
              <w:top w:val="nil"/>
              <w:left w:val="nil"/>
              <w:bottom w:val="single" w:color="auto" w:sz="4" w:space="0"/>
              <w:right w:val="single" w:color="auto" w:sz="4" w:space="0"/>
            </w:tcBorders>
            <w:vAlign w:val="center"/>
          </w:tcPr>
          <w:p w14:paraId="30C5A532">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且≥20</w:t>
            </w:r>
          </w:p>
        </w:tc>
        <w:tc>
          <w:tcPr>
            <w:tcW w:w="1143" w:type="dxa"/>
            <w:tcBorders>
              <w:top w:val="nil"/>
              <w:left w:val="nil"/>
              <w:bottom w:val="single" w:color="auto" w:sz="4" w:space="0"/>
              <w:right w:val="single" w:color="auto" w:sz="4" w:space="0"/>
            </w:tcBorders>
            <w:vAlign w:val="center"/>
          </w:tcPr>
          <w:p w14:paraId="39AD3B21">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983" w:type="dxa"/>
            <w:tcBorders>
              <w:top w:val="nil"/>
              <w:left w:val="nil"/>
              <w:bottom w:val="single" w:color="auto" w:sz="4" w:space="0"/>
              <w:right w:val="single" w:color="auto" w:sz="4" w:space="0"/>
            </w:tcBorders>
            <w:vAlign w:val="center"/>
          </w:tcPr>
          <w:p w14:paraId="4ECD6BD8">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＜100</w:t>
            </w:r>
          </w:p>
        </w:tc>
        <w:tc>
          <w:tcPr>
            <w:tcW w:w="1008" w:type="dxa"/>
            <w:tcBorders>
              <w:top w:val="nil"/>
              <w:left w:val="nil"/>
              <w:bottom w:val="single" w:color="auto" w:sz="4" w:space="0"/>
              <w:right w:val="single" w:color="auto" w:sz="4" w:space="0"/>
            </w:tcBorders>
            <w:vAlign w:val="center"/>
          </w:tcPr>
          <w:p w14:paraId="501A6708">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或＜20</w:t>
            </w:r>
          </w:p>
        </w:tc>
        <w:tc>
          <w:tcPr>
            <w:tcW w:w="977" w:type="dxa"/>
            <w:tcBorders>
              <w:top w:val="nil"/>
              <w:left w:val="nil"/>
              <w:bottom w:val="single" w:color="auto" w:sz="4" w:space="0"/>
              <w:right w:val="single" w:color="auto" w:sz="4" w:space="0"/>
            </w:tcBorders>
            <w:vAlign w:val="center"/>
          </w:tcPr>
          <w:p w14:paraId="0CE7892F">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r>
      <w:tr w14:paraId="15428447">
        <w:tblPrEx>
          <w:tblCellMar>
            <w:top w:w="0" w:type="dxa"/>
            <w:left w:w="108" w:type="dxa"/>
            <w:bottom w:w="0" w:type="dxa"/>
            <w:right w:w="108" w:type="dxa"/>
          </w:tblCellMar>
        </w:tblPrEx>
        <w:trPr>
          <w:trHeight w:val="20" w:hRule="atLeast"/>
          <w:jc w:val="center"/>
        </w:trPr>
        <w:tc>
          <w:tcPr>
            <w:tcW w:w="490" w:type="dxa"/>
            <w:tcBorders>
              <w:top w:val="nil"/>
              <w:left w:val="single" w:color="auto" w:sz="4" w:space="0"/>
              <w:bottom w:val="single" w:color="auto" w:sz="4" w:space="0"/>
              <w:right w:val="single" w:color="auto" w:sz="4" w:space="0"/>
            </w:tcBorders>
            <w:vAlign w:val="center"/>
          </w:tcPr>
          <w:p w14:paraId="1F66199C">
            <w:pPr>
              <w:spacing w:line="276" w:lineRule="auto"/>
              <w:ind w:left="-102" w:leftChars="-51" w:right="-102" w:rightChars="-5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9</w:t>
            </w:r>
          </w:p>
        </w:tc>
        <w:tc>
          <w:tcPr>
            <w:tcW w:w="1954" w:type="dxa"/>
            <w:tcBorders>
              <w:top w:val="nil"/>
              <w:left w:val="nil"/>
              <w:bottom w:val="single" w:color="auto" w:sz="4" w:space="0"/>
              <w:right w:val="single" w:color="auto" w:sz="4" w:space="0"/>
            </w:tcBorders>
            <w:vAlign w:val="center"/>
          </w:tcPr>
          <w:p w14:paraId="447CDB24">
            <w:pPr>
              <w:spacing w:line="276" w:lineRule="auto"/>
              <w:ind w:left="-26" w:leftChars="-13" w:right="-62" w:rightChars="-3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住宿业</w:t>
            </w:r>
          </w:p>
        </w:tc>
        <w:tc>
          <w:tcPr>
            <w:tcW w:w="953" w:type="dxa"/>
            <w:tcBorders>
              <w:top w:val="nil"/>
              <w:left w:val="nil"/>
              <w:bottom w:val="single" w:color="auto" w:sz="4" w:space="0"/>
              <w:right w:val="single" w:color="auto" w:sz="4" w:space="0"/>
            </w:tcBorders>
            <w:vAlign w:val="center"/>
          </w:tcPr>
          <w:p w14:paraId="45613793">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≥10000</w:t>
            </w:r>
          </w:p>
        </w:tc>
        <w:tc>
          <w:tcPr>
            <w:tcW w:w="993" w:type="dxa"/>
            <w:tcBorders>
              <w:top w:val="nil"/>
              <w:left w:val="nil"/>
              <w:bottom w:val="single" w:color="auto" w:sz="4" w:space="0"/>
              <w:right w:val="single" w:color="auto" w:sz="4" w:space="0"/>
            </w:tcBorders>
            <w:vAlign w:val="center"/>
          </w:tcPr>
          <w:p w14:paraId="0C6D46F6">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且≥300</w:t>
            </w:r>
          </w:p>
        </w:tc>
        <w:tc>
          <w:tcPr>
            <w:tcW w:w="1134" w:type="dxa"/>
            <w:tcBorders>
              <w:top w:val="nil"/>
              <w:left w:val="nil"/>
              <w:bottom w:val="single" w:color="auto" w:sz="4" w:space="0"/>
              <w:right w:val="single" w:color="auto" w:sz="4" w:space="0"/>
            </w:tcBorders>
            <w:vAlign w:val="center"/>
          </w:tcPr>
          <w:p w14:paraId="5AAD753B">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850" w:type="dxa"/>
            <w:tcBorders>
              <w:top w:val="nil"/>
              <w:left w:val="nil"/>
              <w:bottom w:val="single" w:color="auto" w:sz="4" w:space="0"/>
              <w:right w:val="single" w:color="auto" w:sz="4" w:space="0"/>
            </w:tcBorders>
            <w:vAlign w:val="center"/>
          </w:tcPr>
          <w:p w14:paraId="4D507666">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≥2000</w:t>
            </w:r>
          </w:p>
        </w:tc>
        <w:tc>
          <w:tcPr>
            <w:tcW w:w="992" w:type="dxa"/>
            <w:tcBorders>
              <w:top w:val="nil"/>
              <w:left w:val="nil"/>
              <w:bottom w:val="single" w:color="auto" w:sz="4" w:space="0"/>
              <w:right w:val="single" w:color="auto" w:sz="4" w:space="0"/>
            </w:tcBorders>
            <w:vAlign w:val="center"/>
          </w:tcPr>
          <w:p w14:paraId="72F93496">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且≥100</w:t>
            </w:r>
          </w:p>
        </w:tc>
        <w:tc>
          <w:tcPr>
            <w:tcW w:w="1134" w:type="dxa"/>
            <w:tcBorders>
              <w:top w:val="nil"/>
              <w:left w:val="nil"/>
              <w:bottom w:val="single" w:color="auto" w:sz="4" w:space="0"/>
              <w:right w:val="single" w:color="auto" w:sz="4" w:space="0"/>
            </w:tcBorders>
            <w:vAlign w:val="center"/>
          </w:tcPr>
          <w:p w14:paraId="087DA944">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993" w:type="dxa"/>
            <w:tcBorders>
              <w:top w:val="nil"/>
              <w:left w:val="nil"/>
              <w:bottom w:val="single" w:color="auto" w:sz="4" w:space="0"/>
              <w:right w:val="single" w:color="auto" w:sz="4" w:space="0"/>
            </w:tcBorders>
            <w:vAlign w:val="center"/>
          </w:tcPr>
          <w:p w14:paraId="60FAF96A">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≥100</w:t>
            </w:r>
          </w:p>
        </w:tc>
        <w:tc>
          <w:tcPr>
            <w:tcW w:w="992" w:type="dxa"/>
            <w:tcBorders>
              <w:top w:val="nil"/>
              <w:left w:val="nil"/>
              <w:bottom w:val="single" w:color="auto" w:sz="4" w:space="0"/>
              <w:right w:val="single" w:color="auto" w:sz="4" w:space="0"/>
            </w:tcBorders>
            <w:vAlign w:val="center"/>
          </w:tcPr>
          <w:p w14:paraId="4FFDDB25">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且≥10</w:t>
            </w:r>
          </w:p>
        </w:tc>
        <w:tc>
          <w:tcPr>
            <w:tcW w:w="1143" w:type="dxa"/>
            <w:tcBorders>
              <w:top w:val="nil"/>
              <w:left w:val="nil"/>
              <w:bottom w:val="single" w:color="auto" w:sz="4" w:space="0"/>
              <w:right w:val="single" w:color="auto" w:sz="4" w:space="0"/>
            </w:tcBorders>
            <w:vAlign w:val="center"/>
          </w:tcPr>
          <w:p w14:paraId="5143CDA7">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983" w:type="dxa"/>
            <w:tcBorders>
              <w:top w:val="nil"/>
              <w:left w:val="nil"/>
              <w:bottom w:val="single" w:color="auto" w:sz="4" w:space="0"/>
              <w:right w:val="single" w:color="auto" w:sz="4" w:space="0"/>
            </w:tcBorders>
            <w:vAlign w:val="center"/>
          </w:tcPr>
          <w:p w14:paraId="2EE7690E">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＜100</w:t>
            </w:r>
          </w:p>
        </w:tc>
        <w:tc>
          <w:tcPr>
            <w:tcW w:w="1008" w:type="dxa"/>
            <w:tcBorders>
              <w:top w:val="nil"/>
              <w:left w:val="nil"/>
              <w:bottom w:val="single" w:color="auto" w:sz="4" w:space="0"/>
              <w:right w:val="single" w:color="auto" w:sz="4" w:space="0"/>
            </w:tcBorders>
            <w:vAlign w:val="center"/>
          </w:tcPr>
          <w:p w14:paraId="715B282E">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或＜10</w:t>
            </w:r>
          </w:p>
        </w:tc>
        <w:tc>
          <w:tcPr>
            <w:tcW w:w="977" w:type="dxa"/>
            <w:tcBorders>
              <w:top w:val="nil"/>
              <w:left w:val="nil"/>
              <w:bottom w:val="single" w:color="auto" w:sz="4" w:space="0"/>
              <w:right w:val="single" w:color="auto" w:sz="4" w:space="0"/>
            </w:tcBorders>
            <w:vAlign w:val="center"/>
          </w:tcPr>
          <w:p w14:paraId="414EFDFF">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r>
      <w:tr w14:paraId="76EF9C7D">
        <w:tblPrEx>
          <w:tblCellMar>
            <w:top w:w="0" w:type="dxa"/>
            <w:left w:w="108" w:type="dxa"/>
            <w:bottom w:w="0" w:type="dxa"/>
            <w:right w:w="108" w:type="dxa"/>
          </w:tblCellMar>
        </w:tblPrEx>
        <w:trPr>
          <w:trHeight w:val="20" w:hRule="atLeast"/>
          <w:jc w:val="center"/>
        </w:trPr>
        <w:tc>
          <w:tcPr>
            <w:tcW w:w="490" w:type="dxa"/>
            <w:tcBorders>
              <w:top w:val="nil"/>
              <w:left w:val="single" w:color="auto" w:sz="4" w:space="0"/>
              <w:bottom w:val="single" w:color="auto" w:sz="4" w:space="0"/>
              <w:right w:val="single" w:color="auto" w:sz="4" w:space="0"/>
            </w:tcBorders>
            <w:vAlign w:val="center"/>
          </w:tcPr>
          <w:p w14:paraId="49003430">
            <w:pPr>
              <w:spacing w:line="276" w:lineRule="auto"/>
              <w:ind w:left="-102" w:leftChars="-51" w:right="-102" w:rightChars="-5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w:t>
            </w:r>
          </w:p>
        </w:tc>
        <w:tc>
          <w:tcPr>
            <w:tcW w:w="1954" w:type="dxa"/>
            <w:tcBorders>
              <w:top w:val="nil"/>
              <w:left w:val="nil"/>
              <w:bottom w:val="single" w:color="auto" w:sz="4" w:space="0"/>
              <w:right w:val="single" w:color="auto" w:sz="4" w:space="0"/>
            </w:tcBorders>
            <w:vAlign w:val="center"/>
          </w:tcPr>
          <w:p w14:paraId="63D24C03">
            <w:pPr>
              <w:spacing w:line="276" w:lineRule="auto"/>
              <w:ind w:left="-26" w:leftChars="-13" w:right="-62" w:rightChars="-3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餐饮业</w:t>
            </w:r>
          </w:p>
        </w:tc>
        <w:tc>
          <w:tcPr>
            <w:tcW w:w="953" w:type="dxa"/>
            <w:tcBorders>
              <w:top w:val="nil"/>
              <w:left w:val="nil"/>
              <w:bottom w:val="single" w:color="auto" w:sz="4" w:space="0"/>
              <w:right w:val="single" w:color="auto" w:sz="4" w:space="0"/>
            </w:tcBorders>
            <w:vAlign w:val="center"/>
          </w:tcPr>
          <w:p w14:paraId="2F09FBD2">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≥10000</w:t>
            </w:r>
          </w:p>
        </w:tc>
        <w:tc>
          <w:tcPr>
            <w:tcW w:w="993" w:type="dxa"/>
            <w:tcBorders>
              <w:top w:val="nil"/>
              <w:left w:val="nil"/>
              <w:bottom w:val="single" w:color="auto" w:sz="4" w:space="0"/>
              <w:right w:val="single" w:color="auto" w:sz="4" w:space="0"/>
            </w:tcBorders>
            <w:vAlign w:val="center"/>
          </w:tcPr>
          <w:p w14:paraId="0C1DECE8">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且≥300</w:t>
            </w:r>
          </w:p>
        </w:tc>
        <w:tc>
          <w:tcPr>
            <w:tcW w:w="1134" w:type="dxa"/>
            <w:tcBorders>
              <w:top w:val="nil"/>
              <w:left w:val="nil"/>
              <w:bottom w:val="single" w:color="auto" w:sz="4" w:space="0"/>
              <w:right w:val="single" w:color="auto" w:sz="4" w:space="0"/>
            </w:tcBorders>
            <w:vAlign w:val="center"/>
          </w:tcPr>
          <w:p w14:paraId="52439ED3">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850" w:type="dxa"/>
            <w:tcBorders>
              <w:top w:val="nil"/>
              <w:left w:val="nil"/>
              <w:bottom w:val="single" w:color="auto" w:sz="4" w:space="0"/>
              <w:right w:val="single" w:color="auto" w:sz="4" w:space="0"/>
            </w:tcBorders>
            <w:vAlign w:val="center"/>
          </w:tcPr>
          <w:p w14:paraId="3210639E">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≥2000</w:t>
            </w:r>
          </w:p>
        </w:tc>
        <w:tc>
          <w:tcPr>
            <w:tcW w:w="992" w:type="dxa"/>
            <w:tcBorders>
              <w:top w:val="nil"/>
              <w:left w:val="nil"/>
              <w:bottom w:val="single" w:color="auto" w:sz="4" w:space="0"/>
              <w:right w:val="single" w:color="auto" w:sz="4" w:space="0"/>
            </w:tcBorders>
            <w:vAlign w:val="center"/>
          </w:tcPr>
          <w:p w14:paraId="38BA8A29">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且≥100</w:t>
            </w:r>
          </w:p>
        </w:tc>
        <w:tc>
          <w:tcPr>
            <w:tcW w:w="1134" w:type="dxa"/>
            <w:tcBorders>
              <w:top w:val="nil"/>
              <w:left w:val="nil"/>
              <w:bottom w:val="single" w:color="auto" w:sz="4" w:space="0"/>
              <w:right w:val="single" w:color="auto" w:sz="4" w:space="0"/>
            </w:tcBorders>
            <w:vAlign w:val="center"/>
          </w:tcPr>
          <w:p w14:paraId="6223FC7B">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993" w:type="dxa"/>
            <w:tcBorders>
              <w:top w:val="nil"/>
              <w:left w:val="nil"/>
              <w:bottom w:val="single" w:color="auto" w:sz="4" w:space="0"/>
              <w:right w:val="single" w:color="auto" w:sz="4" w:space="0"/>
            </w:tcBorders>
            <w:vAlign w:val="center"/>
          </w:tcPr>
          <w:p w14:paraId="58A4CA3F">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≥100</w:t>
            </w:r>
          </w:p>
        </w:tc>
        <w:tc>
          <w:tcPr>
            <w:tcW w:w="992" w:type="dxa"/>
            <w:tcBorders>
              <w:top w:val="nil"/>
              <w:left w:val="nil"/>
              <w:bottom w:val="single" w:color="auto" w:sz="4" w:space="0"/>
              <w:right w:val="single" w:color="auto" w:sz="4" w:space="0"/>
            </w:tcBorders>
            <w:vAlign w:val="center"/>
          </w:tcPr>
          <w:p w14:paraId="1F26DC21">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且≥10</w:t>
            </w:r>
          </w:p>
        </w:tc>
        <w:tc>
          <w:tcPr>
            <w:tcW w:w="1143" w:type="dxa"/>
            <w:tcBorders>
              <w:top w:val="nil"/>
              <w:left w:val="nil"/>
              <w:bottom w:val="single" w:color="auto" w:sz="4" w:space="0"/>
              <w:right w:val="single" w:color="auto" w:sz="4" w:space="0"/>
            </w:tcBorders>
            <w:vAlign w:val="center"/>
          </w:tcPr>
          <w:p w14:paraId="7DDF8949">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983" w:type="dxa"/>
            <w:tcBorders>
              <w:top w:val="nil"/>
              <w:left w:val="nil"/>
              <w:bottom w:val="single" w:color="auto" w:sz="4" w:space="0"/>
              <w:right w:val="single" w:color="auto" w:sz="4" w:space="0"/>
            </w:tcBorders>
            <w:vAlign w:val="center"/>
          </w:tcPr>
          <w:p w14:paraId="52A321A6">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＜100</w:t>
            </w:r>
          </w:p>
        </w:tc>
        <w:tc>
          <w:tcPr>
            <w:tcW w:w="1008" w:type="dxa"/>
            <w:tcBorders>
              <w:top w:val="nil"/>
              <w:left w:val="nil"/>
              <w:bottom w:val="single" w:color="auto" w:sz="4" w:space="0"/>
              <w:right w:val="single" w:color="auto" w:sz="4" w:space="0"/>
            </w:tcBorders>
            <w:vAlign w:val="center"/>
          </w:tcPr>
          <w:p w14:paraId="0AF345FF">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或＜10</w:t>
            </w:r>
          </w:p>
        </w:tc>
        <w:tc>
          <w:tcPr>
            <w:tcW w:w="977" w:type="dxa"/>
            <w:tcBorders>
              <w:top w:val="nil"/>
              <w:left w:val="nil"/>
              <w:bottom w:val="single" w:color="auto" w:sz="4" w:space="0"/>
              <w:right w:val="single" w:color="auto" w:sz="4" w:space="0"/>
            </w:tcBorders>
            <w:vAlign w:val="center"/>
          </w:tcPr>
          <w:p w14:paraId="3AD49173">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r>
      <w:tr w14:paraId="2CAFE213">
        <w:tblPrEx>
          <w:tblCellMar>
            <w:top w:w="0" w:type="dxa"/>
            <w:left w:w="108" w:type="dxa"/>
            <w:bottom w:w="0" w:type="dxa"/>
            <w:right w:w="108" w:type="dxa"/>
          </w:tblCellMar>
        </w:tblPrEx>
        <w:trPr>
          <w:trHeight w:val="20" w:hRule="atLeast"/>
          <w:jc w:val="center"/>
        </w:trPr>
        <w:tc>
          <w:tcPr>
            <w:tcW w:w="490" w:type="dxa"/>
            <w:tcBorders>
              <w:top w:val="nil"/>
              <w:left w:val="single" w:color="auto" w:sz="4" w:space="0"/>
              <w:bottom w:val="single" w:color="auto" w:sz="4" w:space="0"/>
              <w:right w:val="single" w:color="auto" w:sz="4" w:space="0"/>
            </w:tcBorders>
            <w:vAlign w:val="center"/>
          </w:tcPr>
          <w:p w14:paraId="0D8D06E3">
            <w:pPr>
              <w:spacing w:line="276" w:lineRule="auto"/>
              <w:ind w:left="-102" w:leftChars="-51" w:right="-102" w:rightChars="-5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w:t>
            </w:r>
          </w:p>
        </w:tc>
        <w:tc>
          <w:tcPr>
            <w:tcW w:w="1954" w:type="dxa"/>
            <w:tcBorders>
              <w:top w:val="nil"/>
              <w:left w:val="nil"/>
              <w:bottom w:val="single" w:color="auto" w:sz="4" w:space="0"/>
              <w:right w:val="single" w:color="auto" w:sz="4" w:space="0"/>
            </w:tcBorders>
            <w:vAlign w:val="center"/>
          </w:tcPr>
          <w:p w14:paraId="50A1F83C">
            <w:pPr>
              <w:spacing w:line="276" w:lineRule="auto"/>
              <w:ind w:left="-26" w:leftChars="-13" w:right="-62" w:rightChars="-3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信息传输业</w:t>
            </w:r>
          </w:p>
        </w:tc>
        <w:tc>
          <w:tcPr>
            <w:tcW w:w="953" w:type="dxa"/>
            <w:tcBorders>
              <w:top w:val="nil"/>
              <w:left w:val="nil"/>
              <w:bottom w:val="single" w:color="auto" w:sz="4" w:space="0"/>
              <w:right w:val="single" w:color="auto" w:sz="4" w:space="0"/>
            </w:tcBorders>
            <w:vAlign w:val="center"/>
          </w:tcPr>
          <w:p w14:paraId="7AD553F8">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≥100000</w:t>
            </w:r>
          </w:p>
        </w:tc>
        <w:tc>
          <w:tcPr>
            <w:tcW w:w="993" w:type="dxa"/>
            <w:tcBorders>
              <w:top w:val="nil"/>
              <w:left w:val="nil"/>
              <w:bottom w:val="single" w:color="auto" w:sz="4" w:space="0"/>
              <w:right w:val="single" w:color="auto" w:sz="4" w:space="0"/>
            </w:tcBorders>
            <w:vAlign w:val="center"/>
          </w:tcPr>
          <w:p w14:paraId="5EDF6D33">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且≥2000</w:t>
            </w:r>
          </w:p>
        </w:tc>
        <w:tc>
          <w:tcPr>
            <w:tcW w:w="1134" w:type="dxa"/>
            <w:tcBorders>
              <w:top w:val="nil"/>
              <w:left w:val="nil"/>
              <w:bottom w:val="single" w:color="auto" w:sz="4" w:space="0"/>
              <w:right w:val="single" w:color="auto" w:sz="4" w:space="0"/>
            </w:tcBorders>
            <w:vAlign w:val="center"/>
          </w:tcPr>
          <w:p w14:paraId="2F939618">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850" w:type="dxa"/>
            <w:tcBorders>
              <w:top w:val="nil"/>
              <w:left w:val="nil"/>
              <w:bottom w:val="single" w:color="auto" w:sz="4" w:space="0"/>
              <w:right w:val="single" w:color="auto" w:sz="4" w:space="0"/>
            </w:tcBorders>
            <w:vAlign w:val="center"/>
          </w:tcPr>
          <w:p w14:paraId="5899A7F9">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≥1000</w:t>
            </w:r>
          </w:p>
        </w:tc>
        <w:tc>
          <w:tcPr>
            <w:tcW w:w="992" w:type="dxa"/>
            <w:tcBorders>
              <w:top w:val="nil"/>
              <w:left w:val="nil"/>
              <w:bottom w:val="single" w:color="auto" w:sz="4" w:space="0"/>
              <w:right w:val="single" w:color="auto" w:sz="4" w:space="0"/>
            </w:tcBorders>
            <w:vAlign w:val="center"/>
          </w:tcPr>
          <w:p w14:paraId="0F1688C1">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且≥100</w:t>
            </w:r>
          </w:p>
        </w:tc>
        <w:tc>
          <w:tcPr>
            <w:tcW w:w="1134" w:type="dxa"/>
            <w:tcBorders>
              <w:top w:val="nil"/>
              <w:left w:val="nil"/>
              <w:bottom w:val="single" w:color="auto" w:sz="4" w:space="0"/>
              <w:right w:val="single" w:color="auto" w:sz="4" w:space="0"/>
            </w:tcBorders>
            <w:vAlign w:val="center"/>
          </w:tcPr>
          <w:p w14:paraId="21CADCED">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993" w:type="dxa"/>
            <w:tcBorders>
              <w:top w:val="nil"/>
              <w:left w:val="nil"/>
              <w:bottom w:val="single" w:color="auto" w:sz="4" w:space="0"/>
              <w:right w:val="single" w:color="auto" w:sz="4" w:space="0"/>
            </w:tcBorders>
            <w:vAlign w:val="center"/>
          </w:tcPr>
          <w:p w14:paraId="2A7427C5">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≥100</w:t>
            </w:r>
          </w:p>
        </w:tc>
        <w:tc>
          <w:tcPr>
            <w:tcW w:w="992" w:type="dxa"/>
            <w:tcBorders>
              <w:top w:val="nil"/>
              <w:left w:val="nil"/>
              <w:bottom w:val="single" w:color="auto" w:sz="4" w:space="0"/>
              <w:right w:val="single" w:color="auto" w:sz="4" w:space="0"/>
            </w:tcBorders>
            <w:vAlign w:val="center"/>
          </w:tcPr>
          <w:p w14:paraId="06A9D35A">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且≥10</w:t>
            </w:r>
          </w:p>
        </w:tc>
        <w:tc>
          <w:tcPr>
            <w:tcW w:w="1143" w:type="dxa"/>
            <w:tcBorders>
              <w:top w:val="nil"/>
              <w:left w:val="nil"/>
              <w:bottom w:val="single" w:color="auto" w:sz="4" w:space="0"/>
              <w:right w:val="single" w:color="auto" w:sz="4" w:space="0"/>
            </w:tcBorders>
            <w:vAlign w:val="center"/>
          </w:tcPr>
          <w:p w14:paraId="1E94519C">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983" w:type="dxa"/>
            <w:tcBorders>
              <w:top w:val="nil"/>
              <w:left w:val="nil"/>
              <w:bottom w:val="single" w:color="auto" w:sz="4" w:space="0"/>
              <w:right w:val="single" w:color="auto" w:sz="4" w:space="0"/>
            </w:tcBorders>
            <w:vAlign w:val="center"/>
          </w:tcPr>
          <w:p w14:paraId="63020668">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＜100</w:t>
            </w:r>
          </w:p>
        </w:tc>
        <w:tc>
          <w:tcPr>
            <w:tcW w:w="1008" w:type="dxa"/>
            <w:tcBorders>
              <w:top w:val="nil"/>
              <w:left w:val="nil"/>
              <w:bottom w:val="single" w:color="auto" w:sz="4" w:space="0"/>
              <w:right w:val="single" w:color="auto" w:sz="4" w:space="0"/>
            </w:tcBorders>
            <w:vAlign w:val="center"/>
          </w:tcPr>
          <w:p w14:paraId="5F781680">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或＜10</w:t>
            </w:r>
          </w:p>
        </w:tc>
        <w:tc>
          <w:tcPr>
            <w:tcW w:w="977" w:type="dxa"/>
            <w:tcBorders>
              <w:top w:val="nil"/>
              <w:left w:val="nil"/>
              <w:bottom w:val="single" w:color="auto" w:sz="4" w:space="0"/>
              <w:right w:val="single" w:color="auto" w:sz="4" w:space="0"/>
            </w:tcBorders>
            <w:vAlign w:val="center"/>
          </w:tcPr>
          <w:p w14:paraId="74C9F6BA">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r>
      <w:tr w14:paraId="442C6024">
        <w:tblPrEx>
          <w:tblCellMar>
            <w:top w:w="0" w:type="dxa"/>
            <w:left w:w="108" w:type="dxa"/>
            <w:bottom w:w="0" w:type="dxa"/>
            <w:right w:w="108" w:type="dxa"/>
          </w:tblCellMar>
        </w:tblPrEx>
        <w:trPr>
          <w:trHeight w:val="20" w:hRule="atLeast"/>
          <w:jc w:val="center"/>
        </w:trPr>
        <w:tc>
          <w:tcPr>
            <w:tcW w:w="490" w:type="dxa"/>
            <w:tcBorders>
              <w:top w:val="nil"/>
              <w:left w:val="single" w:color="auto" w:sz="4" w:space="0"/>
              <w:bottom w:val="single" w:color="auto" w:sz="4" w:space="0"/>
              <w:right w:val="single" w:color="auto" w:sz="4" w:space="0"/>
            </w:tcBorders>
            <w:vAlign w:val="center"/>
          </w:tcPr>
          <w:p w14:paraId="793B42F9">
            <w:pPr>
              <w:spacing w:line="276" w:lineRule="auto"/>
              <w:ind w:left="-102" w:leftChars="-51" w:right="-102" w:rightChars="-5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12</w:t>
            </w:r>
          </w:p>
        </w:tc>
        <w:tc>
          <w:tcPr>
            <w:tcW w:w="1954" w:type="dxa"/>
            <w:tcBorders>
              <w:top w:val="nil"/>
              <w:left w:val="nil"/>
              <w:bottom w:val="single" w:color="auto" w:sz="4" w:space="0"/>
              <w:right w:val="single" w:color="auto" w:sz="4" w:space="0"/>
            </w:tcBorders>
            <w:vAlign w:val="center"/>
          </w:tcPr>
          <w:p w14:paraId="0CCE0A1A">
            <w:pPr>
              <w:spacing w:line="276" w:lineRule="auto"/>
              <w:ind w:left="-26" w:leftChars="-13" w:right="-62" w:rightChars="-3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软件和信息技术服务业</w:t>
            </w:r>
          </w:p>
        </w:tc>
        <w:tc>
          <w:tcPr>
            <w:tcW w:w="953" w:type="dxa"/>
            <w:tcBorders>
              <w:top w:val="nil"/>
              <w:left w:val="nil"/>
              <w:bottom w:val="single" w:color="auto" w:sz="4" w:space="0"/>
              <w:right w:val="single" w:color="auto" w:sz="4" w:space="0"/>
            </w:tcBorders>
            <w:vAlign w:val="center"/>
          </w:tcPr>
          <w:p w14:paraId="7D2509EB">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≥10000</w:t>
            </w:r>
          </w:p>
        </w:tc>
        <w:tc>
          <w:tcPr>
            <w:tcW w:w="993" w:type="dxa"/>
            <w:tcBorders>
              <w:top w:val="nil"/>
              <w:left w:val="nil"/>
              <w:bottom w:val="single" w:color="auto" w:sz="4" w:space="0"/>
              <w:right w:val="single" w:color="auto" w:sz="4" w:space="0"/>
            </w:tcBorders>
            <w:vAlign w:val="center"/>
          </w:tcPr>
          <w:p w14:paraId="1D37D11C">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且≥300</w:t>
            </w:r>
          </w:p>
        </w:tc>
        <w:tc>
          <w:tcPr>
            <w:tcW w:w="1134" w:type="dxa"/>
            <w:tcBorders>
              <w:top w:val="nil"/>
              <w:left w:val="nil"/>
              <w:bottom w:val="single" w:color="auto" w:sz="4" w:space="0"/>
              <w:right w:val="single" w:color="auto" w:sz="4" w:space="0"/>
            </w:tcBorders>
            <w:vAlign w:val="center"/>
          </w:tcPr>
          <w:p w14:paraId="5F4EC9F2">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850" w:type="dxa"/>
            <w:tcBorders>
              <w:top w:val="nil"/>
              <w:left w:val="nil"/>
              <w:bottom w:val="single" w:color="auto" w:sz="4" w:space="0"/>
              <w:right w:val="single" w:color="auto" w:sz="4" w:space="0"/>
            </w:tcBorders>
            <w:vAlign w:val="center"/>
          </w:tcPr>
          <w:p w14:paraId="4980575A">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≥1000</w:t>
            </w:r>
          </w:p>
        </w:tc>
        <w:tc>
          <w:tcPr>
            <w:tcW w:w="992" w:type="dxa"/>
            <w:tcBorders>
              <w:top w:val="nil"/>
              <w:left w:val="nil"/>
              <w:bottom w:val="single" w:color="auto" w:sz="4" w:space="0"/>
              <w:right w:val="single" w:color="auto" w:sz="4" w:space="0"/>
            </w:tcBorders>
            <w:vAlign w:val="center"/>
          </w:tcPr>
          <w:p w14:paraId="3A2A2F35">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且≥100</w:t>
            </w:r>
          </w:p>
        </w:tc>
        <w:tc>
          <w:tcPr>
            <w:tcW w:w="1134" w:type="dxa"/>
            <w:tcBorders>
              <w:top w:val="nil"/>
              <w:left w:val="nil"/>
              <w:bottom w:val="single" w:color="auto" w:sz="4" w:space="0"/>
              <w:right w:val="single" w:color="auto" w:sz="4" w:space="0"/>
            </w:tcBorders>
            <w:vAlign w:val="center"/>
          </w:tcPr>
          <w:p w14:paraId="169F66E5">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993" w:type="dxa"/>
            <w:tcBorders>
              <w:top w:val="nil"/>
              <w:left w:val="nil"/>
              <w:bottom w:val="single" w:color="auto" w:sz="4" w:space="0"/>
              <w:right w:val="single" w:color="auto" w:sz="4" w:space="0"/>
            </w:tcBorders>
            <w:vAlign w:val="center"/>
          </w:tcPr>
          <w:p w14:paraId="0DF7D859">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≥50</w:t>
            </w:r>
          </w:p>
        </w:tc>
        <w:tc>
          <w:tcPr>
            <w:tcW w:w="992" w:type="dxa"/>
            <w:tcBorders>
              <w:top w:val="nil"/>
              <w:left w:val="nil"/>
              <w:bottom w:val="single" w:color="auto" w:sz="4" w:space="0"/>
              <w:right w:val="single" w:color="auto" w:sz="4" w:space="0"/>
            </w:tcBorders>
            <w:vAlign w:val="center"/>
          </w:tcPr>
          <w:p w14:paraId="5E3CDD21">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且≥10</w:t>
            </w:r>
          </w:p>
        </w:tc>
        <w:tc>
          <w:tcPr>
            <w:tcW w:w="1143" w:type="dxa"/>
            <w:tcBorders>
              <w:top w:val="nil"/>
              <w:left w:val="nil"/>
              <w:bottom w:val="single" w:color="auto" w:sz="4" w:space="0"/>
              <w:right w:val="single" w:color="auto" w:sz="4" w:space="0"/>
            </w:tcBorders>
            <w:vAlign w:val="center"/>
          </w:tcPr>
          <w:p w14:paraId="3C91BE39">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983" w:type="dxa"/>
            <w:tcBorders>
              <w:top w:val="nil"/>
              <w:left w:val="nil"/>
              <w:bottom w:val="single" w:color="auto" w:sz="4" w:space="0"/>
              <w:right w:val="single" w:color="auto" w:sz="4" w:space="0"/>
            </w:tcBorders>
            <w:vAlign w:val="center"/>
          </w:tcPr>
          <w:p w14:paraId="6CACAED1">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＜50</w:t>
            </w:r>
          </w:p>
        </w:tc>
        <w:tc>
          <w:tcPr>
            <w:tcW w:w="1008" w:type="dxa"/>
            <w:tcBorders>
              <w:top w:val="nil"/>
              <w:left w:val="nil"/>
              <w:bottom w:val="single" w:color="auto" w:sz="4" w:space="0"/>
              <w:right w:val="single" w:color="auto" w:sz="4" w:space="0"/>
            </w:tcBorders>
            <w:vAlign w:val="center"/>
          </w:tcPr>
          <w:p w14:paraId="6F83AB9D">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或＜10</w:t>
            </w:r>
          </w:p>
        </w:tc>
        <w:tc>
          <w:tcPr>
            <w:tcW w:w="977" w:type="dxa"/>
            <w:tcBorders>
              <w:top w:val="nil"/>
              <w:left w:val="nil"/>
              <w:bottom w:val="single" w:color="auto" w:sz="4" w:space="0"/>
              <w:right w:val="single" w:color="auto" w:sz="4" w:space="0"/>
            </w:tcBorders>
            <w:vAlign w:val="center"/>
          </w:tcPr>
          <w:p w14:paraId="06535DB3">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r>
      <w:tr w14:paraId="01879997">
        <w:tblPrEx>
          <w:tblCellMar>
            <w:top w:w="0" w:type="dxa"/>
            <w:left w:w="108" w:type="dxa"/>
            <w:bottom w:w="0" w:type="dxa"/>
            <w:right w:w="108" w:type="dxa"/>
          </w:tblCellMar>
        </w:tblPrEx>
        <w:trPr>
          <w:trHeight w:val="20" w:hRule="atLeast"/>
          <w:jc w:val="center"/>
        </w:trPr>
        <w:tc>
          <w:tcPr>
            <w:tcW w:w="490" w:type="dxa"/>
            <w:tcBorders>
              <w:top w:val="nil"/>
              <w:left w:val="single" w:color="auto" w:sz="4" w:space="0"/>
              <w:bottom w:val="single" w:color="auto" w:sz="4" w:space="0"/>
              <w:right w:val="single" w:color="auto" w:sz="4" w:space="0"/>
            </w:tcBorders>
            <w:vAlign w:val="center"/>
          </w:tcPr>
          <w:p w14:paraId="7FB7D495">
            <w:pPr>
              <w:spacing w:line="276" w:lineRule="auto"/>
              <w:ind w:left="-102" w:leftChars="-51" w:right="-102" w:rightChars="-5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13</w:t>
            </w:r>
          </w:p>
        </w:tc>
        <w:tc>
          <w:tcPr>
            <w:tcW w:w="1954" w:type="dxa"/>
            <w:tcBorders>
              <w:top w:val="nil"/>
              <w:left w:val="nil"/>
              <w:bottom w:val="single" w:color="auto" w:sz="4" w:space="0"/>
              <w:right w:val="single" w:color="auto" w:sz="4" w:space="0"/>
            </w:tcBorders>
            <w:vAlign w:val="center"/>
          </w:tcPr>
          <w:p w14:paraId="2F7D73C0">
            <w:pPr>
              <w:spacing w:line="276" w:lineRule="auto"/>
              <w:ind w:left="-26" w:leftChars="-13" w:right="-62" w:rightChars="-3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房地产开发经营</w:t>
            </w:r>
          </w:p>
        </w:tc>
        <w:tc>
          <w:tcPr>
            <w:tcW w:w="953" w:type="dxa"/>
            <w:tcBorders>
              <w:top w:val="nil"/>
              <w:left w:val="nil"/>
              <w:bottom w:val="single" w:color="auto" w:sz="4" w:space="0"/>
              <w:right w:val="single" w:color="auto" w:sz="4" w:space="0"/>
            </w:tcBorders>
            <w:vAlign w:val="center"/>
          </w:tcPr>
          <w:p w14:paraId="1218ABF2">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≥200000</w:t>
            </w:r>
          </w:p>
        </w:tc>
        <w:tc>
          <w:tcPr>
            <w:tcW w:w="993" w:type="dxa"/>
            <w:tcBorders>
              <w:top w:val="nil"/>
              <w:left w:val="nil"/>
              <w:bottom w:val="single" w:color="auto" w:sz="4" w:space="0"/>
              <w:right w:val="single" w:color="auto" w:sz="4" w:space="0"/>
            </w:tcBorders>
            <w:vAlign w:val="center"/>
          </w:tcPr>
          <w:p w14:paraId="56CA8762">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1134" w:type="dxa"/>
            <w:tcBorders>
              <w:top w:val="nil"/>
              <w:left w:val="nil"/>
              <w:bottom w:val="single" w:color="auto" w:sz="4" w:space="0"/>
              <w:right w:val="single" w:color="auto" w:sz="4" w:space="0"/>
            </w:tcBorders>
            <w:vAlign w:val="center"/>
          </w:tcPr>
          <w:p w14:paraId="679F7479">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且≥10000</w:t>
            </w:r>
          </w:p>
        </w:tc>
        <w:tc>
          <w:tcPr>
            <w:tcW w:w="850" w:type="dxa"/>
            <w:tcBorders>
              <w:top w:val="nil"/>
              <w:left w:val="nil"/>
              <w:bottom w:val="single" w:color="auto" w:sz="4" w:space="0"/>
              <w:right w:val="single" w:color="auto" w:sz="4" w:space="0"/>
            </w:tcBorders>
            <w:vAlign w:val="center"/>
          </w:tcPr>
          <w:p w14:paraId="2815669D">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≥1000</w:t>
            </w:r>
          </w:p>
        </w:tc>
        <w:tc>
          <w:tcPr>
            <w:tcW w:w="992" w:type="dxa"/>
            <w:tcBorders>
              <w:top w:val="nil"/>
              <w:left w:val="nil"/>
              <w:bottom w:val="single" w:color="auto" w:sz="4" w:space="0"/>
              <w:right w:val="single" w:color="auto" w:sz="4" w:space="0"/>
            </w:tcBorders>
            <w:vAlign w:val="center"/>
          </w:tcPr>
          <w:p w14:paraId="20730BE1">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1134" w:type="dxa"/>
            <w:tcBorders>
              <w:top w:val="nil"/>
              <w:left w:val="nil"/>
              <w:bottom w:val="single" w:color="auto" w:sz="4" w:space="0"/>
              <w:right w:val="single" w:color="auto" w:sz="4" w:space="0"/>
            </w:tcBorders>
            <w:vAlign w:val="center"/>
          </w:tcPr>
          <w:p w14:paraId="1DEB670E">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且≥5000</w:t>
            </w:r>
          </w:p>
        </w:tc>
        <w:tc>
          <w:tcPr>
            <w:tcW w:w="993" w:type="dxa"/>
            <w:tcBorders>
              <w:top w:val="nil"/>
              <w:left w:val="nil"/>
              <w:bottom w:val="single" w:color="auto" w:sz="4" w:space="0"/>
              <w:right w:val="single" w:color="auto" w:sz="4" w:space="0"/>
            </w:tcBorders>
            <w:vAlign w:val="center"/>
          </w:tcPr>
          <w:p w14:paraId="42502ED1">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≥100</w:t>
            </w:r>
          </w:p>
        </w:tc>
        <w:tc>
          <w:tcPr>
            <w:tcW w:w="992" w:type="dxa"/>
            <w:tcBorders>
              <w:top w:val="nil"/>
              <w:left w:val="nil"/>
              <w:bottom w:val="single" w:color="auto" w:sz="4" w:space="0"/>
              <w:right w:val="single" w:color="auto" w:sz="4" w:space="0"/>
            </w:tcBorders>
            <w:vAlign w:val="center"/>
          </w:tcPr>
          <w:p w14:paraId="2D22C6C0">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1143" w:type="dxa"/>
            <w:tcBorders>
              <w:top w:val="nil"/>
              <w:left w:val="nil"/>
              <w:bottom w:val="single" w:color="auto" w:sz="4" w:space="0"/>
              <w:right w:val="single" w:color="auto" w:sz="4" w:space="0"/>
            </w:tcBorders>
            <w:vAlign w:val="center"/>
          </w:tcPr>
          <w:p w14:paraId="2F2FCD80">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且≥2000</w:t>
            </w:r>
          </w:p>
        </w:tc>
        <w:tc>
          <w:tcPr>
            <w:tcW w:w="983" w:type="dxa"/>
            <w:tcBorders>
              <w:top w:val="nil"/>
              <w:left w:val="nil"/>
              <w:bottom w:val="single" w:color="auto" w:sz="4" w:space="0"/>
              <w:right w:val="single" w:color="auto" w:sz="4" w:space="0"/>
            </w:tcBorders>
            <w:vAlign w:val="center"/>
          </w:tcPr>
          <w:p w14:paraId="1611D600">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＜100</w:t>
            </w:r>
          </w:p>
        </w:tc>
        <w:tc>
          <w:tcPr>
            <w:tcW w:w="1008" w:type="dxa"/>
            <w:tcBorders>
              <w:top w:val="nil"/>
              <w:left w:val="nil"/>
              <w:bottom w:val="single" w:color="auto" w:sz="4" w:space="0"/>
              <w:right w:val="single" w:color="auto" w:sz="4" w:space="0"/>
            </w:tcBorders>
            <w:vAlign w:val="center"/>
          </w:tcPr>
          <w:p w14:paraId="70AA2444">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977" w:type="dxa"/>
            <w:tcBorders>
              <w:top w:val="nil"/>
              <w:left w:val="nil"/>
              <w:bottom w:val="single" w:color="auto" w:sz="4" w:space="0"/>
              <w:right w:val="single" w:color="auto" w:sz="4" w:space="0"/>
            </w:tcBorders>
            <w:vAlign w:val="center"/>
          </w:tcPr>
          <w:p w14:paraId="175A924C">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或＜2000</w:t>
            </w:r>
          </w:p>
        </w:tc>
      </w:tr>
      <w:tr w14:paraId="69796AF2">
        <w:tblPrEx>
          <w:tblCellMar>
            <w:top w:w="0" w:type="dxa"/>
            <w:left w:w="108" w:type="dxa"/>
            <w:bottom w:w="0" w:type="dxa"/>
            <w:right w:w="108" w:type="dxa"/>
          </w:tblCellMar>
        </w:tblPrEx>
        <w:trPr>
          <w:trHeight w:val="20" w:hRule="atLeast"/>
          <w:jc w:val="center"/>
        </w:trPr>
        <w:tc>
          <w:tcPr>
            <w:tcW w:w="490" w:type="dxa"/>
            <w:tcBorders>
              <w:top w:val="nil"/>
              <w:left w:val="single" w:color="auto" w:sz="4" w:space="0"/>
              <w:bottom w:val="single" w:color="auto" w:sz="4" w:space="0"/>
              <w:right w:val="single" w:color="auto" w:sz="4" w:space="0"/>
            </w:tcBorders>
            <w:vAlign w:val="center"/>
          </w:tcPr>
          <w:p w14:paraId="71801EF8">
            <w:pPr>
              <w:spacing w:line="276" w:lineRule="auto"/>
              <w:ind w:left="-102" w:leftChars="-51" w:right="-102" w:rightChars="-5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14</w:t>
            </w:r>
          </w:p>
        </w:tc>
        <w:tc>
          <w:tcPr>
            <w:tcW w:w="1954" w:type="dxa"/>
            <w:tcBorders>
              <w:top w:val="nil"/>
              <w:left w:val="nil"/>
              <w:bottom w:val="single" w:color="auto" w:sz="4" w:space="0"/>
              <w:right w:val="single" w:color="auto" w:sz="4" w:space="0"/>
            </w:tcBorders>
            <w:vAlign w:val="center"/>
          </w:tcPr>
          <w:p w14:paraId="3E5DE0BA">
            <w:pPr>
              <w:spacing w:line="276" w:lineRule="auto"/>
              <w:ind w:left="-26" w:leftChars="-13" w:right="-62" w:rightChars="-3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物业管理</w:t>
            </w:r>
          </w:p>
        </w:tc>
        <w:tc>
          <w:tcPr>
            <w:tcW w:w="953" w:type="dxa"/>
            <w:tcBorders>
              <w:top w:val="nil"/>
              <w:left w:val="nil"/>
              <w:bottom w:val="single" w:color="auto" w:sz="4" w:space="0"/>
              <w:right w:val="single" w:color="auto" w:sz="4" w:space="0"/>
            </w:tcBorders>
            <w:vAlign w:val="center"/>
          </w:tcPr>
          <w:p w14:paraId="2D3E0E50">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≥5000</w:t>
            </w:r>
          </w:p>
        </w:tc>
        <w:tc>
          <w:tcPr>
            <w:tcW w:w="993" w:type="dxa"/>
            <w:tcBorders>
              <w:top w:val="nil"/>
              <w:left w:val="nil"/>
              <w:bottom w:val="single" w:color="auto" w:sz="4" w:space="0"/>
              <w:right w:val="single" w:color="auto" w:sz="4" w:space="0"/>
            </w:tcBorders>
            <w:vAlign w:val="center"/>
          </w:tcPr>
          <w:p w14:paraId="1BE640ED">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且≥1000</w:t>
            </w:r>
          </w:p>
        </w:tc>
        <w:tc>
          <w:tcPr>
            <w:tcW w:w="1134" w:type="dxa"/>
            <w:tcBorders>
              <w:top w:val="nil"/>
              <w:left w:val="nil"/>
              <w:bottom w:val="single" w:color="auto" w:sz="4" w:space="0"/>
              <w:right w:val="single" w:color="auto" w:sz="4" w:space="0"/>
            </w:tcBorders>
            <w:vAlign w:val="center"/>
          </w:tcPr>
          <w:p w14:paraId="26735D65">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850" w:type="dxa"/>
            <w:tcBorders>
              <w:top w:val="nil"/>
              <w:left w:val="nil"/>
              <w:bottom w:val="single" w:color="auto" w:sz="4" w:space="0"/>
              <w:right w:val="single" w:color="auto" w:sz="4" w:space="0"/>
            </w:tcBorders>
            <w:vAlign w:val="center"/>
          </w:tcPr>
          <w:p w14:paraId="5DA9B254">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≥1000</w:t>
            </w:r>
          </w:p>
        </w:tc>
        <w:tc>
          <w:tcPr>
            <w:tcW w:w="992" w:type="dxa"/>
            <w:tcBorders>
              <w:top w:val="nil"/>
              <w:left w:val="nil"/>
              <w:bottom w:val="single" w:color="auto" w:sz="4" w:space="0"/>
              <w:right w:val="single" w:color="auto" w:sz="4" w:space="0"/>
            </w:tcBorders>
            <w:vAlign w:val="center"/>
          </w:tcPr>
          <w:p w14:paraId="491E29B9">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且≥300</w:t>
            </w:r>
          </w:p>
        </w:tc>
        <w:tc>
          <w:tcPr>
            <w:tcW w:w="1134" w:type="dxa"/>
            <w:tcBorders>
              <w:top w:val="nil"/>
              <w:left w:val="nil"/>
              <w:bottom w:val="single" w:color="auto" w:sz="4" w:space="0"/>
              <w:right w:val="single" w:color="auto" w:sz="4" w:space="0"/>
            </w:tcBorders>
            <w:vAlign w:val="center"/>
          </w:tcPr>
          <w:p w14:paraId="2BBCECD1">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993" w:type="dxa"/>
            <w:tcBorders>
              <w:top w:val="nil"/>
              <w:left w:val="nil"/>
              <w:bottom w:val="single" w:color="auto" w:sz="4" w:space="0"/>
              <w:right w:val="single" w:color="auto" w:sz="4" w:space="0"/>
            </w:tcBorders>
            <w:vAlign w:val="center"/>
          </w:tcPr>
          <w:p w14:paraId="77A0E2C4">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≥500</w:t>
            </w:r>
          </w:p>
        </w:tc>
        <w:tc>
          <w:tcPr>
            <w:tcW w:w="992" w:type="dxa"/>
            <w:tcBorders>
              <w:top w:val="nil"/>
              <w:left w:val="nil"/>
              <w:bottom w:val="single" w:color="auto" w:sz="4" w:space="0"/>
              <w:right w:val="single" w:color="auto" w:sz="4" w:space="0"/>
            </w:tcBorders>
            <w:vAlign w:val="center"/>
          </w:tcPr>
          <w:p w14:paraId="34DE1E7E">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且≥100</w:t>
            </w:r>
          </w:p>
        </w:tc>
        <w:tc>
          <w:tcPr>
            <w:tcW w:w="1143" w:type="dxa"/>
            <w:tcBorders>
              <w:top w:val="nil"/>
              <w:left w:val="nil"/>
              <w:bottom w:val="single" w:color="auto" w:sz="4" w:space="0"/>
              <w:right w:val="single" w:color="auto" w:sz="4" w:space="0"/>
            </w:tcBorders>
            <w:vAlign w:val="center"/>
          </w:tcPr>
          <w:p w14:paraId="32FDEDDE">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983" w:type="dxa"/>
            <w:tcBorders>
              <w:top w:val="nil"/>
              <w:left w:val="nil"/>
              <w:bottom w:val="single" w:color="auto" w:sz="4" w:space="0"/>
              <w:right w:val="single" w:color="auto" w:sz="4" w:space="0"/>
            </w:tcBorders>
            <w:vAlign w:val="center"/>
          </w:tcPr>
          <w:p w14:paraId="3B4A15BE">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＜500</w:t>
            </w:r>
          </w:p>
        </w:tc>
        <w:tc>
          <w:tcPr>
            <w:tcW w:w="1008" w:type="dxa"/>
            <w:tcBorders>
              <w:top w:val="nil"/>
              <w:left w:val="nil"/>
              <w:bottom w:val="single" w:color="auto" w:sz="4" w:space="0"/>
              <w:right w:val="single" w:color="auto" w:sz="4" w:space="0"/>
            </w:tcBorders>
            <w:vAlign w:val="center"/>
          </w:tcPr>
          <w:p w14:paraId="3C9AB05D">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或＜100</w:t>
            </w:r>
          </w:p>
        </w:tc>
        <w:tc>
          <w:tcPr>
            <w:tcW w:w="977" w:type="dxa"/>
            <w:tcBorders>
              <w:top w:val="nil"/>
              <w:left w:val="nil"/>
              <w:bottom w:val="single" w:color="auto" w:sz="4" w:space="0"/>
              <w:right w:val="single" w:color="auto" w:sz="4" w:space="0"/>
            </w:tcBorders>
            <w:vAlign w:val="center"/>
          </w:tcPr>
          <w:p w14:paraId="55663409">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r>
      <w:tr w14:paraId="351A2404">
        <w:tblPrEx>
          <w:tblCellMar>
            <w:top w:w="0" w:type="dxa"/>
            <w:left w:w="108" w:type="dxa"/>
            <w:bottom w:w="0" w:type="dxa"/>
            <w:right w:w="108" w:type="dxa"/>
          </w:tblCellMar>
        </w:tblPrEx>
        <w:trPr>
          <w:trHeight w:val="20" w:hRule="atLeast"/>
          <w:jc w:val="center"/>
        </w:trPr>
        <w:tc>
          <w:tcPr>
            <w:tcW w:w="490" w:type="dxa"/>
            <w:tcBorders>
              <w:top w:val="nil"/>
              <w:left w:val="single" w:color="auto" w:sz="4" w:space="0"/>
              <w:bottom w:val="single" w:color="auto" w:sz="4" w:space="0"/>
              <w:right w:val="single" w:color="auto" w:sz="4" w:space="0"/>
            </w:tcBorders>
            <w:vAlign w:val="center"/>
          </w:tcPr>
          <w:p w14:paraId="4EDAF00B">
            <w:pPr>
              <w:spacing w:line="276" w:lineRule="auto"/>
              <w:ind w:left="-102" w:leftChars="-51" w:right="-102" w:rightChars="-5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w:t>
            </w:r>
          </w:p>
        </w:tc>
        <w:tc>
          <w:tcPr>
            <w:tcW w:w="1954" w:type="dxa"/>
            <w:tcBorders>
              <w:top w:val="nil"/>
              <w:left w:val="nil"/>
              <w:bottom w:val="single" w:color="auto" w:sz="4" w:space="0"/>
              <w:right w:val="single" w:color="auto" w:sz="4" w:space="0"/>
            </w:tcBorders>
            <w:vAlign w:val="center"/>
          </w:tcPr>
          <w:p w14:paraId="42625D3F">
            <w:pPr>
              <w:spacing w:line="276" w:lineRule="auto"/>
              <w:ind w:left="-26" w:leftChars="-13" w:right="-62" w:rightChars="-3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租赁和商务服务业</w:t>
            </w:r>
          </w:p>
        </w:tc>
        <w:tc>
          <w:tcPr>
            <w:tcW w:w="953" w:type="dxa"/>
            <w:tcBorders>
              <w:top w:val="nil"/>
              <w:left w:val="nil"/>
              <w:bottom w:val="single" w:color="auto" w:sz="4" w:space="0"/>
              <w:right w:val="single" w:color="auto" w:sz="4" w:space="0"/>
            </w:tcBorders>
            <w:vAlign w:val="center"/>
          </w:tcPr>
          <w:p w14:paraId="22DF6902">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993" w:type="dxa"/>
            <w:tcBorders>
              <w:top w:val="nil"/>
              <w:left w:val="nil"/>
              <w:bottom w:val="single" w:color="auto" w:sz="4" w:space="0"/>
              <w:right w:val="single" w:color="auto" w:sz="4" w:space="0"/>
            </w:tcBorders>
            <w:vAlign w:val="center"/>
          </w:tcPr>
          <w:p w14:paraId="6BEEA07C">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≥300</w:t>
            </w:r>
          </w:p>
        </w:tc>
        <w:tc>
          <w:tcPr>
            <w:tcW w:w="1134" w:type="dxa"/>
            <w:tcBorders>
              <w:top w:val="nil"/>
              <w:left w:val="nil"/>
              <w:bottom w:val="single" w:color="auto" w:sz="4" w:space="0"/>
              <w:right w:val="single" w:color="auto" w:sz="4" w:space="0"/>
            </w:tcBorders>
            <w:vAlign w:val="center"/>
          </w:tcPr>
          <w:p w14:paraId="18FC5935">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且≥120000</w:t>
            </w:r>
          </w:p>
        </w:tc>
        <w:tc>
          <w:tcPr>
            <w:tcW w:w="850" w:type="dxa"/>
            <w:tcBorders>
              <w:top w:val="nil"/>
              <w:left w:val="nil"/>
              <w:bottom w:val="single" w:color="auto" w:sz="4" w:space="0"/>
              <w:right w:val="single" w:color="auto" w:sz="4" w:space="0"/>
            </w:tcBorders>
            <w:vAlign w:val="center"/>
          </w:tcPr>
          <w:p w14:paraId="7C6F8C90">
            <w:pPr>
              <w:spacing w:line="276" w:lineRule="auto"/>
              <w:ind w:left="-102" w:leftChars="-51" w:right="-102" w:rightChars="-51"/>
              <w:jc w:val="left"/>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rPr>
              <w:t>　</w:t>
            </w:r>
            <w:r>
              <w:rPr>
                <w:rFonts w:hint="eastAsia" w:ascii="宋体" w:hAnsi="宋体" w:eastAsia="宋体" w:cs="宋体"/>
                <w:kern w:val="0"/>
                <w:sz w:val="24"/>
                <w:szCs w:val="24"/>
                <w:highlight w:val="none"/>
                <w:lang w:val="en-US" w:eastAsia="zh-CN"/>
              </w:rPr>
              <w:t xml:space="preserve"> </w:t>
            </w:r>
          </w:p>
        </w:tc>
        <w:tc>
          <w:tcPr>
            <w:tcW w:w="992" w:type="dxa"/>
            <w:tcBorders>
              <w:top w:val="nil"/>
              <w:left w:val="nil"/>
              <w:bottom w:val="single" w:color="auto" w:sz="4" w:space="0"/>
              <w:right w:val="single" w:color="auto" w:sz="4" w:space="0"/>
            </w:tcBorders>
            <w:vAlign w:val="center"/>
          </w:tcPr>
          <w:p w14:paraId="1C7E99BE">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≥100</w:t>
            </w:r>
          </w:p>
        </w:tc>
        <w:tc>
          <w:tcPr>
            <w:tcW w:w="1134" w:type="dxa"/>
            <w:tcBorders>
              <w:top w:val="nil"/>
              <w:left w:val="nil"/>
              <w:bottom w:val="single" w:color="auto" w:sz="4" w:space="0"/>
              <w:right w:val="single" w:color="auto" w:sz="4" w:space="0"/>
            </w:tcBorders>
            <w:vAlign w:val="center"/>
          </w:tcPr>
          <w:p w14:paraId="5E6E057A">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且≥8000</w:t>
            </w:r>
          </w:p>
        </w:tc>
        <w:tc>
          <w:tcPr>
            <w:tcW w:w="993" w:type="dxa"/>
            <w:tcBorders>
              <w:top w:val="nil"/>
              <w:left w:val="nil"/>
              <w:bottom w:val="single" w:color="auto" w:sz="4" w:space="0"/>
              <w:right w:val="single" w:color="auto" w:sz="4" w:space="0"/>
            </w:tcBorders>
            <w:vAlign w:val="center"/>
          </w:tcPr>
          <w:p w14:paraId="47A605EB">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992" w:type="dxa"/>
            <w:tcBorders>
              <w:top w:val="nil"/>
              <w:left w:val="nil"/>
              <w:bottom w:val="single" w:color="auto" w:sz="4" w:space="0"/>
              <w:right w:val="single" w:color="auto" w:sz="4" w:space="0"/>
            </w:tcBorders>
            <w:vAlign w:val="center"/>
          </w:tcPr>
          <w:p w14:paraId="5698BD9D">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w:t>
            </w:r>
          </w:p>
        </w:tc>
        <w:tc>
          <w:tcPr>
            <w:tcW w:w="1143" w:type="dxa"/>
            <w:tcBorders>
              <w:top w:val="nil"/>
              <w:left w:val="nil"/>
              <w:bottom w:val="single" w:color="auto" w:sz="4" w:space="0"/>
              <w:right w:val="single" w:color="auto" w:sz="4" w:space="0"/>
            </w:tcBorders>
            <w:vAlign w:val="center"/>
          </w:tcPr>
          <w:p w14:paraId="6F4E282F">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且≥100</w:t>
            </w:r>
          </w:p>
        </w:tc>
        <w:tc>
          <w:tcPr>
            <w:tcW w:w="983" w:type="dxa"/>
            <w:tcBorders>
              <w:top w:val="nil"/>
              <w:left w:val="nil"/>
              <w:bottom w:val="single" w:color="auto" w:sz="4" w:space="0"/>
              <w:right w:val="single" w:color="auto" w:sz="4" w:space="0"/>
            </w:tcBorders>
            <w:vAlign w:val="center"/>
          </w:tcPr>
          <w:p w14:paraId="46DD098C">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1008" w:type="dxa"/>
            <w:tcBorders>
              <w:top w:val="nil"/>
              <w:left w:val="nil"/>
              <w:bottom w:val="single" w:color="auto" w:sz="4" w:space="0"/>
              <w:right w:val="single" w:color="auto" w:sz="4" w:space="0"/>
            </w:tcBorders>
            <w:vAlign w:val="center"/>
          </w:tcPr>
          <w:p w14:paraId="67F42C7A">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w:t>
            </w:r>
          </w:p>
        </w:tc>
        <w:tc>
          <w:tcPr>
            <w:tcW w:w="977" w:type="dxa"/>
            <w:tcBorders>
              <w:top w:val="nil"/>
              <w:left w:val="nil"/>
              <w:bottom w:val="single" w:color="auto" w:sz="4" w:space="0"/>
              <w:right w:val="single" w:color="auto" w:sz="4" w:space="0"/>
            </w:tcBorders>
            <w:vAlign w:val="center"/>
          </w:tcPr>
          <w:p w14:paraId="1056BC8C">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或＜100</w:t>
            </w:r>
          </w:p>
        </w:tc>
      </w:tr>
      <w:tr w14:paraId="518222D1">
        <w:tblPrEx>
          <w:tblCellMar>
            <w:top w:w="0" w:type="dxa"/>
            <w:left w:w="108" w:type="dxa"/>
            <w:bottom w:w="0" w:type="dxa"/>
            <w:right w:w="108" w:type="dxa"/>
          </w:tblCellMar>
        </w:tblPrEx>
        <w:trPr>
          <w:trHeight w:val="20" w:hRule="atLeast"/>
          <w:jc w:val="center"/>
        </w:trPr>
        <w:tc>
          <w:tcPr>
            <w:tcW w:w="490" w:type="dxa"/>
            <w:tcBorders>
              <w:top w:val="nil"/>
              <w:left w:val="single" w:color="auto" w:sz="4" w:space="0"/>
              <w:bottom w:val="single" w:color="auto" w:sz="4" w:space="0"/>
              <w:right w:val="single" w:color="auto" w:sz="4" w:space="0"/>
            </w:tcBorders>
            <w:vAlign w:val="center"/>
          </w:tcPr>
          <w:p w14:paraId="2B945579">
            <w:pPr>
              <w:spacing w:line="276" w:lineRule="auto"/>
              <w:ind w:left="-102" w:leftChars="-51" w:right="-102" w:rightChars="-51"/>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16</w:t>
            </w:r>
          </w:p>
        </w:tc>
        <w:tc>
          <w:tcPr>
            <w:tcW w:w="1954" w:type="dxa"/>
            <w:tcBorders>
              <w:top w:val="nil"/>
              <w:left w:val="nil"/>
              <w:bottom w:val="single" w:color="auto" w:sz="4" w:space="0"/>
              <w:right w:val="single" w:color="auto" w:sz="4" w:space="0"/>
            </w:tcBorders>
            <w:vAlign w:val="center"/>
          </w:tcPr>
          <w:p w14:paraId="705DD4D3">
            <w:pPr>
              <w:spacing w:line="276" w:lineRule="auto"/>
              <w:ind w:left="-26" w:leftChars="-13" w:right="-62" w:rightChars="-3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其他未列明行业</w:t>
            </w:r>
          </w:p>
        </w:tc>
        <w:tc>
          <w:tcPr>
            <w:tcW w:w="953" w:type="dxa"/>
            <w:tcBorders>
              <w:top w:val="nil"/>
              <w:left w:val="nil"/>
              <w:bottom w:val="single" w:color="auto" w:sz="4" w:space="0"/>
              <w:right w:val="single" w:color="auto" w:sz="4" w:space="0"/>
            </w:tcBorders>
            <w:vAlign w:val="center"/>
          </w:tcPr>
          <w:p w14:paraId="19B11FA4">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993" w:type="dxa"/>
            <w:tcBorders>
              <w:top w:val="nil"/>
              <w:left w:val="nil"/>
              <w:bottom w:val="single" w:color="auto" w:sz="4" w:space="0"/>
              <w:right w:val="single" w:color="auto" w:sz="4" w:space="0"/>
            </w:tcBorders>
            <w:vAlign w:val="center"/>
          </w:tcPr>
          <w:p w14:paraId="716BC516">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≥300</w:t>
            </w:r>
          </w:p>
        </w:tc>
        <w:tc>
          <w:tcPr>
            <w:tcW w:w="1134" w:type="dxa"/>
            <w:tcBorders>
              <w:top w:val="nil"/>
              <w:left w:val="nil"/>
              <w:bottom w:val="single" w:color="auto" w:sz="4" w:space="0"/>
              <w:right w:val="single" w:color="auto" w:sz="4" w:space="0"/>
            </w:tcBorders>
            <w:vAlign w:val="center"/>
          </w:tcPr>
          <w:p w14:paraId="4D82A184">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850" w:type="dxa"/>
            <w:tcBorders>
              <w:top w:val="nil"/>
              <w:left w:val="nil"/>
              <w:bottom w:val="single" w:color="auto" w:sz="4" w:space="0"/>
              <w:right w:val="single" w:color="auto" w:sz="4" w:space="0"/>
            </w:tcBorders>
            <w:vAlign w:val="center"/>
          </w:tcPr>
          <w:p w14:paraId="7CB3C182">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992" w:type="dxa"/>
            <w:tcBorders>
              <w:top w:val="nil"/>
              <w:left w:val="nil"/>
              <w:bottom w:val="single" w:color="auto" w:sz="4" w:space="0"/>
              <w:right w:val="single" w:color="auto" w:sz="4" w:space="0"/>
            </w:tcBorders>
            <w:vAlign w:val="center"/>
          </w:tcPr>
          <w:p w14:paraId="2B231BB3">
            <w:pPr>
              <w:spacing w:line="276" w:lineRule="auto"/>
              <w:ind w:left="-102" w:leftChars="-51" w:right="-102" w:rightChars="-51"/>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≥100</w:t>
            </w:r>
          </w:p>
        </w:tc>
        <w:tc>
          <w:tcPr>
            <w:tcW w:w="1134" w:type="dxa"/>
            <w:tcBorders>
              <w:top w:val="nil"/>
              <w:left w:val="nil"/>
              <w:bottom w:val="single" w:color="auto" w:sz="4" w:space="0"/>
              <w:right w:val="single" w:color="auto" w:sz="4" w:space="0"/>
            </w:tcBorders>
            <w:vAlign w:val="center"/>
          </w:tcPr>
          <w:p w14:paraId="27C6840C">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993" w:type="dxa"/>
            <w:tcBorders>
              <w:top w:val="nil"/>
              <w:left w:val="nil"/>
              <w:bottom w:val="single" w:color="auto" w:sz="4" w:space="0"/>
              <w:right w:val="single" w:color="auto" w:sz="4" w:space="0"/>
            </w:tcBorders>
            <w:vAlign w:val="center"/>
          </w:tcPr>
          <w:p w14:paraId="2550D7AB">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992" w:type="dxa"/>
            <w:tcBorders>
              <w:top w:val="nil"/>
              <w:left w:val="nil"/>
              <w:bottom w:val="single" w:color="auto" w:sz="4" w:space="0"/>
              <w:right w:val="single" w:color="auto" w:sz="4" w:space="0"/>
            </w:tcBorders>
            <w:vAlign w:val="center"/>
          </w:tcPr>
          <w:p w14:paraId="095BD58B">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w:t>
            </w:r>
          </w:p>
        </w:tc>
        <w:tc>
          <w:tcPr>
            <w:tcW w:w="1143" w:type="dxa"/>
            <w:tcBorders>
              <w:top w:val="nil"/>
              <w:left w:val="nil"/>
              <w:bottom w:val="single" w:color="auto" w:sz="4" w:space="0"/>
              <w:right w:val="single" w:color="auto" w:sz="4" w:space="0"/>
            </w:tcBorders>
            <w:vAlign w:val="center"/>
          </w:tcPr>
          <w:p w14:paraId="70155AED">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983" w:type="dxa"/>
            <w:tcBorders>
              <w:top w:val="nil"/>
              <w:left w:val="nil"/>
              <w:bottom w:val="single" w:color="auto" w:sz="4" w:space="0"/>
              <w:right w:val="single" w:color="auto" w:sz="4" w:space="0"/>
            </w:tcBorders>
            <w:vAlign w:val="center"/>
          </w:tcPr>
          <w:p w14:paraId="1D36FC31">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c>
          <w:tcPr>
            <w:tcW w:w="1008" w:type="dxa"/>
            <w:tcBorders>
              <w:top w:val="nil"/>
              <w:left w:val="nil"/>
              <w:bottom w:val="single" w:color="auto" w:sz="4" w:space="0"/>
              <w:right w:val="single" w:color="auto" w:sz="4" w:space="0"/>
            </w:tcBorders>
            <w:vAlign w:val="center"/>
          </w:tcPr>
          <w:p w14:paraId="1BD0FDE1">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w:t>
            </w:r>
          </w:p>
        </w:tc>
        <w:tc>
          <w:tcPr>
            <w:tcW w:w="977" w:type="dxa"/>
            <w:tcBorders>
              <w:top w:val="nil"/>
              <w:left w:val="nil"/>
              <w:bottom w:val="single" w:color="auto" w:sz="4" w:space="0"/>
              <w:right w:val="single" w:color="auto" w:sz="4" w:space="0"/>
            </w:tcBorders>
            <w:vAlign w:val="center"/>
          </w:tcPr>
          <w:p w14:paraId="3C4D4FEE">
            <w:pPr>
              <w:spacing w:line="276"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tc>
      </w:tr>
    </w:tbl>
    <w:p w14:paraId="04870F33">
      <w:pPr>
        <w:pStyle w:val="34"/>
        <w:rPr>
          <w:rFonts w:hint="eastAsia" w:ascii="宋体" w:hAnsi="宋体" w:eastAsia="宋体" w:cs="宋体"/>
        </w:rPr>
      </w:pPr>
    </w:p>
    <w:p w14:paraId="77DFA20D">
      <w:pPr>
        <w:rPr>
          <w:rFonts w:hint="eastAsia" w:ascii="宋体" w:hAnsi="宋体" w:eastAsia="宋体" w:cs="宋体"/>
        </w:rPr>
      </w:pPr>
    </w:p>
    <w:sectPr>
      <w:footerReference r:id="rId17" w:type="default"/>
      <w:pgSz w:w="16838" w:h="11906" w:orient="landscape"/>
      <w:pgMar w:top="1800" w:right="1440" w:bottom="1800"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00000" w:csb1="00000000"/>
  </w:font>
  <w:font w:name="??">
    <w:altName w:val="Times New Roman"/>
    <w:panose1 w:val="00000000000000000000"/>
    <w:charset w:val="00"/>
    <w:family w:val="auto"/>
    <w:pitch w:val="default"/>
    <w:sig w:usb0="00000000" w:usb1="00000000" w:usb2="00000000" w:usb3="00000000" w:csb0="00000001" w:csb1="00000000"/>
  </w:font>
  <w:font w:name="StarSymbol">
    <w:altName w:val="Segoe UI Symbol"/>
    <w:panose1 w:val="00000000000000000000"/>
    <w:charset w:val="02"/>
    <w:family w:val="auto"/>
    <w:pitch w:val="default"/>
    <w:sig w:usb0="00000000" w:usb1="00000000" w:usb2="00000000" w:usb3="00000000" w:csb0="00040001" w:csb1="00000000"/>
  </w:font>
  <w:font w:name="Segoe UI Symbol">
    <w:panose1 w:val="020B0502040204020203"/>
    <w:charset w:val="00"/>
    <w:family w:val="auto"/>
    <w:pitch w:val="default"/>
    <w:sig w:usb0="800001E3" w:usb1="1200FFEF" w:usb2="00040000" w:usb3="04000000" w:csb0="00000001" w:csb1="40000000"/>
  </w:font>
  <w:font w:name="Helvetica-Condensed-Bold">
    <w:altName w:val="黑体"/>
    <w:panose1 w:val="00000000000000000000"/>
    <w:charset w:val="86"/>
    <w:family w:val="auto"/>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AR PL ShanHeiSun Uni">
    <w:altName w:val="Arial"/>
    <w:panose1 w:val="00000000000000000000"/>
    <w:charset w:val="00"/>
    <w:family w:val="swiss"/>
    <w:pitch w:val="default"/>
    <w:sig w:usb0="00000000" w:usb1="00000000" w:usb2="00000000" w:usb3="00000000" w:csb0="00040001"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Arial Black">
    <w:panose1 w:val="020B0A04020102020204"/>
    <w:charset w:val="00"/>
    <w:family w:val="swiss"/>
    <w:pitch w:val="default"/>
    <w:sig w:usb0="A00002AF" w:usb1="400078FB" w:usb2="00000000" w:usb3="00000000" w:csb0="6000009F" w:csb1="DFD70000"/>
  </w:font>
  <w:font w:name="Tahoma">
    <w:panose1 w:val="020B0604030504040204"/>
    <w:charset w:val="00"/>
    <w:family w:val="swiss"/>
    <w:pitch w:val="default"/>
    <w:sig w:usb0="E1002EFF" w:usb1="C000605B" w:usb2="00000029" w:usb3="00000000" w:csb0="200101FF" w:csb1="20280000"/>
  </w:font>
  <w:font w:name="..">
    <w:altName w:val="宋体"/>
    <w:panose1 w:val="00000000000000000000"/>
    <w:charset w:val="86"/>
    <w:family w:val="auto"/>
    <w:pitch w:val="default"/>
    <w:sig w:usb0="00000000" w:usb1="00000000" w:usb2="0000001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Futura Bk">
    <w:altName w:val="Corbel"/>
    <w:panose1 w:val="00000000000000000000"/>
    <w:charset w:val="00"/>
    <w:family w:val="swiss"/>
    <w:pitch w:val="default"/>
    <w:sig w:usb0="00000000" w:usb1="00000000" w:usb2="00000000" w:usb3="00000000" w:csb0="0000009F" w:csb1="00000000"/>
  </w:font>
  <w:font w:name="Corbel">
    <w:panose1 w:val="020B0503020204020204"/>
    <w:charset w:val="00"/>
    <w:family w:val="auto"/>
    <w:pitch w:val="default"/>
    <w:sig w:usb0="A00002EF" w:usb1="4000A44B" w:usb2="00000000" w:usb3="00000000" w:csb0="2000019F" w:csb1="00000000"/>
  </w:font>
  <w:font w:name="长城仿宋">
    <w:altName w:val="黑体"/>
    <w:panose1 w:val="00000000000000000000"/>
    <w:charset w:val="86"/>
    <w:family w:val="modern"/>
    <w:pitch w:val="default"/>
    <w:sig w:usb0="00000000" w:usb1="00000000" w:usb2="00000010" w:usb3="00000000" w:csb0="00040000" w:csb1="00000000"/>
  </w:font>
  <w:font w:name="Garamond">
    <w:altName w:val="PMingLiU-ExtB"/>
    <w:panose1 w:val="02020404030301010803"/>
    <w:charset w:val="00"/>
    <w:family w:val="roman"/>
    <w:pitch w:val="default"/>
    <w:sig w:usb0="00000000" w:usb1="00000000" w:usb2="00000000" w:usb3="00000000" w:csb0="0000009F" w:csb1="DFD70000"/>
  </w:font>
  <w:font w:name="PMingLiU-ExtB">
    <w:panose1 w:val="02020500000000000000"/>
    <w:charset w:val="88"/>
    <w:family w:val="auto"/>
    <w:pitch w:val="default"/>
    <w:sig w:usb0="8000002F" w:usb1="02000008" w:usb2="00000000" w:usb3="00000000" w:csb0="00100001" w:csb1="00000000"/>
  </w:font>
  <w:font w:name="Arial Unicode MS">
    <w:altName w:val="宋体"/>
    <w:panose1 w:val="020B0604020202020204"/>
    <w:charset w:val="86"/>
    <w:family w:val="auto"/>
    <w:pitch w:val="default"/>
    <w:sig w:usb0="00000000" w:usb1="00000000" w:usb2="0000003F" w:usb3="00000000" w:csb0="603F01FF" w:csb1="FFFF0000"/>
  </w:font>
  <w:font w:name="幼圆">
    <w:altName w:val="宋体"/>
    <w:panose1 w:val="02010509060101010101"/>
    <w:charset w:val="86"/>
    <w:family w:val="modern"/>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新宋体">
    <w:panose1 w:val="02010609030101010101"/>
    <w:charset w:val="86"/>
    <w:family w:val="modern"/>
    <w:pitch w:val="default"/>
    <w:sig w:usb0="00000203" w:usb1="288F0000" w:usb2="00000006" w:usb3="00000000" w:csb0="00040001" w:csb1="00000000"/>
  </w:font>
  <w:font w:name="Helvetica">
    <w:altName w:val="Arial"/>
    <w:panose1 w:val="020B0604020202020204"/>
    <w:charset w:val="00"/>
    <w:family w:val="swiss"/>
    <w:pitch w:val="default"/>
    <w:sig w:usb0="00000000" w:usb1="00000000" w:usb2="00000000" w:usb3="00000000" w:csb0="00000001" w:csb1="00000000"/>
  </w:font>
  <w:font w:name="ヒラギノ角ゴ Pro W3">
    <w:altName w:val="Yu Gothic"/>
    <w:panose1 w:val="00000000000000000000"/>
    <w:charset w:val="80"/>
    <w:family w:val="auto"/>
    <w:pitch w:val="default"/>
    <w:sig w:usb0="00000000" w:usb1="00000000" w:usb2="00000012" w:usb3="00000000" w:csb0="0002000D" w:csb1="00000000"/>
  </w:font>
  <w:font w:name="Yu Gothic">
    <w:panose1 w:val="020B04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23ED47">
    <w:pPr>
      <w:pStyle w:val="55"/>
      <w:jc w:val="center"/>
    </w:pPr>
  </w:p>
  <w:p w14:paraId="74831207">
    <w:pPr>
      <w:pStyle w:val="5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01FFE5">
    <w:pPr>
      <w:pBdr>
        <w:top w:val="single" w:color="7F7F7F" w:themeColor="background1" w:themeShade="80" w:sz="4" w:space="1"/>
      </w:pBdr>
      <w:adjustRightInd w:val="0"/>
      <w:snapToGrid w:val="0"/>
      <w:rPr>
        <w:rFonts w:hint="default" w:ascii="宋体" w:hAnsi="宋体" w:eastAsia="宋体"/>
        <w:lang w:val="en-US" w:eastAsia="zh-CN"/>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455EE4">
                          <w:pPr>
                            <w:pStyle w:val="5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4455EE4">
                    <w:pPr>
                      <w:pStyle w:val="5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FC5B4A">
    <w:pPr>
      <w:pStyle w:val="55"/>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1404028795" name="文本框 5"/>
              <wp:cNvGraphicFramePr/>
              <a:graphic xmlns:a="http://schemas.openxmlformats.org/drawingml/2006/main">
                <a:graphicData uri="http://schemas.microsoft.com/office/word/2010/wordprocessingShape">
                  <wps:wsp>
                    <wps:cNvSpPr txBox="1">
                      <a:spLocks noChangeArrowheads="1"/>
                    </wps:cNvSpPr>
                    <wps:spPr bwMode="auto">
                      <a:xfrm>
                        <a:off x="0" y="0"/>
                        <a:ext cx="116205" cy="139700"/>
                      </a:xfrm>
                      <a:prstGeom prst="rect">
                        <a:avLst/>
                      </a:prstGeom>
                      <a:noFill/>
                      <a:ln>
                        <a:noFill/>
                      </a:ln>
                    </wps:spPr>
                    <wps:txbx>
                      <w:txbxContent>
                        <w:p w14:paraId="5AA552A7">
                          <w:pPr>
                            <w:pStyle w:val="55"/>
                          </w:pPr>
                          <w:r>
                            <w:rPr>
                              <w:rFonts w:hint="eastAsia"/>
                            </w:rPr>
                            <w:fldChar w:fldCharType="begin"/>
                          </w:r>
                          <w:r>
                            <w:rPr>
                              <w:rFonts w:hint="eastAsia"/>
                            </w:rPr>
                            <w:instrText xml:space="preserve"> PAGE  \* MERGEFORMAT </w:instrText>
                          </w:r>
                          <w:r>
                            <w:rPr>
                              <w:rFonts w:hint="eastAsia"/>
                            </w:rPr>
                            <w:fldChar w:fldCharType="separate"/>
                          </w:r>
                          <w:r>
                            <w:t>17</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文本框 5" o:spid="_x0000_s1026" o:spt="202" type="#_x0000_t202" style="position:absolute;left:0pt;margin-top:0pt;height:11pt;width:9.15pt;mso-position-horizontal:center;mso-position-horizontal-relative:margin;mso-wrap-style:none;z-index:251659264;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GLpYU0AAAAAMBAAAPAAAAAAAAAAEAIAAAACIA&#10;AABkcnMvZG93bnJldi54bWxQSwECFAAUAAAACACHTuJA0gjtXBECAAALBAAADgAAAAAAAAABACAA&#10;AAAfAQAAZHJzL2Uyb0RvYy54bWxQSwUGAAAAAAYABgBZAQAAogUAAAAA&#10;">
              <v:fill on="f" focussize="0,0"/>
              <v:stroke on="f"/>
              <v:imagedata o:title=""/>
              <o:lock v:ext="edit" aspectratio="f"/>
              <v:textbox inset="0mm,0mm,0mm,0mm" style="mso-fit-shape-to-text:t;">
                <w:txbxContent>
                  <w:p w14:paraId="5AA552A7">
                    <w:pPr>
                      <w:pStyle w:val="55"/>
                    </w:pPr>
                    <w:r>
                      <w:rPr>
                        <w:rFonts w:hint="eastAsia"/>
                      </w:rPr>
                      <w:fldChar w:fldCharType="begin"/>
                    </w:r>
                    <w:r>
                      <w:rPr>
                        <w:rFonts w:hint="eastAsia"/>
                      </w:rPr>
                      <w:instrText xml:space="preserve"> PAGE  \* MERGEFORMAT </w:instrText>
                    </w:r>
                    <w:r>
                      <w:rPr>
                        <w:rFonts w:hint="eastAsia"/>
                      </w:rPr>
                      <w:fldChar w:fldCharType="separate"/>
                    </w:r>
                    <w:r>
                      <w:t>17</w:t>
                    </w:r>
                    <w:r>
                      <w:rPr>
                        <w:rFonts w:hint="eastAsia"/>
                      </w:rPr>
                      <w:fldChar w:fldCharType="end"/>
                    </w:r>
                  </w:p>
                </w:txbxContent>
              </v:textbox>
            </v:shape>
          </w:pict>
        </mc:Fallback>
      </mc:AlternateContent>
    </w:r>
  </w:p>
  <w:p w14:paraId="5B5D1043">
    <w:pPr>
      <w:pStyle w:val="5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C6B1C4">
    <w:pPr>
      <w:pStyle w:val="55"/>
      <w:framePr w:wrap="around" w:vAnchor="text" w:hAnchor="margin" w:xAlign="center" w:y="1"/>
      <w:rPr>
        <w:rStyle w:val="93"/>
      </w:rPr>
    </w:pPr>
    <w:r>
      <w:fldChar w:fldCharType="begin"/>
    </w:r>
    <w:r>
      <w:rPr>
        <w:rStyle w:val="93"/>
      </w:rPr>
      <w:instrText xml:space="preserve">PAGE  </w:instrText>
    </w:r>
    <w:r>
      <w:fldChar w:fldCharType="end"/>
    </w:r>
  </w:p>
  <w:p w14:paraId="69377023">
    <w:pPr>
      <w:pStyle w:val="5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9D92DD">
    <w:pPr>
      <w:pBdr>
        <w:top w:val="single" w:color="7F7F7F" w:themeColor="background1" w:themeShade="80" w:sz="4" w:space="1"/>
      </w:pBdr>
      <w:adjustRightInd w:val="0"/>
      <w:snapToGrid w:val="0"/>
      <w:rPr>
        <w:rFonts w:hint="default" w:ascii="宋体" w:hAnsi="宋体" w:eastAsia="宋体"/>
        <w:lang w:val="en-US" w:eastAsia="zh-CN"/>
      </w:rPr>
    </w:pPr>
    <w:r>
      <w:rPr>
        <w:sz w:val="20"/>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786D19">
                          <w:pPr>
                            <w:pStyle w:val="55"/>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F786D19">
                    <w:pPr>
                      <w:pStyle w:val="55"/>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7208BF">
    <w:pPr>
      <w:pBdr>
        <w:top w:val="single" w:color="7F7F7F" w:themeColor="background1" w:themeShade="80" w:sz="4" w:space="1"/>
      </w:pBdr>
      <w:adjustRightInd w:val="0"/>
      <w:snapToGrid w:val="0"/>
      <w:rPr>
        <w:rFonts w:hint="default" w:ascii="宋体" w:hAnsi="宋体" w:eastAsia="宋体"/>
        <w:lang w:val="en-US" w:eastAsia="zh-CN"/>
      </w:rPr>
    </w:pPr>
    <w:r>
      <w:rPr>
        <w:sz w:val="20"/>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5EA28F">
                          <w:pPr>
                            <w:pStyle w:val="55"/>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B5EA28F">
                    <w:pPr>
                      <w:pStyle w:val="55"/>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CB9B63">
    <w:pPr>
      <w:pBdr>
        <w:top w:val="single" w:color="7F7F7F" w:themeColor="background1" w:themeShade="80" w:sz="4" w:space="1"/>
      </w:pBdr>
      <w:adjustRightInd w:val="0"/>
      <w:snapToGrid w:val="0"/>
      <w:rPr>
        <w:rFonts w:hint="default" w:ascii="宋体" w:hAnsi="宋体" w:eastAsia="宋体"/>
        <w:lang w:val="en-US" w:eastAsia="zh-CN"/>
      </w:rPr>
    </w:pPr>
    <w:r>
      <w:rPr>
        <w:sz w:val="20"/>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C4B457">
                          <w:pPr>
                            <w:pStyle w:val="55"/>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05C4B457">
                    <w:pPr>
                      <w:pStyle w:val="55"/>
                    </w:pPr>
                    <w:r>
                      <w:fldChar w:fldCharType="begin"/>
                    </w:r>
                    <w:r>
                      <w:instrText xml:space="preserve"> PAGE  \* MERGEFORMAT </w:instrText>
                    </w:r>
                    <w:r>
                      <w:fldChar w:fldCharType="separate"/>
                    </w:r>
                    <w:r>
                      <w:t>72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E3A599">
    <w:pPr>
      <w:pStyle w:val="5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C7EF7">
    <w:pPr>
      <w:pStyle w:val="57"/>
      <w:pBdr>
        <w:bottom w:val="single" w:color="7F7F7F" w:themeColor="background1" w:themeShade="80" w:sz="4" w:space="1"/>
      </w:pBdr>
      <w:jc w:val="left"/>
      <w:rPr>
        <w:rFonts w:ascii="宋体" w:hAnsi="宋体"/>
      </w:rPr>
    </w:pPr>
    <w:r>
      <w:rPr>
        <w:rFonts w:hint="eastAsia" w:ascii="宋体" w:hAnsi="宋体"/>
      </w:rPr>
      <w:t xml:space="preserve">                                                                                   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000CB8">
    <w:pPr>
      <w:pStyle w:val="57"/>
    </w:pPr>
    <w:r>
      <w:pict>
        <v:shape id="PowerPlusWaterMarkObject539053484" o:spid="_x0000_s4098" o:spt="136" type="#_x0000_t136" style="position:absolute;left:0pt;height:62.75pt;width:564.7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t" xscale="f" string="湖北省政府采购协会" style="font-family:宋体;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D97D8F">
    <w:pPr>
      <w:pStyle w:val="57"/>
    </w:pPr>
    <w:r>
      <w:pict>
        <v:shape id="PowerPlusWaterMarkObject539053483" o:spid="_x0000_s4097" o:spt="136" type="#_x0000_t136" style="position:absolute;left:0pt;height:62.75pt;width:564.7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t" xscale="f" string="湖北省政府采购协会" style="font-family:宋体;font-size:1pt;v-text-align:center;"/>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C55C36">
    <w:pPr>
      <w:pStyle w:val="57"/>
      <w:jc w:val="right"/>
    </w:pPr>
    <w:r>
      <w:rPr>
        <w:rFonts w:hint="eastAsia" w:ascii="宋体" w:hAnsi="宋体"/>
      </w:rPr>
      <w:t>磋商文件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3A67FB">
    <w:pPr>
      <w:pStyle w:val="57"/>
    </w:pPr>
    <w:r>
      <w:pict>
        <v:shape id="PowerPlusWaterMarkObject539053490" o:spid="_x0000_s4102" o:spt="136" type="#_x0000_t136" style="position:absolute;left:0pt;height:62.75pt;width:564.75pt;mso-position-horizontal:center;mso-position-horizontal-relative:margin;mso-position-vertical:center;mso-position-vertical-relative:margin;rotation:20643840f;z-index:-251654144;mso-width-relative:page;mso-height-relative:page;" fillcolor="#C0C0C0" filled="t" stroked="f" coordsize="21600,21600" o:allowincell="f">
          <v:path/>
          <v:fill on="t" opacity="32768f" focussize="0,0"/>
          <v:stroke on="f"/>
          <v:imagedata o:title=""/>
          <o:lock v:ext="edit"/>
          <v:textpath on="t" fitshape="t" fitpath="t" trim="t" xscale="f" string="湖北省政府采购协会" style="font-family:宋体;font-size:1pt;v-text-align:center;"/>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6A8526">
    <w:pPr>
      <w:pStyle w:val="57"/>
    </w:pPr>
    <w:r>
      <w:pict>
        <v:shape id="PowerPlusWaterMarkObject539053489" o:spid="_x0000_s4101" o:spt="136" type="#_x0000_t136" style="position:absolute;left:0pt;height:62.75pt;width:564.7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t" xscale="f" string="湖北省政府采购协会" style="font-family:宋体;font-size:1pt;v-text-align:center;"/>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3EEC76">
    <w:pPr>
      <w:pStyle w:val="57"/>
      <w:jc w:val="right"/>
    </w:pPr>
    <w:r>
      <w:rPr>
        <w:rFonts w:hint="eastAsia" w:ascii="宋体" w:hAnsi="宋体"/>
      </w:rPr>
      <w:t>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4D5E30"/>
    <w:multiLevelType w:val="singleLevel"/>
    <w:tmpl w:val="8E4D5E30"/>
    <w:lvl w:ilvl="0" w:tentative="0">
      <w:start w:val="1"/>
      <w:numFmt w:val="decimal"/>
      <w:lvlText w:val="%1."/>
      <w:lvlJc w:val="left"/>
      <w:pPr>
        <w:tabs>
          <w:tab w:val="left" w:pos="312"/>
        </w:tabs>
      </w:pPr>
    </w:lvl>
  </w:abstractNum>
  <w:abstractNum w:abstractNumId="1">
    <w:nsid w:val="99ED120F"/>
    <w:multiLevelType w:val="singleLevel"/>
    <w:tmpl w:val="99ED120F"/>
    <w:lvl w:ilvl="0" w:tentative="0">
      <w:start w:val="1"/>
      <w:numFmt w:val="decimal"/>
      <w:suff w:val="nothing"/>
      <w:lvlText w:val="%1、"/>
      <w:lvlJc w:val="left"/>
    </w:lvl>
  </w:abstractNum>
  <w:abstractNum w:abstractNumId="2">
    <w:nsid w:val="A4225D7C"/>
    <w:multiLevelType w:val="singleLevel"/>
    <w:tmpl w:val="A4225D7C"/>
    <w:lvl w:ilvl="0" w:tentative="0">
      <w:start w:val="1"/>
      <w:numFmt w:val="decimal"/>
      <w:suff w:val="nothing"/>
      <w:lvlText w:val="%1、"/>
      <w:lvlJc w:val="left"/>
    </w:lvl>
  </w:abstractNum>
  <w:abstractNum w:abstractNumId="3">
    <w:nsid w:val="00000007"/>
    <w:multiLevelType w:val="multilevel"/>
    <w:tmpl w:val="00000007"/>
    <w:lvl w:ilvl="0" w:tentative="0">
      <w:start w:val="1"/>
      <w:numFmt w:val="decimal"/>
      <w:lvlText w:val="%1."/>
      <w:lvlJc w:val="left"/>
      <w:pPr>
        <w:tabs>
          <w:tab w:val="left" w:pos="990"/>
        </w:tabs>
        <w:ind w:left="990" w:hanging="360"/>
      </w:pPr>
      <w:rPr>
        <w:rFonts w:hint="default"/>
      </w:rPr>
    </w:lvl>
    <w:lvl w:ilvl="1" w:tentative="0">
      <w:start w:val="1"/>
      <w:numFmt w:val="lowerLetter"/>
      <w:lvlText w:val="%2)"/>
      <w:lvlJc w:val="left"/>
      <w:pPr>
        <w:tabs>
          <w:tab w:val="left" w:pos="1470"/>
        </w:tabs>
        <w:ind w:left="1470" w:hanging="420"/>
      </w:pPr>
    </w:lvl>
    <w:lvl w:ilvl="2" w:tentative="0">
      <w:start w:val="1"/>
      <w:numFmt w:val="lowerRoman"/>
      <w:lvlText w:val="%3."/>
      <w:lvlJc w:val="right"/>
      <w:pPr>
        <w:tabs>
          <w:tab w:val="left" w:pos="1890"/>
        </w:tabs>
        <w:ind w:left="1890" w:hanging="420"/>
      </w:pPr>
    </w:lvl>
    <w:lvl w:ilvl="3" w:tentative="0">
      <w:start w:val="1"/>
      <w:numFmt w:val="decimal"/>
      <w:lvlText w:val="%4."/>
      <w:lvlJc w:val="left"/>
      <w:pPr>
        <w:tabs>
          <w:tab w:val="left" w:pos="2310"/>
        </w:tabs>
        <w:ind w:left="2310" w:hanging="420"/>
      </w:pPr>
    </w:lvl>
    <w:lvl w:ilvl="4" w:tentative="0">
      <w:start w:val="1"/>
      <w:numFmt w:val="lowerLetter"/>
      <w:lvlText w:val="%5)"/>
      <w:lvlJc w:val="left"/>
      <w:pPr>
        <w:tabs>
          <w:tab w:val="left" w:pos="2730"/>
        </w:tabs>
        <w:ind w:left="2730" w:hanging="420"/>
      </w:pPr>
    </w:lvl>
    <w:lvl w:ilvl="5" w:tentative="0">
      <w:start w:val="1"/>
      <w:numFmt w:val="lowerRoman"/>
      <w:lvlText w:val="%6."/>
      <w:lvlJc w:val="right"/>
      <w:pPr>
        <w:tabs>
          <w:tab w:val="left" w:pos="3150"/>
        </w:tabs>
        <w:ind w:left="3150" w:hanging="420"/>
      </w:pPr>
    </w:lvl>
    <w:lvl w:ilvl="6" w:tentative="0">
      <w:start w:val="1"/>
      <w:numFmt w:val="decimal"/>
      <w:lvlText w:val="%7."/>
      <w:lvlJc w:val="left"/>
      <w:pPr>
        <w:tabs>
          <w:tab w:val="left" w:pos="3570"/>
        </w:tabs>
        <w:ind w:left="3570" w:hanging="420"/>
      </w:pPr>
    </w:lvl>
    <w:lvl w:ilvl="7" w:tentative="0">
      <w:start w:val="1"/>
      <w:numFmt w:val="lowerLetter"/>
      <w:lvlText w:val="%8)"/>
      <w:lvlJc w:val="left"/>
      <w:pPr>
        <w:tabs>
          <w:tab w:val="left" w:pos="3990"/>
        </w:tabs>
        <w:ind w:left="3990" w:hanging="420"/>
      </w:pPr>
    </w:lvl>
    <w:lvl w:ilvl="8" w:tentative="0">
      <w:start w:val="1"/>
      <w:numFmt w:val="lowerRoman"/>
      <w:lvlText w:val="%9."/>
      <w:lvlJc w:val="right"/>
      <w:pPr>
        <w:tabs>
          <w:tab w:val="left" w:pos="4410"/>
        </w:tabs>
        <w:ind w:left="4410" w:hanging="420"/>
      </w:pPr>
    </w:lvl>
  </w:abstractNum>
  <w:abstractNum w:abstractNumId="4">
    <w:nsid w:val="00000008"/>
    <w:multiLevelType w:val="multilevel"/>
    <w:tmpl w:val="00000008"/>
    <w:lvl w:ilvl="0" w:tentative="0">
      <w:start w:val="1"/>
      <w:numFmt w:val="japaneseCounting"/>
      <w:lvlText w:val="%1、"/>
      <w:lvlJc w:val="left"/>
      <w:pPr>
        <w:tabs>
          <w:tab w:val="left" w:pos="420"/>
        </w:tabs>
        <w:ind w:left="420" w:hanging="420"/>
      </w:pPr>
      <w:rPr>
        <w:rFonts w:ascii="Times New Roman" w:hAnsi="Times New Roman" w:eastAsia="Times New Roman" w:cs="Times New Roman"/>
      </w:rPr>
    </w:lvl>
    <w:lvl w:ilvl="1" w:tentative="0">
      <w:start w:val="1"/>
      <w:numFmt w:val="decimal"/>
      <w:pStyle w:val="710"/>
      <w:suff w:val="space"/>
      <w:lvlText w:val="%1.%2."/>
      <w:lvlJc w:val="left"/>
      <w:pPr>
        <w:ind w:left="927" w:hanging="567"/>
      </w:pPr>
      <w:rPr>
        <w:rFonts w:hint="eastAsia"/>
      </w:rPr>
    </w:lvl>
    <w:lvl w:ilvl="2" w:tentative="0">
      <w:start w:val="1"/>
      <w:numFmt w:val="decimal"/>
      <w:pStyle w:val="714"/>
      <w:suff w:val="space"/>
      <w:lvlText w:val="%1.%2.%3."/>
      <w:lvlJc w:val="left"/>
      <w:pPr>
        <w:ind w:left="709" w:hanging="709"/>
      </w:pPr>
      <w:rPr>
        <w:rFonts w:hint="eastAsia"/>
      </w:rPr>
    </w:lvl>
    <w:lvl w:ilvl="3" w:tentative="0">
      <w:start w:val="1"/>
      <w:numFmt w:val="decimal"/>
      <w:pStyle w:val="706"/>
      <w:suff w:val="space"/>
      <w:lvlText w:val="%1.%2.%3.%4."/>
      <w:lvlJc w:val="left"/>
      <w:pPr>
        <w:ind w:left="851" w:hanging="851"/>
      </w:pPr>
      <w:rPr>
        <w:rFonts w:hint="eastAsia"/>
      </w:rPr>
    </w:lvl>
    <w:lvl w:ilvl="4" w:tentative="0">
      <w:start w:val="1"/>
      <w:numFmt w:val="decimal"/>
      <w:lvlText w:val="%1.%2.%3.%4.%5."/>
      <w:lvlJc w:val="left"/>
      <w:pPr>
        <w:tabs>
          <w:tab w:val="left" w:pos="0"/>
        </w:tabs>
        <w:ind w:left="992" w:hanging="992"/>
      </w:pPr>
      <w:rPr>
        <w:rFonts w:hint="eastAsia"/>
      </w:rPr>
    </w:lvl>
    <w:lvl w:ilvl="5" w:tentative="0">
      <w:start w:val="1"/>
      <w:numFmt w:val="decimal"/>
      <w:lvlText w:val="%1.%2.%3.%4.%5.%6."/>
      <w:lvlJc w:val="left"/>
      <w:pPr>
        <w:tabs>
          <w:tab w:val="left" w:pos="0"/>
        </w:tabs>
        <w:ind w:left="1134" w:hanging="1134"/>
      </w:pPr>
      <w:rPr>
        <w:rFonts w:hint="eastAsia"/>
      </w:rPr>
    </w:lvl>
    <w:lvl w:ilvl="6" w:tentative="0">
      <w:start w:val="1"/>
      <w:numFmt w:val="decimal"/>
      <w:lvlText w:val="%1.%2.%3.%4.%5.%6.%7."/>
      <w:lvlJc w:val="left"/>
      <w:pPr>
        <w:tabs>
          <w:tab w:val="left" w:pos="0"/>
        </w:tabs>
        <w:ind w:left="1276" w:hanging="1276"/>
      </w:pPr>
      <w:rPr>
        <w:rFonts w:hint="eastAsia"/>
      </w:rPr>
    </w:lvl>
    <w:lvl w:ilvl="7" w:tentative="0">
      <w:start w:val="1"/>
      <w:numFmt w:val="decimal"/>
      <w:lvlText w:val="%1.%2.%3.%4.%5.%6.%7.%8."/>
      <w:lvlJc w:val="left"/>
      <w:pPr>
        <w:tabs>
          <w:tab w:val="left" w:pos="0"/>
        </w:tabs>
        <w:ind w:left="1418" w:hanging="1418"/>
      </w:pPr>
      <w:rPr>
        <w:rFonts w:hint="eastAsia"/>
      </w:rPr>
    </w:lvl>
    <w:lvl w:ilvl="8" w:tentative="0">
      <w:start w:val="1"/>
      <w:numFmt w:val="decimal"/>
      <w:lvlText w:val="%1.%2.%3.%4.%5.%6.%7.%8.%9."/>
      <w:lvlJc w:val="left"/>
      <w:pPr>
        <w:tabs>
          <w:tab w:val="left" w:pos="0"/>
        </w:tabs>
        <w:ind w:left="1559" w:hanging="1559"/>
      </w:pPr>
      <w:rPr>
        <w:rFonts w:hint="eastAsia"/>
      </w:rPr>
    </w:lvl>
  </w:abstractNum>
  <w:abstractNum w:abstractNumId="5">
    <w:nsid w:val="00000011"/>
    <w:multiLevelType w:val="multilevel"/>
    <w:tmpl w:val="00000011"/>
    <w:lvl w:ilvl="0" w:tentative="0">
      <w:start w:val="1"/>
      <w:numFmt w:val="decimal"/>
      <w:pStyle w:val="327"/>
      <w:lvlText w:val="%1."/>
      <w:lvlJc w:val="left"/>
      <w:pPr>
        <w:tabs>
          <w:tab w:val="left" w:pos="420"/>
        </w:tabs>
        <w:ind w:left="430" w:hanging="430"/>
      </w:pPr>
      <w:rPr>
        <w:rFonts w:hint="eastAsia"/>
      </w:rPr>
    </w:lvl>
    <w:lvl w:ilvl="1" w:tentative="0">
      <w:start w:val="1"/>
      <w:numFmt w:val="decimal"/>
      <w:lvlText w:val="%1.%2"/>
      <w:lvlJc w:val="left"/>
      <w:pPr>
        <w:tabs>
          <w:tab w:val="left" w:pos="700"/>
        </w:tabs>
        <w:ind w:left="700" w:hanging="700"/>
      </w:pPr>
      <w:rPr>
        <w:rFonts w:hint="eastAsia"/>
        <w:lang w:val="en-GB"/>
      </w:rPr>
    </w:lvl>
    <w:lvl w:ilvl="2" w:tentative="0">
      <w:start w:val="1"/>
      <w:numFmt w:val="decimal"/>
      <w:pStyle w:val="411"/>
      <w:lvlText w:val="%1.%2.%3"/>
      <w:lvlJc w:val="left"/>
      <w:pPr>
        <w:tabs>
          <w:tab w:val="left" w:pos="1000"/>
        </w:tabs>
        <w:ind w:left="1000" w:hanging="1000"/>
      </w:pPr>
      <w:rPr>
        <w:rFonts w:hint="eastAsia"/>
      </w:rPr>
    </w:lvl>
    <w:lvl w:ilvl="3" w:tentative="0">
      <w:start w:val="1"/>
      <w:numFmt w:val="decimal"/>
      <w:lvlText w:val="%1.%2.%3.%4"/>
      <w:lvlJc w:val="left"/>
      <w:pPr>
        <w:tabs>
          <w:tab w:val="left" w:pos="0"/>
        </w:tabs>
        <w:ind w:left="1984" w:hanging="1984"/>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6">
    <w:nsid w:val="00000013"/>
    <w:multiLevelType w:val="multilevel"/>
    <w:tmpl w:val="00000013"/>
    <w:lvl w:ilvl="0" w:tentative="0">
      <w:start w:val="1"/>
      <w:numFmt w:val="ideographDigital"/>
      <w:pStyle w:val="20"/>
      <w:suff w:val="space"/>
      <w:lvlText w:val="第%1章 "/>
      <w:lvlJc w:val="left"/>
      <w:pPr>
        <w:ind w:left="0" w:firstLine="0"/>
      </w:pPr>
      <w:rPr>
        <w:rFonts w:hint="eastAsia"/>
        <w:b/>
      </w:rPr>
    </w:lvl>
    <w:lvl w:ilvl="1" w:tentative="0">
      <w:start w:val="1"/>
      <w:numFmt w:val="decimal"/>
      <w:isLgl/>
      <w:suff w:val="space"/>
      <w:lvlText w:val="%1.%2 "/>
      <w:lvlJc w:val="left"/>
      <w:pPr>
        <w:ind w:left="567" w:hanging="567"/>
      </w:pPr>
      <w:rPr>
        <w:rFonts w:hint="default" w:ascii="Times New Roman" w:hAnsi="Times New Roman"/>
      </w:rPr>
    </w:lvl>
    <w:lvl w:ilvl="2" w:tentative="0">
      <w:start w:val="1"/>
      <w:numFmt w:val="decimal"/>
      <w:isLgl/>
      <w:suff w:val="space"/>
      <w:lvlText w:val="%1.%2.%3 "/>
      <w:lvlJc w:val="left"/>
      <w:pPr>
        <w:ind w:left="567" w:hanging="567"/>
      </w:pPr>
      <w:rPr>
        <w:rFonts w:hint="eastAsia"/>
      </w:rPr>
    </w:lvl>
    <w:lvl w:ilvl="3" w:tentative="0">
      <w:start w:val="1"/>
      <w:numFmt w:val="decimal"/>
      <w:isLgl/>
      <w:lvlText w:val="%1.%2.%3.%4 "/>
      <w:lvlJc w:val="left"/>
      <w:pPr>
        <w:tabs>
          <w:tab w:val="left" w:pos="864"/>
        </w:tabs>
        <w:ind w:left="567" w:hanging="567"/>
      </w:pPr>
      <w:rPr>
        <w:rFonts w:hint="eastAsia" w:ascii="Times New Roman" w:hAnsi="Times New Roman" w:cs="Times New Roman"/>
        <w:b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isLgl/>
      <w:suff w:val="space"/>
      <w:lvlText w:val="%1.%2.%3.%4.%5 "/>
      <w:lvlJc w:val="left"/>
      <w:pPr>
        <w:ind w:left="567" w:hanging="567"/>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7">
    <w:nsid w:val="1256294C"/>
    <w:multiLevelType w:val="multilevel"/>
    <w:tmpl w:val="1256294C"/>
    <w:lvl w:ilvl="0" w:tentative="0">
      <w:start w:val="1"/>
      <w:numFmt w:val="decimal"/>
      <w:pStyle w:val="438"/>
      <w:lvlText w:val="%1"/>
      <w:lvlJc w:val="left"/>
      <w:pPr>
        <w:ind w:left="425" w:hanging="425"/>
      </w:pPr>
      <w:rPr>
        <w:rFonts w:hint="eastAsia"/>
      </w:rPr>
    </w:lvl>
    <w:lvl w:ilvl="1" w:tentative="0">
      <w:start w:val="1"/>
      <w:numFmt w:val="decimal"/>
      <w:pStyle w:val="440"/>
      <w:lvlText w:val="%1.%2"/>
      <w:lvlJc w:val="left"/>
      <w:pPr>
        <w:ind w:left="992" w:hanging="567"/>
      </w:pPr>
      <w:rPr>
        <w:rFonts w:hint="eastAsia"/>
      </w:rPr>
    </w:lvl>
    <w:lvl w:ilvl="2" w:tentative="0">
      <w:start w:val="1"/>
      <w:numFmt w:val="decimal"/>
      <w:lvlText w:val="3.2.%3"/>
      <w:lvlJc w:val="left"/>
      <w:pPr>
        <w:ind w:left="1418" w:hanging="567"/>
      </w:pPr>
      <w:rPr>
        <w:rFonts w:hint="eastAsia"/>
        <w:b w:val="0"/>
        <w:bCs w:val="0"/>
        <w:i w:val="0"/>
        <w:iCs w:val="0"/>
        <w:caps w:val="0"/>
        <w:smallCaps w:val="0"/>
        <w:strike w:val="0"/>
        <w:dstrike w:val="0"/>
        <w:outline w:val="0"/>
        <w:shadow w:val="0"/>
        <w:emboss w:val="0"/>
        <w:imprint w:val="0"/>
        <w:vanish w:val="0"/>
        <w:spacing w:val="0"/>
        <w:position w:val="0"/>
        <w:u w:val="none"/>
        <w:vertAlign w:val="baseline"/>
      </w:rPr>
    </w:lvl>
    <w:lvl w:ilvl="3" w:tentative="0">
      <w:start w:val="1"/>
      <w:numFmt w:val="decimal"/>
      <w:pStyle w:val="445"/>
      <w:lvlText w:val="%1.%2.%3.%4"/>
      <w:lvlJc w:val="left"/>
      <w:pPr>
        <w:ind w:left="1984" w:hanging="708"/>
      </w:pPr>
      <w:rPr>
        <w:rFonts w:hint="eastAsia"/>
      </w:rPr>
    </w:lvl>
    <w:lvl w:ilvl="4" w:tentative="0">
      <w:start w:val="1"/>
      <w:numFmt w:val="decimal"/>
      <w:pStyle w:val="446"/>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8">
    <w:nsid w:val="4758511E"/>
    <w:multiLevelType w:val="multilevel"/>
    <w:tmpl w:val="4758511E"/>
    <w:lvl w:ilvl="0" w:tentative="0">
      <w:start w:val="1"/>
      <w:numFmt w:val="bullet"/>
      <w:pStyle w:val="437"/>
      <w:lvlText w:val=""/>
      <w:lvlJc w:val="left"/>
      <w:pPr>
        <w:tabs>
          <w:tab w:val="left" w:pos="360"/>
        </w:tabs>
        <w:ind w:left="288" w:hanging="288"/>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9">
    <w:nsid w:val="4FE36F1A"/>
    <w:multiLevelType w:val="multilevel"/>
    <w:tmpl w:val="4FE36F1A"/>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588B139F"/>
    <w:multiLevelType w:val="multilevel"/>
    <w:tmpl w:val="588B139F"/>
    <w:lvl w:ilvl="0" w:tentative="0">
      <w:start w:val="1"/>
      <w:numFmt w:val="bullet"/>
      <w:pStyle w:val="435"/>
      <w:lvlText w:val=""/>
      <w:lvlJc w:val="left"/>
      <w:pPr>
        <w:tabs>
          <w:tab w:val="left" w:pos="360"/>
        </w:tabs>
        <w:ind w:left="216" w:hanging="216"/>
      </w:pPr>
      <w:rPr>
        <w:rFonts w:hint="default" w:ascii="Wingdings" w:hAnsi="Wingdings"/>
        <w:sz w:val="20"/>
        <w:szCs w:val="20"/>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11">
    <w:nsid w:val="5B906794"/>
    <w:multiLevelType w:val="multilevel"/>
    <w:tmpl w:val="5B906794"/>
    <w:lvl w:ilvl="0" w:tentative="0">
      <w:start w:val="1"/>
      <w:numFmt w:val="bullet"/>
      <w:pStyle w:val="436"/>
      <w:lvlText w:val=""/>
      <w:lvlJc w:val="left"/>
      <w:pPr>
        <w:ind w:left="204" w:hanging="420"/>
      </w:pPr>
      <w:rPr>
        <w:rFonts w:hint="default" w:ascii="Symbol" w:hAnsi="Symbol"/>
        <w:sz w:val="20"/>
      </w:rPr>
    </w:lvl>
    <w:lvl w:ilvl="1" w:tentative="0">
      <w:start w:val="1"/>
      <w:numFmt w:val="bullet"/>
      <w:lvlText w:val=""/>
      <w:lvlJc w:val="left"/>
      <w:pPr>
        <w:ind w:left="624" w:hanging="420"/>
      </w:pPr>
      <w:rPr>
        <w:rFonts w:hint="default" w:ascii="Wingdings" w:hAnsi="Wingdings"/>
      </w:rPr>
    </w:lvl>
    <w:lvl w:ilvl="2" w:tentative="0">
      <w:start w:val="1"/>
      <w:numFmt w:val="bullet"/>
      <w:lvlText w:val=""/>
      <w:lvlJc w:val="left"/>
      <w:pPr>
        <w:ind w:left="1044" w:hanging="420"/>
      </w:pPr>
      <w:rPr>
        <w:rFonts w:hint="default" w:ascii="Wingdings" w:hAnsi="Wingdings"/>
      </w:rPr>
    </w:lvl>
    <w:lvl w:ilvl="3" w:tentative="0">
      <w:start w:val="1"/>
      <w:numFmt w:val="bullet"/>
      <w:lvlText w:val=""/>
      <w:lvlJc w:val="left"/>
      <w:pPr>
        <w:ind w:left="1464" w:hanging="420"/>
      </w:pPr>
      <w:rPr>
        <w:rFonts w:hint="default" w:ascii="Wingdings" w:hAnsi="Wingdings"/>
      </w:rPr>
    </w:lvl>
    <w:lvl w:ilvl="4" w:tentative="0">
      <w:start w:val="1"/>
      <w:numFmt w:val="bullet"/>
      <w:lvlText w:val=""/>
      <w:lvlJc w:val="left"/>
      <w:pPr>
        <w:ind w:left="1884" w:hanging="420"/>
      </w:pPr>
      <w:rPr>
        <w:rFonts w:hint="default" w:ascii="Wingdings" w:hAnsi="Wingdings"/>
      </w:rPr>
    </w:lvl>
    <w:lvl w:ilvl="5" w:tentative="0">
      <w:start w:val="1"/>
      <w:numFmt w:val="bullet"/>
      <w:lvlText w:val=""/>
      <w:lvlJc w:val="left"/>
      <w:pPr>
        <w:ind w:left="2304" w:hanging="420"/>
      </w:pPr>
      <w:rPr>
        <w:rFonts w:hint="default" w:ascii="Wingdings" w:hAnsi="Wingdings"/>
      </w:rPr>
    </w:lvl>
    <w:lvl w:ilvl="6" w:tentative="0">
      <w:start w:val="1"/>
      <w:numFmt w:val="bullet"/>
      <w:lvlText w:val=""/>
      <w:lvlJc w:val="left"/>
      <w:pPr>
        <w:ind w:left="2724" w:hanging="420"/>
      </w:pPr>
      <w:rPr>
        <w:rFonts w:hint="default" w:ascii="Wingdings" w:hAnsi="Wingdings"/>
      </w:rPr>
    </w:lvl>
    <w:lvl w:ilvl="7" w:tentative="0">
      <w:start w:val="1"/>
      <w:numFmt w:val="bullet"/>
      <w:lvlText w:val=""/>
      <w:lvlJc w:val="left"/>
      <w:pPr>
        <w:ind w:left="3144" w:hanging="420"/>
      </w:pPr>
      <w:rPr>
        <w:rFonts w:hint="default" w:ascii="Wingdings" w:hAnsi="Wingdings"/>
      </w:rPr>
    </w:lvl>
    <w:lvl w:ilvl="8" w:tentative="0">
      <w:start w:val="1"/>
      <w:numFmt w:val="bullet"/>
      <w:lvlText w:val=""/>
      <w:lvlJc w:val="left"/>
      <w:pPr>
        <w:ind w:left="3564" w:hanging="420"/>
      </w:pPr>
      <w:rPr>
        <w:rFonts w:hint="default" w:ascii="Wingdings" w:hAnsi="Wingdings"/>
      </w:rPr>
    </w:lvl>
  </w:abstractNum>
  <w:num w:numId="1">
    <w:abstractNumId w:val="6"/>
  </w:num>
  <w:num w:numId="2">
    <w:abstractNumId w:val="5"/>
  </w:num>
  <w:num w:numId="3">
    <w:abstractNumId w:val="10"/>
  </w:num>
  <w:num w:numId="4">
    <w:abstractNumId w:val="11"/>
  </w:num>
  <w:num w:numId="5">
    <w:abstractNumId w:val="8"/>
  </w:num>
  <w:num w:numId="6">
    <w:abstractNumId w:val="7"/>
  </w:num>
  <w:num w:numId="7">
    <w:abstractNumId w:val="4"/>
  </w:num>
  <w:num w:numId="8">
    <w:abstractNumId w:val="1"/>
  </w:num>
  <w:num w:numId="9">
    <w:abstractNumId w:val="9"/>
  </w:num>
  <w:num w:numId="10">
    <w:abstractNumId w:val="0"/>
  </w:num>
  <w:num w:numId="11">
    <w:abstractNumId w:val="2"/>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WViZGViOWVmZDdiODMxM2U4ZTRmMTcwNjYyMGNjNTYifQ=="/>
  </w:docVars>
  <w:rsids>
    <w:rsidRoot w:val="00F34AAA"/>
    <w:rsid w:val="00001746"/>
    <w:rsid w:val="00095E5E"/>
    <w:rsid w:val="003E5174"/>
    <w:rsid w:val="00524447"/>
    <w:rsid w:val="006E216E"/>
    <w:rsid w:val="006F3F46"/>
    <w:rsid w:val="00AB35C0"/>
    <w:rsid w:val="00C60316"/>
    <w:rsid w:val="00D31A45"/>
    <w:rsid w:val="00DA14F7"/>
    <w:rsid w:val="00F059E7"/>
    <w:rsid w:val="00F34AAA"/>
    <w:rsid w:val="0117507C"/>
    <w:rsid w:val="01F01BD2"/>
    <w:rsid w:val="0295277A"/>
    <w:rsid w:val="029C3B08"/>
    <w:rsid w:val="02D2752A"/>
    <w:rsid w:val="02D96EAF"/>
    <w:rsid w:val="02E66B31"/>
    <w:rsid w:val="03015719"/>
    <w:rsid w:val="0314369E"/>
    <w:rsid w:val="03200295"/>
    <w:rsid w:val="037C7496"/>
    <w:rsid w:val="03A013D6"/>
    <w:rsid w:val="03A8396C"/>
    <w:rsid w:val="03CC6A4B"/>
    <w:rsid w:val="03DA48E8"/>
    <w:rsid w:val="040A684F"/>
    <w:rsid w:val="04245B63"/>
    <w:rsid w:val="0435689D"/>
    <w:rsid w:val="04463D2B"/>
    <w:rsid w:val="0495080F"/>
    <w:rsid w:val="04F76DD4"/>
    <w:rsid w:val="05216546"/>
    <w:rsid w:val="05A76A4C"/>
    <w:rsid w:val="05E41A4E"/>
    <w:rsid w:val="070659F4"/>
    <w:rsid w:val="070954E4"/>
    <w:rsid w:val="075229E7"/>
    <w:rsid w:val="075E3D80"/>
    <w:rsid w:val="078E4413"/>
    <w:rsid w:val="079C1EB4"/>
    <w:rsid w:val="07B23486"/>
    <w:rsid w:val="07E13D6B"/>
    <w:rsid w:val="081303C8"/>
    <w:rsid w:val="08317E94"/>
    <w:rsid w:val="083B347B"/>
    <w:rsid w:val="08CC3222"/>
    <w:rsid w:val="08D062B9"/>
    <w:rsid w:val="09AA4D5C"/>
    <w:rsid w:val="0A2543E3"/>
    <w:rsid w:val="0A522CFE"/>
    <w:rsid w:val="0A994950"/>
    <w:rsid w:val="0ABC445B"/>
    <w:rsid w:val="0ABE2142"/>
    <w:rsid w:val="0ABF65E6"/>
    <w:rsid w:val="0B660FA8"/>
    <w:rsid w:val="0BB91287"/>
    <w:rsid w:val="0BF96258"/>
    <w:rsid w:val="0BF978D5"/>
    <w:rsid w:val="0C0B13B7"/>
    <w:rsid w:val="0C0F0353"/>
    <w:rsid w:val="0C3D0F0D"/>
    <w:rsid w:val="0C607954"/>
    <w:rsid w:val="0D5374B9"/>
    <w:rsid w:val="0D580CA6"/>
    <w:rsid w:val="0D8E04F1"/>
    <w:rsid w:val="0DDC300B"/>
    <w:rsid w:val="0E677FB6"/>
    <w:rsid w:val="0E9E29B6"/>
    <w:rsid w:val="0EF62849"/>
    <w:rsid w:val="0F2E5AE8"/>
    <w:rsid w:val="0F8E47D8"/>
    <w:rsid w:val="100D394F"/>
    <w:rsid w:val="102D5D9F"/>
    <w:rsid w:val="105C6685"/>
    <w:rsid w:val="108F0C16"/>
    <w:rsid w:val="10CA7A92"/>
    <w:rsid w:val="110B5955"/>
    <w:rsid w:val="111D5839"/>
    <w:rsid w:val="11A71B81"/>
    <w:rsid w:val="12174F59"/>
    <w:rsid w:val="1240363F"/>
    <w:rsid w:val="1269073E"/>
    <w:rsid w:val="12BC7D67"/>
    <w:rsid w:val="132B5284"/>
    <w:rsid w:val="13337B71"/>
    <w:rsid w:val="135740C5"/>
    <w:rsid w:val="135E2714"/>
    <w:rsid w:val="13984BD2"/>
    <w:rsid w:val="13FD017F"/>
    <w:rsid w:val="14EC447B"/>
    <w:rsid w:val="14F450DE"/>
    <w:rsid w:val="15485B9A"/>
    <w:rsid w:val="15A841F4"/>
    <w:rsid w:val="15BB3E4D"/>
    <w:rsid w:val="15C2342E"/>
    <w:rsid w:val="15F31839"/>
    <w:rsid w:val="164107F7"/>
    <w:rsid w:val="16450281"/>
    <w:rsid w:val="16D43419"/>
    <w:rsid w:val="16EB7E77"/>
    <w:rsid w:val="16F615E1"/>
    <w:rsid w:val="173B6FF4"/>
    <w:rsid w:val="17481711"/>
    <w:rsid w:val="177C13BA"/>
    <w:rsid w:val="177C5721"/>
    <w:rsid w:val="17AF4101"/>
    <w:rsid w:val="180F222F"/>
    <w:rsid w:val="18642CFF"/>
    <w:rsid w:val="18710E80"/>
    <w:rsid w:val="18EA56F8"/>
    <w:rsid w:val="19526877"/>
    <w:rsid w:val="19596F42"/>
    <w:rsid w:val="19742C91"/>
    <w:rsid w:val="199944A6"/>
    <w:rsid w:val="19C171E1"/>
    <w:rsid w:val="1A2D01B8"/>
    <w:rsid w:val="1A703458"/>
    <w:rsid w:val="1A882CBF"/>
    <w:rsid w:val="1A9B5FFB"/>
    <w:rsid w:val="1ABD41C4"/>
    <w:rsid w:val="1B5468D6"/>
    <w:rsid w:val="1BBB0703"/>
    <w:rsid w:val="1C347F40"/>
    <w:rsid w:val="1C626DD1"/>
    <w:rsid w:val="1C9F1DD3"/>
    <w:rsid w:val="1D464944"/>
    <w:rsid w:val="1D5F77B4"/>
    <w:rsid w:val="1D6F51D6"/>
    <w:rsid w:val="1D7019C1"/>
    <w:rsid w:val="1D83309C"/>
    <w:rsid w:val="1D8D47FD"/>
    <w:rsid w:val="1DAD49C3"/>
    <w:rsid w:val="1DC203E3"/>
    <w:rsid w:val="1DC2216B"/>
    <w:rsid w:val="1E3A77AD"/>
    <w:rsid w:val="1EA43B7D"/>
    <w:rsid w:val="1EDD6BE3"/>
    <w:rsid w:val="1EF42255"/>
    <w:rsid w:val="1F0B3750"/>
    <w:rsid w:val="1F8D23B7"/>
    <w:rsid w:val="1FD71884"/>
    <w:rsid w:val="1FE16BA6"/>
    <w:rsid w:val="203B62B7"/>
    <w:rsid w:val="206B6C0A"/>
    <w:rsid w:val="20C77B4A"/>
    <w:rsid w:val="212A3FEC"/>
    <w:rsid w:val="213E04F7"/>
    <w:rsid w:val="214B28E2"/>
    <w:rsid w:val="217549F7"/>
    <w:rsid w:val="219A700D"/>
    <w:rsid w:val="21C10A3D"/>
    <w:rsid w:val="21DF17AC"/>
    <w:rsid w:val="220D4BCA"/>
    <w:rsid w:val="220D7440"/>
    <w:rsid w:val="222D60D3"/>
    <w:rsid w:val="22C655EC"/>
    <w:rsid w:val="23040BE2"/>
    <w:rsid w:val="238241FC"/>
    <w:rsid w:val="24725F49"/>
    <w:rsid w:val="255319AC"/>
    <w:rsid w:val="256F255E"/>
    <w:rsid w:val="25A4045A"/>
    <w:rsid w:val="25AD78E2"/>
    <w:rsid w:val="25FA2770"/>
    <w:rsid w:val="260A429C"/>
    <w:rsid w:val="262670C1"/>
    <w:rsid w:val="263A4429"/>
    <w:rsid w:val="267C12BA"/>
    <w:rsid w:val="26A06E73"/>
    <w:rsid w:val="26C879CF"/>
    <w:rsid w:val="26FC4FA5"/>
    <w:rsid w:val="2751016E"/>
    <w:rsid w:val="27822AAA"/>
    <w:rsid w:val="27D05A90"/>
    <w:rsid w:val="28327F9F"/>
    <w:rsid w:val="286A05DF"/>
    <w:rsid w:val="287265EE"/>
    <w:rsid w:val="287F7FAA"/>
    <w:rsid w:val="28B210E0"/>
    <w:rsid w:val="28BC3D0D"/>
    <w:rsid w:val="28C130D1"/>
    <w:rsid w:val="28C96515"/>
    <w:rsid w:val="28D60CC6"/>
    <w:rsid w:val="28ED3EC6"/>
    <w:rsid w:val="28F039B6"/>
    <w:rsid w:val="296A4F9D"/>
    <w:rsid w:val="296C74E1"/>
    <w:rsid w:val="2976035F"/>
    <w:rsid w:val="297837BD"/>
    <w:rsid w:val="298011DE"/>
    <w:rsid w:val="298C1931"/>
    <w:rsid w:val="29AB466F"/>
    <w:rsid w:val="29DB6414"/>
    <w:rsid w:val="2A043BBD"/>
    <w:rsid w:val="2A4A387B"/>
    <w:rsid w:val="2A565288"/>
    <w:rsid w:val="2AB63109"/>
    <w:rsid w:val="2AC670C5"/>
    <w:rsid w:val="2AD0584D"/>
    <w:rsid w:val="2AD07052"/>
    <w:rsid w:val="2AD63D0E"/>
    <w:rsid w:val="2AEF03C9"/>
    <w:rsid w:val="2AF27EBA"/>
    <w:rsid w:val="2AF860D3"/>
    <w:rsid w:val="2B043017"/>
    <w:rsid w:val="2BAE1609"/>
    <w:rsid w:val="2BD355F5"/>
    <w:rsid w:val="2BF57C61"/>
    <w:rsid w:val="2C273B93"/>
    <w:rsid w:val="2C2C2F57"/>
    <w:rsid w:val="2C626979"/>
    <w:rsid w:val="2C931228"/>
    <w:rsid w:val="2CB52F4D"/>
    <w:rsid w:val="2CBF201D"/>
    <w:rsid w:val="2CFC0B7C"/>
    <w:rsid w:val="2D102879"/>
    <w:rsid w:val="2D5056C1"/>
    <w:rsid w:val="2D7E77E3"/>
    <w:rsid w:val="2D8F19F0"/>
    <w:rsid w:val="2DC31316"/>
    <w:rsid w:val="2DCA2A28"/>
    <w:rsid w:val="2DCC67A0"/>
    <w:rsid w:val="2DDF2977"/>
    <w:rsid w:val="2E0221C2"/>
    <w:rsid w:val="2E110657"/>
    <w:rsid w:val="2E122934"/>
    <w:rsid w:val="2E3A195C"/>
    <w:rsid w:val="2E7D7A9A"/>
    <w:rsid w:val="2F427C86"/>
    <w:rsid w:val="2F5E7918"/>
    <w:rsid w:val="2F703DB5"/>
    <w:rsid w:val="2F7075FF"/>
    <w:rsid w:val="2F725125"/>
    <w:rsid w:val="2F7B047E"/>
    <w:rsid w:val="2FCF754F"/>
    <w:rsid w:val="30084733"/>
    <w:rsid w:val="301D32E3"/>
    <w:rsid w:val="3050190A"/>
    <w:rsid w:val="3070757D"/>
    <w:rsid w:val="316045D6"/>
    <w:rsid w:val="324E12A6"/>
    <w:rsid w:val="327A0EC0"/>
    <w:rsid w:val="32EB76C8"/>
    <w:rsid w:val="32EC51EE"/>
    <w:rsid w:val="33953AD8"/>
    <w:rsid w:val="33F702EF"/>
    <w:rsid w:val="34034EE6"/>
    <w:rsid w:val="342A06C4"/>
    <w:rsid w:val="34337579"/>
    <w:rsid w:val="34880F47"/>
    <w:rsid w:val="348E337B"/>
    <w:rsid w:val="34CE1050"/>
    <w:rsid w:val="35700877"/>
    <w:rsid w:val="35774A21"/>
    <w:rsid w:val="357A11D7"/>
    <w:rsid w:val="358856A2"/>
    <w:rsid w:val="35952403"/>
    <w:rsid w:val="35BE2E72"/>
    <w:rsid w:val="35E44DA6"/>
    <w:rsid w:val="36237179"/>
    <w:rsid w:val="368045CB"/>
    <w:rsid w:val="36935C38"/>
    <w:rsid w:val="36987AD4"/>
    <w:rsid w:val="369E1C71"/>
    <w:rsid w:val="36BD504E"/>
    <w:rsid w:val="36D84407"/>
    <w:rsid w:val="36D9782B"/>
    <w:rsid w:val="36DC21A6"/>
    <w:rsid w:val="36DD557A"/>
    <w:rsid w:val="3710594F"/>
    <w:rsid w:val="372D74CC"/>
    <w:rsid w:val="37560400"/>
    <w:rsid w:val="377203B8"/>
    <w:rsid w:val="3787198A"/>
    <w:rsid w:val="38174C7A"/>
    <w:rsid w:val="38887767"/>
    <w:rsid w:val="38B16CBE"/>
    <w:rsid w:val="38DD415F"/>
    <w:rsid w:val="393873DF"/>
    <w:rsid w:val="3951224F"/>
    <w:rsid w:val="396A07E5"/>
    <w:rsid w:val="39964C0C"/>
    <w:rsid w:val="399F745E"/>
    <w:rsid w:val="39CB2002"/>
    <w:rsid w:val="39D23390"/>
    <w:rsid w:val="39D4338C"/>
    <w:rsid w:val="39E80634"/>
    <w:rsid w:val="3A3000B7"/>
    <w:rsid w:val="3A575643"/>
    <w:rsid w:val="3A8521B0"/>
    <w:rsid w:val="3A867D0A"/>
    <w:rsid w:val="3B05330F"/>
    <w:rsid w:val="3B4200A1"/>
    <w:rsid w:val="3B64626A"/>
    <w:rsid w:val="3B75129C"/>
    <w:rsid w:val="3BC7245E"/>
    <w:rsid w:val="3C1C1D37"/>
    <w:rsid w:val="3C6127A9"/>
    <w:rsid w:val="3CB708C4"/>
    <w:rsid w:val="3D0C4E0B"/>
    <w:rsid w:val="3D291279"/>
    <w:rsid w:val="3D566086"/>
    <w:rsid w:val="3D891FB8"/>
    <w:rsid w:val="3D953E2E"/>
    <w:rsid w:val="3DF02037"/>
    <w:rsid w:val="3E047928"/>
    <w:rsid w:val="3E5A3954"/>
    <w:rsid w:val="3F3557C6"/>
    <w:rsid w:val="3F604F9A"/>
    <w:rsid w:val="3F7064F3"/>
    <w:rsid w:val="3F804B41"/>
    <w:rsid w:val="3FD31C10"/>
    <w:rsid w:val="3FD47305"/>
    <w:rsid w:val="40026051"/>
    <w:rsid w:val="40196E68"/>
    <w:rsid w:val="402B3745"/>
    <w:rsid w:val="40347B13"/>
    <w:rsid w:val="408D2090"/>
    <w:rsid w:val="40A67324"/>
    <w:rsid w:val="40D55514"/>
    <w:rsid w:val="41271A71"/>
    <w:rsid w:val="414060E9"/>
    <w:rsid w:val="41406E31"/>
    <w:rsid w:val="415428DD"/>
    <w:rsid w:val="4176028B"/>
    <w:rsid w:val="419B675D"/>
    <w:rsid w:val="41AF3FB7"/>
    <w:rsid w:val="4203064F"/>
    <w:rsid w:val="42145D32"/>
    <w:rsid w:val="423170C2"/>
    <w:rsid w:val="42690B45"/>
    <w:rsid w:val="428B4A24"/>
    <w:rsid w:val="43087A30"/>
    <w:rsid w:val="43282273"/>
    <w:rsid w:val="433867EA"/>
    <w:rsid w:val="43503578"/>
    <w:rsid w:val="437B05F4"/>
    <w:rsid w:val="43972F54"/>
    <w:rsid w:val="43A24F52"/>
    <w:rsid w:val="43F81C45"/>
    <w:rsid w:val="4404683C"/>
    <w:rsid w:val="446472DA"/>
    <w:rsid w:val="447C0AC8"/>
    <w:rsid w:val="4492209A"/>
    <w:rsid w:val="44BA525E"/>
    <w:rsid w:val="44D81A76"/>
    <w:rsid w:val="453F38A4"/>
    <w:rsid w:val="45EA380F"/>
    <w:rsid w:val="4631451A"/>
    <w:rsid w:val="46517D32"/>
    <w:rsid w:val="465D66D7"/>
    <w:rsid w:val="46657EC9"/>
    <w:rsid w:val="4698770F"/>
    <w:rsid w:val="46D85D5E"/>
    <w:rsid w:val="46E92250"/>
    <w:rsid w:val="474451A1"/>
    <w:rsid w:val="477F442B"/>
    <w:rsid w:val="47A22FE3"/>
    <w:rsid w:val="47C67E7A"/>
    <w:rsid w:val="482A4397"/>
    <w:rsid w:val="482F7405"/>
    <w:rsid w:val="48A57EC2"/>
    <w:rsid w:val="49396F88"/>
    <w:rsid w:val="49453932"/>
    <w:rsid w:val="496658A3"/>
    <w:rsid w:val="49AF41D8"/>
    <w:rsid w:val="4A5120AF"/>
    <w:rsid w:val="4A743FEF"/>
    <w:rsid w:val="4AC7411F"/>
    <w:rsid w:val="4BA148DB"/>
    <w:rsid w:val="4BAF3531"/>
    <w:rsid w:val="4BC6087B"/>
    <w:rsid w:val="4C0D0258"/>
    <w:rsid w:val="4C2832E3"/>
    <w:rsid w:val="4C327CBE"/>
    <w:rsid w:val="4C396DED"/>
    <w:rsid w:val="4C5440D8"/>
    <w:rsid w:val="4C9F663F"/>
    <w:rsid w:val="4CD64AED"/>
    <w:rsid w:val="4D5C1497"/>
    <w:rsid w:val="4D8602C2"/>
    <w:rsid w:val="4DFA5A36"/>
    <w:rsid w:val="4E4247C8"/>
    <w:rsid w:val="4E865398"/>
    <w:rsid w:val="4E880069"/>
    <w:rsid w:val="4E8A5B90"/>
    <w:rsid w:val="4E933360"/>
    <w:rsid w:val="4F027E1C"/>
    <w:rsid w:val="4F416B96"/>
    <w:rsid w:val="4F6E3703"/>
    <w:rsid w:val="4F8627FB"/>
    <w:rsid w:val="4FC652ED"/>
    <w:rsid w:val="4FE37C4D"/>
    <w:rsid w:val="500B2D00"/>
    <w:rsid w:val="501C6B43"/>
    <w:rsid w:val="505C5CB3"/>
    <w:rsid w:val="50C17863"/>
    <w:rsid w:val="51402E7D"/>
    <w:rsid w:val="51581F75"/>
    <w:rsid w:val="51894824"/>
    <w:rsid w:val="51A27694"/>
    <w:rsid w:val="51B62952"/>
    <w:rsid w:val="51CD70D5"/>
    <w:rsid w:val="51E77A60"/>
    <w:rsid w:val="51E82EEB"/>
    <w:rsid w:val="51F36142"/>
    <w:rsid w:val="52340DA2"/>
    <w:rsid w:val="529B7370"/>
    <w:rsid w:val="52AD009F"/>
    <w:rsid w:val="52B458D1"/>
    <w:rsid w:val="53933A5E"/>
    <w:rsid w:val="539E4C81"/>
    <w:rsid w:val="53A844C6"/>
    <w:rsid w:val="544E58B1"/>
    <w:rsid w:val="54617393"/>
    <w:rsid w:val="54793306"/>
    <w:rsid w:val="54F40207"/>
    <w:rsid w:val="5516017D"/>
    <w:rsid w:val="551C775D"/>
    <w:rsid w:val="551E02FF"/>
    <w:rsid w:val="553329B2"/>
    <w:rsid w:val="553920BD"/>
    <w:rsid w:val="55603AEE"/>
    <w:rsid w:val="55B31E70"/>
    <w:rsid w:val="55E53FF3"/>
    <w:rsid w:val="566273F2"/>
    <w:rsid w:val="56942683"/>
    <w:rsid w:val="56EE0C86"/>
    <w:rsid w:val="57A31A70"/>
    <w:rsid w:val="58062172"/>
    <w:rsid w:val="58324CA0"/>
    <w:rsid w:val="58405511"/>
    <w:rsid w:val="587C78C9"/>
    <w:rsid w:val="58B101BD"/>
    <w:rsid w:val="58BD6A29"/>
    <w:rsid w:val="596D0588"/>
    <w:rsid w:val="59D363DB"/>
    <w:rsid w:val="59EB4639"/>
    <w:rsid w:val="5A9D2AA8"/>
    <w:rsid w:val="5AA004E9"/>
    <w:rsid w:val="5B1B724B"/>
    <w:rsid w:val="5B3A6B8F"/>
    <w:rsid w:val="5B9462A0"/>
    <w:rsid w:val="5B9D31EA"/>
    <w:rsid w:val="5C4001D5"/>
    <w:rsid w:val="5C5617A7"/>
    <w:rsid w:val="5C6E4D42"/>
    <w:rsid w:val="5C78171D"/>
    <w:rsid w:val="5C8E17BF"/>
    <w:rsid w:val="5D015BB7"/>
    <w:rsid w:val="5D0E4D8D"/>
    <w:rsid w:val="5D3970FE"/>
    <w:rsid w:val="5D465377"/>
    <w:rsid w:val="5D556041"/>
    <w:rsid w:val="5DAA3B58"/>
    <w:rsid w:val="5EE44BC7"/>
    <w:rsid w:val="5EE65AD8"/>
    <w:rsid w:val="5EFA57D8"/>
    <w:rsid w:val="5F1576F7"/>
    <w:rsid w:val="5F21609C"/>
    <w:rsid w:val="5F9C2019"/>
    <w:rsid w:val="5FD87E34"/>
    <w:rsid w:val="5FE64BF0"/>
    <w:rsid w:val="5FF34DEE"/>
    <w:rsid w:val="60255718"/>
    <w:rsid w:val="60A70313"/>
    <w:rsid w:val="60A725D1"/>
    <w:rsid w:val="60FA6BA5"/>
    <w:rsid w:val="61767A86"/>
    <w:rsid w:val="619960CB"/>
    <w:rsid w:val="61AC3ACC"/>
    <w:rsid w:val="61CB0541"/>
    <w:rsid w:val="61EE59F3"/>
    <w:rsid w:val="623600B0"/>
    <w:rsid w:val="62381387"/>
    <w:rsid w:val="62505BE9"/>
    <w:rsid w:val="627E3805"/>
    <w:rsid w:val="635F7193"/>
    <w:rsid w:val="63A25842"/>
    <w:rsid w:val="63B66F09"/>
    <w:rsid w:val="641B57B0"/>
    <w:rsid w:val="64346872"/>
    <w:rsid w:val="64485E79"/>
    <w:rsid w:val="649410BE"/>
    <w:rsid w:val="64AD793B"/>
    <w:rsid w:val="64CE1ADF"/>
    <w:rsid w:val="64CF0348"/>
    <w:rsid w:val="64D4595F"/>
    <w:rsid w:val="651641C9"/>
    <w:rsid w:val="65463B51"/>
    <w:rsid w:val="655F791E"/>
    <w:rsid w:val="65E36238"/>
    <w:rsid w:val="66100C18"/>
    <w:rsid w:val="66680A54"/>
    <w:rsid w:val="66C37A39"/>
    <w:rsid w:val="66D460EA"/>
    <w:rsid w:val="67087B42"/>
    <w:rsid w:val="6727446C"/>
    <w:rsid w:val="67452B44"/>
    <w:rsid w:val="67FF7197"/>
    <w:rsid w:val="681A3612"/>
    <w:rsid w:val="6824329E"/>
    <w:rsid w:val="6828049B"/>
    <w:rsid w:val="685E5240"/>
    <w:rsid w:val="68F0088D"/>
    <w:rsid w:val="690507DD"/>
    <w:rsid w:val="690A7BA1"/>
    <w:rsid w:val="69407A67"/>
    <w:rsid w:val="69496095"/>
    <w:rsid w:val="6962178B"/>
    <w:rsid w:val="69F10D61"/>
    <w:rsid w:val="6A0E1913"/>
    <w:rsid w:val="6A220F1A"/>
    <w:rsid w:val="6AA67D9D"/>
    <w:rsid w:val="6AC36259"/>
    <w:rsid w:val="6AD20B92"/>
    <w:rsid w:val="6AE306AA"/>
    <w:rsid w:val="6B381A47"/>
    <w:rsid w:val="6B58409C"/>
    <w:rsid w:val="6B7E4876"/>
    <w:rsid w:val="6C007039"/>
    <w:rsid w:val="6C145E5A"/>
    <w:rsid w:val="6C861C34"/>
    <w:rsid w:val="6D0B213A"/>
    <w:rsid w:val="6D25144D"/>
    <w:rsid w:val="6D396CA7"/>
    <w:rsid w:val="6D617FAC"/>
    <w:rsid w:val="6D7101EF"/>
    <w:rsid w:val="6DDD3AD6"/>
    <w:rsid w:val="6DF606F4"/>
    <w:rsid w:val="6E1B63AC"/>
    <w:rsid w:val="6E2E003F"/>
    <w:rsid w:val="6E8810DB"/>
    <w:rsid w:val="6EA445F4"/>
    <w:rsid w:val="6EC30F1E"/>
    <w:rsid w:val="6F285225"/>
    <w:rsid w:val="6F2E2A78"/>
    <w:rsid w:val="6F7911DB"/>
    <w:rsid w:val="6FD633A2"/>
    <w:rsid w:val="700A76F4"/>
    <w:rsid w:val="70227EC6"/>
    <w:rsid w:val="705E099F"/>
    <w:rsid w:val="70840239"/>
    <w:rsid w:val="70BF393A"/>
    <w:rsid w:val="713F5EAF"/>
    <w:rsid w:val="7169742F"/>
    <w:rsid w:val="716D206C"/>
    <w:rsid w:val="7185070D"/>
    <w:rsid w:val="71A75714"/>
    <w:rsid w:val="71B3209C"/>
    <w:rsid w:val="71B87AED"/>
    <w:rsid w:val="71BE3C1E"/>
    <w:rsid w:val="71D13F3A"/>
    <w:rsid w:val="72031631"/>
    <w:rsid w:val="722C2936"/>
    <w:rsid w:val="723E08BB"/>
    <w:rsid w:val="724E6D50"/>
    <w:rsid w:val="72574B62"/>
    <w:rsid w:val="72BF37AA"/>
    <w:rsid w:val="72C40DC1"/>
    <w:rsid w:val="73017D4B"/>
    <w:rsid w:val="731C6E4F"/>
    <w:rsid w:val="731E2BC7"/>
    <w:rsid w:val="737547B1"/>
    <w:rsid w:val="741300E6"/>
    <w:rsid w:val="745C7C1F"/>
    <w:rsid w:val="747131CA"/>
    <w:rsid w:val="74E3172A"/>
    <w:rsid w:val="751122B7"/>
    <w:rsid w:val="755A7049"/>
    <w:rsid w:val="75FD7AC5"/>
    <w:rsid w:val="761E4C8C"/>
    <w:rsid w:val="762B73A9"/>
    <w:rsid w:val="762D00BA"/>
    <w:rsid w:val="76753152"/>
    <w:rsid w:val="768A3E77"/>
    <w:rsid w:val="76A6375C"/>
    <w:rsid w:val="76F450A2"/>
    <w:rsid w:val="77065E4C"/>
    <w:rsid w:val="774E15A1"/>
    <w:rsid w:val="77704AFF"/>
    <w:rsid w:val="77D73344"/>
    <w:rsid w:val="783A201E"/>
    <w:rsid w:val="78526E6F"/>
    <w:rsid w:val="793D367B"/>
    <w:rsid w:val="79464B18"/>
    <w:rsid w:val="794964C4"/>
    <w:rsid w:val="7952623D"/>
    <w:rsid w:val="795B1D53"/>
    <w:rsid w:val="796706F8"/>
    <w:rsid w:val="79955265"/>
    <w:rsid w:val="7A2D1941"/>
    <w:rsid w:val="7A8C2B0C"/>
    <w:rsid w:val="7A97500D"/>
    <w:rsid w:val="7A9C1BCC"/>
    <w:rsid w:val="7AD941A7"/>
    <w:rsid w:val="7ADB314B"/>
    <w:rsid w:val="7B466078"/>
    <w:rsid w:val="7B5F5B2A"/>
    <w:rsid w:val="7B600997"/>
    <w:rsid w:val="7BF25701"/>
    <w:rsid w:val="7C321491"/>
    <w:rsid w:val="7C831CEC"/>
    <w:rsid w:val="7C920181"/>
    <w:rsid w:val="7CAF3738"/>
    <w:rsid w:val="7CB11429"/>
    <w:rsid w:val="7CF229CE"/>
    <w:rsid w:val="7D050953"/>
    <w:rsid w:val="7DD00F61"/>
    <w:rsid w:val="7DD81BC4"/>
    <w:rsid w:val="7DE467BB"/>
    <w:rsid w:val="7E0724A9"/>
    <w:rsid w:val="7E1846B6"/>
    <w:rsid w:val="7E26259C"/>
    <w:rsid w:val="7E4436FD"/>
    <w:rsid w:val="7E5C0A47"/>
    <w:rsid w:val="7EA06B86"/>
    <w:rsid w:val="7F062761"/>
    <w:rsid w:val="7F17671C"/>
    <w:rsid w:val="7F533BF8"/>
    <w:rsid w:val="7F800765"/>
    <w:rsid w:val="7F915FF5"/>
    <w:rsid w:val="7FAE7080"/>
    <w:rsid w:val="7FC71B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qFormat="1" w:uiPriority="99" w:semiHidden="0" w:name="index 2"/>
    <w:lsdException w:qFormat="1" w:uiPriority="99" w:semiHidden="0" w:name="index 3"/>
    <w:lsdException w:qFormat="1" w:uiPriority="99" w:semiHidden="0" w:name="index 4"/>
    <w:lsdException w:qFormat="1" w:uiPriority="99" w:semiHidden="0" w:name="index 5"/>
    <w:lsdException w:qFormat="1" w:uiPriority="99" w:semiHidden="0" w:name="index 6"/>
    <w:lsdException w:qFormat="1" w:uiPriority="99" w:semiHidden="0" w:name="index 7"/>
    <w:lsdException w:qFormat="1" w:uiPriority="99" w:semiHidden="0" w:name="index 8"/>
    <w:lsdException w:qFormat="1" w:uiPriority="99"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iPriority="99" w:semiHidden="0" w:name="footnote text"/>
    <w:lsdException w:qFormat="1" w:unhideWhenUsed="0" w:uiPriority="0" w:semiHidden="0" w:name="annotation text"/>
    <w:lsdException w:qFormat="1" w:uiPriority="99" w:semiHidden="0" w:name="header"/>
    <w:lsdException w:qFormat="1" w:uiPriority="99" w:semiHidden="0" w:name="footer"/>
    <w:lsdException w:qFormat="1" w:uiPriority="99" w:semiHidden="0" w:name="index heading"/>
    <w:lsdException w:qFormat="1" w:unhideWhenUsed="0" w:uiPriority="0" w:semiHidden="0" w:name="caption"/>
    <w:lsdException w:qFormat="1" w:uiPriority="99" w:semiHidden="0" w:name="table of figures"/>
    <w:lsdException w:qFormat="1" w:uiPriority="99" w:semiHidden="0" w:name="envelope address"/>
    <w:lsdException w:qFormat="1" w:uiPriority="99" w:semiHidden="0" w:name="envelope return"/>
    <w:lsdException w:uiPriority="99" w:name="footnote reference"/>
    <w:lsdException w:qFormat="1" w:unhideWhenUsed="0" w:uiPriority="0" w:semiHidden="0" w:name="annotation reference"/>
    <w:lsdException w:uiPriority="99" w:name="line number"/>
    <w:lsdException w:qFormat="1" w:unhideWhenUsed="0" w:uiPriority="99" w:semiHidden="0" w:name="page number"/>
    <w:lsdException w:qFormat="1" w:unhideWhenUsed="0" w:uiPriority="0" w:semiHidden="0" w:name="endnote reference"/>
    <w:lsdException w:qFormat="1" w:uiPriority="99" w:semiHidden="0" w:name="endnote text"/>
    <w:lsdException w:qFormat="1" w:uiPriority="99" w:semiHidden="0" w:name="table of authorities"/>
    <w:lsdException w:qFormat="1" w:uiPriority="99" w:semiHidden="0" w:name="macro"/>
    <w:lsdException w:qFormat="1" w:uiPriority="99" w:semiHidden="0" w:name="toa heading"/>
    <w:lsdException w:qFormat="1" w:unhideWhenUsed="0" w:uiPriority="99" w:semiHidden="0" w:name="List"/>
    <w:lsdException w:qFormat="1" w:uiPriority="99" w:semiHidden="0" w:name="List Bullet"/>
    <w:lsdException w:qFormat="1" w:unhideWhenUsed="0" w:uiPriority="99" w:semiHidden="0" w:name="List Number"/>
    <w:lsdException w:qFormat="1" w:uiPriority="99" w:semiHidden="0" w:name="List 2"/>
    <w:lsdException w:qFormat="1" w:uiPriority="99" w:semiHidden="0" w:name="List 3"/>
    <w:lsdException w:qFormat="1" w:uiPriority="99" w:semiHidden="0" w:name="List 4"/>
    <w:lsdException w:qFormat="1" w:uiPriority="99" w:semiHidden="0" w:name="List 5"/>
    <w:lsdException w:qFormat="1" w:uiPriority="99" w:semiHidden="0" w:name="List Bullet 2"/>
    <w:lsdException w:qFormat="1" w:uiPriority="99" w:semiHidden="0" w:name="List Bullet 3"/>
    <w:lsdException w:qFormat="1" w:uiPriority="99" w:semiHidden="0" w:name="List Bullet 4"/>
    <w:lsdException w:qFormat="1" w:uiPriority="99" w:semiHidden="0" w:name="List Bullet 5"/>
    <w:lsdException w:qFormat="1" w:uiPriority="99" w:semiHidden="0" w:name="List Number 2"/>
    <w:lsdException w:qFormat="1" w:uiPriority="99" w:semiHidden="0" w:name="List Number 3"/>
    <w:lsdException w:qFormat="1" w:uiPriority="99" w:semiHidden="0" w:name="List Number 4"/>
    <w:lsdException w:qFormat="1" w:uiPriority="99" w:semiHidden="0" w:name="List Number 5"/>
    <w:lsdException w:qFormat="1" w:unhideWhenUsed="0" w:uiPriority="0" w:semiHidden="0" w:name="Title"/>
    <w:lsdException w:qFormat="1" w:unhideWhenUsed="0" w:uiPriority="0" w:semiHidden="0" w:name="Closing"/>
    <w:lsdException w:qFormat="1" w:uiPriority="99"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qFormat="1" w:uiPriority="99" w:semiHidden="0" w:name="List Continue"/>
    <w:lsdException w:qFormat="1" w:uiPriority="99" w:semiHidden="0" w:name="List Continue 2"/>
    <w:lsdException w:qFormat="1" w:uiPriority="99" w:semiHidden="0" w:name="List Continue 3"/>
    <w:lsdException w:qFormat="1" w:uiPriority="99" w:semiHidden="0" w:name="List Continue 4"/>
    <w:lsdException w:qFormat="1" w:uiPriority="99" w:semiHidden="0" w:name="List Continue 5"/>
    <w:lsdException w:qFormat="1" w:uiPriority="99" w:semiHidden="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iPriority="0" w:semiHidden="0" w:name="Body Text First Indent"/>
    <w:lsdException w:qFormat="1" w:uiPriority="0" w:semiHidden="0" w:name="Body Text First Indent 2"/>
    <w:lsdException w:qFormat="1" w:unhideWhenUsed="0" w:uiPriority="0" w:semiHidden="0" w:name="Note Heading"/>
    <w:lsdException w:qFormat="1" w:unhideWhenUsed="0" w:uiPriority="99" w:semiHidden="0" w:name="Body Text 2"/>
    <w:lsdException w:qFormat="1"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qFormat="1" w:uiPriority="99" w:semiHidden="0" w:name="E-mail Signature"/>
    <w:lsdException w:qFormat="1" w:unhideWhenUsed="0" w:uiPriority="0" w:semiHidden="0" w:name="Normal (Web)"/>
    <w:lsdException w:qFormat="1" w:uiPriority="99" w:semiHidden="0" w:name="HTML Acronym"/>
    <w:lsdException w:qFormat="1" w:uiPriority="99" w:semiHidden="0"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0"/>
      <w:sz w:val="20"/>
      <w:szCs w:val="20"/>
      <w:lang w:val="en-US" w:eastAsia="zh-CN" w:bidi="ar-SA"/>
    </w:rPr>
  </w:style>
  <w:style w:type="paragraph" w:styleId="3">
    <w:name w:val="heading 1"/>
    <w:basedOn w:val="1"/>
    <w:next w:val="1"/>
    <w:link w:val="101"/>
    <w:autoRedefine/>
    <w:qFormat/>
    <w:uiPriority w:val="0"/>
    <w:pPr>
      <w:keepNext/>
      <w:keepLines/>
      <w:autoSpaceDE w:val="0"/>
      <w:autoSpaceDN w:val="0"/>
      <w:adjustRightInd w:val="0"/>
      <w:spacing w:before="340" w:after="330" w:line="578" w:lineRule="atLeast"/>
      <w:jc w:val="center"/>
      <w:outlineLvl w:val="0"/>
    </w:pPr>
    <w:rPr>
      <w:rFonts w:hint="eastAsia" w:ascii="宋体"/>
      <w:b/>
      <w:sz w:val="44"/>
    </w:rPr>
  </w:style>
  <w:style w:type="paragraph" w:styleId="4">
    <w:name w:val="heading 2"/>
    <w:basedOn w:val="1"/>
    <w:next w:val="1"/>
    <w:link w:val="102"/>
    <w:autoRedefine/>
    <w:qFormat/>
    <w:uiPriority w:val="0"/>
    <w:pPr>
      <w:keepNext/>
      <w:keepLines/>
      <w:spacing w:before="260" w:after="260" w:line="413" w:lineRule="auto"/>
      <w:outlineLvl w:val="1"/>
    </w:pPr>
    <w:rPr>
      <w:rFonts w:ascii="Arial" w:hAnsi="Arial" w:eastAsia="黑体"/>
      <w:b/>
      <w:bCs/>
      <w:kern w:val="2"/>
      <w:sz w:val="32"/>
      <w:szCs w:val="32"/>
    </w:rPr>
  </w:style>
  <w:style w:type="paragraph" w:styleId="5">
    <w:name w:val="heading 3"/>
    <w:basedOn w:val="1"/>
    <w:next w:val="1"/>
    <w:link w:val="103"/>
    <w:autoRedefine/>
    <w:qFormat/>
    <w:uiPriority w:val="0"/>
    <w:pPr>
      <w:keepNext/>
      <w:keepLines/>
      <w:spacing w:before="260" w:after="260" w:line="360" w:lineRule="auto"/>
      <w:jc w:val="center"/>
      <w:outlineLvl w:val="2"/>
    </w:pPr>
    <w:rPr>
      <w:b/>
      <w:sz w:val="32"/>
    </w:rPr>
  </w:style>
  <w:style w:type="paragraph" w:styleId="6">
    <w:name w:val="heading 4"/>
    <w:basedOn w:val="1"/>
    <w:next w:val="1"/>
    <w:link w:val="104"/>
    <w:autoRedefine/>
    <w:qFormat/>
    <w:uiPriority w:val="0"/>
    <w:pPr>
      <w:keepNext/>
      <w:keepLines/>
      <w:tabs>
        <w:tab w:val="left" w:pos="864"/>
      </w:tabs>
      <w:adjustRightInd w:val="0"/>
      <w:snapToGrid w:val="0"/>
      <w:spacing w:before="280" w:after="290"/>
      <w:ind w:left="864" w:hanging="144"/>
      <w:outlineLvl w:val="3"/>
    </w:pPr>
    <w:rPr>
      <w:b/>
      <w:bCs/>
      <w:snapToGrid w:val="0"/>
      <w:sz w:val="36"/>
      <w:szCs w:val="28"/>
    </w:rPr>
  </w:style>
  <w:style w:type="paragraph" w:styleId="7">
    <w:name w:val="heading 5"/>
    <w:basedOn w:val="1"/>
    <w:next w:val="1"/>
    <w:link w:val="105"/>
    <w:autoRedefine/>
    <w:qFormat/>
    <w:uiPriority w:val="0"/>
    <w:pPr>
      <w:keepNext/>
      <w:outlineLvl w:val="4"/>
    </w:pPr>
    <w:rPr>
      <w:rFonts w:ascii="宋体" w:hAnsi="宋体" w:cs="宋体"/>
      <w:b/>
      <w:bCs/>
      <w:sz w:val="24"/>
    </w:rPr>
  </w:style>
  <w:style w:type="paragraph" w:styleId="8">
    <w:name w:val="heading 6"/>
    <w:basedOn w:val="1"/>
    <w:next w:val="1"/>
    <w:link w:val="106"/>
    <w:autoRedefine/>
    <w:qFormat/>
    <w:uiPriority w:val="0"/>
    <w:pPr>
      <w:keepNext/>
      <w:spacing w:line="500" w:lineRule="exact"/>
      <w:jc w:val="center"/>
      <w:outlineLvl w:val="5"/>
    </w:pPr>
    <w:rPr>
      <w:rFonts w:ascii="宋体" w:hAnsi="宋体" w:cs="宋体"/>
      <w:b/>
      <w:bCs/>
      <w:sz w:val="30"/>
      <w:szCs w:val="30"/>
    </w:rPr>
  </w:style>
  <w:style w:type="paragraph" w:styleId="9">
    <w:name w:val="heading 7"/>
    <w:basedOn w:val="1"/>
    <w:next w:val="1"/>
    <w:link w:val="107"/>
    <w:autoRedefine/>
    <w:qFormat/>
    <w:uiPriority w:val="0"/>
    <w:pPr>
      <w:keepNext/>
      <w:keepLines/>
      <w:spacing w:before="240" w:after="64"/>
      <w:outlineLvl w:val="6"/>
    </w:pPr>
    <w:rPr>
      <w:sz w:val="24"/>
    </w:rPr>
  </w:style>
  <w:style w:type="paragraph" w:styleId="10">
    <w:name w:val="heading 8"/>
    <w:basedOn w:val="1"/>
    <w:next w:val="1"/>
    <w:link w:val="108"/>
    <w:autoRedefine/>
    <w:qFormat/>
    <w:uiPriority w:val="0"/>
    <w:pPr>
      <w:keepNext/>
      <w:keepLines/>
      <w:spacing w:before="240" w:after="64"/>
      <w:outlineLvl w:val="7"/>
    </w:pPr>
    <w:rPr>
      <w:rFonts w:ascii="Arial" w:hAnsi="Arial" w:eastAsia="黑体" w:cs="Arial"/>
      <w:sz w:val="24"/>
    </w:rPr>
  </w:style>
  <w:style w:type="paragraph" w:styleId="11">
    <w:name w:val="heading 9"/>
    <w:basedOn w:val="1"/>
    <w:next w:val="1"/>
    <w:link w:val="109"/>
    <w:autoRedefine/>
    <w:qFormat/>
    <w:uiPriority w:val="0"/>
    <w:pPr>
      <w:keepNext/>
      <w:keepLines/>
      <w:spacing w:before="240" w:after="64"/>
      <w:outlineLvl w:val="8"/>
    </w:pPr>
    <w:rPr>
      <w:rFonts w:ascii="Arial" w:hAnsi="Arial" w:eastAsia="黑体" w:cs="Arial"/>
      <w:szCs w:val="21"/>
    </w:rPr>
  </w:style>
  <w:style w:type="character" w:default="1" w:styleId="90">
    <w:name w:val="Default Paragraph Font"/>
    <w:autoRedefine/>
    <w:semiHidden/>
    <w:unhideWhenUsed/>
    <w:qFormat/>
    <w:uiPriority w:val="1"/>
  </w:style>
  <w:style w:type="table" w:default="1" w:styleId="88">
    <w:name w:val="Normal Table"/>
    <w:autoRedefine/>
    <w:semiHidden/>
    <w:unhideWhenUsed/>
    <w:qFormat/>
    <w:uiPriority w:val="99"/>
    <w:tblPr>
      <w:tblCellMar>
        <w:top w:w="0" w:type="dxa"/>
        <w:left w:w="108" w:type="dxa"/>
        <w:bottom w:w="0" w:type="dxa"/>
        <w:right w:w="108" w:type="dxa"/>
      </w:tblCellMar>
    </w:tblPr>
  </w:style>
  <w:style w:type="paragraph" w:styleId="2">
    <w:name w:val="macro"/>
    <w:link w:val="130"/>
    <w:autoRedefine/>
    <w:unhideWhenUsed/>
    <w:qFormat/>
    <w:uiPriority w:val="99"/>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eastAsiaTheme="minorEastAsia"/>
      <w:kern w:val="2"/>
      <w:sz w:val="24"/>
      <w:szCs w:val="24"/>
      <w:lang w:val="en-US" w:eastAsia="zh-CN" w:bidi="ar-SA"/>
    </w:rPr>
  </w:style>
  <w:style w:type="paragraph" w:styleId="12">
    <w:name w:val="List 3"/>
    <w:basedOn w:val="1"/>
    <w:autoRedefine/>
    <w:unhideWhenUsed/>
    <w:qFormat/>
    <w:uiPriority w:val="99"/>
    <w:pPr>
      <w:ind w:left="100" w:leftChars="400" w:hanging="200" w:hangingChars="200"/>
      <w:contextualSpacing/>
    </w:pPr>
  </w:style>
  <w:style w:type="paragraph" w:styleId="13">
    <w:name w:val="toc 7"/>
    <w:basedOn w:val="1"/>
    <w:next w:val="1"/>
    <w:autoRedefine/>
    <w:qFormat/>
    <w:uiPriority w:val="39"/>
    <w:pPr>
      <w:ind w:left="1260"/>
      <w:jc w:val="left"/>
    </w:pPr>
    <w:rPr>
      <w:sz w:val="18"/>
      <w:szCs w:val="18"/>
    </w:rPr>
  </w:style>
  <w:style w:type="paragraph" w:styleId="14">
    <w:name w:val="List Number 2"/>
    <w:basedOn w:val="1"/>
    <w:autoRedefine/>
    <w:unhideWhenUsed/>
    <w:qFormat/>
    <w:uiPriority w:val="99"/>
    <w:pPr>
      <w:tabs>
        <w:tab w:val="left" w:pos="780"/>
        <w:tab w:val="left" w:pos="1049"/>
      </w:tabs>
      <w:ind w:left="1049" w:hanging="420"/>
      <w:contextualSpacing/>
    </w:pPr>
  </w:style>
  <w:style w:type="paragraph" w:styleId="15">
    <w:name w:val="table of authorities"/>
    <w:basedOn w:val="1"/>
    <w:next w:val="1"/>
    <w:autoRedefine/>
    <w:unhideWhenUsed/>
    <w:qFormat/>
    <w:uiPriority w:val="99"/>
    <w:pPr>
      <w:ind w:left="420" w:leftChars="200"/>
    </w:pPr>
  </w:style>
  <w:style w:type="paragraph" w:styleId="16">
    <w:name w:val="Note Heading"/>
    <w:basedOn w:val="1"/>
    <w:next w:val="1"/>
    <w:link w:val="111"/>
    <w:autoRedefine/>
    <w:qFormat/>
    <w:uiPriority w:val="0"/>
    <w:pPr>
      <w:adjustRightInd w:val="0"/>
      <w:spacing w:line="312" w:lineRule="atLeast"/>
      <w:jc w:val="center"/>
      <w:textAlignment w:val="baseline"/>
    </w:pPr>
    <w:rPr>
      <w:rFonts w:asciiTheme="minorHAnsi" w:hAnsiTheme="minorHAnsi" w:eastAsiaTheme="minorEastAsia" w:cstheme="minorBidi"/>
      <w:kern w:val="2"/>
      <w:sz w:val="21"/>
      <w:szCs w:val="22"/>
    </w:rPr>
  </w:style>
  <w:style w:type="paragraph" w:styleId="17">
    <w:name w:val="List Bullet 4"/>
    <w:basedOn w:val="1"/>
    <w:autoRedefine/>
    <w:unhideWhenUsed/>
    <w:qFormat/>
    <w:uiPriority w:val="99"/>
    <w:pPr>
      <w:tabs>
        <w:tab w:val="left" w:pos="720"/>
        <w:tab w:val="left" w:pos="1620"/>
      </w:tabs>
      <w:ind w:left="720" w:hanging="360"/>
      <w:contextualSpacing/>
    </w:pPr>
  </w:style>
  <w:style w:type="paragraph" w:styleId="18">
    <w:name w:val="index 8"/>
    <w:basedOn w:val="1"/>
    <w:next w:val="1"/>
    <w:autoRedefine/>
    <w:unhideWhenUsed/>
    <w:qFormat/>
    <w:uiPriority w:val="99"/>
    <w:pPr>
      <w:ind w:left="1400" w:leftChars="1400"/>
    </w:pPr>
  </w:style>
  <w:style w:type="paragraph" w:styleId="19">
    <w:name w:val="E-mail Signature"/>
    <w:basedOn w:val="1"/>
    <w:link w:val="144"/>
    <w:autoRedefine/>
    <w:unhideWhenUsed/>
    <w:qFormat/>
    <w:uiPriority w:val="99"/>
    <w:rPr>
      <w:rFonts w:asciiTheme="minorHAnsi" w:hAnsiTheme="minorHAnsi" w:eastAsiaTheme="minorEastAsia" w:cstheme="minorBidi"/>
      <w:kern w:val="2"/>
      <w:sz w:val="21"/>
      <w:szCs w:val="22"/>
    </w:rPr>
  </w:style>
  <w:style w:type="paragraph" w:styleId="20">
    <w:name w:val="List Number"/>
    <w:basedOn w:val="1"/>
    <w:autoRedefine/>
    <w:qFormat/>
    <w:uiPriority w:val="99"/>
    <w:pPr>
      <w:numPr>
        <w:ilvl w:val="0"/>
        <w:numId w:val="1"/>
      </w:numPr>
      <w:adjustRightInd w:val="0"/>
      <w:spacing w:line="360" w:lineRule="atLeast"/>
      <w:textAlignment w:val="baseline"/>
    </w:pPr>
    <w:rPr>
      <w:sz w:val="24"/>
    </w:rPr>
  </w:style>
  <w:style w:type="paragraph" w:styleId="21">
    <w:name w:val="Normal Indent"/>
    <w:basedOn w:val="1"/>
    <w:link w:val="164"/>
    <w:autoRedefine/>
    <w:qFormat/>
    <w:uiPriority w:val="0"/>
    <w:pPr>
      <w:ind w:firstLine="420"/>
    </w:pPr>
    <w:rPr>
      <w:rFonts w:asciiTheme="minorHAnsi" w:hAnsiTheme="minorHAnsi" w:cstheme="minorBidi"/>
      <w:kern w:val="2"/>
      <w:sz w:val="21"/>
      <w:szCs w:val="22"/>
    </w:rPr>
  </w:style>
  <w:style w:type="paragraph" w:styleId="22">
    <w:name w:val="caption"/>
    <w:basedOn w:val="1"/>
    <w:next w:val="1"/>
    <w:link w:val="472"/>
    <w:autoRedefine/>
    <w:qFormat/>
    <w:uiPriority w:val="0"/>
    <w:pPr>
      <w:spacing w:before="120" w:after="120" w:line="320" w:lineRule="atLeast"/>
      <w:jc w:val="center"/>
    </w:pPr>
    <w:rPr>
      <w:sz w:val="18"/>
      <w:szCs w:val="18"/>
    </w:rPr>
  </w:style>
  <w:style w:type="paragraph" w:styleId="23">
    <w:name w:val="index 5"/>
    <w:basedOn w:val="1"/>
    <w:next w:val="1"/>
    <w:autoRedefine/>
    <w:unhideWhenUsed/>
    <w:qFormat/>
    <w:uiPriority w:val="99"/>
    <w:pPr>
      <w:ind w:left="800" w:leftChars="800"/>
    </w:pPr>
  </w:style>
  <w:style w:type="paragraph" w:styleId="24">
    <w:name w:val="List Bullet"/>
    <w:basedOn w:val="1"/>
    <w:autoRedefine/>
    <w:unhideWhenUsed/>
    <w:qFormat/>
    <w:uiPriority w:val="99"/>
    <w:pPr>
      <w:tabs>
        <w:tab w:val="left" w:pos="360"/>
        <w:tab w:val="left" w:pos="1134"/>
      </w:tabs>
      <w:ind w:left="1134" w:hanging="1134"/>
      <w:contextualSpacing/>
    </w:pPr>
  </w:style>
  <w:style w:type="paragraph" w:styleId="25">
    <w:name w:val="envelope address"/>
    <w:basedOn w:val="1"/>
    <w:autoRedefine/>
    <w:unhideWhenUsed/>
    <w:qFormat/>
    <w:uiPriority w:val="99"/>
    <w:pPr>
      <w:framePr w:w="7920" w:h="1980" w:hRule="exact" w:hSpace="180" w:wrap="around" w:vAnchor="margin" w:hAnchor="page" w:xAlign="center" w:yAlign="bottom"/>
      <w:snapToGrid w:val="0"/>
      <w:ind w:left="100" w:leftChars="1400"/>
    </w:pPr>
    <w:rPr>
      <w:rFonts w:ascii="Cambria" w:hAnsi="Cambria"/>
      <w:sz w:val="24"/>
    </w:rPr>
  </w:style>
  <w:style w:type="paragraph" w:styleId="26">
    <w:name w:val="Document Map"/>
    <w:basedOn w:val="1"/>
    <w:link w:val="231"/>
    <w:autoRedefine/>
    <w:qFormat/>
    <w:uiPriority w:val="99"/>
    <w:pPr>
      <w:shd w:val="clear" w:color="auto" w:fill="000080"/>
    </w:pPr>
    <w:rPr>
      <w:rFonts w:asciiTheme="minorHAnsi" w:hAnsiTheme="minorHAnsi" w:eastAsiaTheme="minorEastAsia" w:cstheme="minorBidi"/>
      <w:kern w:val="2"/>
      <w:sz w:val="21"/>
      <w:szCs w:val="24"/>
    </w:rPr>
  </w:style>
  <w:style w:type="paragraph" w:styleId="27">
    <w:name w:val="toa heading"/>
    <w:basedOn w:val="1"/>
    <w:next w:val="1"/>
    <w:autoRedefine/>
    <w:unhideWhenUsed/>
    <w:qFormat/>
    <w:uiPriority w:val="99"/>
    <w:pPr>
      <w:spacing w:before="120"/>
    </w:pPr>
    <w:rPr>
      <w:rFonts w:ascii="Cambria" w:hAnsi="Cambria"/>
      <w:sz w:val="24"/>
    </w:rPr>
  </w:style>
  <w:style w:type="paragraph" w:styleId="28">
    <w:name w:val="annotation text"/>
    <w:basedOn w:val="1"/>
    <w:link w:val="229"/>
    <w:autoRedefine/>
    <w:qFormat/>
    <w:uiPriority w:val="0"/>
    <w:pPr>
      <w:jc w:val="left"/>
    </w:pPr>
    <w:rPr>
      <w:rFonts w:asciiTheme="minorHAnsi" w:hAnsiTheme="minorHAnsi" w:eastAsiaTheme="minorEastAsia" w:cstheme="minorBidi"/>
      <w:kern w:val="2"/>
      <w:sz w:val="21"/>
      <w:szCs w:val="24"/>
    </w:rPr>
  </w:style>
  <w:style w:type="paragraph" w:styleId="29">
    <w:name w:val="index 6"/>
    <w:basedOn w:val="1"/>
    <w:next w:val="1"/>
    <w:autoRedefine/>
    <w:unhideWhenUsed/>
    <w:qFormat/>
    <w:uiPriority w:val="99"/>
    <w:pPr>
      <w:ind w:left="1000" w:leftChars="1000"/>
    </w:pPr>
  </w:style>
  <w:style w:type="paragraph" w:styleId="30">
    <w:name w:val="Salutation"/>
    <w:basedOn w:val="1"/>
    <w:next w:val="1"/>
    <w:link w:val="167"/>
    <w:autoRedefine/>
    <w:qFormat/>
    <w:uiPriority w:val="0"/>
    <w:rPr>
      <w:rFonts w:asciiTheme="minorHAnsi" w:hAnsiTheme="minorHAnsi" w:eastAsiaTheme="minorEastAsia" w:cstheme="minorBidi"/>
      <w:kern w:val="2"/>
      <w:sz w:val="21"/>
      <w:szCs w:val="22"/>
    </w:rPr>
  </w:style>
  <w:style w:type="paragraph" w:styleId="31">
    <w:name w:val="Body Text 3"/>
    <w:basedOn w:val="1"/>
    <w:link w:val="112"/>
    <w:autoRedefine/>
    <w:unhideWhenUsed/>
    <w:qFormat/>
    <w:uiPriority w:val="0"/>
    <w:pPr>
      <w:spacing w:after="120"/>
    </w:pPr>
    <w:rPr>
      <w:rFonts w:asciiTheme="minorHAnsi" w:hAnsiTheme="minorHAnsi" w:eastAsiaTheme="minorEastAsia" w:cstheme="minorBidi"/>
      <w:kern w:val="2"/>
      <w:sz w:val="16"/>
      <w:szCs w:val="16"/>
    </w:rPr>
  </w:style>
  <w:style w:type="paragraph" w:styleId="32">
    <w:name w:val="Closing"/>
    <w:basedOn w:val="1"/>
    <w:link w:val="110"/>
    <w:autoRedefine/>
    <w:qFormat/>
    <w:uiPriority w:val="0"/>
    <w:pPr>
      <w:ind w:left="100" w:leftChars="2100"/>
    </w:pPr>
    <w:rPr>
      <w:rFonts w:asciiTheme="minorHAnsi" w:hAnsiTheme="minorHAnsi" w:eastAsiaTheme="minorEastAsia" w:cstheme="minorBidi"/>
      <w:kern w:val="2"/>
      <w:sz w:val="32"/>
      <w:szCs w:val="22"/>
    </w:rPr>
  </w:style>
  <w:style w:type="paragraph" w:styleId="33">
    <w:name w:val="List Bullet 3"/>
    <w:basedOn w:val="1"/>
    <w:autoRedefine/>
    <w:unhideWhenUsed/>
    <w:qFormat/>
    <w:uiPriority w:val="99"/>
    <w:pPr>
      <w:tabs>
        <w:tab w:val="left" w:pos="1134"/>
        <w:tab w:val="left" w:pos="1200"/>
      </w:tabs>
      <w:ind w:left="1134" w:hanging="1134"/>
      <w:contextualSpacing/>
    </w:pPr>
  </w:style>
  <w:style w:type="paragraph" w:styleId="34">
    <w:name w:val="Body Text"/>
    <w:basedOn w:val="1"/>
    <w:next w:val="13"/>
    <w:link w:val="154"/>
    <w:autoRedefine/>
    <w:qFormat/>
    <w:uiPriority w:val="99"/>
    <w:pPr>
      <w:spacing w:after="120"/>
    </w:pPr>
    <w:rPr>
      <w:rFonts w:asciiTheme="minorHAnsi" w:hAnsiTheme="minorHAnsi" w:eastAsiaTheme="minorEastAsia" w:cstheme="minorBidi"/>
      <w:kern w:val="2"/>
      <w:sz w:val="21"/>
      <w:szCs w:val="24"/>
    </w:rPr>
  </w:style>
  <w:style w:type="paragraph" w:styleId="35">
    <w:name w:val="Body Text Indent"/>
    <w:basedOn w:val="1"/>
    <w:link w:val="128"/>
    <w:autoRedefine/>
    <w:qFormat/>
    <w:uiPriority w:val="0"/>
    <w:pPr>
      <w:ind w:left="560"/>
    </w:pPr>
    <w:rPr>
      <w:rFonts w:asciiTheme="minorHAnsi" w:hAnsiTheme="minorHAnsi" w:eastAsiaTheme="minorEastAsia" w:cstheme="minorBidi"/>
      <w:kern w:val="2"/>
      <w:sz w:val="28"/>
      <w:szCs w:val="24"/>
    </w:rPr>
  </w:style>
  <w:style w:type="paragraph" w:styleId="36">
    <w:name w:val="List Number 3"/>
    <w:basedOn w:val="1"/>
    <w:autoRedefine/>
    <w:unhideWhenUsed/>
    <w:qFormat/>
    <w:uiPriority w:val="99"/>
    <w:pPr>
      <w:tabs>
        <w:tab w:val="left" w:pos="180"/>
        <w:tab w:val="left" w:pos="1200"/>
      </w:tabs>
      <w:ind w:left="180" w:hanging="180"/>
      <w:contextualSpacing/>
    </w:pPr>
  </w:style>
  <w:style w:type="paragraph" w:styleId="37">
    <w:name w:val="List 2"/>
    <w:basedOn w:val="1"/>
    <w:autoRedefine/>
    <w:unhideWhenUsed/>
    <w:qFormat/>
    <w:uiPriority w:val="99"/>
    <w:pPr>
      <w:ind w:left="100" w:leftChars="200" w:hanging="200" w:hangingChars="200"/>
      <w:contextualSpacing/>
    </w:pPr>
  </w:style>
  <w:style w:type="paragraph" w:styleId="38">
    <w:name w:val="List Continue"/>
    <w:basedOn w:val="1"/>
    <w:autoRedefine/>
    <w:unhideWhenUsed/>
    <w:qFormat/>
    <w:uiPriority w:val="99"/>
    <w:pPr>
      <w:spacing w:after="120"/>
      <w:ind w:left="420" w:leftChars="200"/>
      <w:contextualSpacing/>
    </w:pPr>
  </w:style>
  <w:style w:type="paragraph" w:styleId="39">
    <w:name w:val="Block Text"/>
    <w:basedOn w:val="1"/>
    <w:autoRedefine/>
    <w:qFormat/>
    <w:uiPriority w:val="0"/>
    <w:pPr>
      <w:autoSpaceDE w:val="0"/>
      <w:autoSpaceDN w:val="0"/>
      <w:adjustRightInd w:val="0"/>
      <w:spacing w:line="500" w:lineRule="exact"/>
      <w:ind w:left="391" w:right="246"/>
    </w:pPr>
    <w:rPr>
      <w:rFonts w:ascii="仿宋_GB2312" w:eastAsia="仿宋_GB2312"/>
      <w:sz w:val="24"/>
    </w:rPr>
  </w:style>
  <w:style w:type="paragraph" w:styleId="40">
    <w:name w:val="List Bullet 2"/>
    <w:basedOn w:val="1"/>
    <w:autoRedefine/>
    <w:unhideWhenUsed/>
    <w:qFormat/>
    <w:uiPriority w:val="99"/>
    <w:pPr>
      <w:tabs>
        <w:tab w:val="left" w:pos="425"/>
        <w:tab w:val="left" w:pos="780"/>
      </w:tabs>
      <w:ind w:left="425" w:hanging="425"/>
      <w:contextualSpacing/>
    </w:pPr>
  </w:style>
  <w:style w:type="paragraph" w:styleId="41">
    <w:name w:val="HTML Address"/>
    <w:basedOn w:val="1"/>
    <w:link w:val="126"/>
    <w:autoRedefine/>
    <w:unhideWhenUsed/>
    <w:qFormat/>
    <w:uiPriority w:val="99"/>
    <w:rPr>
      <w:rFonts w:asciiTheme="minorHAnsi" w:hAnsiTheme="minorHAnsi" w:eastAsiaTheme="minorEastAsia" w:cstheme="minorBidi"/>
      <w:i/>
      <w:iCs/>
      <w:kern w:val="2"/>
      <w:sz w:val="21"/>
      <w:szCs w:val="22"/>
    </w:rPr>
  </w:style>
  <w:style w:type="paragraph" w:styleId="42">
    <w:name w:val="index 4"/>
    <w:basedOn w:val="1"/>
    <w:next w:val="1"/>
    <w:autoRedefine/>
    <w:unhideWhenUsed/>
    <w:qFormat/>
    <w:uiPriority w:val="99"/>
    <w:pPr>
      <w:ind w:left="600" w:leftChars="600"/>
    </w:pPr>
  </w:style>
  <w:style w:type="paragraph" w:styleId="43">
    <w:name w:val="toc 5"/>
    <w:basedOn w:val="1"/>
    <w:next w:val="1"/>
    <w:autoRedefine/>
    <w:qFormat/>
    <w:uiPriority w:val="39"/>
    <w:pPr>
      <w:ind w:left="840"/>
      <w:jc w:val="left"/>
    </w:pPr>
    <w:rPr>
      <w:sz w:val="18"/>
      <w:szCs w:val="18"/>
    </w:rPr>
  </w:style>
  <w:style w:type="paragraph" w:styleId="44">
    <w:name w:val="toc 3"/>
    <w:basedOn w:val="1"/>
    <w:next w:val="1"/>
    <w:autoRedefine/>
    <w:qFormat/>
    <w:uiPriority w:val="39"/>
    <w:pPr>
      <w:ind w:left="420"/>
      <w:jc w:val="left"/>
    </w:pPr>
    <w:rPr>
      <w:i/>
      <w:iCs/>
    </w:rPr>
  </w:style>
  <w:style w:type="paragraph" w:styleId="45">
    <w:name w:val="Plain Text"/>
    <w:basedOn w:val="1"/>
    <w:link w:val="155"/>
    <w:autoRedefine/>
    <w:qFormat/>
    <w:uiPriority w:val="0"/>
    <w:rPr>
      <w:rFonts w:ascii="宋体" w:hAnsi="Courier New" w:cstheme="minorBidi"/>
      <w:kern w:val="2"/>
      <w:sz w:val="21"/>
      <w:szCs w:val="22"/>
    </w:rPr>
  </w:style>
  <w:style w:type="paragraph" w:styleId="46">
    <w:name w:val="List Bullet 5"/>
    <w:basedOn w:val="1"/>
    <w:autoRedefine/>
    <w:unhideWhenUsed/>
    <w:qFormat/>
    <w:uiPriority w:val="99"/>
    <w:pPr>
      <w:tabs>
        <w:tab w:val="left" w:pos="720"/>
        <w:tab w:val="left" w:pos="2040"/>
      </w:tabs>
      <w:ind w:left="720" w:hanging="360"/>
      <w:contextualSpacing/>
    </w:pPr>
  </w:style>
  <w:style w:type="paragraph" w:styleId="47">
    <w:name w:val="List Number 4"/>
    <w:basedOn w:val="1"/>
    <w:autoRedefine/>
    <w:unhideWhenUsed/>
    <w:qFormat/>
    <w:uiPriority w:val="99"/>
    <w:pPr>
      <w:tabs>
        <w:tab w:val="left" w:pos="600"/>
        <w:tab w:val="left" w:pos="1620"/>
      </w:tabs>
      <w:ind w:left="600" w:hanging="600"/>
      <w:contextualSpacing/>
    </w:pPr>
  </w:style>
  <w:style w:type="paragraph" w:styleId="48">
    <w:name w:val="toc 8"/>
    <w:basedOn w:val="1"/>
    <w:next w:val="1"/>
    <w:autoRedefine/>
    <w:qFormat/>
    <w:uiPriority w:val="39"/>
    <w:pPr>
      <w:ind w:left="1470"/>
      <w:jc w:val="left"/>
    </w:pPr>
    <w:rPr>
      <w:sz w:val="18"/>
      <w:szCs w:val="18"/>
    </w:rPr>
  </w:style>
  <w:style w:type="paragraph" w:styleId="49">
    <w:name w:val="index 3"/>
    <w:basedOn w:val="1"/>
    <w:next w:val="1"/>
    <w:autoRedefine/>
    <w:unhideWhenUsed/>
    <w:qFormat/>
    <w:uiPriority w:val="99"/>
    <w:pPr>
      <w:ind w:left="400" w:leftChars="400"/>
    </w:pPr>
  </w:style>
  <w:style w:type="paragraph" w:styleId="50">
    <w:name w:val="Date"/>
    <w:basedOn w:val="1"/>
    <w:next w:val="1"/>
    <w:link w:val="192"/>
    <w:autoRedefine/>
    <w:qFormat/>
    <w:uiPriority w:val="99"/>
    <w:rPr>
      <w:rFonts w:asciiTheme="minorHAnsi" w:hAnsiTheme="minorHAnsi" w:eastAsiaTheme="minorEastAsia" w:cstheme="minorBidi"/>
      <w:kern w:val="2"/>
      <w:sz w:val="21"/>
      <w:szCs w:val="22"/>
    </w:rPr>
  </w:style>
  <w:style w:type="paragraph" w:styleId="51">
    <w:name w:val="Body Text Indent 2"/>
    <w:basedOn w:val="1"/>
    <w:link w:val="182"/>
    <w:autoRedefine/>
    <w:qFormat/>
    <w:uiPriority w:val="0"/>
    <w:pPr>
      <w:spacing w:line="480" w:lineRule="auto"/>
      <w:ind w:firstLine="540" w:firstLineChars="225"/>
    </w:pPr>
    <w:rPr>
      <w:rFonts w:eastAsia="仿宋_GB2312" w:asciiTheme="minorHAnsi" w:hAnsiTheme="minorHAnsi" w:cstheme="minorBidi"/>
      <w:kern w:val="2"/>
      <w:sz w:val="24"/>
      <w:szCs w:val="24"/>
    </w:rPr>
  </w:style>
  <w:style w:type="paragraph" w:styleId="52">
    <w:name w:val="endnote text"/>
    <w:basedOn w:val="1"/>
    <w:link w:val="117"/>
    <w:autoRedefine/>
    <w:unhideWhenUsed/>
    <w:qFormat/>
    <w:uiPriority w:val="99"/>
    <w:pPr>
      <w:snapToGrid w:val="0"/>
      <w:jc w:val="left"/>
    </w:pPr>
    <w:rPr>
      <w:rFonts w:asciiTheme="minorHAnsi" w:hAnsiTheme="minorHAnsi" w:eastAsiaTheme="minorEastAsia" w:cstheme="minorBidi"/>
      <w:kern w:val="2"/>
      <w:sz w:val="21"/>
      <w:szCs w:val="22"/>
    </w:rPr>
  </w:style>
  <w:style w:type="paragraph" w:styleId="53">
    <w:name w:val="List Continue 5"/>
    <w:basedOn w:val="1"/>
    <w:autoRedefine/>
    <w:unhideWhenUsed/>
    <w:qFormat/>
    <w:uiPriority w:val="99"/>
    <w:pPr>
      <w:spacing w:after="120"/>
      <w:ind w:left="2100" w:leftChars="1000"/>
      <w:contextualSpacing/>
    </w:pPr>
  </w:style>
  <w:style w:type="paragraph" w:styleId="54">
    <w:name w:val="Balloon Text"/>
    <w:basedOn w:val="1"/>
    <w:link w:val="181"/>
    <w:autoRedefine/>
    <w:qFormat/>
    <w:uiPriority w:val="0"/>
    <w:rPr>
      <w:rFonts w:asciiTheme="minorHAnsi" w:hAnsiTheme="minorHAnsi" w:eastAsiaTheme="minorEastAsia" w:cstheme="minorBidi"/>
      <w:kern w:val="2"/>
      <w:sz w:val="18"/>
      <w:szCs w:val="18"/>
    </w:rPr>
  </w:style>
  <w:style w:type="paragraph" w:styleId="55">
    <w:name w:val="footer"/>
    <w:basedOn w:val="1"/>
    <w:link w:val="100"/>
    <w:autoRedefine/>
    <w:unhideWhenUsed/>
    <w:qFormat/>
    <w:uiPriority w:val="99"/>
    <w:pPr>
      <w:tabs>
        <w:tab w:val="center" w:pos="4153"/>
        <w:tab w:val="right" w:pos="8306"/>
      </w:tabs>
      <w:snapToGrid w:val="0"/>
      <w:jc w:val="left"/>
    </w:pPr>
    <w:rPr>
      <w:sz w:val="18"/>
      <w:szCs w:val="18"/>
    </w:rPr>
  </w:style>
  <w:style w:type="paragraph" w:styleId="56">
    <w:name w:val="envelope return"/>
    <w:basedOn w:val="1"/>
    <w:autoRedefine/>
    <w:unhideWhenUsed/>
    <w:qFormat/>
    <w:uiPriority w:val="99"/>
    <w:pPr>
      <w:snapToGrid w:val="0"/>
    </w:pPr>
    <w:rPr>
      <w:rFonts w:ascii="Cambria" w:hAnsi="Cambria"/>
    </w:rPr>
  </w:style>
  <w:style w:type="paragraph" w:styleId="57">
    <w:name w:val="header"/>
    <w:basedOn w:val="1"/>
    <w:link w:val="99"/>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58">
    <w:name w:val="Signature"/>
    <w:basedOn w:val="1"/>
    <w:link w:val="194"/>
    <w:autoRedefine/>
    <w:unhideWhenUsed/>
    <w:qFormat/>
    <w:uiPriority w:val="99"/>
    <w:pPr>
      <w:ind w:left="100" w:leftChars="2100"/>
    </w:pPr>
    <w:rPr>
      <w:rFonts w:asciiTheme="minorHAnsi" w:hAnsiTheme="minorHAnsi" w:eastAsiaTheme="minorEastAsia" w:cstheme="minorBidi"/>
      <w:kern w:val="2"/>
      <w:sz w:val="21"/>
      <w:szCs w:val="22"/>
    </w:rPr>
  </w:style>
  <w:style w:type="paragraph" w:styleId="59">
    <w:name w:val="toc 1"/>
    <w:basedOn w:val="1"/>
    <w:next w:val="1"/>
    <w:autoRedefine/>
    <w:qFormat/>
    <w:uiPriority w:val="39"/>
    <w:pPr>
      <w:spacing w:before="120" w:after="120"/>
      <w:jc w:val="left"/>
    </w:pPr>
    <w:rPr>
      <w:b/>
      <w:bCs/>
      <w:caps/>
    </w:rPr>
  </w:style>
  <w:style w:type="paragraph" w:styleId="60">
    <w:name w:val="List Continue 4"/>
    <w:basedOn w:val="1"/>
    <w:autoRedefine/>
    <w:unhideWhenUsed/>
    <w:qFormat/>
    <w:uiPriority w:val="99"/>
    <w:pPr>
      <w:spacing w:after="120"/>
      <w:ind w:left="1680" w:leftChars="800"/>
      <w:contextualSpacing/>
    </w:pPr>
  </w:style>
  <w:style w:type="paragraph" w:styleId="61">
    <w:name w:val="toc 4"/>
    <w:basedOn w:val="1"/>
    <w:next w:val="1"/>
    <w:autoRedefine/>
    <w:qFormat/>
    <w:uiPriority w:val="39"/>
    <w:pPr>
      <w:ind w:left="630"/>
      <w:jc w:val="left"/>
    </w:pPr>
    <w:rPr>
      <w:sz w:val="18"/>
      <w:szCs w:val="18"/>
    </w:rPr>
  </w:style>
  <w:style w:type="paragraph" w:styleId="62">
    <w:name w:val="index heading"/>
    <w:basedOn w:val="1"/>
    <w:next w:val="63"/>
    <w:autoRedefine/>
    <w:unhideWhenUsed/>
    <w:qFormat/>
    <w:uiPriority w:val="99"/>
    <w:rPr>
      <w:rFonts w:ascii="Cambria" w:hAnsi="Cambria"/>
      <w:b/>
      <w:bCs/>
    </w:rPr>
  </w:style>
  <w:style w:type="paragraph" w:styleId="63">
    <w:name w:val="index 1"/>
    <w:basedOn w:val="1"/>
    <w:next w:val="1"/>
    <w:autoRedefine/>
    <w:qFormat/>
    <w:uiPriority w:val="99"/>
  </w:style>
  <w:style w:type="paragraph" w:styleId="64">
    <w:name w:val="Subtitle"/>
    <w:basedOn w:val="1"/>
    <w:next w:val="1"/>
    <w:link w:val="213"/>
    <w:autoRedefine/>
    <w:qFormat/>
    <w:uiPriority w:val="0"/>
    <w:pPr>
      <w:spacing w:before="240" w:after="60" w:line="312" w:lineRule="auto"/>
      <w:jc w:val="center"/>
      <w:outlineLvl w:val="1"/>
    </w:pPr>
    <w:rPr>
      <w:rFonts w:ascii="Cambria" w:hAnsi="Cambria" w:eastAsiaTheme="minorEastAsia" w:cstheme="minorBidi"/>
      <w:b/>
      <w:bCs/>
      <w:kern w:val="28"/>
      <w:sz w:val="32"/>
      <w:szCs w:val="32"/>
    </w:rPr>
  </w:style>
  <w:style w:type="paragraph" w:styleId="65">
    <w:name w:val="List Number 5"/>
    <w:basedOn w:val="1"/>
    <w:autoRedefine/>
    <w:unhideWhenUsed/>
    <w:qFormat/>
    <w:uiPriority w:val="99"/>
    <w:pPr>
      <w:tabs>
        <w:tab w:val="left" w:pos="1049"/>
        <w:tab w:val="left" w:pos="2040"/>
      </w:tabs>
      <w:ind w:left="1049" w:hanging="420"/>
      <w:contextualSpacing/>
    </w:pPr>
  </w:style>
  <w:style w:type="paragraph" w:styleId="66">
    <w:name w:val="List"/>
    <w:basedOn w:val="34"/>
    <w:autoRedefine/>
    <w:qFormat/>
    <w:uiPriority w:val="99"/>
    <w:pPr>
      <w:suppressAutoHyphens/>
    </w:pPr>
    <w:rPr>
      <w:kern w:val="1"/>
      <w:lang w:eastAsia="ar-SA"/>
    </w:rPr>
  </w:style>
  <w:style w:type="paragraph" w:styleId="67">
    <w:name w:val="footnote text"/>
    <w:basedOn w:val="1"/>
    <w:link w:val="113"/>
    <w:autoRedefine/>
    <w:unhideWhenUsed/>
    <w:qFormat/>
    <w:uiPriority w:val="99"/>
    <w:pPr>
      <w:snapToGrid w:val="0"/>
      <w:jc w:val="left"/>
    </w:pPr>
    <w:rPr>
      <w:rFonts w:asciiTheme="minorHAnsi" w:hAnsiTheme="minorHAnsi" w:eastAsiaTheme="minorEastAsia" w:cstheme="minorBidi"/>
      <w:kern w:val="2"/>
      <w:sz w:val="18"/>
      <w:szCs w:val="18"/>
    </w:rPr>
  </w:style>
  <w:style w:type="paragraph" w:styleId="68">
    <w:name w:val="toc 6"/>
    <w:basedOn w:val="1"/>
    <w:next w:val="1"/>
    <w:autoRedefine/>
    <w:qFormat/>
    <w:uiPriority w:val="39"/>
    <w:pPr>
      <w:ind w:left="1050"/>
      <w:jc w:val="left"/>
    </w:pPr>
    <w:rPr>
      <w:sz w:val="18"/>
      <w:szCs w:val="18"/>
    </w:rPr>
  </w:style>
  <w:style w:type="paragraph" w:styleId="69">
    <w:name w:val="List 5"/>
    <w:basedOn w:val="1"/>
    <w:autoRedefine/>
    <w:unhideWhenUsed/>
    <w:qFormat/>
    <w:uiPriority w:val="99"/>
    <w:pPr>
      <w:ind w:left="100" w:leftChars="800" w:hanging="200" w:hangingChars="200"/>
      <w:contextualSpacing/>
    </w:pPr>
  </w:style>
  <w:style w:type="paragraph" w:styleId="70">
    <w:name w:val="Body Text Indent 3"/>
    <w:basedOn w:val="1"/>
    <w:link w:val="224"/>
    <w:autoRedefine/>
    <w:qFormat/>
    <w:uiPriority w:val="0"/>
    <w:pPr>
      <w:ind w:firstLine="600" w:firstLineChars="200"/>
    </w:pPr>
    <w:rPr>
      <w:rFonts w:asciiTheme="minorHAnsi" w:hAnsiTheme="minorHAnsi" w:eastAsiaTheme="minorEastAsia" w:cstheme="minorBidi"/>
      <w:color w:val="FF0000"/>
      <w:kern w:val="2"/>
      <w:sz w:val="30"/>
      <w:szCs w:val="22"/>
    </w:rPr>
  </w:style>
  <w:style w:type="paragraph" w:styleId="71">
    <w:name w:val="index 7"/>
    <w:basedOn w:val="1"/>
    <w:next w:val="1"/>
    <w:autoRedefine/>
    <w:unhideWhenUsed/>
    <w:qFormat/>
    <w:uiPriority w:val="99"/>
    <w:pPr>
      <w:ind w:left="1200" w:leftChars="1200"/>
    </w:pPr>
  </w:style>
  <w:style w:type="paragraph" w:styleId="72">
    <w:name w:val="index 9"/>
    <w:basedOn w:val="1"/>
    <w:next w:val="1"/>
    <w:autoRedefine/>
    <w:unhideWhenUsed/>
    <w:qFormat/>
    <w:uiPriority w:val="99"/>
    <w:pPr>
      <w:ind w:left="1600" w:leftChars="1600"/>
    </w:pPr>
  </w:style>
  <w:style w:type="paragraph" w:styleId="73">
    <w:name w:val="table of figures"/>
    <w:basedOn w:val="1"/>
    <w:next w:val="1"/>
    <w:autoRedefine/>
    <w:unhideWhenUsed/>
    <w:qFormat/>
    <w:uiPriority w:val="99"/>
    <w:pPr>
      <w:ind w:left="200" w:leftChars="200" w:hanging="200" w:hangingChars="200"/>
    </w:pPr>
  </w:style>
  <w:style w:type="paragraph" w:styleId="74">
    <w:name w:val="toc 2"/>
    <w:basedOn w:val="1"/>
    <w:next w:val="1"/>
    <w:autoRedefine/>
    <w:qFormat/>
    <w:uiPriority w:val="39"/>
    <w:pPr>
      <w:ind w:left="210"/>
      <w:jc w:val="left"/>
    </w:pPr>
    <w:rPr>
      <w:smallCaps/>
    </w:rPr>
  </w:style>
  <w:style w:type="paragraph" w:styleId="75">
    <w:name w:val="toc 9"/>
    <w:basedOn w:val="1"/>
    <w:next w:val="1"/>
    <w:autoRedefine/>
    <w:qFormat/>
    <w:uiPriority w:val="39"/>
    <w:pPr>
      <w:ind w:left="1680"/>
      <w:jc w:val="left"/>
    </w:pPr>
    <w:rPr>
      <w:sz w:val="18"/>
      <w:szCs w:val="18"/>
    </w:rPr>
  </w:style>
  <w:style w:type="paragraph" w:styleId="76">
    <w:name w:val="Body Text 2"/>
    <w:basedOn w:val="1"/>
    <w:link w:val="124"/>
    <w:autoRedefine/>
    <w:qFormat/>
    <w:uiPriority w:val="99"/>
    <w:rPr>
      <w:rFonts w:asciiTheme="minorHAnsi" w:hAnsiTheme="minorHAnsi" w:eastAsiaTheme="minorEastAsia" w:cstheme="minorBidi"/>
      <w:color w:val="FF0000"/>
      <w:kern w:val="2"/>
      <w:sz w:val="21"/>
      <w:szCs w:val="24"/>
    </w:rPr>
  </w:style>
  <w:style w:type="paragraph" w:styleId="77">
    <w:name w:val="List 4"/>
    <w:basedOn w:val="1"/>
    <w:autoRedefine/>
    <w:unhideWhenUsed/>
    <w:qFormat/>
    <w:uiPriority w:val="99"/>
    <w:pPr>
      <w:ind w:left="100" w:leftChars="600" w:hanging="200" w:hangingChars="200"/>
      <w:contextualSpacing/>
    </w:pPr>
  </w:style>
  <w:style w:type="paragraph" w:styleId="78">
    <w:name w:val="List Continue 2"/>
    <w:basedOn w:val="1"/>
    <w:autoRedefine/>
    <w:unhideWhenUsed/>
    <w:qFormat/>
    <w:uiPriority w:val="99"/>
    <w:pPr>
      <w:spacing w:after="120"/>
      <w:ind w:left="840" w:leftChars="400"/>
      <w:contextualSpacing/>
    </w:pPr>
  </w:style>
  <w:style w:type="paragraph" w:styleId="79">
    <w:name w:val="Message Header"/>
    <w:basedOn w:val="1"/>
    <w:link w:val="232"/>
    <w:autoRedefine/>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eastAsiaTheme="minorEastAsia" w:cstheme="minorBidi"/>
      <w:kern w:val="2"/>
      <w:sz w:val="24"/>
      <w:szCs w:val="24"/>
    </w:rPr>
  </w:style>
  <w:style w:type="paragraph" w:styleId="80">
    <w:name w:val="HTML Preformatted"/>
    <w:basedOn w:val="1"/>
    <w:link w:val="185"/>
    <w:autoRedefine/>
    <w:unhideWhenUsed/>
    <w:qFormat/>
    <w:uiPriority w:val="99"/>
    <w:rPr>
      <w:rFonts w:ascii="Courier New" w:hAnsi="Courier New" w:cs="Courier New" w:eastAsiaTheme="minorEastAsia"/>
      <w:kern w:val="2"/>
      <w:sz w:val="21"/>
      <w:szCs w:val="22"/>
    </w:rPr>
  </w:style>
  <w:style w:type="paragraph" w:styleId="81">
    <w:name w:val="Normal (Web)"/>
    <w:basedOn w:val="1"/>
    <w:autoRedefine/>
    <w:qFormat/>
    <w:uiPriority w:val="0"/>
    <w:pPr>
      <w:widowControl/>
      <w:spacing w:before="100" w:beforeAutospacing="1" w:after="100" w:afterAutospacing="1"/>
      <w:jc w:val="left"/>
    </w:pPr>
    <w:rPr>
      <w:rFonts w:ascii="宋体" w:hAnsi="宋体" w:cs="宋体"/>
      <w:sz w:val="24"/>
    </w:rPr>
  </w:style>
  <w:style w:type="paragraph" w:styleId="82">
    <w:name w:val="List Continue 3"/>
    <w:basedOn w:val="1"/>
    <w:autoRedefine/>
    <w:unhideWhenUsed/>
    <w:qFormat/>
    <w:uiPriority w:val="99"/>
    <w:pPr>
      <w:spacing w:after="120"/>
      <w:ind w:left="1260" w:leftChars="600"/>
      <w:contextualSpacing/>
    </w:pPr>
  </w:style>
  <w:style w:type="paragraph" w:styleId="83">
    <w:name w:val="index 2"/>
    <w:basedOn w:val="1"/>
    <w:next w:val="1"/>
    <w:autoRedefine/>
    <w:unhideWhenUsed/>
    <w:qFormat/>
    <w:uiPriority w:val="99"/>
    <w:pPr>
      <w:ind w:left="200" w:leftChars="200"/>
    </w:pPr>
  </w:style>
  <w:style w:type="paragraph" w:styleId="84">
    <w:name w:val="Title"/>
    <w:basedOn w:val="1"/>
    <w:next w:val="1"/>
    <w:link w:val="141"/>
    <w:autoRedefine/>
    <w:qFormat/>
    <w:uiPriority w:val="0"/>
    <w:pPr>
      <w:spacing w:before="240" w:after="60"/>
      <w:jc w:val="center"/>
      <w:outlineLvl w:val="0"/>
    </w:pPr>
    <w:rPr>
      <w:rFonts w:ascii="Cambria" w:hAnsi="Cambria" w:eastAsiaTheme="minorEastAsia" w:cstheme="minorBidi"/>
      <w:b/>
      <w:bCs/>
      <w:kern w:val="2"/>
      <w:sz w:val="32"/>
      <w:szCs w:val="32"/>
    </w:rPr>
  </w:style>
  <w:style w:type="paragraph" w:styleId="85">
    <w:name w:val="annotation subject"/>
    <w:basedOn w:val="28"/>
    <w:next w:val="28"/>
    <w:link w:val="234"/>
    <w:autoRedefine/>
    <w:qFormat/>
    <w:uiPriority w:val="0"/>
    <w:rPr>
      <w:b/>
      <w:bCs/>
    </w:rPr>
  </w:style>
  <w:style w:type="paragraph" w:styleId="86">
    <w:name w:val="Body Text First Indent"/>
    <w:basedOn w:val="34"/>
    <w:link w:val="147"/>
    <w:autoRedefine/>
    <w:unhideWhenUsed/>
    <w:qFormat/>
    <w:uiPriority w:val="0"/>
    <w:pPr>
      <w:ind w:firstLine="420" w:firstLineChars="100"/>
    </w:pPr>
    <w:rPr>
      <w:szCs w:val="22"/>
    </w:rPr>
  </w:style>
  <w:style w:type="paragraph" w:styleId="87">
    <w:name w:val="Body Text First Indent 2"/>
    <w:basedOn w:val="35"/>
    <w:link w:val="135"/>
    <w:autoRedefine/>
    <w:unhideWhenUsed/>
    <w:qFormat/>
    <w:uiPriority w:val="0"/>
    <w:pPr>
      <w:spacing w:after="120"/>
      <w:ind w:left="420" w:leftChars="200" w:firstLine="420" w:firstLineChars="200"/>
    </w:pPr>
    <w:rPr>
      <w:sz w:val="30"/>
      <w:szCs w:val="22"/>
    </w:rPr>
  </w:style>
  <w:style w:type="table" w:styleId="89">
    <w:name w:val="Table Grid"/>
    <w:basedOn w:val="88"/>
    <w:autoRedefine/>
    <w:qFormat/>
    <w:uiPriority w:val="59"/>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
    <w:name w:val="Strong"/>
    <w:autoRedefine/>
    <w:qFormat/>
    <w:uiPriority w:val="0"/>
    <w:rPr>
      <w:b/>
      <w:bCs/>
    </w:rPr>
  </w:style>
  <w:style w:type="character" w:styleId="92">
    <w:name w:val="endnote reference"/>
    <w:autoRedefine/>
    <w:qFormat/>
    <w:uiPriority w:val="0"/>
    <w:rPr>
      <w:vertAlign w:val="superscript"/>
    </w:rPr>
  </w:style>
  <w:style w:type="character" w:styleId="93">
    <w:name w:val="page number"/>
    <w:basedOn w:val="90"/>
    <w:autoRedefine/>
    <w:qFormat/>
    <w:uiPriority w:val="99"/>
  </w:style>
  <w:style w:type="character" w:styleId="94">
    <w:name w:val="FollowedHyperlink"/>
    <w:autoRedefine/>
    <w:qFormat/>
    <w:uiPriority w:val="0"/>
    <w:rPr>
      <w:color w:val="800080"/>
      <w:u w:val="single"/>
    </w:rPr>
  </w:style>
  <w:style w:type="character" w:styleId="95">
    <w:name w:val="Emphasis"/>
    <w:autoRedefine/>
    <w:qFormat/>
    <w:uiPriority w:val="0"/>
    <w:rPr>
      <w:i/>
      <w:iCs/>
    </w:rPr>
  </w:style>
  <w:style w:type="character" w:styleId="96">
    <w:name w:val="HTML Acronym"/>
    <w:autoRedefine/>
    <w:unhideWhenUsed/>
    <w:qFormat/>
    <w:uiPriority w:val="99"/>
  </w:style>
  <w:style w:type="character" w:styleId="97">
    <w:name w:val="Hyperlink"/>
    <w:autoRedefine/>
    <w:qFormat/>
    <w:uiPriority w:val="99"/>
    <w:rPr>
      <w:color w:val="0000FF"/>
      <w:u w:val="single"/>
    </w:rPr>
  </w:style>
  <w:style w:type="character" w:styleId="98">
    <w:name w:val="annotation reference"/>
    <w:autoRedefine/>
    <w:qFormat/>
    <w:uiPriority w:val="0"/>
    <w:rPr>
      <w:sz w:val="21"/>
      <w:szCs w:val="21"/>
    </w:rPr>
  </w:style>
  <w:style w:type="character" w:customStyle="1" w:styleId="99">
    <w:name w:val="页眉 字符"/>
    <w:basedOn w:val="90"/>
    <w:link w:val="57"/>
    <w:autoRedefine/>
    <w:qFormat/>
    <w:uiPriority w:val="99"/>
    <w:rPr>
      <w:sz w:val="18"/>
      <w:szCs w:val="18"/>
    </w:rPr>
  </w:style>
  <w:style w:type="character" w:customStyle="1" w:styleId="100">
    <w:name w:val="页脚 字符"/>
    <w:basedOn w:val="90"/>
    <w:link w:val="55"/>
    <w:autoRedefine/>
    <w:qFormat/>
    <w:uiPriority w:val="99"/>
    <w:rPr>
      <w:sz w:val="18"/>
      <w:szCs w:val="18"/>
    </w:rPr>
  </w:style>
  <w:style w:type="character" w:customStyle="1" w:styleId="101">
    <w:name w:val="标题 1 字符"/>
    <w:basedOn w:val="90"/>
    <w:link w:val="3"/>
    <w:autoRedefine/>
    <w:qFormat/>
    <w:uiPriority w:val="0"/>
    <w:rPr>
      <w:rFonts w:ascii="宋体" w:hAnsi="Times New Roman" w:eastAsia="宋体" w:cs="Times New Roman"/>
      <w:b/>
      <w:kern w:val="0"/>
      <w:sz w:val="44"/>
      <w:szCs w:val="20"/>
    </w:rPr>
  </w:style>
  <w:style w:type="character" w:customStyle="1" w:styleId="102">
    <w:name w:val="标题 2 字符"/>
    <w:basedOn w:val="90"/>
    <w:link w:val="4"/>
    <w:autoRedefine/>
    <w:qFormat/>
    <w:uiPriority w:val="0"/>
    <w:rPr>
      <w:rFonts w:ascii="Arial" w:hAnsi="Arial" w:eastAsia="黑体" w:cs="Times New Roman"/>
      <w:b/>
      <w:bCs/>
      <w:sz w:val="32"/>
      <w:szCs w:val="32"/>
    </w:rPr>
  </w:style>
  <w:style w:type="character" w:customStyle="1" w:styleId="103">
    <w:name w:val="标题 3 字符"/>
    <w:basedOn w:val="90"/>
    <w:link w:val="5"/>
    <w:autoRedefine/>
    <w:qFormat/>
    <w:uiPriority w:val="0"/>
    <w:rPr>
      <w:rFonts w:ascii="Times New Roman" w:hAnsi="Times New Roman" w:eastAsia="宋体" w:cs="Times New Roman"/>
      <w:b/>
      <w:kern w:val="0"/>
      <w:sz w:val="32"/>
      <w:szCs w:val="20"/>
    </w:rPr>
  </w:style>
  <w:style w:type="character" w:customStyle="1" w:styleId="104">
    <w:name w:val="标题 4 字符"/>
    <w:basedOn w:val="90"/>
    <w:link w:val="6"/>
    <w:autoRedefine/>
    <w:qFormat/>
    <w:uiPriority w:val="0"/>
    <w:rPr>
      <w:rFonts w:ascii="Times New Roman" w:hAnsi="Times New Roman" w:eastAsia="宋体" w:cs="Times New Roman"/>
      <w:b/>
      <w:bCs/>
      <w:snapToGrid w:val="0"/>
      <w:kern w:val="0"/>
      <w:sz w:val="36"/>
      <w:szCs w:val="28"/>
    </w:rPr>
  </w:style>
  <w:style w:type="character" w:customStyle="1" w:styleId="105">
    <w:name w:val="标题 5 字符"/>
    <w:basedOn w:val="90"/>
    <w:link w:val="7"/>
    <w:autoRedefine/>
    <w:qFormat/>
    <w:uiPriority w:val="0"/>
    <w:rPr>
      <w:rFonts w:ascii="宋体" w:hAnsi="宋体" w:eastAsia="宋体" w:cs="宋体"/>
      <w:b/>
      <w:bCs/>
      <w:kern w:val="0"/>
      <w:sz w:val="24"/>
      <w:szCs w:val="20"/>
    </w:rPr>
  </w:style>
  <w:style w:type="character" w:customStyle="1" w:styleId="106">
    <w:name w:val="标题 6 字符"/>
    <w:basedOn w:val="90"/>
    <w:link w:val="8"/>
    <w:autoRedefine/>
    <w:qFormat/>
    <w:uiPriority w:val="0"/>
    <w:rPr>
      <w:rFonts w:ascii="宋体" w:hAnsi="宋体" w:eastAsia="宋体" w:cs="宋体"/>
      <w:b/>
      <w:bCs/>
      <w:kern w:val="0"/>
      <w:sz w:val="30"/>
      <w:szCs w:val="30"/>
    </w:rPr>
  </w:style>
  <w:style w:type="character" w:customStyle="1" w:styleId="107">
    <w:name w:val="标题 7 字符"/>
    <w:basedOn w:val="90"/>
    <w:link w:val="9"/>
    <w:autoRedefine/>
    <w:qFormat/>
    <w:uiPriority w:val="0"/>
    <w:rPr>
      <w:rFonts w:ascii="Times New Roman" w:hAnsi="Times New Roman" w:eastAsia="宋体" w:cs="Times New Roman"/>
      <w:kern w:val="0"/>
      <w:sz w:val="24"/>
      <w:szCs w:val="20"/>
    </w:rPr>
  </w:style>
  <w:style w:type="character" w:customStyle="1" w:styleId="108">
    <w:name w:val="标题 8 字符"/>
    <w:basedOn w:val="90"/>
    <w:link w:val="10"/>
    <w:autoRedefine/>
    <w:qFormat/>
    <w:uiPriority w:val="0"/>
    <w:rPr>
      <w:rFonts w:ascii="Arial" w:hAnsi="Arial" w:eastAsia="黑体" w:cs="Arial"/>
      <w:kern w:val="0"/>
      <w:sz w:val="24"/>
      <w:szCs w:val="20"/>
    </w:rPr>
  </w:style>
  <w:style w:type="character" w:customStyle="1" w:styleId="109">
    <w:name w:val="标题 9 字符"/>
    <w:basedOn w:val="90"/>
    <w:link w:val="11"/>
    <w:autoRedefine/>
    <w:qFormat/>
    <w:uiPriority w:val="0"/>
    <w:rPr>
      <w:rFonts w:ascii="Arial" w:hAnsi="Arial" w:eastAsia="黑体" w:cs="Arial"/>
      <w:kern w:val="0"/>
      <w:sz w:val="20"/>
      <w:szCs w:val="21"/>
    </w:rPr>
  </w:style>
  <w:style w:type="character" w:customStyle="1" w:styleId="110">
    <w:name w:val="结束语 字符"/>
    <w:link w:val="32"/>
    <w:autoRedefine/>
    <w:qFormat/>
    <w:uiPriority w:val="0"/>
    <w:rPr>
      <w:sz w:val="32"/>
    </w:rPr>
  </w:style>
  <w:style w:type="character" w:customStyle="1" w:styleId="111">
    <w:name w:val="注释标题 字符"/>
    <w:link w:val="16"/>
    <w:autoRedefine/>
    <w:qFormat/>
    <w:uiPriority w:val="0"/>
  </w:style>
  <w:style w:type="character" w:customStyle="1" w:styleId="112">
    <w:name w:val="正文文本 3 字符"/>
    <w:link w:val="31"/>
    <w:autoRedefine/>
    <w:qFormat/>
    <w:uiPriority w:val="0"/>
    <w:rPr>
      <w:sz w:val="16"/>
      <w:szCs w:val="16"/>
    </w:rPr>
  </w:style>
  <w:style w:type="character" w:customStyle="1" w:styleId="113">
    <w:name w:val="脚注文本 字符"/>
    <w:link w:val="67"/>
    <w:autoRedefine/>
    <w:qFormat/>
    <w:uiPriority w:val="99"/>
    <w:rPr>
      <w:sz w:val="18"/>
      <w:szCs w:val="18"/>
    </w:rPr>
  </w:style>
  <w:style w:type="character" w:customStyle="1" w:styleId="114">
    <w:name w:val="尾注文本 Char1"/>
    <w:autoRedefine/>
    <w:qFormat/>
    <w:uiPriority w:val="0"/>
    <w:rPr>
      <w:kern w:val="2"/>
      <w:sz w:val="21"/>
      <w:szCs w:val="24"/>
    </w:rPr>
  </w:style>
  <w:style w:type="character" w:customStyle="1" w:styleId="115">
    <w:name w:val="WW8Num9z0"/>
    <w:autoRedefine/>
    <w:qFormat/>
    <w:uiPriority w:val="0"/>
    <w:rPr>
      <w:rFonts w:ascii="Wingdings" w:hAnsi="Wingdings"/>
    </w:rPr>
  </w:style>
  <w:style w:type="character" w:customStyle="1" w:styleId="116">
    <w:name w:val="纯文本 Char1"/>
    <w:autoRedefine/>
    <w:qFormat/>
    <w:uiPriority w:val="0"/>
    <w:rPr>
      <w:rFonts w:ascii="宋体" w:hAnsi="Courier New"/>
      <w:kern w:val="2"/>
      <w:sz w:val="21"/>
      <w:szCs w:val="21"/>
    </w:rPr>
  </w:style>
  <w:style w:type="character" w:customStyle="1" w:styleId="117">
    <w:name w:val="尾注文本 字符"/>
    <w:link w:val="52"/>
    <w:autoRedefine/>
    <w:qFormat/>
    <w:uiPriority w:val="99"/>
  </w:style>
  <w:style w:type="character" w:customStyle="1" w:styleId="118">
    <w:name w:val="明显引用 Char1"/>
    <w:autoRedefine/>
    <w:qFormat/>
    <w:uiPriority w:val="30"/>
    <w:rPr>
      <w:b/>
      <w:bCs/>
      <w:i/>
      <w:iCs/>
      <w:color w:val="4F81BD"/>
      <w:kern w:val="2"/>
      <w:sz w:val="21"/>
      <w:szCs w:val="24"/>
    </w:rPr>
  </w:style>
  <w:style w:type="character" w:customStyle="1" w:styleId="119">
    <w:name w:val="fs1"/>
    <w:autoRedefine/>
    <w:qFormat/>
    <w:uiPriority w:val="0"/>
    <w:rPr>
      <w:dstrike/>
      <w:color w:val="093F7C"/>
      <w:sz w:val="18"/>
      <w:u w:val="none"/>
    </w:rPr>
  </w:style>
  <w:style w:type="character" w:customStyle="1" w:styleId="120">
    <w:name w:val="WW8Num7z0"/>
    <w:autoRedefine/>
    <w:qFormat/>
    <w:uiPriority w:val="0"/>
    <w:rPr>
      <w:rFonts w:ascii="Wingdings" w:hAnsi="Wingdings"/>
    </w:rPr>
  </w:style>
  <w:style w:type="character" w:customStyle="1" w:styleId="121">
    <w:name w:val="at_0"/>
    <w:basedOn w:val="90"/>
    <w:autoRedefine/>
    <w:qFormat/>
    <w:uiPriority w:val="0"/>
  </w:style>
  <w:style w:type="character" w:customStyle="1" w:styleId="122">
    <w:name w:val="正文+首行缩进2 Char Char"/>
    <w:link w:val="123"/>
    <w:autoRedefine/>
    <w:qFormat/>
    <w:uiPriority w:val="0"/>
    <w:rPr>
      <w:szCs w:val="24"/>
    </w:rPr>
  </w:style>
  <w:style w:type="paragraph" w:customStyle="1" w:styleId="123">
    <w:name w:val="正文+首行缩进2"/>
    <w:basedOn w:val="1"/>
    <w:link w:val="122"/>
    <w:autoRedefine/>
    <w:qFormat/>
    <w:uiPriority w:val="0"/>
    <w:pPr>
      <w:spacing w:line="480" w:lineRule="exact"/>
      <w:ind w:firstLine="200" w:firstLineChars="200"/>
    </w:pPr>
    <w:rPr>
      <w:rFonts w:asciiTheme="minorHAnsi" w:hAnsiTheme="minorHAnsi" w:eastAsiaTheme="minorEastAsia" w:cstheme="minorBidi"/>
      <w:kern w:val="2"/>
      <w:sz w:val="21"/>
      <w:szCs w:val="24"/>
    </w:rPr>
  </w:style>
  <w:style w:type="character" w:customStyle="1" w:styleId="124">
    <w:name w:val="正文文本 2 字符"/>
    <w:link w:val="76"/>
    <w:autoRedefine/>
    <w:qFormat/>
    <w:uiPriority w:val="99"/>
    <w:rPr>
      <w:color w:val="FF0000"/>
      <w:szCs w:val="24"/>
    </w:rPr>
  </w:style>
  <w:style w:type="character" w:customStyle="1" w:styleId="125">
    <w:name w:val="font91"/>
    <w:autoRedefine/>
    <w:qFormat/>
    <w:uiPriority w:val="0"/>
    <w:rPr>
      <w:sz w:val="18"/>
      <w:szCs w:val="18"/>
    </w:rPr>
  </w:style>
  <w:style w:type="character" w:customStyle="1" w:styleId="126">
    <w:name w:val="HTML 地址 字符"/>
    <w:link w:val="41"/>
    <w:autoRedefine/>
    <w:qFormat/>
    <w:uiPriority w:val="99"/>
    <w:rPr>
      <w:i/>
      <w:iCs/>
    </w:rPr>
  </w:style>
  <w:style w:type="character" w:customStyle="1" w:styleId="127">
    <w:name w:val="正文首行缩进 2 Char1"/>
    <w:basedOn w:val="128"/>
    <w:autoRedefine/>
    <w:qFormat/>
    <w:uiPriority w:val="0"/>
    <w:rPr>
      <w:sz w:val="28"/>
      <w:szCs w:val="24"/>
    </w:rPr>
  </w:style>
  <w:style w:type="character" w:customStyle="1" w:styleId="128">
    <w:name w:val="正文文本缩进 字符"/>
    <w:link w:val="35"/>
    <w:autoRedefine/>
    <w:qFormat/>
    <w:uiPriority w:val="0"/>
    <w:rPr>
      <w:sz w:val="28"/>
      <w:szCs w:val="24"/>
    </w:rPr>
  </w:style>
  <w:style w:type="character" w:customStyle="1" w:styleId="129">
    <w:name w:val="WW8Num13z0"/>
    <w:autoRedefine/>
    <w:qFormat/>
    <w:uiPriority w:val="0"/>
    <w:rPr>
      <w:rFonts w:ascii="Wingdings" w:hAnsi="Wingdings"/>
    </w:rPr>
  </w:style>
  <w:style w:type="character" w:customStyle="1" w:styleId="130">
    <w:name w:val="宏文本 字符"/>
    <w:link w:val="2"/>
    <w:autoRedefine/>
    <w:qFormat/>
    <w:uiPriority w:val="99"/>
    <w:rPr>
      <w:rFonts w:ascii="Courier New" w:hAnsi="Courier New" w:cs="Courier New"/>
      <w:sz w:val="24"/>
      <w:szCs w:val="24"/>
    </w:rPr>
  </w:style>
  <w:style w:type="character" w:customStyle="1" w:styleId="131">
    <w:name w:val="normalfont1"/>
    <w:autoRedefine/>
    <w:qFormat/>
    <w:uiPriority w:val="0"/>
    <w:rPr>
      <w:rFonts w:hint="default" w:ascii="ˎ̥" w:hAnsi="ˎ̥"/>
      <w:color w:val="000472"/>
      <w:sz w:val="18"/>
      <w:szCs w:val="18"/>
    </w:rPr>
  </w:style>
  <w:style w:type="character" w:customStyle="1" w:styleId="132">
    <w:name w:val="样式 宋体 小四 红色 下划线"/>
    <w:autoRedefine/>
    <w:qFormat/>
    <w:uiPriority w:val="0"/>
    <w:rPr>
      <w:color w:val="FF0000"/>
      <w:sz w:val="24"/>
      <w:u w:val="single"/>
    </w:rPr>
  </w:style>
  <w:style w:type="character" w:customStyle="1" w:styleId="133">
    <w:name w:val="WW8Num1z0"/>
    <w:autoRedefine/>
    <w:qFormat/>
    <w:uiPriority w:val="0"/>
    <w:rPr>
      <w:rFonts w:ascii="Wingdings" w:hAnsi="Wingdings"/>
    </w:rPr>
  </w:style>
  <w:style w:type="character" w:customStyle="1" w:styleId="134">
    <w:name w:val="HTML 预设格式 Char1"/>
    <w:autoRedefine/>
    <w:qFormat/>
    <w:uiPriority w:val="0"/>
    <w:rPr>
      <w:rFonts w:ascii="Courier New" w:hAnsi="Courier New" w:cs="Courier New"/>
      <w:kern w:val="2"/>
    </w:rPr>
  </w:style>
  <w:style w:type="character" w:customStyle="1" w:styleId="135">
    <w:name w:val="正文文本首行缩进 2 字符"/>
    <w:basedOn w:val="136"/>
    <w:link w:val="87"/>
    <w:autoRedefine/>
    <w:qFormat/>
    <w:uiPriority w:val="0"/>
    <w:rPr>
      <w:kern w:val="2"/>
      <w:sz w:val="30"/>
    </w:rPr>
  </w:style>
  <w:style w:type="character" w:customStyle="1" w:styleId="136">
    <w:name w:val="正文文本缩进 Char"/>
    <w:autoRedefine/>
    <w:qFormat/>
    <w:uiPriority w:val="0"/>
    <w:rPr>
      <w:kern w:val="2"/>
      <w:sz w:val="30"/>
    </w:rPr>
  </w:style>
  <w:style w:type="character" w:customStyle="1" w:styleId="137">
    <w:name w:val="la1"/>
    <w:autoRedefine/>
    <w:qFormat/>
    <w:uiPriority w:val="0"/>
    <w:rPr>
      <w:sz w:val="21"/>
      <w:szCs w:val="21"/>
    </w:rPr>
  </w:style>
  <w:style w:type="character" w:customStyle="1" w:styleId="138">
    <w:name w:val="副标题 Char1"/>
    <w:autoRedefine/>
    <w:qFormat/>
    <w:uiPriority w:val="0"/>
    <w:rPr>
      <w:rFonts w:ascii="Cambria" w:hAnsi="Cambria" w:cs="Times New Roman"/>
      <w:b/>
      <w:bCs/>
      <w:kern w:val="28"/>
      <w:sz w:val="32"/>
      <w:szCs w:val="32"/>
    </w:rPr>
  </w:style>
  <w:style w:type="character" w:customStyle="1" w:styleId="139">
    <w:name w:val="(符号)标书正文 Char"/>
    <w:autoRedefine/>
    <w:qFormat/>
    <w:uiPriority w:val="0"/>
    <w:rPr>
      <w:rFonts w:ascii="黑体" w:hAnsi="宋体" w:eastAsia="黑体"/>
      <w:b/>
      <w:kern w:val="2"/>
      <w:sz w:val="24"/>
      <w:szCs w:val="24"/>
      <w:lang w:val="en-US" w:eastAsia="zh-CN" w:bidi="ar-SA"/>
    </w:rPr>
  </w:style>
  <w:style w:type="character" w:customStyle="1" w:styleId="140">
    <w:name w:val="font21"/>
    <w:autoRedefine/>
    <w:qFormat/>
    <w:uiPriority w:val="0"/>
    <w:rPr>
      <w:rFonts w:hint="eastAsia" w:ascii="宋体" w:hAnsi="宋体" w:eastAsia="宋体" w:cs="宋体"/>
      <w:color w:val="000000"/>
      <w:sz w:val="22"/>
      <w:szCs w:val="22"/>
      <w:u w:val="none"/>
    </w:rPr>
  </w:style>
  <w:style w:type="character" w:customStyle="1" w:styleId="141">
    <w:name w:val="标题 字符"/>
    <w:link w:val="84"/>
    <w:autoRedefine/>
    <w:qFormat/>
    <w:uiPriority w:val="0"/>
    <w:rPr>
      <w:rFonts w:ascii="Cambria" w:hAnsi="Cambria"/>
      <w:b/>
      <w:bCs/>
      <w:sz w:val="32"/>
      <w:szCs w:val="32"/>
    </w:rPr>
  </w:style>
  <w:style w:type="character" w:customStyle="1" w:styleId="142">
    <w:name w:val="cn1"/>
    <w:autoRedefine/>
    <w:qFormat/>
    <w:uiPriority w:val="0"/>
    <w:rPr>
      <w:sz w:val="18"/>
      <w:szCs w:val="18"/>
    </w:rPr>
  </w:style>
  <w:style w:type="character" w:customStyle="1" w:styleId="143">
    <w:name w:val="z9unnamed2"/>
    <w:basedOn w:val="90"/>
    <w:autoRedefine/>
    <w:qFormat/>
    <w:uiPriority w:val="0"/>
  </w:style>
  <w:style w:type="character" w:customStyle="1" w:styleId="144">
    <w:name w:val="电子邮件签名 字符"/>
    <w:link w:val="19"/>
    <w:autoRedefine/>
    <w:qFormat/>
    <w:uiPriority w:val="99"/>
  </w:style>
  <w:style w:type="character" w:customStyle="1" w:styleId="145">
    <w:name w:val="WW8Num6z0"/>
    <w:autoRedefine/>
    <w:qFormat/>
    <w:uiPriority w:val="0"/>
    <w:rPr>
      <w:rFonts w:ascii="Wingdings" w:hAnsi="Wingdings"/>
    </w:rPr>
  </w:style>
  <w:style w:type="character" w:customStyle="1" w:styleId="146">
    <w:name w:val="电子邮件签名 Char1"/>
    <w:autoRedefine/>
    <w:qFormat/>
    <w:uiPriority w:val="0"/>
    <w:rPr>
      <w:kern w:val="2"/>
      <w:sz w:val="21"/>
      <w:szCs w:val="24"/>
    </w:rPr>
  </w:style>
  <w:style w:type="character" w:customStyle="1" w:styleId="147">
    <w:name w:val="正文文本首行缩进 字符"/>
    <w:basedOn w:val="148"/>
    <w:link w:val="86"/>
    <w:autoRedefine/>
    <w:qFormat/>
    <w:uiPriority w:val="0"/>
    <w:rPr>
      <w:kern w:val="2"/>
      <w:sz w:val="21"/>
    </w:rPr>
  </w:style>
  <w:style w:type="character" w:customStyle="1" w:styleId="148">
    <w:name w:val="正文文本 Char"/>
    <w:autoRedefine/>
    <w:qFormat/>
    <w:uiPriority w:val="99"/>
    <w:rPr>
      <w:kern w:val="2"/>
      <w:sz w:val="21"/>
    </w:rPr>
  </w:style>
  <w:style w:type="character" w:customStyle="1" w:styleId="149">
    <w:name w:val="批注文字 Char1"/>
    <w:autoRedefine/>
    <w:qFormat/>
    <w:uiPriority w:val="0"/>
    <w:rPr>
      <w:kern w:val="2"/>
      <w:sz w:val="21"/>
      <w:szCs w:val="24"/>
    </w:rPr>
  </w:style>
  <w:style w:type="character" w:customStyle="1" w:styleId="150">
    <w:name w:val="一般文字 字元 Char"/>
    <w:autoRedefine/>
    <w:qFormat/>
    <w:uiPriority w:val="0"/>
    <w:rPr>
      <w:rFonts w:ascii="宋体" w:hAnsi="Courier New" w:eastAsia="宋体" w:cs="Courier New"/>
      <w:kern w:val="2"/>
      <w:sz w:val="21"/>
      <w:szCs w:val="21"/>
      <w:lang w:val="en-US" w:eastAsia="zh-CN" w:bidi="ar-SA"/>
    </w:rPr>
  </w:style>
  <w:style w:type="character" w:customStyle="1" w:styleId="151">
    <w:name w:val="zw"/>
    <w:basedOn w:val="90"/>
    <w:autoRedefine/>
    <w:qFormat/>
    <w:uiPriority w:val="0"/>
  </w:style>
  <w:style w:type="character" w:customStyle="1" w:styleId="152">
    <w:name w:val="Unresolved Mention"/>
    <w:autoRedefine/>
    <w:unhideWhenUsed/>
    <w:qFormat/>
    <w:uiPriority w:val="99"/>
    <w:rPr>
      <w:color w:val="605E5C"/>
      <w:shd w:val="clear" w:color="auto" w:fill="E1DFDD"/>
    </w:rPr>
  </w:style>
  <w:style w:type="character" w:customStyle="1" w:styleId="153">
    <w:name w:val="c lh15"/>
    <w:basedOn w:val="90"/>
    <w:autoRedefine/>
    <w:qFormat/>
    <w:uiPriority w:val="0"/>
  </w:style>
  <w:style w:type="character" w:customStyle="1" w:styleId="154">
    <w:name w:val="正文文本 字符"/>
    <w:link w:val="34"/>
    <w:autoRedefine/>
    <w:qFormat/>
    <w:uiPriority w:val="99"/>
    <w:rPr>
      <w:szCs w:val="24"/>
    </w:rPr>
  </w:style>
  <w:style w:type="character" w:customStyle="1" w:styleId="155">
    <w:name w:val="纯文本 字符"/>
    <w:link w:val="45"/>
    <w:autoRedefine/>
    <w:qFormat/>
    <w:uiPriority w:val="0"/>
    <w:rPr>
      <w:rFonts w:ascii="宋体" w:hAnsi="Courier New" w:eastAsia="宋体"/>
    </w:rPr>
  </w:style>
  <w:style w:type="character" w:customStyle="1" w:styleId="156">
    <w:name w:val="ft-hanggao1"/>
    <w:autoRedefine/>
    <w:qFormat/>
    <w:uiPriority w:val="0"/>
    <w:rPr>
      <w:color w:val="000000"/>
      <w:sz w:val="21"/>
      <w:szCs w:val="21"/>
    </w:rPr>
  </w:style>
  <w:style w:type="character" w:customStyle="1" w:styleId="157">
    <w:name w:val="正文文本 3 Char1"/>
    <w:autoRedefine/>
    <w:qFormat/>
    <w:uiPriority w:val="0"/>
    <w:rPr>
      <w:kern w:val="2"/>
      <w:sz w:val="16"/>
      <w:szCs w:val="16"/>
    </w:rPr>
  </w:style>
  <w:style w:type="character" w:customStyle="1" w:styleId="158">
    <w:name w:val="a91"/>
    <w:autoRedefine/>
    <w:qFormat/>
    <w:uiPriority w:val="0"/>
    <w:rPr>
      <w:sz w:val="18"/>
      <w:szCs w:val="18"/>
    </w:rPr>
  </w:style>
  <w:style w:type="character" w:customStyle="1" w:styleId="159">
    <w:name w:val="unnamed11"/>
    <w:basedOn w:val="90"/>
    <w:autoRedefine/>
    <w:qFormat/>
    <w:uiPriority w:val="0"/>
  </w:style>
  <w:style w:type="character" w:customStyle="1" w:styleId="160">
    <w:name w:val="f12_05321"/>
    <w:autoRedefine/>
    <w:qFormat/>
    <w:uiPriority w:val="0"/>
    <w:rPr>
      <w:color w:val="053299"/>
      <w:sz w:val="20"/>
      <w:szCs w:val="20"/>
    </w:rPr>
  </w:style>
  <w:style w:type="character" w:customStyle="1" w:styleId="161">
    <w:name w:val="f111"/>
    <w:autoRedefine/>
    <w:qFormat/>
    <w:uiPriority w:val="0"/>
    <w:rPr>
      <w:sz w:val="22"/>
      <w:szCs w:val="22"/>
    </w:rPr>
  </w:style>
  <w:style w:type="character" w:customStyle="1" w:styleId="162">
    <w:name w:val="普通文字 Char Char2"/>
    <w:autoRedefine/>
    <w:qFormat/>
    <w:uiPriority w:val="0"/>
    <w:rPr>
      <w:rFonts w:ascii="宋体" w:hAnsi="Courier New" w:eastAsia="宋体"/>
      <w:kern w:val="2"/>
      <w:sz w:val="21"/>
      <w:lang w:val="en-US" w:eastAsia="zh-CN" w:bidi="ar-SA"/>
    </w:rPr>
  </w:style>
  <w:style w:type="character" w:customStyle="1" w:styleId="163">
    <w:name w:val="信息标题 Char1"/>
    <w:autoRedefine/>
    <w:qFormat/>
    <w:uiPriority w:val="0"/>
    <w:rPr>
      <w:rFonts w:ascii="Cambria" w:hAnsi="Cambria" w:eastAsia="宋体" w:cs="Times New Roman"/>
      <w:kern w:val="2"/>
      <w:sz w:val="24"/>
      <w:szCs w:val="24"/>
      <w:shd w:val="pct20" w:color="auto" w:fill="auto"/>
    </w:rPr>
  </w:style>
  <w:style w:type="character" w:customStyle="1" w:styleId="164">
    <w:name w:val="正文缩进 字符"/>
    <w:link w:val="21"/>
    <w:autoRedefine/>
    <w:qFormat/>
    <w:uiPriority w:val="0"/>
    <w:rPr>
      <w:rFonts w:eastAsia="宋体"/>
    </w:rPr>
  </w:style>
  <w:style w:type="character" w:customStyle="1" w:styleId="165">
    <w:name w:val="WW8Num2z0"/>
    <w:autoRedefine/>
    <w:qFormat/>
    <w:uiPriority w:val="0"/>
    <w:rPr>
      <w:rFonts w:ascii="Wingdings" w:hAnsi="Wingdings"/>
    </w:rPr>
  </w:style>
  <w:style w:type="character" w:customStyle="1" w:styleId="166">
    <w:name w:val="日期 Char1"/>
    <w:autoRedefine/>
    <w:semiHidden/>
    <w:qFormat/>
    <w:uiPriority w:val="99"/>
    <w:rPr>
      <w:rFonts w:ascii="Times New Roman" w:hAnsi="Times New Roman" w:eastAsia="宋体" w:cs="Times New Roman"/>
      <w:szCs w:val="24"/>
    </w:rPr>
  </w:style>
  <w:style w:type="character" w:customStyle="1" w:styleId="167">
    <w:name w:val="称呼 字符"/>
    <w:link w:val="30"/>
    <w:autoRedefine/>
    <w:qFormat/>
    <w:uiPriority w:val="0"/>
  </w:style>
  <w:style w:type="character" w:customStyle="1" w:styleId="168">
    <w:name w:val="HTML 地址 Char1"/>
    <w:autoRedefine/>
    <w:qFormat/>
    <w:uiPriority w:val="0"/>
    <w:rPr>
      <w:i/>
      <w:iCs/>
      <w:kern w:val="2"/>
      <w:sz w:val="21"/>
      <w:szCs w:val="24"/>
    </w:rPr>
  </w:style>
  <w:style w:type="character" w:customStyle="1" w:styleId="169">
    <w:name w:val="z-窗体底端 字符"/>
    <w:link w:val="170"/>
    <w:autoRedefine/>
    <w:qFormat/>
    <w:uiPriority w:val="0"/>
    <w:rPr>
      <w:rFonts w:ascii="Arial" w:hAnsi="Arial"/>
      <w:vanish/>
      <w:sz w:val="16"/>
    </w:rPr>
  </w:style>
  <w:style w:type="paragraph" w:customStyle="1" w:styleId="170">
    <w:name w:val="HTML Bottom of Form"/>
    <w:basedOn w:val="1"/>
    <w:next w:val="1"/>
    <w:link w:val="169"/>
    <w:autoRedefine/>
    <w:qFormat/>
    <w:uiPriority w:val="0"/>
    <w:pPr>
      <w:widowControl/>
      <w:pBdr>
        <w:top w:val="single" w:color="auto" w:sz="6" w:space="1"/>
      </w:pBdr>
      <w:jc w:val="center"/>
    </w:pPr>
    <w:rPr>
      <w:rFonts w:ascii="Arial" w:hAnsi="Arial" w:eastAsiaTheme="minorEastAsia" w:cstheme="minorBidi"/>
      <w:vanish/>
      <w:kern w:val="2"/>
      <w:sz w:val="16"/>
      <w:szCs w:val="22"/>
    </w:rPr>
  </w:style>
  <w:style w:type="character" w:customStyle="1" w:styleId="171">
    <w:name w:val="枣阳样式四 Char"/>
    <w:link w:val="172"/>
    <w:autoRedefine/>
    <w:qFormat/>
    <w:uiPriority w:val="0"/>
    <w:rPr>
      <w:sz w:val="28"/>
      <w:szCs w:val="24"/>
    </w:rPr>
  </w:style>
  <w:style w:type="paragraph" w:customStyle="1" w:styleId="172">
    <w:name w:val="枣阳样式四"/>
    <w:basedOn w:val="1"/>
    <w:link w:val="171"/>
    <w:autoRedefine/>
    <w:qFormat/>
    <w:uiPriority w:val="0"/>
    <w:pPr>
      <w:spacing w:line="324" w:lineRule="auto"/>
      <w:ind w:firstLine="527" w:firstLineChars="200"/>
    </w:pPr>
    <w:rPr>
      <w:rFonts w:asciiTheme="minorHAnsi" w:hAnsiTheme="minorHAnsi" w:eastAsiaTheme="minorEastAsia" w:cstheme="minorBidi"/>
      <w:kern w:val="2"/>
      <w:sz w:val="28"/>
      <w:szCs w:val="24"/>
    </w:rPr>
  </w:style>
  <w:style w:type="character" w:customStyle="1" w:styleId="173">
    <w:name w:val="unnamed31"/>
    <w:autoRedefine/>
    <w:qFormat/>
    <w:uiPriority w:val="0"/>
    <w:rPr>
      <w:sz w:val="22"/>
      <w:szCs w:val="22"/>
    </w:rPr>
  </w:style>
  <w:style w:type="character" w:customStyle="1" w:styleId="174">
    <w:name w:val="签名 Char1"/>
    <w:autoRedefine/>
    <w:qFormat/>
    <w:uiPriority w:val="0"/>
    <w:rPr>
      <w:kern w:val="2"/>
      <w:sz w:val="21"/>
      <w:szCs w:val="24"/>
    </w:rPr>
  </w:style>
  <w:style w:type="character" w:customStyle="1" w:styleId="175">
    <w:name w:val="unnamed1"/>
    <w:basedOn w:val="90"/>
    <w:autoRedefine/>
    <w:qFormat/>
    <w:uiPriority w:val="0"/>
  </w:style>
  <w:style w:type="character" w:customStyle="1" w:styleId="176">
    <w:name w:val="a71"/>
    <w:autoRedefine/>
    <w:qFormat/>
    <w:uiPriority w:val="0"/>
    <w:rPr>
      <w:rFonts w:ascii="??" w:hAnsi="??" w:cs="??"/>
      <w:sz w:val="20"/>
      <w:szCs w:val="20"/>
    </w:rPr>
  </w:style>
  <w:style w:type="character" w:customStyle="1" w:styleId="177">
    <w:name w:val="宏文本 Char1"/>
    <w:autoRedefine/>
    <w:qFormat/>
    <w:uiPriority w:val="0"/>
    <w:rPr>
      <w:rFonts w:ascii="Courier New" w:hAnsi="Courier New" w:cs="Courier New"/>
      <w:kern w:val="2"/>
      <w:sz w:val="24"/>
      <w:szCs w:val="24"/>
    </w:rPr>
  </w:style>
  <w:style w:type="character" w:customStyle="1" w:styleId="178">
    <w:name w:val="apple-converted-space"/>
    <w:basedOn w:val="90"/>
    <w:autoRedefine/>
    <w:qFormat/>
    <w:uiPriority w:val="0"/>
  </w:style>
  <w:style w:type="character" w:customStyle="1" w:styleId="179">
    <w:name w:val="（符号）三标题1.1 Char Char"/>
    <w:link w:val="180"/>
    <w:autoRedefine/>
    <w:qFormat/>
    <w:uiPriority w:val="0"/>
    <w:rPr>
      <w:rFonts w:ascii="宋体" w:hAnsi="宋体" w:eastAsia="宋体"/>
      <w:sz w:val="24"/>
      <w:szCs w:val="24"/>
    </w:rPr>
  </w:style>
  <w:style w:type="paragraph" w:customStyle="1" w:styleId="180">
    <w:name w:val="（符号）三标题1.1 Char"/>
    <w:basedOn w:val="1"/>
    <w:link w:val="179"/>
    <w:autoRedefine/>
    <w:qFormat/>
    <w:uiPriority w:val="0"/>
    <w:pPr>
      <w:tabs>
        <w:tab w:val="left" w:pos="700"/>
      </w:tabs>
      <w:spacing w:line="500" w:lineRule="exact"/>
      <w:ind w:left="700" w:hanging="700"/>
    </w:pPr>
    <w:rPr>
      <w:rFonts w:ascii="宋体" w:hAnsi="宋体" w:cstheme="minorBidi"/>
      <w:kern w:val="2"/>
      <w:sz w:val="24"/>
      <w:szCs w:val="24"/>
    </w:rPr>
  </w:style>
  <w:style w:type="character" w:customStyle="1" w:styleId="181">
    <w:name w:val="批注框文本 字符"/>
    <w:link w:val="54"/>
    <w:autoRedefine/>
    <w:qFormat/>
    <w:locked/>
    <w:uiPriority w:val="0"/>
    <w:rPr>
      <w:sz w:val="18"/>
      <w:szCs w:val="18"/>
    </w:rPr>
  </w:style>
  <w:style w:type="character" w:customStyle="1" w:styleId="182">
    <w:name w:val="正文文本缩进 2 字符"/>
    <w:link w:val="51"/>
    <w:autoRedefine/>
    <w:qFormat/>
    <w:uiPriority w:val="0"/>
    <w:rPr>
      <w:rFonts w:eastAsia="仿宋_GB2312"/>
      <w:sz w:val="24"/>
      <w:szCs w:val="24"/>
    </w:rPr>
  </w:style>
  <w:style w:type="character" w:customStyle="1" w:styleId="183">
    <w:name w:val="WW8Num8z1"/>
    <w:autoRedefine/>
    <w:qFormat/>
    <w:uiPriority w:val="0"/>
    <w:rPr>
      <w:rFonts w:ascii="Wingdings" w:hAnsi="Wingdings"/>
    </w:rPr>
  </w:style>
  <w:style w:type="character" w:customStyle="1" w:styleId="184">
    <w:name w:val="WW8Num3z0"/>
    <w:autoRedefine/>
    <w:qFormat/>
    <w:uiPriority w:val="0"/>
    <w:rPr>
      <w:rFonts w:ascii="Wingdings" w:hAnsi="Wingdings"/>
    </w:rPr>
  </w:style>
  <w:style w:type="character" w:customStyle="1" w:styleId="185">
    <w:name w:val="HTML 预设格式 字符"/>
    <w:link w:val="80"/>
    <w:autoRedefine/>
    <w:qFormat/>
    <w:uiPriority w:val="99"/>
    <w:rPr>
      <w:rFonts w:ascii="Courier New" w:hAnsi="Courier New" w:cs="Courier New"/>
    </w:rPr>
  </w:style>
  <w:style w:type="character" w:customStyle="1" w:styleId="186">
    <w:name w:val="正文首行缩进 Char1"/>
    <w:basedOn w:val="154"/>
    <w:autoRedefine/>
    <w:qFormat/>
    <w:uiPriority w:val="99"/>
    <w:rPr>
      <w:szCs w:val="24"/>
    </w:rPr>
  </w:style>
  <w:style w:type="character" w:customStyle="1" w:styleId="187">
    <w:name w:val="正文缩进 Char1"/>
    <w:autoRedefine/>
    <w:qFormat/>
    <w:uiPriority w:val="0"/>
    <w:rPr>
      <w:color w:val="000000"/>
      <w:sz w:val="28"/>
    </w:rPr>
  </w:style>
  <w:style w:type="character" w:customStyle="1" w:styleId="188">
    <w:name w:val="B 条款一 Char"/>
    <w:link w:val="189"/>
    <w:autoRedefine/>
    <w:qFormat/>
    <w:uiPriority w:val="0"/>
    <w:rPr>
      <w:rFonts w:ascii="Arial" w:hAnsi="Arial" w:cs="Arial"/>
      <w:b/>
      <w:sz w:val="30"/>
      <w:szCs w:val="30"/>
    </w:rPr>
  </w:style>
  <w:style w:type="paragraph" w:customStyle="1" w:styleId="189">
    <w:name w:val="B 条款一"/>
    <w:basedOn w:val="4"/>
    <w:next w:val="1"/>
    <w:link w:val="188"/>
    <w:autoRedefine/>
    <w:qFormat/>
    <w:uiPriority w:val="0"/>
    <w:pPr>
      <w:tabs>
        <w:tab w:val="left" w:pos="720"/>
      </w:tabs>
      <w:adjustRightInd w:val="0"/>
      <w:spacing w:before="156" w:beforeLines="50" w:after="156" w:afterLines="50" w:line="240" w:lineRule="atLeast"/>
      <w:jc w:val="center"/>
    </w:pPr>
    <w:rPr>
      <w:rFonts w:cs="Arial" w:eastAsiaTheme="minorEastAsia"/>
      <w:bCs w:val="0"/>
      <w:sz w:val="30"/>
      <w:szCs w:val="30"/>
    </w:rPr>
  </w:style>
  <w:style w:type="character" w:customStyle="1" w:styleId="190">
    <w:name w:val="WW8Num15z0"/>
    <w:autoRedefine/>
    <w:qFormat/>
    <w:uiPriority w:val="0"/>
    <w:rPr>
      <w:rFonts w:ascii="Wingdings" w:hAnsi="Wingdings"/>
    </w:rPr>
  </w:style>
  <w:style w:type="character" w:customStyle="1" w:styleId="191">
    <w:name w:val="style4"/>
    <w:basedOn w:val="90"/>
    <w:autoRedefine/>
    <w:qFormat/>
    <w:uiPriority w:val="0"/>
  </w:style>
  <w:style w:type="character" w:customStyle="1" w:styleId="192">
    <w:name w:val="日期 字符"/>
    <w:link w:val="50"/>
    <w:autoRedefine/>
    <w:qFormat/>
    <w:uiPriority w:val="99"/>
  </w:style>
  <w:style w:type="character" w:customStyle="1" w:styleId="193">
    <w:name w:val="WW8Num16z0"/>
    <w:autoRedefine/>
    <w:qFormat/>
    <w:uiPriority w:val="0"/>
    <w:rPr>
      <w:rFonts w:ascii="Wingdings" w:hAnsi="Wingdings"/>
    </w:rPr>
  </w:style>
  <w:style w:type="character" w:customStyle="1" w:styleId="194">
    <w:name w:val="签名 字符"/>
    <w:link w:val="58"/>
    <w:autoRedefine/>
    <w:qFormat/>
    <w:uiPriority w:val="99"/>
  </w:style>
  <w:style w:type="character" w:customStyle="1" w:styleId="195">
    <w:name w:val="正文文本 (26)_"/>
    <w:link w:val="196"/>
    <w:autoRedefine/>
    <w:qFormat/>
    <w:locked/>
    <w:uiPriority w:val="0"/>
    <w:rPr>
      <w:rFonts w:ascii="黑体" w:eastAsia="黑体"/>
      <w:sz w:val="29"/>
      <w:szCs w:val="29"/>
      <w:shd w:val="clear" w:color="auto" w:fill="FFFFFF"/>
    </w:rPr>
  </w:style>
  <w:style w:type="paragraph" w:customStyle="1" w:styleId="196">
    <w:name w:val="正文文本 (26)"/>
    <w:basedOn w:val="1"/>
    <w:link w:val="195"/>
    <w:autoRedefine/>
    <w:qFormat/>
    <w:uiPriority w:val="0"/>
    <w:pPr>
      <w:widowControl/>
      <w:shd w:val="clear" w:color="auto" w:fill="FFFFFF"/>
      <w:spacing w:after="60" w:line="504" w:lineRule="exact"/>
      <w:jc w:val="distribute"/>
    </w:pPr>
    <w:rPr>
      <w:rFonts w:ascii="黑体" w:eastAsia="黑体" w:hAnsiTheme="minorHAnsi" w:cstheme="minorBidi"/>
      <w:kern w:val="2"/>
      <w:sz w:val="29"/>
      <w:szCs w:val="29"/>
    </w:rPr>
  </w:style>
  <w:style w:type="character" w:customStyle="1" w:styleId="197">
    <w:name w:val="WW-Absatz-Standardschriftart"/>
    <w:autoRedefine/>
    <w:qFormat/>
    <w:uiPriority w:val="0"/>
  </w:style>
  <w:style w:type="character" w:customStyle="1" w:styleId="198">
    <w:name w:val="z-窗体顶端 字符"/>
    <w:link w:val="199"/>
    <w:autoRedefine/>
    <w:qFormat/>
    <w:uiPriority w:val="0"/>
    <w:rPr>
      <w:rFonts w:ascii="Arial" w:hAnsi="Arial"/>
      <w:vanish/>
      <w:sz w:val="16"/>
    </w:rPr>
  </w:style>
  <w:style w:type="paragraph" w:customStyle="1" w:styleId="199">
    <w:name w:val="HTML Top of Form"/>
    <w:basedOn w:val="1"/>
    <w:next w:val="1"/>
    <w:link w:val="198"/>
    <w:autoRedefine/>
    <w:qFormat/>
    <w:uiPriority w:val="0"/>
    <w:pPr>
      <w:widowControl/>
      <w:pBdr>
        <w:bottom w:val="single" w:color="auto" w:sz="6" w:space="1"/>
      </w:pBdr>
      <w:jc w:val="center"/>
    </w:pPr>
    <w:rPr>
      <w:rFonts w:ascii="Arial" w:hAnsi="Arial" w:eastAsiaTheme="minorEastAsia" w:cstheme="minorBidi"/>
      <w:vanish/>
      <w:kern w:val="2"/>
      <w:sz w:val="16"/>
      <w:szCs w:val="22"/>
    </w:rPr>
  </w:style>
  <w:style w:type="character" w:customStyle="1" w:styleId="200">
    <w:name w:val="超链接1"/>
    <w:autoRedefine/>
    <w:qFormat/>
    <w:uiPriority w:val="0"/>
    <w:rPr>
      <w:rFonts w:ascii="Arial" w:hAnsi="Arial" w:eastAsia="黑体"/>
      <w:color w:val="0000FF"/>
      <w:kern w:val="2"/>
      <w:sz w:val="21"/>
      <w:szCs w:val="21"/>
      <w:u w:val="single"/>
      <w:lang w:val="en-US" w:eastAsia="zh-CN" w:bidi="ar-SA"/>
    </w:rPr>
  </w:style>
  <w:style w:type="character" w:customStyle="1" w:styleId="201">
    <w:name w:val="脚注文本 Char1"/>
    <w:autoRedefine/>
    <w:qFormat/>
    <w:uiPriority w:val="0"/>
    <w:rPr>
      <w:kern w:val="2"/>
      <w:sz w:val="18"/>
      <w:szCs w:val="18"/>
    </w:rPr>
  </w:style>
  <w:style w:type="character" w:customStyle="1" w:styleId="202">
    <w:name w:val="Absatz-Standardschriftart"/>
    <w:autoRedefine/>
    <w:qFormat/>
    <w:uiPriority w:val="0"/>
  </w:style>
  <w:style w:type="character" w:customStyle="1" w:styleId="203">
    <w:name w:val="标题 Char1"/>
    <w:autoRedefine/>
    <w:qFormat/>
    <w:uiPriority w:val="0"/>
    <w:rPr>
      <w:rFonts w:ascii="Cambria" w:hAnsi="Cambria" w:cs="Times New Roman"/>
      <w:b/>
      <w:bCs/>
      <w:kern w:val="2"/>
      <w:sz w:val="32"/>
      <w:szCs w:val="32"/>
    </w:rPr>
  </w:style>
  <w:style w:type="character" w:customStyle="1" w:styleId="204">
    <w:name w:val="引用 字符"/>
    <w:link w:val="205"/>
    <w:autoRedefine/>
    <w:qFormat/>
    <w:uiPriority w:val="29"/>
    <w:rPr>
      <w:i/>
      <w:iCs/>
      <w:color w:val="000000"/>
    </w:rPr>
  </w:style>
  <w:style w:type="paragraph" w:styleId="205">
    <w:name w:val="Quote"/>
    <w:basedOn w:val="1"/>
    <w:next w:val="1"/>
    <w:link w:val="204"/>
    <w:autoRedefine/>
    <w:qFormat/>
    <w:uiPriority w:val="29"/>
    <w:rPr>
      <w:rFonts w:asciiTheme="minorHAnsi" w:hAnsiTheme="minorHAnsi" w:eastAsiaTheme="minorEastAsia" w:cstheme="minorBidi"/>
      <w:i/>
      <w:iCs/>
      <w:color w:val="000000"/>
      <w:kern w:val="2"/>
      <w:sz w:val="21"/>
      <w:szCs w:val="22"/>
    </w:rPr>
  </w:style>
  <w:style w:type="character" w:customStyle="1" w:styleId="206">
    <w:name w:val="明显引用 字符"/>
    <w:link w:val="207"/>
    <w:autoRedefine/>
    <w:qFormat/>
    <w:uiPriority w:val="30"/>
    <w:rPr>
      <w:b/>
      <w:bCs/>
      <w:i/>
      <w:iCs/>
      <w:color w:val="4F81BD"/>
    </w:rPr>
  </w:style>
  <w:style w:type="paragraph" w:styleId="207">
    <w:name w:val="Intense Quote"/>
    <w:basedOn w:val="1"/>
    <w:next w:val="1"/>
    <w:link w:val="206"/>
    <w:autoRedefine/>
    <w:qFormat/>
    <w:uiPriority w:val="30"/>
    <w:pPr>
      <w:pBdr>
        <w:bottom w:val="single" w:color="4F81BD" w:sz="4" w:space="4"/>
      </w:pBdr>
      <w:spacing w:before="200" w:after="280"/>
      <w:ind w:left="936" w:right="936"/>
    </w:pPr>
    <w:rPr>
      <w:rFonts w:asciiTheme="minorHAnsi" w:hAnsiTheme="minorHAnsi" w:eastAsiaTheme="minorEastAsia" w:cstheme="minorBidi"/>
      <w:b/>
      <w:bCs/>
      <w:i/>
      <w:iCs/>
      <w:color w:val="4F81BD"/>
      <w:kern w:val="2"/>
      <w:sz w:val="21"/>
      <w:szCs w:val="22"/>
    </w:rPr>
  </w:style>
  <w:style w:type="character" w:customStyle="1" w:styleId="208">
    <w:name w:val="16"/>
    <w:autoRedefine/>
    <w:qFormat/>
    <w:uiPriority w:val="0"/>
    <w:rPr>
      <w:rFonts w:hint="default" w:ascii="Times New Roman" w:hAnsi="Times New Roman" w:cs="Times New Roman"/>
      <w:color w:val="0000FF"/>
      <w:u w:val="single"/>
    </w:rPr>
  </w:style>
  <w:style w:type="character" w:customStyle="1" w:styleId="209">
    <w:name w:val="标题 2 Char1"/>
    <w:autoRedefine/>
    <w:qFormat/>
    <w:locked/>
    <w:uiPriority w:val="99"/>
    <w:rPr>
      <w:rFonts w:ascii="Arial" w:hAnsi="Arial" w:eastAsia="黑体" w:cs="Arial"/>
      <w:b/>
      <w:bCs/>
      <w:sz w:val="32"/>
      <w:szCs w:val="32"/>
    </w:rPr>
  </w:style>
  <w:style w:type="character" w:customStyle="1" w:styleId="210">
    <w:name w:val="lineitems1"/>
    <w:autoRedefine/>
    <w:qFormat/>
    <w:uiPriority w:val="0"/>
    <w:rPr>
      <w:sz w:val="17"/>
      <w:szCs w:val="17"/>
    </w:rPr>
  </w:style>
  <w:style w:type="character" w:customStyle="1" w:styleId="211">
    <w:name w:val="项目符号"/>
    <w:autoRedefine/>
    <w:qFormat/>
    <w:uiPriority w:val="0"/>
    <w:rPr>
      <w:rFonts w:ascii="StarSymbol" w:hAnsi="StarSymbol" w:eastAsia="StarSymbol" w:cs="StarSymbol"/>
      <w:sz w:val="18"/>
      <w:szCs w:val="18"/>
    </w:rPr>
  </w:style>
  <w:style w:type="character" w:customStyle="1" w:styleId="212">
    <w:name w:val="WW8Num5z0"/>
    <w:autoRedefine/>
    <w:qFormat/>
    <w:uiPriority w:val="0"/>
    <w:rPr>
      <w:rFonts w:ascii="Wingdings" w:hAnsi="Wingdings"/>
    </w:rPr>
  </w:style>
  <w:style w:type="character" w:customStyle="1" w:styleId="213">
    <w:name w:val="副标题 字符"/>
    <w:link w:val="64"/>
    <w:autoRedefine/>
    <w:qFormat/>
    <w:uiPriority w:val="0"/>
    <w:rPr>
      <w:rFonts w:ascii="Cambria" w:hAnsi="Cambria"/>
      <w:b/>
      <w:bCs/>
      <w:kern w:val="28"/>
      <w:sz w:val="32"/>
      <w:szCs w:val="32"/>
    </w:rPr>
  </w:style>
  <w:style w:type="character" w:customStyle="1" w:styleId="214">
    <w:name w:val="f101"/>
    <w:autoRedefine/>
    <w:qFormat/>
    <w:uiPriority w:val="0"/>
    <w:rPr>
      <w:sz w:val="21"/>
      <w:szCs w:val="21"/>
    </w:rPr>
  </w:style>
  <w:style w:type="character" w:customStyle="1" w:styleId="215">
    <w:name w:val="WW-Absatz-Standardschriftart1"/>
    <w:autoRedefine/>
    <w:qFormat/>
    <w:uiPriority w:val="0"/>
  </w:style>
  <w:style w:type="character" w:customStyle="1" w:styleId="216">
    <w:name w:val="font01"/>
    <w:autoRedefine/>
    <w:qFormat/>
    <w:uiPriority w:val="0"/>
    <w:rPr>
      <w:rFonts w:hint="default" w:ascii="Times New Roman" w:hAnsi="Times New Roman" w:cs="Times New Roman"/>
      <w:color w:val="000000"/>
      <w:sz w:val="22"/>
      <w:szCs w:val="22"/>
      <w:u w:val="none"/>
    </w:rPr>
  </w:style>
  <w:style w:type="character" w:customStyle="1" w:styleId="217">
    <w:name w:val="type1"/>
    <w:autoRedefine/>
    <w:qFormat/>
    <w:uiPriority w:val="0"/>
    <w:rPr>
      <w:rFonts w:hint="default" w:ascii="Arial" w:hAnsi="Arial" w:cs="Arial"/>
      <w:color w:val="666666"/>
      <w:sz w:val="18"/>
      <w:szCs w:val="18"/>
    </w:rPr>
  </w:style>
  <w:style w:type="character" w:customStyle="1" w:styleId="218">
    <w:name w:val="high1"/>
    <w:basedOn w:val="90"/>
    <w:autoRedefine/>
    <w:qFormat/>
    <w:uiPriority w:val="0"/>
  </w:style>
  <w:style w:type="character" w:customStyle="1" w:styleId="219">
    <w:name w:val="WW8Num10z0"/>
    <w:autoRedefine/>
    <w:qFormat/>
    <w:uiPriority w:val="0"/>
    <w:rPr>
      <w:rFonts w:ascii="Wingdings" w:hAnsi="Wingdings"/>
    </w:rPr>
  </w:style>
  <w:style w:type="character" w:customStyle="1" w:styleId="220">
    <w:name w:val="linkun1"/>
    <w:autoRedefine/>
    <w:qFormat/>
    <w:uiPriority w:val="0"/>
    <w:rPr>
      <w:sz w:val="18"/>
      <w:szCs w:val="18"/>
    </w:rPr>
  </w:style>
  <w:style w:type="character" w:customStyle="1" w:styleId="221">
    <w:name w:val="HTML Markup"/>
    <w:autoRedefine/>
    <w:qFormat/>
    <w:uiPriority w:val="0"/>
    <w:rPr>
      <w:vanish/>
      <w:color w:val="FF0000"/>
    </w:rPr>
  </w:style>
  <w:style w:type="character" w:customStyle="1" w:styleId="222">
    <w:name w:val="WW8Num14z0"/>
    <w:autoRedefine/>
    <w:qFormat/>
    <w:uiPriority w:val="0"/>
    <w:rPr>
      <w:rFonts w:ascii="Wingdings" w:hAnsi="Wingdings"/>
    </w:rPr>
  </w:style>
  <w:style w:type="character" w:customStyle="1" w:styleId="223">
    <w:name w:val="unnamed21"/>
    <w:basedOn w:val="90"/>
    <w:autoRedefine/>
    <w:qFormat/>
    <w:uiPriority w:val="0"/>
  </w:style>
  <w:style w:type="character" w:customStyle="1" w:styleId="224">
    <w:name w:val="正文文本缩进 3 字符"/>
    <w:link w:val="70"/>
    <w:autoRedefine/>
    <w:qFormat/>
    <w:uiPriority w:val="0"/>
    <w:rPr>
      <w:color w:val="FF0000"/>
      <w:sz w:val="30"/>
    </w:rPr>
  </w:style>
  <w:style w:type="character" w:customStyle="1" w:styleId="225">
    <w:name w:val="（符号）邀请函中一、"/>
    <w:autoRedefine/>
    <w:qFormat/>
    <w:uiPriority w:val="0"/>
    <w:rPr>
      <w:rFonts w:ascii="黑体" w:hAnsi="黑体" w:eastAsia="黑体"/>
      <w:b/>
      <w:bCs/>
      <w:sz w:val="24"/>
    </w:rPr>
  </w:style>
  <w:style w:type="character" w:customStyle="1" w:styleId="226">
    <w:name w:val="defaultbold1"/>
    <w:autoRedefine/>
    <w:qFormat/>
    <w:uiPriority w:val="0"/>
    <w:rPr>
      <w:rFonts w:hint="default" w:ascii="ˎ̥" w:hAnsi="ˎ̥"/>
      <w:b/>
      <w:bCs/>
      <w:color w:val="000000"/>
      <w:sz w:val="15"/>
      <w:szCs w:val="15"/>
      <w:u w:val="none"/>
    </w:rPr>
  </w:style>
  <w:style w:type="character" w:customStyle="1" w:styleId="227">
    <w:name w:val="引用 Char1"/>
    <w:autoRedefine/>
    <w:qFormat/>
    <w:uiPriority w:val="29"/>
    <w:rPr>
      <w:i/>
      <w:iCs/>
      <w:color w:val="000000"/>
      <w:kern w:val="2"/>
      <w:sz w:val="21"/>
      <w:szCs w:val="24"/>
    </w:rPr>
  </w:style>
  <w:style w:type="character" w:customStyle="1" w:styleId="228">
    <w:name w:val="WW8Num4z0"/>
    <w:autoRedefine/>
    <w:qFormat/>
    <w:uiPriority w:val="0"/>
    <w:rPr>
      <w:rFonts w:ascii="Wingdings" w:hAnsi="Wingdings"/>
    </w:rPr>
  </w:style>
  <w:style w:type="character" w:customStyle="1" w:styleId="229">
    <w:name w:val="批注文字 字符"/>
    <w:link w:val="28"/>
    <w:autoRedefine/>
    <w:qFormat/>
    <w:locked/>
    <w:uiPriority w:val="0"/>
    <w:rPr>
      <w:szCs w:val="24"/>
    </w:rPr>
  </w:style>
  <w:style w:type="character" w:customStyle="1" w:styleId="230">
    <w:name w:val="默认段落字体1"/>
    <w:autoRedefine/>
    <w:qFormat/>
    <w:uiPriority w:val="0"/>
  </w:style>
  <w:style w:type="character" w:customStyle="1" w:styleId="231">
    <w:name w:val="文档结构图 字符"/>
    <w:link w:val="26"/>
    <w:autoRedefine/>
    <w:qFormat/>
    <w:uiPriority w:val="99"/>
    <w:rPr>
      <w:szCs w:val="24"/>
      <w:shd w:val="clear" w:color="auto" w:fill="000080"/>
    </w:rPr>
  </w:style>
  <w:style w:type="character" w:customStyle="1" w:styleId="232">
    <w:name w:val="信息标题 字符"/>
    <w:link w:val="79"/>
    <w:autoRedefine/>
    <w:qFormat/>
    <w:uiPriority w:val="99"/>
    <w:rPr>
      <w:rFonts w:ascii="Cambria" w:hAnsi="Cambria"/>
      <w:sz w:val="24"/>
      <w:szCs w:val="24"/>
      <w:shd w:val="pct20" w:color="auto" w:fill="auto"/>
    </w:rPr>
  </w:style>
  <w:style w:type="character" w:customStyle="1" w:styleId="233">
    <w:name w:val="at_1"/>
    <w:basedOn w:val="90"/>
    <w:autoRedefine/>
    <w:qFormat/>
    <w:uiPriority w:val="0"/>
  </w:style>
  <w:style w:type="character" w:customStyle="1" w:styleId="234">
    <w:name w:val="批注主题 字符"/>
    <w:link w:val="85"/>
    <w:autoRedefine/>
    <w:qFormat/>
    <w:locked/>
    <w:uiPriority w:val="0"/>
    <w:rPr>
      <w:b/>
      <w:bCs/>
      <w:szCs w:val="24"/>
    </w:rPr>
  </w:style>
  <w:style w:type="character" w:customStyle="1" w:styleId="235">
    <w:name w:val="15"/>
    <w:autoRedefine/>
    <w:qFormat/>
    <w:uiPriority w:val="0"/>
    <w:rPr>
      <w:rFonts w:hint="default" w:ascii="Times New Roman" w:hAnsi="Times New Roman" w:cs="Times New Roman"/>
      <w:color w:val="0000FF"/>
      <w:u w:val="single"/>
    </w:rPr>
  </w:style>
  <w:style w:type="character" w:customStyle="1" w:styleId="236">
    <w:name w:val="样式 宋体 小四"/>
    <w:autoRedefine/>
    <w:qFormat/>
    <w:uiPriority w:val="0"/>
    <w:rPr>
      <w:sz w:val="24"/>
    </w:rPr>
  </w:style>
  <w:style w:type="character" w:customStyle="1" w:styleId="237">
    <w:name w:val="a21"/>
    <w:autoRedefine/>
    <w:qFormat/>
    <w:uiPriority w:val="0"/>
    <w:rPr>
      <w:rFonts w:ascii="??" w:hAnsi="??" w:cs="??"/>
      <w:sz w:val="18"/>
      <w:szCs w:val="18"/>
    </w:rPr>
  </w:style>
  <w:style w:type="character" w:customStyle="1" w:styleId="238">
    <w:name w:val="称呼 字符1"/>
    <w:basedOn w:val="90"/>
    <w:autoRedefine/>
    <w:semiHidden/>
    <w:qFormat/>
    <w:uiPriority w:val="99"/>
    <w:rPr>
      <w:rFonts w:ascii="Times New Roman" w:hAnsi="Times New Roman" w:eastAsia="宋体" w:cs="Times New Roman"/>
      <w:kern w:val="0"/>
      <w:sz w:val="20"/>
      <w:szCs w:val="20"/>
    </w:rPr>
  </w:style>
  <w:style w:type="character" w:customStyle="1" w:styleId="239">
    <w:name w:val="HTML 预设格式 字符1"/>
    <w:basedOn w:val="90"/>
    <w:autoRedefine/>
    <w:semiHidden/>
    <w:qFormat/>
    <w:uiPriority w:val="99"/>
    <w:rPr>
      <w:rFonts w:ascii="Courier New" w:hAnsi="Courier New" w:eastAsia="宋体" w:cs="Courier New"/>
      <w:kern w:val="0"/>
      <w:sz w:val="20"/>
      <w:szCs w:val="20"/>
    </w:rPr>
  </w:style>
  <w:style w:type="character" w:customStyle="1" w:styleId="240">
    <w:name w:val="批注文字 字符1"/>
    <w:basedOn w:val="90"/>
    <w:autoRedefine/>
    <w:qFormat/>
    <w:uiPriority w:val="0"/>
    <w:rPr>
      <w:rFonts w:ascii="Times New Roman" w:hAnsi="Times New Roman" w:eastAsia="宋体" w:cs="Times New Roman"/>
      <w:kern w:val="0"/>
      <w:sz w:val="20"/>
      <w:szCs w:val="20"/>
    </w:rPr>
  </w:style>
  <w:style w:type="paragraph" w:customStyle="1" w:styleId="241">
    <w:name w:val="xl3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sz w:val="24"/>
    </w:rPr>
  </w:style>
  <w:style w:type="paragraph" w:customStyle="1" w:styleId="242">
    <w:name w:val="Pa4"/>
    <w:basedOn w:val="1"/>
    <w:next w:val="1"/>
    <w:autoRedefine/>
    <w:qFormat/>
    <w:uiPriority w:val="0"/>
    <w:pPr>
      <w:autoSpaceDE w:val="0"/>
      <w:autoSpaceDN w:val="0"/>
      <w:adjustRightInd w:val="0"/>
      <w:spacing w:before="80" w:line="136" w:lineRule="auto"/>
      <w:jc w:val="left"/>
    </w:pPr>
    <w:rPr>
      <w:rFonts w:hint="eastAsia" w:ascii="Helvetica-Condensed-Bold" w:eastAsia="Helvetica-Condensed-Bold"/>
    </w:rPr>
  </w:style>
  <w:style w:type="paragraph" w:styleId="243">
    <w:name w:val="No Spacing"/>
    <w:link w:val="431"/>
    <w:autoRedefine/>
    <w:qFormat/>
    <w:uiPriority w:val="1"/>
    <w:pPr>
      <w:widowControl w:val="0"/>
      <w:jc w:val="both"/>
    </w:pPr>
    <w:rPr>
      <w:rFonts w:ascii="Times New Roman" w:hAnsi="Times New Roman" w:eastAsia="宋体" w:cs="Times New Roman"/>
      <w:kern w:val="2"/>
      <w:sz w:val="21"/>
      <w:szCs w:val="20"/>
      <w:lang w:val="en-US" w:eastAsia="zh-CN" w:bidi="ar-SA"/>
    </w:rPr>
  </w:style>
  <w:style w:type="character" w:customStyle="1" w:styleId="244">
    <w:name w:val="正文文本 字符1"/>
    <w:basedOn w:val="90"/>
    <w:autoRedefine/>
    <w:qFormat/>
    <w:uiPriority w:val="0"/>
    <w:rPr>
      <w:rFonts w:ascii="Times New Roman" w:hAnsi="Times New Roman" w:eastAsia="宋体" w:cs="Times New Roman"/>
      <w:kern w:val="0"/>
      <w:sz w:val="20"/>
      <w:szCs w:val="20"/>
    </w:rPr>
  </w:style>
  <w:style w:type="character" w:customStyle="1" w:styleId="245">
    <w:name w:val="电子邮件签名 字符1"/>
    <w:basedOn w:val="90"/>
    <w:autoRedefine/>
    <w:semiHidden/>
    <w:qFormat/>
    <w:uiPriority w:val="99"/>
    <w:rPr>
      <w:rFonts w:ascii="Times New Roman" w:hAnsi="Times New Roman" w:eastAsia="宋体" w:cs="Times New Roman"/>
      <w:kern w:val="0"/>
      <w:sz w:val="20"/>
      <w:szCs w:val="20"/>
    </w:rPr>
  </w:style>
  <w:style w:type="character" w:customStyle="1" w:styleId="246">
    <w:name w:val="标题 字符1"/>
    <w:basedOn w:val="90"/>
    <w:autoRedefine/>
    <w:qFormat/>
    <w:uiPriority w:val="0"/>
    <w:rPr>
      <w:rFonts w:asciiTheme="majorHAnsi" w:hAnsiTheme="majorHAnsi" w:eastAsiaTheme="majorEastAsia" w:cstheme="majorBidi"/>
      <w:b/>
      <w:bCs/>
      <w:kern w:val="0"/>
      <w:sz w:val="32"/>
      <w:szCs w:val="32"/>
    </w:rPr>
  </w:style>
  <w:style w:type="character" w:customStyle="1" w:styleId="247">
    <w:name w:val="签名 字符1"/>
    <w:basedOn w:val="90"/>
    <w:autoRedefine/>
    <w:semiHidden/>
    <w:qFormat/>
    <w:uiPriority w:val="99"/>
    <w:rPr>
      <w:rFonts w:ascii="Times New Roman" w:hAnsi="Times New Roman" w:eastAsia="宋体" w:cs="Times New Roman"/>
      <w:kern w:val="0"/>
      <w:sz w:val="20"/>
      <w:szCs w:val="20"/>
    </w:rPr>
  </w:style>
  <w:style w:type="paragraph" w:customStyle="1" w:styleId="248">
    <w:name w:val="xl40"/>
    <w:basedOn w:val="1"/>
    <w:autoRedefine/>
    <w:qFormat/>
    <w:uiPriority w:val="0"/>
    <w:pPr>
      <w:widowControl/>
      <w:spacing w:before="100" w:beforeAutospacing="1" w:after="100" w:afterAutospacing="1"/>
      <w:jc w:val="center"/>
    </w:pPr>
    <w:rPr>
      <w:szCs w:val="21"/>
    </w:rPr>
  </w:style>
  <w:style w:type="paragraph" w:customStyle="1" w:styleId="249">
    <w:name w:val="样式 标题 3 + 段前: 0 磅 段后: 0 磅 行距: 固定值 18 磅"/>
    <w:basedOn w:val="5"/>
    <w:autoRedefine/>
    <w:qFormat/>
    <w:uiPriority w:val="0"/>
    <w:pPr>
      <w:spacing w:before="0" w:after="0" w:line="500" w:lineRule="exact"/>
      <w:jc w:val="both"/>
    </w:pPr>
    <w:rPr>
      <w:bCs/>
      <w:sz w:val="24"/>
    </w:rPr>
  </w:style>
  <w:style w:type="character" w:customStyle="1" w:styleId="250">
    <w:name w:val="结束语 字符1"/>
    <w:basedOn w:val="90"/>
    <w:autoRedefine/>
    <w:semiHidden/>
    <w:qFormat/>
    <w:uiPriority w:val="99"/>
    <w:rPr>
      <w:rFonts w:ascii="Times New Roman" w:hAnsi="Times New Roman" w:eastAsia="宋体" w:cs="Times New Roman"/>
      <w:kern w:val="0"/>
      <w:sz w:val="20"/>
      <w:szCs w:val="20"/>
    </w:rPr>
  </w:style>
  <w:style w:type="character" w:customStyle="1" w:styleId="251">
    <w:name w:val="信息标题 字符1"/>
    <w:basedOn w:val="90"/>
    <w:autoRedefine/>
    <w:semiHidden/>
    <w:qFormat/>
    <w:uiPriority w:val="99"/>
    <w:rPr>
      <w:rFonts w:asciiTheme="majorHAnsi" w:hAnsiTheme="majorHAnsi" w:eastAsiaTheme="majorEastAsia" w:cstheme="majorBidi"/>
      <w:kern w:val="0"/>
      <w:sz w:val="24"/>
      <w:szCs w:val="24"/>
      <w:shd w:val="pct20" w:color="auto" w:fill="auto"/>
    </w:rPr>
  </w:style>
  <w:style w:type="character" w:customStyle="1" w:styleId="252">
    <w:name w:val="HTML 地址 字符1"/>
    <w:basedOn w:val="90"/>
    <w:autoRedefine/>
    <w:semiHidden/>
    <w:qFormat/>
    <w:uiPriority w:val="99"/>
    <w:rPr>
      <w:rFonts w:ascii="Times New Roman" w:hAnsi="Times New Roman" w:eastAsia="宋体" w:cs="Times New Roman"/>
      <w:i/>
      <w:iCs/>
      <w:kern w:val="0"/>
      <w:sz w:val="20"/>
      <w:szCs w:val="20"/>
    </w:rPr>
  </w:style>
  <w:style w:type="character" w:customStyle="1" w:styleId="253">
    <w:name w:val="注释标题 字符1"/>
    <w:basedOn w:val="90"/>
    <w:autoRedefine/>
    <w:semiHidden/>
    <w:qFormat/>
    <w:uiPriority w:val="99"/>
    <w:rPr>
      <w:rFonts w:ascii="Times New Roman" w:hAnsi="Times New Roman" w:eastAsia="宋体" w:cs="Times New Roman"/>
      <w:kern w:val="0"/>
      <w:sz w:val="20"/>
      <w:szCs w:val="20"/>
    </w:rPr>
  </w:style>
  <w:style w:type="paragraph" w:customStyle="1" w:styleId="254">
    <w:name w:val="Char1"/>
    <w:basedOn w:val="1"/>
    <w:autoRedefine/>
    <w:qFormat/>
    <w:uiPriority w:val="0"/>
    <w:pPr>
      <w:widowControl/>
      <w:spacing w:after="160" w:line="240" w:lineRule="exact"/>
      <w:jc w:val="left"/>
    </w:pPr>
    <w:rPr>
      <w:rFonts w:ascii="Verdana" w:hAnsi="Verdana"/>
      <w:lang w:eastAsia="en-US"/>
    </w:rPr>
  </w:style>
  <w:style w:type="paragraph" w:customStyle="1" w:styleId="255">
    <w:name w:val="1"/>
    <w:basedOn w:val="1"/>
    <w:next w:val="256"/>
    <w:autoRedefine/>
    <w:qFormat/>
    <w:uiPriority w:val="99"/>
    <w:pPr>
      <w:suppressAutoHyphens/>
      <w:spacing w:line="360" w:lineRule="auto"/>
      <w:ind w:firstLine="480"/>
    </w:pPr>
    <w:rPr>
      <w:kern w:val="1"/>
      <w:sz w:val="24"/>
      <w:lang w:eastAsia="ar-SA"/>
    </w:rPr>
  </w:style>
  <w:style w:type="paragraph" w:customStyle="1" w:styleId="256">
    <w:name w:val="正文文字缩进 3"/>
    <w:basedOn w:val="1"/>
    <w:autoRedefine/>
    <w:qFormat/>
    <w:uiPriority w:val="0"/>
    <w:pPr>
      <w:suppressAutoHyphens/>
      <w:spacing w:after="120"/>
      <w:ind w:left="420"/>
    </w:pPr>
    <w:rPr>
      <w:kern w:val="1"/>
      <w:sz w:val="16"/>
      <w:szCs w:val="16"/>
      <w:lang w:eastAsia="ar-SA"/>
    </w:rPr>
  </w:style>
  <w:style w:type="character" w:customStyle="1" w:styleId="257">
    <w:name w:val="宏文本 字符1"/>
    <w:basedOn w:val="90"/>
    <w:autoRedefine/>
    <w:semiHidden/>
    <w:qFormat/>
    <w:uiPriority w:val="99"/>
    <w:rPr>
      <w:rFonts w:ascii="Courier New" w:hAnsi="Courier New" w:eastAsia="宋体" w:cs="Courier New"/>
      <w:kern w:val="0"/>
      <w:sz w:val="24"/>
      <w:szCs w:val="24"/>
    </w:rPr>
  </w:style>
  <w:style w:type="character" w:customStyle="1" w:styleId="258">
    <w:name w:val="正文文本缩进 2 字符1"/>
    <w:basedOn w:val="90"/>
    <w:autoRedefine/>
    <w:qFormat/>
    <w:uiPriority w:val="0"/>
    <w:rPr>
      <w:rFonts w:ascii="Times New Roman" w:hAnsi="Times New Roman" w:eastAsia="宋体" w:cs="Times New Roman"/>
      <w:kern w:val="0"/>
      <w:sz w:val="20"/>
      <w:szCs w:val="20"/>
    </w:rPr>
  </w:style>
  <w:style w:type="character" w:customStyle="1" w:styleId="259">
    <w:name w:val="纯文本 字符1"/>
    <w:basedOn w:val="90"/>
    <w:autoRedefine/>
    <w:qFormat/>
    <w:uiPriority w:val="0"/>
    <w:rPr>
      <w:rFonts w:hAnsi="Courier New" w:cs="Courier New" w:asciiTheme="minorEastAsia"/>
      <w:kern w:val="0"/>
      <w:sz w:val="20"/>
      <w:szCs w:val="20"/>
    </w:rPr>
  </w:style>
  <w:style w:type="paragraph" w:customStyle="1" w:styleId="260">
    <w:name w:val="MM Topic 1"/>
    <w:basedOn w:val="3"/>
    <w:autoRedefine/>
    <w:qFormat/>
    <w:uiPriority w:val="99"/>
    <w:pPr>
      <w:autoSpaceDE/>
      <w:autoSpaceDN/>
      <w:adjustRightInd/>
      <w:spacing w:line="576" w:lineRule="auto"/>
      <w:jc w:val="both"/>
    </w:pPr>
    <w:rPr>
      <w:rFonts w:hint="default" w:ascii="Times New Roman" w:eastAsia="仿宋_GB2312"/>
      <w:b w:val="0"/>
      <w:kern w:val="44"/>
      <w:sz w:val="32"/>
      <w:szCs w:val="32"/>
    </w:rPr>
  </w:style>
  <w:style w:type="character" w:customStyle="1" w:styleId="261">
    <w:name w:val="正文文本缩进 字符1"/>
    <w:basedOn w:val="90"/>
    <w:autoRedefine/>
    <w:qFormat/>
    <w:uiPriority w:val="0"/>
    <w:rPr>
      <w:rFonts w:ascii="Times New Roman" w:hAnsi="Times New Roman" w:eastAsia="宋体" w:cs="Times New Roman"/>
      <w:kern w:val="0"/>
      <w:sz w:val="20"/>
      <w:szCs w:val="20"/>
    </w:rPr>
  </w:style>
  <w:style w:type="character" w:customStyle="1" w:styleId="262">
    <w:name w:val="正文文本 2 字符1"/>
    <w:basedOn w:val="90"/>
    <w:autoRedefine/>
    <w:semiHidden/>
    <w:qFormat/>
    <w:uiPriority w:val="99"/>
    <w:rPr>
      <w:rFonts w:ascii="Times New Roman" w:hAnsi="Times New Roman" w:eastAsia="宋体" w:cs="Times New Roman"/>
      <w:kern w:val="0"/>
      <w:sz w:val="20"/>
      <w:szCs w:val="20"/>
    </w:rPr>
  </w:style>
  <w:style w:type="paragraph" w:customStyle="1" w:styleId="263">
    <w:name w:val="样式 首行缩进:  0.85 厘米"/>
    <w:basedOn w:val="1"/>
    <w:autoRedefine/>
    <w:qFormat/>
    <w:uiPriority w:val="0"/>
    <w:pPr>
      <w:spacing w:line="360" w:lineRule="auto"/>
      <w:ind w:firstLine="200" w:firstLineChars="200"/>
    </w:pPr>
    <w:rPr>
      <w:sz w:val="24"/>
    </w:rPr>
  </w:style>
  <w:style w:type="character" w:customStyle="1" w:styleId="264">
    <w:name w:val="正文文本缩进 3 字符1"/>
    <w:basedOn w:val="90"/>
    <w:autoRedefine/>
    <w:qFormat/>
    <w:uiPriority w:val="0"/>
    <w:rPr>
      <w:rFonts w:ascii="Times New Roman" w:hAnsi="Times New Roman" w:eastAsia="宋体" w:cs="Times New Roman"/>
      <w:kern w:val="0"/>
      <w:sz w:val="16"/>
      <w:szCs w:val="16"/>
    </w:rPr>
  </w:style>
  <w:style w:type="character" w:customStyle="1" w:styleId="265">
    <w:name w:val="副标题 字符1"/>
    <w:basedOn w:val="90"/>
    <w:autoRedefine/>
    <w:qFormat/>
    <w:uiPriority w:val="11"/>
    <w:rPr>
      <w:b/>
      <w:bCs/>
      <w:kern w:val="28"/>
      <w:sz w:val="32"/>
      <w:szCs w:val="32"/>
    </w:rPr>
  </w:style>
  <w:style w:type="paragraph" w:customStyle="1" w:styleId="266">
    <w:name w:val="(符号)内容1五标题1.1.1"/>
    <w:basedOn w:val="1"/>
    <w:autoRedefine/>
    <w:qFormat/>
    <w:uiPriority w:val="0"/>
  </w:style>
  <w:style w:type="character" w:customStyle="1" w:styleId="267">
    <w:name w:val="批注框文本 字符1"/>
    <w:basedOn w:val="90"/>
    <w:autoRedefine/>
    <w:qFormat/>
    <w:uiPriority w:val="0"/>
    <w:rPr>
      <w:rFonts w:ascii="Times New Roman" w:hAnsi="Times New Roman" w:eastAsia="宋体" w:cs="Times New Roman"/>
      <w:kern w:val="0"/>
      <w:sz w:val="18"/>
      <w:szCs w:val="18"/>
    </w:rPr>
  </w:style>
  <w:style w:type="character" w:customStyle="1" w:styleId="268">
    <w:name w:val="批注主题 字符1"/>
    <w:basedOn w:val="240"/>
    <w:autoRedefine/>
    <w:semiHidden/>
    <w:qFormat/>
    <w:uiPriority w:val="99"/>
    <w:rPr>
      <w:rFonts w:ascii="Times New Roman" w:hAnsi="Times New Roman" w:eastAsia="宋体" w:cs="Times New Roman"/>
      <w:b/>
      <w:bCs/>
      <w:kern w:val="0"/>
      <w:sz w:val="20"/>
      <w:szCs w:val="20"/>
    </w:rPr>
  </w:style>
  <w:style w:type="character" w:customStyle="1" w:styleId="269">
    <w:name w:val="文档结构图 字符1"/>
    <w:basedOn w:val="90"/>
    <w:autoRedefine/>
    <w:qFormat/>
    <w:uiPriority w:val="0"/>
    <w:rPr>
      <w:rFonts w:ascii="Microsoft YaHei UI" w:hAnsi="Times New Roman" w:eastAsia="Microsoft YaHei UI" w:cs="Times New Roman"/>
      <w:kern w:val="0"/>
      <w:sz w:val="18"/>
      <w:szCs w:val="18"/>
    </w:rPr>
  </w:style>
  <w:style w:type="paragraph" w:customStyle="1" w:styleId="270">
    <w:name w:val="xl3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sz w:val="24"/>
    </w:rPr>
  </w:style>
  <w:style w:type="character" w:customStyle="1" w:styleId="271">
    <w:name w:val="正文文本首行缩进 字符1"/>
    <w:basedOn w:val="244"/>
    <w:autoRedefine/>
    <w:semiHidden/>
    <w:qFormat/>
    <w:uiPriority w:val="99"/>
    <w:rPr>
      <w:rFonts w:ascii="Times New Roman" w:hAnsi="Times New Roman" w:eastAsia="宋体" w:cs="Times New Roman"/>
      <w:kern w:val="0"/>
      <w:sz w:val="20"/>
      <w:szCs w:val="20"/>
    </w:rPr>
  </w:style>
  <w:style w:type="character" w:customStyle="1" w:styleId="272">
    <w:name w:val="尾注文本 字符1"/>
    <w:basedOn w:val="90"/>
    <w:autoRedefine/>
    <w:semiHidden/>
    <w:qFormat/>
    <w:uiPriority w:val="99"/>
    <w:rPr>
      <w:rFonts w:ascii="Times New Roman" w:hAnsi="Times New Roman" w:eastAsia="宋体" w:cs="Times New Roman"/>
      <w:kern w:val="0"/>
      <w:sz w:val="20"/>
      <w:szCs w:val="20"/>
    </w:rPr>
  </w:style>
  <w:style w:type="paragraph" w:customStyle="1" w:styleId="273">
    <w:name w:val="xl46"/>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4"/>
    </w:rPr>
  </w:style>
  <w:style w:type="character" w:customStyle="1" w:styleId="274">
    <w:name w:val="脚注文本 字符1"/>
    <w:basedOn w:val="90"/>
    <w:autoRedefine/>
    <w:semiHidden/>
    <w:qFormat/>
    <w:uiPriority w:val="99"/>
    <w:rPr>
      <w:rFonts w:ascii="Times New Roman" w:hAnsi="Times New Roman" w:eastAsia="宋体" w:cs="Times New Roman"/>
      <w:kern w:val="0"/>
      <w:sz w:val="18"/>
      <w:szCs w:val="18"/>
    </w:rPr>
  </w:style>
  <w:style w:type="paragraph" w:customStyle="1" w:styleId="275">
    <w:name w:val="xl41"/>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sz w:val="24"/>
    </w:rPr>
  </w:style>
  <w:style w:type="character" w:customStyle="1" w:styleId="276">
    <w:name w:val="日期 字符1"/>
    <w:basedOn w:val="90"/>
    <w:autoRedefine/>
    <w:semiHidden/>
    <w:qFormat/>
    <w:uiPriority w:val="99"/>
    <w:rPr>
      <w:rFonts w:ascii="Times New Roman" w:hAnsi="Times New Roman" w:eastAsia="宋体" w:cs="Times New Roman"/>
      <w:kern w:val="0"/>
      <w:sz w:val="20"/>
      <w:szCs w:val="20"/>
    </w:rPr>
  </w:style>
  <w:style w:type="paragraph" w:customStyle="1" w:styleId="277">
    <w:name w:val="xl33"/>
    <w:basedOn w:val="1"/>
    <w:autoRedefine/>
    <w:qFormat/>
    <w:uiPriority w:val="0"/>
    <w:pPr>
      <w:widowControl/>
      <w:spacing w:before="100" w:beforeAutospacing="1" w:after="100" w:afterAutospacing="1"/>
      <w:jc w:val="center"/>
    </w:pPr>
    <w:rPr>
      <w:rFonts w:ascii="宋体" w:hAnsi="宋体"/>
      <w:sz w:val="24"/>
    </w:rPr>
  </w:style>
  <w:style w:type="character" w:customStyle="1" w:styleId="278">
    <w:name w:val="引用 字符1"/>
    <w:basedOn w:val="90"/>
    <w:autoRedefine/>
    <w:qFormat/>
    <w:uiPriority w:val="29"/>
    <w:rPr>
      <w:rFonts w:ascii="Times New Roman" w:hAnsi="Times New Roman" w:eastAsia="宋体" w:cs="Times New Roman"/>
      <w:i/>
      <w:iCs/>
      <w:color w:val="404040" w:themeColor="text1" w:themeTint="BF"/>
      <w:kern w:val="0"/>
      <w:sz w:val="20"/>
      <w:szCs w:val="20"/>
      <w14:textFill>
        <w14:solidFill>
          <w14:schemeClr w14:val="tx1">
            <w14:lumMod w14:val="75000"/>
            <w14:lumOff w14:val="25000"/>
          </w14:schemeClr>
        </w14:solidFill>
      </w14:textFill>
    </w:rPr>
  </w:style>
  <w:style w:type="character" w:customStyle="1" w:styleId="279">
    <w:name w:val="正文文本 3 字符1"/>
    <w:basedOn w:val="90"/>
    <w:autoRedefine/>
    <w:semiHidden/>
    <w:qFormat/>
    <w:uiPriority w:val="99"/>
    <w:rPr>
      <w:rFonts w:ascii="Times New Roman" w:hAnsi="Times New Roman" w:eastAsia="宋体" w:cs="Times New Roman"/>
      <w:kern w:val="0"/>
      <w:sz w:val="16"/>
      <w:szCs w:val="16"/>
    </w:rPr>
  </w:style>
  <w:style w:type="character" w:customStyle="1" w:styleId="280">
    <w:name w:val="正文文本首行缩进 2 字符1"/>
    <w:basedOn w:val="261"/>
    <w:autoRedefine/>
    <w:semiHidden/>
    <w:qFormat/>
    <w:uiPriority w:val="99"/>
    <w:rPr>
      <w:rFonts w:ascii="Times New Roman" w:hAnsi="Times New Roman" w:eastAsia="宋体" w:cs="Times New Roman"/>
      <w:kern w:val="0"/>
      <w:sz w:val="20"/>
      <w:szCs w:val="20"/>
    </w:rPr>
  </w:style>
  <w:style w:type="paragraph" w:customStyle="1" w:styleId="281">
    <w:name w:val="规范正文"/>
    <w:basedOn w:val="1"/>
    <w:autoRedefine/>
    <w:qFormat/>
    <w:uiPriority w:val="0"/>
    <w:pPr>
      <w:suppressAutoHyphens/>
      <w:spacing w:line="360" w:lineRule="auto"/>
      <w:ind w:left="480"/>
      <w:textAlignment w:val="baseline"/>
    </w:pPr>
    <w:rPr>
      <w:kern w:val="1"/>
      <w:sz w:val="24"/>
      <w:lang w:eastAsia="ar-SA"/>
    </w:rPr>
  </w:style>
  <w:style w:type="paragraph" w:customStyle="1" w:styleId="282">
    <w:name w:val="p16"/>
    <w:basedOn w:val="1"/>
    <w:autoRedefine/>
    <w:qFormat/>
    <w:uiPriority w:val="0"/>
    <w:pPr>
      <w:widowControl/>
    </w:pPr>
    <w:rPr>
      <w:szCs w:val="21"/>
    </w:rPr>
  </w:style>
  <w:style w:type="paragraph" w:customStyle="1" w:styleId="283">
    <w:name w:val="表格"/>
    <w:basedOn w:val="1"/>
    <w:next w:val="1"/>
    <w:link w:val="561"/>
    <w:autoRedefine/>
    <w:qFormat/>
    <w:uiPriority w:val="0"/>
    <w:pPr>
      <w:keepLines/>
      <w:topLinePunct/>
      <w:adjustRightInd w:val="0"/>
      <w:spacing w:line="240" w:lineRule="atLeast"/>
      <w:jc w:val="center"/>
    </w:pPr>
    <w:rPr>
      <w:sz w:val="24"/>
    </w:rPr>
  </w:style>
  <w:style w:type="paragraph" w:customStyle="1" w:styleId="284">
    <w:name w:val="列出段落2"/>
    <w:basedOn w:val="1"/>
    <w:autoRedefine/>
    <w:qFormat/>
    <w:uiPriority w:val="0"/>
    <w:pPr>
      <w:ind w:firstLine="420" w:firstLineChars="200"/>
    </w:pPr>
  </w:style>
  <w:style w:type="paragraph" w:customStyle="1" w:styleId="285">
    <w:name w:val="四级条标题"/>
    <w:basedOn w:val="286"/>
    <w:next w:val="290"/>
    <w:autoRedefine/>
    <w:qFormat/>
    <w:uiPriority w:val="0"/>
    <w:pPr>
      <w:tabs>
        <w:tab w:val="left" w:pos="360"/>
        <w:tab w:val="left" w:pos="1740"/>
        <w:tab w:val="left" w:pos="2160"/>
        <w:tab w:val="left" w:pos="2580"/>
        <w:tab w:val="left" w:pos="3000"/>
      </w:tabs>
      <w:ind w:left="3000"/>
      <w:outlineLvl w:val="5"/>
    </w:pPr>
  </w:style>
  <w:style w:type="paragraph" w:customStyle="1" w:styleId="286">
    <w:name w:val="三级条标题"/>
    <w:basedOn w:val="287"/>
    <w:next w:val="290"/>
    <w:autoRedefine/>
    <w:qFormat/>
    <w:uiPriority w:val="0"/>
    <w:pPr>
      <w:tabs>
        <w:tab w:val="left" w:pos="360"/>
        <w:tab w:val="left" w:pos="1740"/>
        <w:tab w:val="left" w:pos="2160"/>
        <w:tab w:val="left" w:pos="2580"/>
      </w:tabs>
      <w:ind w:left="2580"/>
      <w:outlineLvl w:val="4"/>
    </w:pPr>
  </w:style>
  <w:style w:type="paragraph" w:customStyle="1" w:styleId="287">
    <w:name w:val="二级条标题"/>
    <w:basedOn w:val="288"/>
    <w:next w:val="290"/>
    <w:autoRedefine/>
    <w:qFormat/>
    <w:uiPriority w:val="0"/>
    <w:pPr>
      <w:tabs>
        <w:tab w:val="left" w:pos="360"/>
        <w:tab w:val="left" w:pos="1740"/>
        <w:tab w:val="left" w:pos="2160"/>
      </w:tabs>
      <w:ind w:left="0"/>
      <w:outlineLvl w:val="3"/>
    </w:pPr>
  </w:style>
  <w:style w:type="paragraph" w:customStyle="1" w:styleId="288">
    <w:name w:val="一级条标题"/>
    <w:basedOn w:val="289"/>
    <w:next w:val="290"/>
    <w:autoRedefine/>
    <w:qFormat/>
    <w:uiPriority w:val="0"/>
    <w:pPr>
      <w:tabs>
        <w:tab w:val="left" w:pos="360"/>
        <w:tab w:val="left" w:pos="1740"/>
      </w:tabs>
      <w:spacing w:before="0" w:beforeLines="0" w:after="0" w:afterLines="0"/>
      <w:ind w:left="1740" w:hanging="420"/>
      <w:outlineLvl w:val="2"/>
    </w:pPr>
  </w:style>
  <w:style w:type="paragraph" w:customStyle="1" w:styleId="289">
    <w:name w:val="章标题"/>
    <w:next w:val="290"/>
    <w:autoRedefine/>
    <w:qFormat/>
    <w:uiPriority w:val="0"/>
    <w:pPr>
      <w:tabs>
        <w:tab w:val="left" w:pos="360"/>
      </w:tabs>
      <w:spacing w:before="156" w:beforeLines="50" w:after="156" w:afterLines="50"/>
      <w:jc w:val="both"/>
      <w:outlineLvl w:val="1"/>
    </w:pPr>
    <w:rPr>
      <w:rFonts w:ascii="黑体" w:hAnsi="Times New Roman" w:eastAsia="黑体" w:cs="Times New Roman"/>
      <w:kern w:val="0"/>
      <w:sz w:val="21"/>
      <w:szCs w:val="20"/>
      <w:lang w:val="en-US" w:eastAsia="zh-CN" w:bidi="ar-SA"/>
    </w:rPr>
  </w:style>
  <w:style w:type="paragraph" w:customStyle="1" w:styleId="290">
    <w:name w:val="段"/>
    <w:autoRedefine/>
    <w:qFormat/>
    <w:uiPriority w:val="0"/>
    <w:pPr>
      <w:autoSpaceDE w:val="0"/>
      <w:autoSpaceDN w:val="0"/>
      <w:ind w:firstLine="200" w:firstLineChars="200"/>
      <w:jc w:val="both"/>
    </w:pPr>
    <w:rPr>
      <w:rFonts w:ascii="宋体" w:hAnsi="Times New Roman" w:eastAsia="宋体" w:cs="Times New Roman"/>
      <w:kern w:val="0"/>
      <w:sz w:val="21"/>
      <w:szCs w:val="20"/>
      <w:lang w:val="en-US" w:eastAsia="zh-CN" w:bidi="ar-SA"/>
    </w:rPr>
  </w:style>
  <w:style w:type="paragraph" w:customStyle="1" w:styleId="291">
    <w:name w:val="（符号）内容四标题1.1.12"/>
    <w:basedOn w:val="1"/>
    <w:autoRedefine/>
    <w:qFormat/>
    <w:uiPriority w:val="0"/>
    <w:pPr>
      <w:tabs>
        <w:tab w:val="left" w:pos="1000"/>
      </w:tabs>
      <w:spacing w:line="500" w:lineRule="exact"/>
      <w:ind w:left="1000" w:hanging="1000"/>
    </w:pPr>
    <w:rPr>
      <w:sz w:val="24"/>
    </w:rPr>
  </w:style>
  <w:style w:type="paragraph" w:customStyle="1" w:styleId="292">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4"/>
    </w:rPr>
  </w:style>
  <w:style w:type="paragraph" w:customStyle="1" w:styleId="293">
    <w:name w:val="样式 样式 样式 样式 标题 2 + 宋体 五号 非加粗 黑色 + 段前: 6 磅 段后: 0 磅 行距: 单倍行距 + 段前:..."/>
    <w:basedOn w:val="1"/>
    <w:autoRedefine/>
    <w:qFormat/>
    <w:uiPriority w:val="0"/>
    <w:pPr>
      <w:keepNext/>
      <w:keepLines/>
      <w:tabs>
        <w:tab w:val="left" w:pos="1440"/>
      </w:tabs>
      <w:adjustRightInd w:val="0"/>
      <w:spacing w:before="240"/>
      <w:ind w:left="1440" w:hanging="360"/>
      <w:jc w:val="left"/>
      <w:textAlignment w:val="baseline"/>
      <w:outlineLvl w:val="1"/>
    </w:pPr>
    <w:rPr>
      <w:rFonts w:ascii="宋体" w:hAnsi="宋体" w:cs="宋体"/>
      <w:b/>
      <w:bCs/>
      <w:color w:val="000000"/>
    </w:rPr>
  </w:style>
  <w:style w:type="paragraph" w:customStyle="1" w:styleId="294">
    <w:name w:val="前言、引言标题"/>
    <w:next w:val="1"/>
    <w:autoRedefine/>
    <w:qFormat/>
    <w:uiPriority w:val="0"/>
    <w:pPr>
      <w:shd w:val="clear" w:color="FFFFFF" w:fill="FFFFFF"/>
      <w:tabs>
        <w:tab w:val="left" w:pos="360"/>
      </w:tabs>
      <w:spacing w:before="640" w:after="560"/>
      <w:jc w:val="center"/>
      <w:outlineLvl w:val="0"/>
    </w:pPr>
    <w:rPr>
      <w:rFonts w:ascii="黑体" w:hAnsi="Times New Roman" w:eastAsia="黑体" w:cs="Times New Roman"/>
      <w:kern w:val="0"/>
      <w:sz w:val="32"/>
      <w:szCs w:val="20"/>
      <w:lang w:val="en-US" w:eastAsia="zh-CN" w:bidi="ar-SA"/>
    </w:rPr>
  </w:style>
  <w:style w:type="character" w:customStyle="1" w:styleId="295">
    <w:name w:val="z-窗体底端 字符1"/>
    <w:basedOn w:val="90"/>
    <w:autoRedefine/>
    <w:semiHidden/>
    <w:qFormat/>
    <w:uiPriority w:val="99"/>
    <w:rPr>
      <w:rFonts w:ascii="Arial" w:hAnsi="Arial" w:eastAsia="宋体" w:cs="Arial"/>
      <w:vanish/>
      <w:kern w:val="0"/>
      <w:sz w:val="16"/>
      <w:szCs w:val="16"/>
    </w:rPr>
  </w:style>
  <w:style w:type="paragraph" w:customStyle="1" w:styleId="296">
    <w:name w:val="List Paragraph1"/>
    <w:basedOn w:val="1"/>
    <w:autoRedefine/>
    <w:qFormat/>
    <w:uiPriority w:val="0"/>
    <w:pPr>
      <w:ind w:firstLine="420" w:firstLineChars="200"/>
    </w:pPr>
  </w:style>
  <w:style w:type="paragraph" w:customStyle="1" w:styleId="297">
    <w:name w:val="（符号）内容三标题1."/>
    <w:basedOn w:val="1"/>
    <w:autoRedefine/>
    <w:qFormat/>
    <w:uiPriority w:val="0"/>
    <w:pPr>
      <w:tabs>
        <w:tab w:val="left" w:pos="420"/>
      </w:tabs>
      <w:spacing w:before="140" w:after="140" w:line="500" w:lineRule="exact"/>
      <w:ind w:left="430" w:hanging="430"/>
      <w:outlineLvl w:val="1"/>
    </w:pPr>
    <w:rPr>
      <w:rFonts w:eastAsia="楷体_GB2312"/>
      <w:b/>
      <w:sz w:val="28"/>
    </w:rPr>
  </w:style>
  <w:style w:type="paragraph" w:customStyle="1" w:styleId="298">
    <w:name w:val="（符号）目录2"/>
    <w:basedOn w:val="1"/>
    <w:autoRedefine/>
    <w:qFormat/>
    <w:uiPriority w:val="0"/>
    <w:pPr>
      <w:spacing w:line="500" w:lineRule="exact"/>
      <w:ind w:left="480"/>
    </w:pPr>
    <w:rPr>
      <w:rFonts w:cs="宋体"/>
      <w:sz w:val="24"/>
    </w:rPr>
  </w:style>
  <w:style w:type="paragraph" w:customStyle="1" w:styleId="299">
    <w:name w:val="样式5"/>
    <w:basedOn w:val="1"/>
    <w:autoRedefine/>
    <w:qFormat/>
    <w:uiPriority w:val="0"/>
    <w:pPr>
      <w:adjustRightInd w:val="0"/>
      <w:snapToGrid w:val="0"/>
      <w:spacing w:line="520" w:lineRule="exact"/>
      <w:ind w:firstLine="480" w:firstLineChars="200"/>
    </w:pPr>
    <w:rPr>
      <w:rFonts w:ascii="仿宋_GB2312" w:eastAsia="仿宋_GB2312"/>
      <w:sz w:val="24"/>
    </w:rPr>
  </w:style>
  <w:style w:type="paragraph" w:customStyle="1" w:styleId="300">
    <w:name w:val="文档正文首行缩进"/>
    <w:basedOn w:val="1"/>
    <w:autoRedefine/>
    <w:qFormat/>
    <w:uiPriority w:val="0"/>
    <w:pPr>
      <w:spacing w:line="360" w:lineRule="auto"/>
      <w:ind w:firstLine="420"/>
    </w:pPr>
    <w:rPr>
      <w:rFonts w:cs="宋体"/>
      <w:sz w:val="24"/>
    </w:rPr>
  </w:style>
  <w:style w:type="paragraph" w:customStyle="1" w:styleId="301">
    <w:name w:val="p0"/>
    <w:basedOn w:val="1"/>
    <w:autoRedefine/>
    <w:qFormat/>
    <w:uiPriority w:val="0"/>
    <w:pPr>
      <w:widowControl/>
    </w:pPr>
    <w:rPr>
      <w:szCs w:val="21"/>
    </w:rPr>
  </w:style>
  <w:style w:type="paragraph" w:customStyle="1" w:styleId="302">
    <w:name w:val="TOC Heading"/>
    <w:basedOn w:val="3"/>
    <w:next w:val="1"/>
    <w:autoRedefine/>
    <w:qFormat/>
    <w:uiPriority w:val="39"/>
    <w:pPr>
      <w:widowControl/>
      <w:autoSpaceDE/>
      <w:autoSpaceDN/>
      <w:adjustRightInd/>
      <w:spacing w:before="480" w:after="0" w:line="276" w:lineRule="auto"/>
      <w:jc w:val="left"/>
      <w:outlineLvl w:val="9"/>
    </w:pPr>
    <w:rPr>
      <w:rFonts w:hint="default" w:ascii="Cambria" w:hAnsi="Cambria" w:cs="Cambria"/>
      <w:bCs/>
      <w:color w:val="365F91"/>
      <w:sz w:val="28"/>
      <w:szCs w:val="28"/>
    </w:rPr>
  </w:style>
  <w:style w:type="paragraph" w:customStyle="1" w:styleId="303">
    <w:name w:val="样式 标题 2 + Times New Roman 四号 非加粗 段前: 5 磅 段后: 0 磅 行距: 固定值 20..."/>
    <w:basedOn w:val="4"/>
    <w:autoRedefine/>
    <w:qFormat/>
    <w:uiPriority w:val="0"/>
    <w:pPr>
      <w:spacing w:before="100" w:after="0" w:line="400" w:lineRule="exact"/>
    </w:pPr>
    <w:rPr>
      <w:rFonts w:ascii="Times New Roman" w:hAnsi="Times New Roman" w:cs="宋体"/>
      <w:b w:val="0"/>
      <w:bCs w:val="0"/>
      <w:sz w:val="28"/>
      <w:szCs w:val="20"/>
    </w:rPr>
  </w:style>
  <w:style w:type="paragraph" w:customStyle="1" w:styleId="304">
    <w:name w:val="font0"/>
    <w:basedOn w:val="1"/>
    <w:autoRedefine/>
    <w:qFormat/>
    <w:uiPriority w:val="0"/>
    <w:pPr>
      <w:widowControl/>
      <w:spacing w:before="100" w:beforeAutospacing="1" w:after="100" w:afterAutospacing="1"/>
      <w:jc w:val="left"/>
    </w:pPr>
    <w:rPr>
      <w:rFonts w:ascii="宋体" w:hAnsi="宋体" w:cs="宋体"/>
      <w:sz w:val="24"/>
    </w:rPr>
  </w:style>
  <w:style w:type="paragraph" w:customStyle="1" w:styleId="305">
    <w:name w:val="列表段落1"/>
    <w:basedOn w:val="1"/>
    <w:autoRedefine/>
    <w:qFormat/>
    <w:uiPriority w:val="99"/>
    <w:pPr>
      <w:ind w:firstLine="420" w:firstLineChars="200"/>
    </w:pPr>
  </w:style>
  <w:style w:type="paragraph" w:customStyle="1" w:styleId="306">
    <w:name w:val="xiao b"/>
    <w:basedOn w:val="1"/>
    <w:autoRedefine/>
    <w:qFormat/>
    <w:uiPriority w:val="0"/>
    <w:pPr>
      <w:jc w:val="center"/>
    </w:pPr>
    <w:rPr>
      <w:rFonts w:eastAsia="黑体"/>
      <w:sz w:val="24"/>
    </w:rPr>
  </w:style>
  <w:style w:type="paragraph" w:customStyle="1" w:styleId="307">
    <w:name w:val="xl26"/>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b/>
      <w:bCs/>
      <w:color w:val="000000"/>
      <w:sz w:val="24"/>
    </w:rPr>
  </w:style>
  <w:style w:type="paragraph" w:customStyle="1" w:styleId="308">
    <w:name w:val="font5"/>
    <w:basedOn w:val="1"/>
    <w:autoRedefine/>
    <w:qFormat/>
    <w:uiPriority w:val="0"/>
    <w:pPr>
      <w:widowControl/>
      <w:spacing w:before="100" w:beforeAutospacing="1" w:after="100" w:afterAutospacing="1"/>
      <w:jc w:val="left"/>
    </w:pPr>
    <w:rPr>
      <w:rFonts w:ascii="宋体" w:hAnsi="宋体" w:cs="宋体"/>
      <w:sz w:val="24"/>
    </w:rPr>
  </w:style>
  <w:style w:type="paragraph" w:customStyle="1" w:styleId="309">
    <w:name w:val="Char Char1 Char Char Char Char"/>
    <w:basedOn w:val="1"/>
    <w:autoRedefine/>
    <w:qFormat/>
    <w:uiPriority w:val="0"/>
    <w:pPr>
      <w:widowControl/>
      <w:spacing w:after="160" w:line="240" w:lineRule="exact"/>
      <w:jc w:val="left"/>
    </w:pPr>
  </w:style>
  <w:style w:type="paragraph" w:customStyle="1" w:styleId="310">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4"/>
    </w:rPr>
  </w:style>
  <w:style w:type="paragraph" w:customStyle="1" w:styleId="311">
    <w:name w:val="xl32"/>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sz w:val="24"/>
    </w:rPr>
  </w:style>
  <w:style w:type="paragraph" w:customStyle="1" w:styleId="312">
    <w:name w:val="Char"/>
    <w:basedOn w:val="1"/>
    <w:autoRedefine/>
    <w:qFormat/>
    <w:uiPriority w:val="0"/>
    <w:pPr>
      <w:snapToGrid w:val="0"/>
      <w:spacing w:line="360" w:lineRule="auto"/>
      <w:ind w:firstLine="200" w:firstLineChars="200"/>
    </w:pPr>
  </w:style>
  <w:style w:type="paragraph" w:customStyle="1" w:styleId="313">
    <w:name w:val="font8"/>
    <w:basedOn w:val="1"/>
    <w:autoRedefine/>
    <w:qFormat/>
    <w:uiPriority w:val="0"/>
    <w:pPr>
      <w:widowControl/>
      <w:spacing w:before="100" w:beforeAutospacing="1" w:after="100" w:afterAutospacing="1"/>
      <w:jc w:val="left"/>
    </w:pPr>
    <w:rPr>
      <w:rFonts w:ascii="宋体" w:hAnsi="宋体" w:cs="宋体"/>
      <w:sz w:val="24"/>
    </w:rPr>
  </w:style>
  <w:style w:type="paragraph" w:customStyle="1" w:styleId="314">
    <w:name w:val="菱形标号"/>
    <w:basedOn w:val="1"/>
    <w:autoRedefine/>
    <w:qFormat/>
    <w:uiPriority w:val="0"/>
    <w:pPr>
      <w:tabs>
        <w:tab w:val="left" w:pos="1125"/>
      </w:tabs>
      <w:spacing w:line="360" w:lineRule="auto"/>
      <w:ind w:left="902" w:hanging="390"/>
    </w:pPr>
    <w:rPr>
      <w:sz w:val="24"/>
    </w:rPr>
  </w:style>
  <w:style w:type="paragraph" w:customStyle="1" w:styleId="315">
    <w:name w:val="xl36"/>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sz w:val="24"/>
    </w:rPr>
  </w:style>
  <w:style w:type="paragraph" w:customStyle="1" w:styleId="316">
    <w:name w:val="标题1"/>
    <w:basedOn w:val="1"/>
    <w:next w:val="34"/>
    <w:autoRedefine/>
    <w:qFormat/>
    <w:uiPriority w:val="0"/>
    <w:pPr>
      <w:keepNext/>
      <w:suppressAutoHyphens/>
      <w:spacing w:before="240" w:after="120"/>
    </w:pPr>
    <w:rPr>
      <w:rFonts w:ascii="AR PL ShanHeiSun Uni" w:hAnsi="AR PL ShanHeiSun Uni" w:eastAsia="AR PL ShanHeiSun Uni" w:cs="AR PL ShanHeiSun Uni"/>
      <w:kern w:val="1"/>
      <w:sz w:val="28"/>
      <w:szCs w:val="28"/>
      <w:lang w:eastAsia="ar-SA"/>
    </w:rPr>
  </w:style>
  <w:style w:type="paragraph" w:customStyle="1" w:styleId="317">
    <w:name w:val="文"/>
    <w:basedOn w:val="45"/>
    <w:autoRedefine/>
    <w:qFormat/>
    <w:uiPriority w:val="0"/>
    <w:pPr>
      <w:spacing w:line="360" w:lineRule="auto"/>
      <w:ind w:firstLine="480" w:firstLineChars="200"/>
    </w:pPr>
    <w:rPr>
      <w:rFonts w:hint="eastAsia" w:ascii="黑体" w:hAnsi="Times New Roman" w:eastAsia="黑体"/>
      <w:bCs/>
      <w:sz w:val="24"/>
    </w:rPr>
  </w:style>
  <w:style w:type="paragraph" w:customStyle="1" w:styleId="318">
    <w:name w:val="表格内容"/>
    <w:basedOn w:val="1"/>
    <w:autoRedefine/>
    <w:qFormat/>
    <w:uiPriority w:val="0"/>
    <w:pPr>
      <w:suppressLineNumbers/>
      <w:suppressAutoHyphens/>
    </w:pPr>
    <w:rPr>
      <w:kern w:val="1"/>
      <w:lang w:eastAsia="ar-SA"/>
    </w:rPr>
  </w:style>
  <w:style w:type="paragraph" w:customStyle="1" w:styleId="319">
    <w:name w:val="2"/>
    <w:basedOn w:val="1"/>
    <w:next w:val="45"/>
    <w:autoRedefine/>
    <w:qFormat/>
    <w:uiPriority w:val="0"/>
    <w:rPr>
      <w:rFonts w:hint="eastAsia" w:ascii="宋体" w:hAnsi="Courier New"/>
    </w:rPr>
  </w:style>
  <w:style w:type="paragraph" w:customStyle="1" w:styleId="320">
    <w:name w:val="(符号)一标题第一部分"/>
    <w:basedOn w:val="1"/>
    <w:autoRedefine/>
    <w:qFormat/>
    <w:uiPriority w:val="0"/>
    <w:pPr>
      <w:spacing w:before="312" w:beforeLines="100" w:after="312" w:afterLines="100" w:line="500" w:lineRule="exact"/>
      <w:jc w:val="center"/>
      <w:outlineLvl w:val="1"/>
    </w:pPr>
    <w:rPr>
      <w:rFonts w:ascii="黑体" w:eastAsia="黑体" w:cs="宋体"/>
      <w:b/>
      <w:bCs/>
      <w:sz w:val="32"/>
      <w:szCs w:val="32"/>
    </w:rPr>
  </w:style>
  <w:style w:type="paragraph" w:customStyle="1" w:styleId="321">
    <w:name w:val="样式 宋体 小四 行距: 固定值 25 磅"/>
    <w:basedOn w:val="1"/>
    <w:autoRedefine/>
    <w:qFormat/>
    <w:uiPriority w:val="0"/>
    <w:pPr>
      <w:spacing w:line="500" w:lineRule="exact"/>
    </w:pPr>
    <w:rPr>
      <w:rFonts w:ascii="宋体" w:hAnsi="宋体" w:cs="宋体"/>
      <w:sz w:val="24"/>
    </w:rPr>
  </w:style>
  <w:style w:type="paragraph" w:customStyle="1" w:styleId="322">
    <w:name w:val="普通文字"/>
    <w:basedOn w:val="1"/>
    <w:autoRedefine/>
    <w:qFormat/>
    <w:uiPriority w:val="0"/>
    <w:pPr>
      <w:suppressAutoHyphens/>
    </w:pPr>
    <w:rPr>
      <w:rFonts w:ascii="宋体" w:hAnsi="宋体" w:cs="Courier New"/>
      <w:kern w:val="1"/>
      <w:szCs w:val="21"/>
      <w:lang w:eastAsia="ar-SA"/>
    </w:rPr>
  </w:style>
  <w:style w:type="paragraph" w:customStyle="1" w:styleId="323">
    <w:name w:val="样式 标题 1 + 四号 居中 段前: 12 磅 段后: 12 磅 行距: 单倍行距"/>
    <w:basedOn w:val="3"/>
    <w:autoRedefine/>
    <w:qFormat/>
    <w:uiPriority w:val="0"/>
    <w:pPr>
      <w:tabs>
        <w:tab w:val="left" w:pos="810"/>
      </w:tabs>
      <w:autoSpaceDE/>
      <w:autoSpaceDN/>
      <w:spacing w:before="240" w:after="240" w:line="240" w:lineRule="auto"/>
      <w:ind w:left="810" w:hanging="390"/>
      <w:textAlignment w:val="baseline"/>
    </w:pPr>
    <w:rPr>
      <w:rFonts w:hint="default" w:ascii="Times New Roman" w:cs="黑体"/>
      <w:bCs/>
      <w:kern w:val="44"/>
      <w:sz w:val="28"/>
    </w:rPr>
  </w:style>
  <w:style w:type="paragraph" w:customStyle="1" w:styleId="324">
    <w:name w:val="列出段落1"/>
    <w:basedOn w:val="1"/>
    <w:autoRedefine/>
    <w:qFormat/>
    <w:uiPriority w:val="99"/>
    <w:pPr>
      <w:spacing w:line="360" w:lineRule="auto"/>
      <w:ind w:firstLine="420" w:firstLineChars="200"/>
    </w:pPr>
    <w:rPr>
      <w:rFonts w:ascii="宋体" w:hAnsi="华文细黑"/>
      <w:color w:val="000000"/>
    </w:rPr>
  </w:style>
  <w:style w:type="paragraph" w:customStyle="1" w:styleId="325">
    <w:name w:val="表格标题"/>
    <w:basedOn w:val="318"/>
    <w:autoRedefine/>
    <w:qFormat/>
    <w:uiPriority w:val="0"/>
    <w:pPr>
      <w:jc w:val="center"/>
    </w:pPr>
    <w:rPr>
      <w:b/>
      <w:bCs/>
      <w:i/>
      <w:iCs/>
    </w:rPr>
  </w:style>
  <w:style w:type="paragraph" w:customStyle="1" w:styleId="326">
    <w:name w:val="（符号）内容四标题1.1"/>
    <w:basedOn w:val="1"/>
    <w:autoRedefine/>
    <w:qFormat/>
    <w:uiPriority w:val="0"/>
    <w:pPr>
      <w:tabs>
        <w:tab w:val="left" w:pos="420"/>
      </w:tabs>
      <w:spacing w:line="500" w:lineRule="exact"/>
      <w:ind w:left="430" w:hanging="430"/>
    </w:pPr>
    <w:rPr>
      <w:rFonts w:ascii="黑体"/>
      <w:sz w:val="24"/>
      <w:szCs w:val="21"/>
    </w:rPr>
  </w:style>
  <w:style w:type="paragraph" w:customStyle="1" w:styleId="327">
    <w:name w:val="(符号)三标题1.1"/>
    <w:basedOn w:val="1"/>
    <w:autoRedefine/>
    <w:qFormat/>
    <w:uiPriority w:val="0"/>
    <w:pPr>
      <w:numPr>
        <w:ilvl w:val="0"/>
        <w:numId w:val="2"/>
      </w:numPr>
      <w:spacing w:before="140" w:after="140" w:line="500" w:lineRule="exact"/>
      <w:outlineLvl w:val="2"/>
    </w:pPr>
    <w:rPr>
      <w:rFonts w:ascii="楷体_GB2312" w:hAnsi="宋体" w:eastAsia="楷体_GB2312" w:cs="宋体"/>
      <w:b/>
      <w:bCs/>
      <w:sz w:val="28"/>
    </w:rPr>
  </w:style>
  <w:style w:type="paragraph" w:customStyle="1" w:styleId="328">
    <w:name w:val="样式2"/>
    <w:basedOn w:val="1"/>
    <w:autoRedefine/>
    <w:qFormat/>
    <w:uiPriority w:val="0"/>
    <w:pPr>
      <w:tabs>
        <w:tab w:val="left" w:pos="420"/>
      </w:tabs>
      <w:spacing w:line="500" w:lineRule="exact"/>
      <w:ind w:left="430" w:hanging="430"/>
    </w:pPr>
    <w:rPr>
      <w:sz w:val="24"/>
    </w:rPr>
  </w:style>
  <w:style w:type="paragraph" w:customStyle="1" w:styleId="329">
    <w:name w:val="(符号)标书正文"/>
    <w:basedOn w:val="1"/>
    <w:autoRedefine/>
    <w:qFormat/>
    <w:uiPriority w:val="0"/>
    <w:pPr>
      <w:spacing w:line="500" w:lineRule="exact"/>
      <w:ind w:left="420"/>
    </w:pPr>
    <w:rPr>
      <w:rFonts w:ascii="宋体" w:hAnsi="宋体" w:cs="宋体"/>
      <w:sz w:val="24"/>
    </w:rPr>
  </w:style>
  <w:style w:type="paragraph" w:customStyle="1" w:styleId="330">
    <w:name w:val="目次、标准名称标题"/>
    <w:basedOn w:val="294"/>
    <w:next w:val="290"/>
    <w:autoRedefine/>
    <w:qFormat/>
    <w:uiPriority w:val="0"/>
    <w:pPr>
      <w:spacing w:line="460" w:lineRule="exact"/>
    </w:pPr>
  </w:style>
  <w:style w:type="paragraph" w:customStyle="1" w:styleId="331">
    <w:name w:val="五级条标题"/>
    <w:basedOn w:val="285"/>
    <w:next w:val="290"/>
    <w:autoRedefine/>
    <w:qFormat/>
    <w:uiPriority w:val="0"/>
    <w:pPr>
      <w:tabs>
        <w:tab w:val="left" w:pos="3420"/>
        <w:tab w:val="clear" w:pos="3000"/>
      </w:tabs>
      <w:ind w:left="3420"/>
      <w:outlineLvl w:val="6"/>
    </w:pPr>
  </w:style>
  <w:style w:type="paragraph" w:customStyle="1" w:styleId="332">
    <w:name w:val="内容目录 10"/>
    <w:basedOn w:val="333"/>
    <w:autoRedefine/>
    <w:qFormat/>
    <w:uiPriority w:val="0"/>
    <w:pPr>
      <w:tabs>
        <w:tab w:val="right" w:leader="dot" w:pos="9637"/>
      </w:tabs>
      <w:ind w:left="2547"/>
    </w:pPr>
  </w:style>
  <w:style w:type="paragraph" w:customStyle="1" w:styleId="333">
    <w:name w:val="目录"/>
    <w:basedOn w:val="1"/>
    <w:autoRedefine/>
    <w:qFormat/>
    <w:uiPriority w:val="0"/>
    <w:pPr>
      <w:suppressLineNumbers/>
      <w:suppressAutoHyphens/>
    </w:pPr>
    <w:rPr>
      <w:kern w:val="1"/>
      <w:lang w:eastAsia="ar-SA"/>
    </w:rPr>
  </w:style>
  <w:style w:type="paragraph" w:customStyle="1" w:styleId="334">
    <w:name w:val="列出段落{858D7CFB-ED40-4347-BF05-701D383B685F}{858D7CFB-ED40-4347-BF05-701D383B685F}"/>
    <w:basedOn w:val="1"/>
    <w:autoRedefine/>
    <w:qFormat/>
    <w:uiPriority w:val="0"/>
    <w:pPr>
      <w:ind w:firstLine="420" w:firstLineChars="200"/>
    </w:pPr>
  </w:style>
  <w:style w:type="paragraph" w:customStyle="1" w:styleId="335">
    <w:name w:val="xl31"/>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sz w:val="24"/>
    </w:rPr>
  </w:style>
  <w:style w:type="paragraph" w:customStyle="1" w:styleId="336">
    <w:name w:val="重点"/>
    <w:basedOn w:val="1"/>
    <w:autoRedefine/>
    <w:qFormat/>
    <w:uiPriority w:val="0"/>
    <w:pPr>
      <w:spacing w:line="360" w:lineRule="auto"/>
      <w:ind w:left="284"/>
    </w:pPr>
    <w:rPr>
      <w:rFonts w:ascii="Arial Black" w:hAnsi="Arial Black" w:eastAsia="楷体_GB2312" w:cs="Arial Black"/>
      <w:b/>
      <w:bCs/>
      <w:sz w:val="28"/>
      <w:szCs w:val="28"/>
    </w:rPr>
  </w:style>
  <w:style w:type="paragraph" w:customStyle="1" w:styleId="337">
    <w:name w:val="正文缩进1"/>
    <w:basedOn w:val="1"/>
    <w:autoRedefine/>
    <w:qFormat/>
    <w:uiPriority w:val="0"/>
    <w:pPr>
      <w:ind w:firstLine="420"/>
    </w:pPr>
  </w:style>
  <w:style w:type="paragraph" w:customStyle="1" w:styleId="338">
    <w:name w:val="（符号）二标题1."/>
    <w:basedOn w:val="1"/>
    <w:autoRedefine/>
    <w:qFormat/>
    <w:uiPriority w:val="0"/>
  </w:style>
  <w:style w:type="paragraph" w:customStyle="1" w:styleId="339">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4"/>
    </w:rPr>
  </w:style>
  <w:style w:type="paragraph" w:customStyle="1" w:styleId="340">
    <w:name w:val="表格文本"/>
    <w:basedOn w:val="1"/>
    <w:autoRedefine/>
    <w:qFormat/>
    <w:uiPriority w:val="0"/>
    <w:pPr>
      <w:tabs>
        <w:tab w:val="decimal" w:pos="0"/>
      </w:tabs>
      <w:autoSpaceDE w:val="0"/>
      <w:autoSpaceDN w:val="0"/>
      <w:adjustRightInd w:val="0"/>
      <w:jc w:val="left"/>
    </w:pPr>
    <w:rPr>
      <w:rFonts w:ascii="Arial" w:hAnsi="Arial"/>
      <w:szCs w:val="21"/>
    </w:rPr>
  </w:style>
  <w:style w:type="paragraph" w:customStyle="1" w:styleId="341">
    <w:name w:val="（符号）投标一、"/>
    <w:basedOn w:val="1"/>
    <w:autoRedefine/>
    <w:qFormat/>
    <w:uiPriority w:val="0"/>
    <w:pPr>
      <w:tabs>
        <w:tab w:val="left" w:pos="980"/>
      </w:tabs>
      <w:spacing w:line="460" w:lineRule="exact"/>
      <w:ind w:left="980" w:hanging="498"/>
    </w:pPr>
  </w:style>
  <w:style w:type="paragraph" w:customStyle="1" w:styleId="342">
    <w:name w:val="（符号）二标题总则"/>
    <w:basedOn w:val="320"/>
    <w:autoRedefine/>
    <w:qFormat/>
    <w:uiPriority w:val="0"/>
    <w:pPr>
      <w:spacing w:before="156" w:beforeLines="50" w:after="156" w:afterLines="50" w:line="440" w:lineRule="atLeast"/>
    </w:pPr>
  </w:style>
  <w:style w:type="paragraph" w:customStyle="1" w:styleId="343">
    <w:name w:val="正文1"/>
    <w:autoRedefine/>
    <w:qFormat/>
    <w:uiPriority w:val="0"/>
    <w:pPr>
      <w:widowControl w:val="0"/>
      <w:adjustRightInd w:val="0"/>
      <w:spacing w:line="360" w:lineRule="atLeast"/>
    </w:pPr>
    <w:rPr>
      <w:rFonts w:hint="eastAsia" w:ascii="宋体" w:hAnsi="Times New Roman" w:eastAsia="宋体" w:cs="Times New Roman"/>
      <w:kern w:val="0"/>
      <w:sz w:val="34"/>
      <w:szCs w:val="20"/>
      <w:lang w:val="en-US" w:eastAsia="zh-CN" w:bidi="ar-SA"/>
    </w:rPr>
  </w:style>
  <w:style w:type="paragraph" w:customStyle="1" w:styleId="344">
    <w:name w:val="正文文字 3"/>
    <w:basedOn w:val="1"/>
    <w:autoRedefine/>
    <w:qFormat/>
    <w:uiPriority w:val="0"/>
    <w:pPr>
      <w:suppressAutoHyphens/>
      <w:spacing w:after="120"/>
    </w:pPr>
    <w:rPr>
      <w:kern w:val="1"/>
      <w:sz w:val="16"/>
      <w:szCs w:val="16"/>
      <w:lang w:eastAsia="ar-SA"/>
    </w:rPr>
  </w:style>
  <w:style w:type="paragraph" w:customStyle="1" w:styleId="345">
    <w:name w:val="（符号）内容四标题1.1.1"/>
    <w:basedOn w:val="1"/>
    <w:autoRedefine/>
    <w:qFormat/>
    <w:uiPriority w:val="0"/>
    <w:pPr>
      <w:tabs>
        <w:tab w:val="left" w:pos="1000"/>
      </w:tabs>
      <w:spacing w:line="500" w:lineRule="exact"/>
      <w:ind w:left="1000" w:hanging="1000"/>
    </w:pPr>
    <w:rPr>
      <w:rFonts w:ascii="宋体" w:hAnsi="宋体"/>
      <w:sz w:val="24"/>
    </w:rPr>
  </w:style>
  <w:style w:type="paragraph" w:customStyle="1" w:styleId="346">
    <w:name w:val="font7"/>
    <w:basedOn w:val="1"/>
    <w:autoRedefine/>
    <w:qFormat/>
    <w:uiPriority w:val="0"/>
    <w:pPr>
      <w:widowControl/>
      <w:spacing w:before="100" w:beforeAutospacing="1" w:after="100" w:afterAutospacing="1"/>
      <w:jc w:val="left"/>
    </w:pPr>
    <w:rPr>
      <w:b/>
      <w:bCs/>
      <w:sz w:val="22"/>
      <w:szCs w:val="22"/>
    </w:rPr>
  </w:style>
  <w:style w:type="paragraph" w:customStyle="1" w:styleId="347">
    <w:name w:val="xl30"/>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sz w:val="24"/>
    </w:rPr>
  </w:style>
  <w:style w:type="paragraph" w:customStyle="1" w:styleId="348">
    <w:name w:val="Char Char Char"/>
    <w:basedOn w:val="1"/>
    <w:autoRedefine/>
    <w:qFormat/>
    <w:uiPriority w:val="0"/>
    <w:rPr>
      <w:rFonts w:ascii="Tahoma" w:hAnsi="Tahoma"/>
      <w:sz w:val="24"/>
    </w:rPr>
  </w:style>
  <w:style w:type="paragraph" w:customStyle="1" w:styleId="349">
    <w:name w:val="Bibliography"/>
    <w:basedOn w:val="1"/>
    <w:next w:val="1"/>
    <w:autoRedefine/>
    <w:unhideWhenUsed/>
    <w:qFormat/>
    <w:uiPriority w:val="37"/>
  </w:style>
  <w:style w:type="paragraph" w:customStyle="1" w:styleId="350">
    <w:name w:val="p17"/>
    <w:basedOn w:val="1"/>
    <w:autoRedefine/>
    <w:qFormat/>
    <w:uiPriority w:val="0"/>
    <w:pPr>
      <w:widowControl/>
      <w:ind w:firstLine="630"/>
    </w:pPr>
    <w:rPr>
      <w:rFonts w:ascii="宋体" w:hAnsi="宋体" w:cs="宋体"/>
      <w:sz w:val="32"/>
      <w:szCs w:val="32"/>
    </w:rPr>
  </w:style>
  <w:style w:type="paragraph" w:customStyle="1" w:styleId="351">
    <w:name w:val="论文正文(教授"/>
    <w:basedOn w:val="1"/>
    <w:autoRedefine/>
    <w:qFormat/>
    <w:uiPriority w:val="0"/>
    <w:pPr>
      <w:snapToGrid w:val="0"/>
      <w:spacing w:line="320" w:lineRule="atLeast"/>
      <w:ind w:firstLine="200" w:firstLineChars="200"/>
    </w:pPr>
    <w:rPr>
      <w:rFonts w:ascii="仿宋_GB2312" w:hAnsi="仿宋_GB2312"/>
      <w:spacing w:val="12"/>
    </w:rPr>
  </w:style>
  <w:style w:type="paragraph" w:customStyle="1" w:styleId="352">
    <w:name w:val="xl5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353">
    <w:name w:val="日期1"/>
    <w:basedOn w:val="1"/>
    <w:next w:val="1"/>
    <w:autoRedefine/>
    <w:qFormat/>
    <w:uiPriority w:val="0"/>
    <w:pPr>
      <w:suppressAutoHyphens/>
      <w:ind w:left="100"/>
    </w:pPr>
    <w:rPr>
      <w:rFonts w:eastAsia="楷体_GB2312"/>
      <w:b/>
      <w:kern w:val="1"/>
      <w:sz w:val="36"/>
      <w:szCs w:val="30"/>
      <w:lang w:eastAsia="ar-SA"/>
    </w:rPr>
  </w:style>
  <w:style w:type="paragraph" w:customStyle="1" w:styleId="354">
    <w:name w:val="（符号）目录3"/>
    <w:basedOn w:val="1"/>
    <w:autoRedefine/>
    <w:qFormat/>
    <w:uiPriority w:val="0"/>
    <w:pPr>
      <w:spacing w:line="500" w:lineRule="exact"/>
      <w:ind w:left="1000"/>
    </w:pPr>
    <w:rPr>
      <w:rFonts w:cs="宋体"/>
      <w:sz w:val="24"/>
    </w:rPr>
  </w:style>
  <w:style w:type="paragraph" w:customStyle="1" w:styleId="355">
    <w:name w:val="xl42"/>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sz w:val="24"/>
    </w:rPr>
  </w:style>
  <w:style w:type="paragraph" w:customStyle="1" w:styleId="356">
    <w:name w:val="框内容"/>
    <w:basedOn w:val="34"/>
    <w:autoRedefine/>
    <w:qFormat/>
    <w:uiPriority w:val="0"/>
    <w:pPr>
      <w:suppressAutoHyphens/>
    </w:pPr>
    <w:rPr>
      <w:kern w:val="1"/>
      <w:lang w:eastAsia="ar-SA"/>
    </w:rPr>
  </w:style>
  <w:style w:type="paragraph" w:customStyle="1" w:styleId="357">
    <w:name w:val="样式 小四 行距: 固定值 25 磅"/>
    <w:basedOn w:val="1"/>
    <w:next w:val="358"/>
    <w:autoRedefine/>
    <w:qFormat/>
    <w:uiPriority w:val="0"/>
    <w:pPr>
      <w:spacing w:line="500" w:lineRule="exact"/>
    </w:pPr>
    <w:rPr>
      <w:rFonts w:cs="宋体"/>
      <w:sz w:val="24"/>
    </w:rPr>
  </w:style>
  <w:style w:type="paragraph" w:customStyle="1" w:styleId="358">
    <w:name w:val="（符号）目录1"/>
    <w:basedOn w:val="1"/>
    <w:autoRedefine/>
    <w:qFormat/>
    <w:uiPriority w:val="0"/>
    <w:pPr>
      <w:spacing w:line="500" w:lineRule="exact"/>
    </w:pPr>
    <w:rPr>
      <w:rFonts w:cs="宋体"/>
      <w:sz w:val="24"/>
    </w:rPr>
  </w:style>
  <w:style w:type="paragraph" w:customStyle="1" w:styleId="359">
    <w:name w:val="正文2"/>
    <w:autoRedefine/>
    <w:qFormat/>
    <w:uiPriority w:val="0"/>
    <w:pPr>
      <w:widowControl w:val="0"/>
      <w:adjustRightInd w:val="0"/>
      <w:spacing w:line="360" w:lineRule="atLeast"/>
    </w:pPr>
    <w:rPr>
      <w:rFonts w:hint="eastAsia" w:ascii="宋体" w:hAnsi="Times New Roman" w:eastAsia="宋体" w:cs="Times New Roman"/>
      <w:kern w:val="0"/>
      <w:sz w:val="34"/>
      <w:szCs w:val="20"/>
      <w:lang w:val="en-US" w:eastAsia="zh-CN" w:bidi="ar-SA"/>
    </w:rPr>
  </w:style>
  <w:style w:type="paragraph" w:customStyle="1" w:styleId="360">
    <w:name w:val="(符号)四标题1.1"/>
    <w:basedOn w:val="1"/>
    <w:autoRedefine/>
    <w:qFormat/>
    <w:uiPriority w:val="0"/>
    <w:pPr>
      <w:tabs>
        <w:tab w:val="left" w:pos="567"/>
      </w:tabs>
      <w:spacing w:line="500" w:lineRule="exact"/>
      <w:ind w:left="567" w:hanging="567"/>
    </w:pPr>
    <w:rPr>
      <w:rFonts w:ascii="宋体" w:hAnsi="宋体" w:cs="宋体"/>
      <w:color w:val="000000"/>
      <w:sz w:val="24"/>
    </w:rPr>
  </w:style>
  <w:style w:type="paragraph" w:customStyle="1" w:styleId="361">
    <w:name w:val="xl3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sz w:val="24"/>
    </w:rPr>
  </w:style>
  <w:style w:type="paragraph" w:customStyle="1" w:styleId="362">
    <w:name w:val="Char1 Char Char Char"/>
    <w:basedOn w:val="1"/>
    <w:autoRedefine/>
    <w:qFormat/>
    <w:uiPriority w:val="0"/>
    <w:pPr>
      <w:adjustRightInd w:val="0"/>
      <w:spacing w:line="360" w:lineRule="auto"/>
    </w:pPr>
    <w:rPr>
      <w:sz w:val="24"/>
    </w:rPr>
  </w:style>
  <w:style w:type="paragraph" w:customStyle="1" w:styleId="363">
    <w:name w:val="Char Char1 Char Char Char Char Char Char Char Char Char Char Char Char Char Char Char"/>
    <w:basedOn w:val="1"/>
    <w:autoRedefine/>
    <w:qFormat/>
    <w:uiPriority w:val="0"/>
    <w:pPr>
      <w:widowControl/>
      <w:spacing w:after="160" w:line="240" w:lineRule="exact"/>
      <w:jc w:val="left"/>
    </w:pPr>
    <w:rPr>
      <w:sz w:val="28"/>
    </w:rPr>
  </w:style>
  <w:style w:type="paragraph" w:customStyle="1" w:styleId="364">
    <w:name w:val="xl4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sz w:val="24"/>
    </w:rPr>
  </w:style>
  <w:style w:type="paragraph" w:customStyle="1" w:styleId="365">
    <w:name w:val="Default"/>
    <w:link w:val="420"/>
    <w:autoRedefine/>
    <w:qFormat/>
    <w:uiPriority w:val="0"/>
    <w:pPr>
      <w:widowControl w:val="0"/>
      <w:autoSpaceDE w:val="0"/>
      <w:autoSpaceDN w:val="0"/>
      <w:adjustRightInd w:val="0"/>
    </w:pPr>
    <w:rPr>
      <w:rFonts w:ascii=".." w:hAnsi="Times New Roman" w:eastAsia=".." w:cs="Times New Roman"/>
      <w:color w:val="000000"/>
      <w:kern w:val="0"/>
      <w:sz w:val="24"/>
      <w:szCs w:val="24"/>
      <w:lang w:val="en-US" w:eastAsia="zh-CN" w:bidi="ar-SA"/>
    </w:rPr>
  </w:style>
  <w:style w:type="paragraph" w:customStyle="1" w:styleId="366">
    <w:name w:val="Blockquote"/>
    <w:basedOn w:val="1"/>
    <w:autoRedefine/>
    <w:qFormat/>
    <w:uiPriority w:val="0"/>
    <w:pPr>
      <w:autoSpaceDE w:val="0"/>
      <w:autoSpaceDN w:val="0"/>
      <w:adjustRightInd w:val="0"/>
      <w:spacing w:before="100" w:after="100"/>
      <w:ind w:left="360" w:right="360"/>
      <w:jc w:val="left"/>
    </w:pPr>
    <w:rPr>
      <w:sz w:val="24"/>
    </w:rPr>
  </w:style>
  <w:style w:type="paragraph" w:customStyle="1" w:styleId="367">
    <w:name w:val="样式 标题 4 + 行距: 多倍行距 1.57 字行"/>
    <w:basedOn w:val="6"/>
    <w:autoRedefine/>
    <w:qFormat/>
    <w:uiPriority w:val="0"/>
    <w:pPr>
      <w:widowControl/>
      <w:adjustRightInd/>
      <w:snapToGrid/>
      <w:spacing w:line="377" w:lineRule="auto"/>
      <w:ind w:left="150" w:leftChars="50" w:firstLine="0"/>
      <w:jc w:val="left"/>
    </w:pPr>
    <w:rPr>
      <w:rFonts w:ascii="Arial" w:hAnsi="Arial" w:eastAsia="仿宋_GB2312" w:cs="Arial"/>
      <w:snapToGrid/>
      <w:kern w:val="2"/>
      <w:sz w:val="30"/>
      <w:szCs w:val="30"/>
    </w:rPr>
  </w:style>
  <w:style w:type="paragraph" w:customStyle="1" w:styleId="368">
    <w:name w:val="圆点标号"/>
    <w:basedOn w:val="1"/>
    <w:autoRedefine/>
    <w:qFormat/>
    <w:uiPriority w:val="0"/>
    <w:pPr>
      <w:tabs>
        <w:tab w:val="left" w:pos="1440"/>
      </w:tabs>
      <w:spacing w:line="360" w:lineRule="auto"/>
      <w:ind w:left="839" w:hanging="357"/>
    </w:pPr>
    <w:rPr>
      <w:sz w:val="24"/>
    </w:rPr>
  </w:style>
  <w:style w:type="paragraph" w:customStyle="1" w:styleId="369">
    <w:name w:val="（符号）二标题1"/>
    <w:basedOn w:val="1"/>
    <w:autoRedefine/>
    <w:qFormat/>
    <w:uiPriority w:val="0"/>
    <w:pPr>
      <w:spacing w:before="140" w:after="140" w:line="500" w:lineRule="exact"/>
      <w:outlineLvl w:val="1"/>
    </w:pPr>
    <w:rPr>
      <w:rFonts w:ascii="楷体_GB2312" w:eastAsia="楷体_GB2312" w:cs="宋体"/>
      <w:b/>
      <w:bCs/>
      <w:sz w:val="28"/>
    </w:rPr>
  </w:style>
  <w:style w:type="paragraph" w:customStyle="1" w:styleId="370">
    <w:name w:val="样式 标题 3 + (中文) 黑体 小四 非加粗 段前: 7.8 磅 段后: 0 磅 行距: 固定值 20 磅"/>
    <w:basedOn w:val="5"/>
    <w:autoRedefine/>
    <w:qFormat/>
    <w:uiPriority w:val="0"/>
    <w:pPr>
      <w:spacing w:before="0" w:after="0" w:line="400" w:lineRule="exact"/>
      <w:jc w:val="both"/>
    </w:pPr>
    <w:rPr>
      <w:rFonts w:eastAsia="黑体" w:cs="宋体"/>
      <w:b w:val="0"/>
      <w:sz w:val="24"/>
    </w:rPr>
  </w:style>
  <w:style w:type="paragraph" w:customStyle="1" w:styleId="371">
    <w:name w:val="xl4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sz w:val="24"/>
    </w:rPr>
  </w:style>
  <w:style w:type="paragraph" w:customStyle="1" w:styleId="372">
    <w:name w:val="样式 标题 4 + 左侧:  1.11 厘米"/>
    <w:basedOn w:val="6"/>
    <w:autoRedefine/>
    <w:qFormat/>
    <w:uiPriority w:val="0"/>
    <w:pPr>
      <w:widowControl/>
      <w:adjustRightInd/>
      <w:snapToGrid/>
      <w:spacing w:line="377" w:lineRule="auto"/>
      <w:ind w:left="0" w:firstLine="0"/>
      <w:jc w:val="left"/>
    </w:pPr>
    <w:rPr>
      <w:rFonts w:ascii="Arial" w:hAnsi="Arial" w:eastAsia="黑体" w:cs="Arial"/>
      <w:snapToGrid/>
      <w:kern w:val="2"/>
      <w:sz w:val="30"/>
      <w:szCs w:val="30"/>
    </w:rPr>
  </w:style>
  <w:style w:type="character" w:customStyle="1" w:styleId="373">
    <w:name w:val="明显引用 字符1"/>
    <w:basedOn w:val="90"/>
    <w:autoRedefine/>
    <w:qFormat/>
    <w:uiPriority w:val="30"/>
    <w:rPr>
      <w:rFonts w:ascii="Times New Roman" w:hAnsi="Times New Roman" w:eastAsia="宋体" w:cs="Times New Roman"/>
      <w:i/>
      <w:iCs/>
      <w:color w:val="4472C4" w:themeColor="accent1"/>
      <w:kern w:val="0"/>
      <w:sz w:val="20"/>
      <w:szCs w:val="20"/>
      <w14:textFill>
        <w14:solidFill>
          <w14:schemeClr w14:val="accent1"/>
        </w14:solidFill>
      </w14:textFill>
    </w:rPr>
  </w:style>
  <w:style w:type="paragraph" w:customStyle="1" w:styleId="374">
    <w:name w:val="Char Char Char Char"/>
    <w:basedOn w:val="1"/>
    <w:autoRedefine/>
    <w:qFormat/>
    <w:uiPriority w:val="0"/>
    <w:pPr>
      <w:widowControl/>
      <w:spacing w:after="160" w:line="240" w:lineRule="exact"/>
      <w:jc w:val="left"/>
    </w:pPr>
    <w:rPr>
      <w:rFonts w:ascii="Verdana" w:hAnsi="Verdana"/>
      <w:lang w:eastAsia="en-US"/>
    </w:rPr>
  </w:style>
  <w:style w:type="paragraph" w:customStyle="1" w:styleId="375">
    <w:name w:val="Char Char Char Char Char Char Char Char Char Char Char Char Char Char Char Char Char Char Char"/>
    <w:basedOn w:val="1"/>
    <w:autoRedefine/>
    <w:qFormat/>
    <w:uiPriority w:val="0"/>
    <w:pPr>
      <w:widowControl/>
      <w:spacing w:after="160" w:line="240" w:lineRule="exact"/>
      <w:jc w:val="left"/>
    </w:pPr>
    <w:rPr>
      <w:rFonts w:ascii="Verdana" w:hAnsi="Verdana"/>
      <w:lang w:eastAsia="en-US"/>
    </w:rPr>
  </w:style>
  <w:style w:type="paragraph" w:customStyle="1" w:styleId="376">
    <w:name w:val="样式1"/>
    <w:basedOn w:val="1"/>
    <w:autoRedefine/>
    <w:qFormat/>
    <w:uiPriority w:val="0"/>
    <w:pPr>
      <w:tabs>
        <w:tab w:val="left" w:pos="709"/>
      </w:tabs>
      <w:adjustRightInd w:val="0"/>
      <w:ind w:left="709" w:hanging="709"/>
      <w:textAlignment w:val="baseline"/>
    </w:pPr>
    <w:rPr>
      <w:rFonts w:ascii="宋体" w:hAnsi="宋体"/>
      <w:szCs w:val="21"/>
    </w:rPr>
  </w:style>
  <w:style w:type="paragraph" w:customStyle="1" w:styleId="377">
    <w:name w:val="纯文本3"/>
    <w:basedOn w:val="1"/>
    <w:autoRedefine/>
    <w:qFormat/>
    <w:uiPriority w:val="0"/>
    <w:rPr>
      <w:rFonts w:ascii="宋体" w:hAnsi="Courier New"/>
    </w:rPr>
  </w:style>
  <w:style w:type="paragraph" w:customStyle="1" w:styleId="378">
    <w:name w:val="xl3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sz w:val="24"/>
    </w:rPr>
  </w:style>
  <w:style w:type="paragraph" w:customStyle="1" w:styleId="379">
    <w:name w:val="xl5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rPr>
  </w:style>
  <w:style w:type="paragraph" w:customStyle="1" w:styleId="380">
    <w:name w:val="È±Ê¡ÎÄ±¾"/>
    <w:basedOn w:val="1"/>
    <w:autoRedefine/>
    <w:qFormat/>
    <w:uiPriority w:val="0"/>
    <w:pPr>
      <w:widowControl/>
      <w:overflowPunct w:val="0"/>
      <w:autoSpaceDE w:val="0"/>
      <w:autoSpaceDN w:val="0"/>
      <w:adjustRightInd w:val="0"/>
      <w:jc w:val="left"/>
    </w:pPr>
    <w:rPr>
      <w:sz w:val="24"/>
    </w:rPr>
  </w:style>
  <w:style w:type="paragraph" w:customStyle="1" w:styleId="381">
    <w:name w:val="_Style 24"/>
    <w:basedOn w:val="1"/>
    <w:next w:val="81"/>
    <w:autoRedefine/>
    <w:qFormat/>
    <w:uiPriority w:val="0"/>
    <w:pPr>
      <w:widowControl/>
      <w:spacing w:before="100" w:beforeAutospacing="1" w:after="100" w:afterAutospacing="1"/>
      <w:jc w:val="left"/>
    </w:pPr>
    <w:rPr>
      <w:rFonts w:ascii="宋体" w:hAnsi="宋体"/>
      <w:sz w:val="24"/>
    </w:rPr>
  </w:style>
  <w:style w:type="paragraph" w:customStyle="1" w:styleId="382">
    <w:name w:val="部分1"/>
    <w:basedOn w:val="1"/>
    <w:autoRedefine/>
    <w:qFormat/>
    <w:uiPriority w:val="0"/>
    <w:pPr>
      <w:keepNext/>
      <w:pageBreakBefore/>
      <w:tabs>
        <w:tab w:val="left" w:pos="1272"/>
      </w:tabs>
      <w:spacing w:line="360" w:lineRule="auto"/>
      <w:ind w:left="1272" w:hanging="1272"/>
      <w:jc w:val="center"/>
      <w:outlineLvl w:val="0"/>
    </w:pPr>
    <w:rPr>
      <w:rFonts w:eastAsia="黑体"/>
      <w:b/>
      <w:bCs/>
      <w:kern w:val="44"/>
      <w:sz w:val="36"/>
      <w:szCs w:val="36"/>
    </w:rPr>
  </w:style>
  <w:style w:type="paragraph" w:customStyle="1" w:styleId="383">
    <w:name w:val="xl4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color w:val="000000"/>
      <w:sz w:val="24"/>
    </w:rPr>
  </w:style>
  <w:style w:type="paragraph" w:customStyle="1" w:styleId="384">
    <w:name w:val="样式7"/>
    <w:basedOn w:val="1"/>
    <w:autoRedefine/>
    <w:qFormat/>
    <w:uiPriority w:val="0"/>
    <w:pPr>
      <w:suppressAutoHyphens/>
      <w:autoSpaceDE w:val="0"/>
      <w:spacing w:line="440" w:lineRule="atLeast"/>
      <w:ind w:firstLine="601"/>
      <w:textAlignment w:val="baseline"/>
    </w:pPr>
    <w:rPr>
      <w:rFonts w:ascii="宋体" w:hAnsi="宋体"/>
      <w:kern w:val="1"/>
      <w:sz w:val="24"/>
      <w:lang w:eastAsia="ar-SA"/>
    </w:rPr>
  </w:style>
  <w:style w:type="paragraph" w:customStyle="1" w:styleId="385">
    <w:name w:val="Mao正文(五号)"/>
    <w:basedOn w:val="1"/>
    <w:autoRedefine/>
    <w:qFormat/>
    <w:uiPriority w:val="99"/>
    <w:pPr>
      <w:spacing w:line="300" w:lineRule="auto"/>
      <w:ind w:firstLine="200" w:firstLineChars="200"/>
    </w:pPr>
    <w:rPr>
      <w:color w:val="000000"/>
      <w:szCs w:val="21"/>
    </w:rPr>
  </w:style>
  <w:style w:type="paragraph" w:customStyle="1" w:styleId="386">
    <w:name w:val="xl39"/>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4"/>
    </w:rPr>
  </w:style>
  <w:style w:type="paragraph" w:customStyle="1" w:styleId="387">
    <w:name w:val="Char Char Char Char Char Char Char Char Char Char Char1 Char Char Char Char Char Char Char Char Char Char Char Char"/>
    <w:basedOn w:val="1"/>
    <w:autoRedefine/>
    <w:qFormat/>
    <w:uiPriority w:val="0"/>
    <w:rPr>
      <w:rFonts w:ascii="Tahoma" w:hAnsi="Tahoma"/>
      <w:sz w:val="24"/>
    </w:rPr>
  </w:style>
  <w:style w:type="paragraph" w:customStyle="1" w:styleId="388">
    <w:name w:val="font6"/>
    <w:basedOn w:val="1"/>
    <w:autoRedefine/>
    <w:qFormat/>
    <w:uiPriority w:val="0"/>
    <w:pPr>
      <w:widowControl/>
      <w:spacing w:before="100" w:beforeAutospacing="1" w:after="100" w:afterAutospacing="1"/>
      <w:jc w:val="left"/>
    </w:pPr>
    <w:rPr>
      <w:rFonts w:ascii="宋体" w:hAnsi="宋体" w:cs="宋体"/>
      <w:sz w:val="18"/>
      <w:szCs w:val="18"/>
    </w:rPr>
  </w:style>
  <w:style w:type="paragraph" w:customStyle="1" w:styleId="389">
    <w:name w:val="xl29"/>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sz w:val="24"/>
    </w:rPr>
  </w:style>
  <w:style w:type="paragraph" w:customStyle="1" w:styleId="390">
    <w:name w:val="Char1 Char Char Char Char Char Char"/>
    <w:basedOn w:val="1"/>
    <w:autoRedefine/>
    <w:qFormat/>
    <w:uiPriority w:val="0"/>
    <w:rPr>
      <w:rFonts w:ascii="Tahoma" w:hAnsi="Tahoma"/>
      <w:kern w:val="2"/>
      <w:sz w:val="24"/>
    </w:rPr>
  </w:style>
  <w:style w:type="paragraph" w:customStyle="1" w:styleId="391">
    <w:name w:val="(符号)三标题1."/>
    <w:basedOn w:val="1"/>
    <w:autoRedefine/>
    <w:qFormat/>
    <w:uiPriority w:val="0"/>
    <w:pPr>
      <w:tabs>
        <w:tab w:val="left" w:pos="420"/>
      </w:tabs>
      <w:spacing w:before="140" w:after="140" w:line="500" w:lineRule="exact"/>
      <w:ind w:left="430" w:hanging="430"/>
      <w:outlineLvl w:val="2"/>
    </w:pPr>
    <w:rPr>
      <w:rFonts w:ascii="楷体_GB2312" w:hAnsi="宋体" w:eastAsia="楷体_GB2312" w:cs="宋体"/>
      <w:b/>
      <w:bCs/>
      <w:sz w:val="28"/>
    </w:rPr>
  </w:style>
  <w:style w:type="paragraph" w:customStyle="1" w:styleId="392">
    <w:name w:val="样式"/>
    <w:basedOn w:val="1"/>
    <w:autoRedefine/>
    <w:qFormat/>
    <w:uiPriority w:val="0"/>
    <w:pPr>
      <w:autoSpaceDE w:val="0"/>
      <w:autoSpaceDN w:val="0"/>
      <w:snapToGrid w:val="0"/>
      <w:spacing w:before="120" w:after="120" w:line="360" w:lineRule="auto"/>
    </w:pPr>
    <w:rPr>
      <w:rFonts w:ascii="宋体"/>
      <w:sz w:val="24"/>
    </w:rPr>
  </w:style>
  <w:style w:type="paragraph" w:customStyle="1" w:styleId="393">
    <w:name w:val="（符号）内容三标题1.1"/>
    <w:basedOn w:val="1"/>
    <w:autoRedefine/>
    <w:qFormat/>
    <w:uiPriority w:val="0"/>
    <w:pPr>
      <w:spacing w:line="500" w:lineRule="exact"/>
    </w:pPr>
    <w:rPr>
      <w:rFonts w:ascii="黑体" w:hAnsi="宋体" w:eastAsia="黑体"/>
      <w:b/>
      <w:bCs/>
      <w:sz w:val="24"/>
    </w:rPr>
  </w:style>
  <w:style w:type="paragraph" w:customStyle="1" w:styleId="394">
    <w:name w:val="标签"/>
    <w:basedOn w:val="1"/>
    <w:autoRedefine/>
    <w:qFormat/>
    <w:uiPriority w:val="0"/>
    <w:pPr>
      <w:suppressLineNumbers/>
      <w:suppressAutoHyphens/>
      <w:spacing w:before="120" w:after="120"/>
    </w:pPr>
    <w:rPr>
      <w:i/>
      <w:iCs/>
      <w:kern w:val="1"/>
      <w:sz w:val="24"/>
      <w:lang w:eastAsia="ar-SA"/>
    </w:rPr>
  </w:style>
  <w:style w:type="character" w:customStyle="1" w:styleId="395">
    <w:name w:val="z-窗体顶端 字符1"/>
    <w:basedOn w:val="90"/>
    <w:autoRedefine/>
    <w:semiHidden/>
    <w:qFormat/>
    <w:uiPriority w:val="99"/>
    <w:rPr>
      <w:rFonts w:ascii="Arial" w:hAnsi="Arial" w:eastAsia="宋体" w:cs="Arial"/>
      <w:vanish/>
      <w:kern w:val="0"/>
      <w:sz w:val="16"/>
      <w:szCs w:val="16"/>
    </w:rPr>
  </w:style>
  <w:style w:type="paragraph" w:styleId="396">
    <w:name w:val="List Paragraph"/>
    <w:basedOn w:val="1"/>
    <w:link w:val="418"/>
    <w:autoRedefine/>
    <w:qFormat/>
    <w:uiPriority w:val="34"/>
    <w:pPr>
      <w:ind w:firstLine="420" w:firstLineChars="200"/>
    </w:pPr>
  </w:style>
  <w:style w:type="paragraph" w:customStyle="1" w:styleId="397">
    <w:name w:val="xl4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华文细黑" w:hAnsi="华文细黑" w:eastAsia="华文细黑" w:cs="宋体"/>
      <w:color w:val="000000"/>
      <w:sz w:val="24"/>
    </w:rPr>
  </w:style>
  <w:style w:type="paragraph" w:customStyle="1" w:styleId="398">
    <w:name w:val="样式章节"/>
    <w:basedOn w:val="3"/>
    <w:autoRedefine/>
    <w:qFormat/>
    <w:uiPriority w:val="99"/>
    <w:pPr>
      <w:keepLines w:val="0"/>
      <w:tabs>
        <w:tab w:val="left" w:pos="432"/>
      </w:tabs>
      <w:spacing w:before="0" w:after="0" w:line="240" w:lineRule="auto"/>
      <w:ind w:left="432" w:hanging="432"/>
    </w:pPr>
    <w:rPr>
      <w:rFonts w:hint="default" w:ascii="Times New Roman"/>
      <w:b w:val="0"/>
      <w:kern w:val="2"/>
      <w:sz w:val="32"/>
      <w:szCs w:val="32"/>
      <w:lang w:val="zh-CN"/>
    </w:rPr>
  </w:style>
  <w:style w:type="paragraph" w:customStyle="1" w:styleId="399">
    <w:name w:val="xl4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4"/>
    </w:rPr>
  </w:style>
  <w:style w:type="paragraph" w:customStyle="1" w:styleId="400">
    <w:name w:val="样式 标题 2 + (西文) Times New Roman (中文) 宋体 小四"/>
    <w:basedOn w:val="4"/>
    <w:autoRedefine/>
    <w:qFormat/>
    <w:uiPriority w:val="0"/>
    <w:pPr>
      <w:spacing w:before="312" w:beforeLines="100" w:after="0" w:line="500" w:lineRule="exact"/>
    </w:pPr>
    <w:rPr>
      <w:rFonts w:ascii="Times New Roman" w:hAnsi="Times New Roman" w:eastAsia="宋体"/>
      <w:b w:val="0"/>
      <w:sz w:val="24"/>
    </w:rPr>
  </w:style>
  <w:style w:type="paragraph" w:customStyle="1" w:styleId="401">
    <w:name w:val="zw1"/>
    <w:basedOn w:val="1"/>
    <w:autoRedefine/>
    <w:qFormat/>
    <w:uiPriority w:val="0"/>
    <w:pPr>
      <w:widowControl/>
      <w:spacing w:before="100" w:beforeAutospacing="1" w:after="100" w:afterAutospacing="1"/>
      <w:jc w:val="left"/>
    </w:pPr>
    <w:rPr>
      <w:rFonts w:ascii="宋体" w:hAnsi="宋体"/>
      <w:sz w:val="24"/>
    </w:rPr>
  </w:style>
  <w:style w:type="paragraph" w:customStyle="1" w:styleId="402">
    <w:name w:val="我的重点"/>
    <w:basedOn w:val="336"/>
    <w:autoRedefine/>
    <w:qFormat/>
    <w:uiPriority w:val="0"/>
    <w:pPr>
      <w:ind w:left="0"/>
    </w:pPr>
    <w:rPr>
      <w:rFonts w:eastAsia="华文楷体"/>
      <w:i/>
      <w:iCs/>
    </w:rPr>
  </w:style>
  <w:style w:type="paragraph" w:customStyle="1" w:styleId="403">
    <w:name w:val="xl2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b/>
      <w:bCs/>
      <w:color w:val="000000"/>
      <w:sz w:val="24"/>
    </w:rPr>
  </w:style>
  <w:style w:type="paragraph" w:customStyle="1" w:styleId="404">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rPr>
  </w:style>
  <w:style w:type="paragraph" w:customStyle="1" w:styleId="405">
    <w:name w:val="（符号）普通正文"/>
    <w:basedOn w:val="1"/>
    <w:autoRedefine/>
    <w:qFormat/>
    <w:uiPriority w:val="0"/>
    <w:pPr>
      <w:spacing w:line="460" w:lineRule="exact"/>
      <w:ind w:firstLine="480" w:firstLineChars="200"/>
    </w:pPr>
    <w:rPr>
      <w:rFonts w:ascii="宋体" w:hAnsi="宋体" w:cs="宋体"/>
      <w:sz w:val="24"/>
    </w:rPr>
  </w:style>
  <w:style w:type="paragraph" w:customStyle="1" w:styleId="406">
    <w:name w:val="文档结构图1"/>
    <w:basedOn w:val="1"/>
    <w:autoRedefine/>
    <w:qFormat/>
    <w:uiPriority w:val="0"/>
    <w:pPr>
      <w:shd w:val="clear" w:color="auto" w:fill="000080"/>
      <w:suppressAutoHyphens/>
    </w:pPr>
    <w:rPr>
      <w:kern w:val="1"/>
      <w:lang w:eastAsia="ar-SA"/>
    </w:rPr>
  </w:style>
  <w:style w:type="paragraph" w:customStyle="1" w:styleId="407">
    <w:name w:val="列表－视讯"/>
    <w:basedOn w:val="20"/>
    <w:autoRedefine/>
    <w:qFormat/>
    <w:uiPriority w:val="0"/>
  </w:style>
  <w:style w:type="paragraph" w:customStyle="1" w:styleId="408">
    <w:name w:val="（符号）内容二标题1"/>
    <w:basedOn w:val="1"/>
    <w:autoRedefine/>
    <w:qFormat/>
    <w:uiPriority w:val="0"/>
    <w:pPr>
      <w:tabs>
        <w:tab w:val="left" w:pos="420"/>
      </w:tabs>
      <w:spacing w:before="140" w:after="140" w:line="500" w:lineRule="exact"/>
      <w:ind w:left="430" w:hanging="430"/>
      <w:outlineLvl w:val="1"/>
    </w:pPr>
    <w:rPr>
      <w:rFonts w:ascii="楷体_GB2312" w:eastAsia="楷体_GB2312" w:cs="宋体"/>
      <w:b/>
      <w:bCs/>
      <w:sz w:val="28"/>
    </w:rPr>
  </w:style>
  <w:style w:type="paragraph" w:customStyle="1" w:styleId="409">
    <w:name w:val="xl2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sz w:val="24"/>
    </w:rPr>
  </w:style>
  <w:style w:type="paragraph" w:customStyle="1" w:styleId="410">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411">
    <w:name w:val="(符号)五标题1.1.1"/>
    <w:basedOn w:val="1"/>
    <w:autoRedefine/>
    <w:qFormat/>
    <w:uiPriority w:val="0"/>
    <w:pPr>
      <w:numPr>
        <w:ilvl w:val="2"/>
        <w:numId w:val="2"/>
      </w:numPr>
      <w:spacing w:line="500" w:lineRule="exact"/>
    </w:pPr>
    <w:rPr>
      <w:rFonts w:ascii="宋体" w:hAnsi="宋体" w:cs="宋体"/>
      <w:color w:val="000000"/>
      <w:sz w:val="24"/>
    </w:rPr>
  </w:style>
  <w:style w:type="paragraph" w:customStyle="1" w:styleId="412">
    <w:name w:val="Char Char Char Char Char Char Char Char Char Char"/>
    <w:basedOn w:val="1"/>
    <w:autoRedefine/>
    <w:qFormat/>
    <w:uiPriority w:val="0"/>
    <w:pPr>
      <w:widowControl/>
      <w:spacing w:after="160" w:line="240" w:lineRule="exact"/>
      <w:jc w:val="left"/>
    </w:pPr>
  </w:style>
  <w:style w:type="paragraph" w:customStyle="1" w:styleId="413">
    <w:name w:val="_Style 36"/>
    <w:basedOn w:val="1"/>
    <w:autoRedefine/>
    <w:qFormat/>
    <w:uiPriority w:val="0"/>
    <w:pPr>
      <w:widowControl/>
      <w:spacing w:after="160" w:line="240" w:lineRule="exact"/>
      <w:jc w:val="left"/>
    </w:pPr>
  </w:style>
  <w:style w:type="paragraph" w:customStyle="1" w:styleId="414">
    <w:name w:val="Char Char"/>
    <w:basedOn w:val="1"/>
    <w:autoRedefine/>
    <w:qFormat/>
    <w:uiPriority w:val="0"/>
    <w:rPr>
      <w:rFonts w:ascii="Tahoma" w:hAnsi="Tahoma"/>
      <w:sz w:val="24"/>
    </w:rPr>
  </w:style>
  <w:style w:type="paragraph" w:customStyle="1" w:styleId="415">
    <w:name w:val="xl2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4"/>
    </w:rPr>
  </w:style>
  <w:style w:type="paragraph" w:customStyle="1" w:styleId="416">
    <w:name w:val="表"/>
    <w:basedOn w:val="1"/>
    <w:autoRedefine/>
    <w:qFormat/>
    <w:uiPriority w:val="0"/>
    <w:pPr>
      <w:adjustRightInd w:val="0"/>
      <w:snapToGrid w:val="0"/>
    </w:pPr>
    <w:rPr>
      <w:color w:val="000000"/>
      <w:szCs w:val="21"/>
    </w:rPr>
  </w:style>
  <w:style w:type="table" w:customStyle="1" w:styleId="417">
    <w:name w:val="Table Normal"/>
    <w:autoRedefine/>
    <w:semiHidden/>
    <w:unhideWhenUsed/>
    <w:qFormat/>
    <w:uiPriority w:val="2"/>
    <w:pPr>
      <w:widowControl w:val="0"/>
      <w:autoSpaceDE w:val="0"/>
      <w:autoSpaceDN w:val="0"/>
    </w:pPr>
    <w:rPr>
      <w:rFonts w:ascii="Calibri" w:hAnsi="Calibri" w:eastAsia="宋体" w:cs="Times New Roman"/>
      <w:kern w:val="0"/>
      <w:sz w:val="22"/>
      <w:lang w:eastAsia="en-US"/>
    </w:rPr>
    <w:tblPr>
      <w:tblCellMar>
        <w:top w:w="0" w:type="dxa"/>
        <w:left w:w="0" w:type="dxa"/>
        <w:bottom w:w="0" w:type="dxa"/>
        <w:right w:w="0" w:type="dxa"/>
      </w:tblCellMar>
    </w:tblPr>
  </w:style>
  <w:style w:type="character" w:customStyle="1" w:styleId="418">
    <w:name w:val="列表段落 字符1"/>
    <w:link w:val="396"/>
    <w:autoRedefine/>
    <w:qFormat/>
    <w:uiPriority w:val="34"/>
    <w:rPr>
      <w:rFonts w:ascii="Times New Roman" w:hAnsi="Times New Roman" w:eastAsia="宋体" w:cs="Times New Roman"/>
      <w:kern w:val="0"/>
      <w:sz w:val="20"/>
      <w:szCs w:val="20"/>
    </w:rPr>
  </w:style>
  <w:style w:type="paragraph" w:customStyle="1" w:styleId="419">
    <w:name w:val="Table Paragraph"/>
    <w:basedOn w:val="1"/>
    <w:autoRedefine/>
    <w:qFormat/>
    <w:uiPriority w:val="1"/>
    <w:pPr>
      <w:widowControl/>
      <w:autoSpaceDE w:val="0"/>
      <w:autoSpaceDN w:val="0"/>
      <w:jc w:val="left"/>
    </w:pPr>
    <w:rPr>
      <w:rFonts w:ascii="宋体" w:hAnsi="宋体" w:cs="宋体"/>
      <w:sz w:val="22"/>
      <w:szCs w:val="22"/>
      <w:lang w:val="zh-CN" w:bidi="zh-CN"/>
    </w:rPr>
  </w:style>
  <w:style w:type="character" w:customStyle="1" w:styleId="420">
    <w:name w:val="Default Char Char"/>
    <w:link w:val="365"/>
    <w:autoRedefine/>
    <w:qFormat/>
    <w:uiPriority w:val="0"/>
    <w:rPr>
      <w:rFonts w:ascii=".." w:hAnsi="Times New Roman" w:eastAsia=".." w:cs="Times New Roman"/>
      <w:color w:val="000000"/>
      <w:kern w:val="0"/>
      <w:sz w:val="24"/>
      <w:szCs w:val="24"/>
    </w:rPr>
  </w:style>
  <w:style w:type="character" w:customStyle="1" w:styleId="421">
    <w:name w:val="正文缩进[1] Char Char"/>
    <w:link w:val="422"/>
    <w:autoRedefine/>
    <w:qFormat/>
    <w:uiPriority w:val="0"/>
  </w:style>
  <w:style w:type="paragraph" w:customStyle="1" w:styleId="422">
    <w:name w:val="正文缩进[1] Char"/>
    <w:basedOn w:val="1"/>
    <w:link w:val="421"/>
    <w:autoRedefine/>
    <w:qFormat/>
    <w:uiPriority w:val="0"/>
    <w:pPr>
      <w:spacing w:beforeLines="20" w:afterLines="20" w:line="300" w:lineRule="auto"/>
      <w:ind w:firstLine="420"/>
    </w:pPr>
    <w:rPr>
      <w:rFonts w:asciiTheme="minorHAnsi" w:hAnsiTheme="minorHAnsi" w:eastAsiaTheme="minorEastAsia" w:cstheme="minorBidi"/>
      <w:kern w:val="2"/>
      <w:sz w:val="21"/>
      <w:szCs w:val="22"/>
    </w:rPr>
  </w:style>
  <w:style w:type="table" w:customStyle="1" w:styleId="423">
    <w:name w:val="TableGrid"/>
    <w:autoRedefine/>
    <w:qFormat/>
    <w:uiPriority w:val="0"/>
    <w:rPr>
      <w:rFonts w:ascii="等线" w:hAnsi="等线" w:eastAsia="等线" w:cs="Times New Roman"/>
    </w:rPr>
    <w:tblPr>
      <w:tblCellMar>
        <w:top w:w="0" w:type="dxa"/>
        <w:left w:w="0" w:type="dxa"/>
        <w:bottom w:w="0" w:type="dxa"/>
        <w:right w:w="0" w:type="dxa"/>
      </w:tblCellMar>
    </w:tblPr>
  </w:style>
  <w:style w:type="table" w:customStyle="1" w:styleId="424">
    <w:name w:val="TableGrid1"/>
    <w:autoRedefine/>
    <w:qFormat/>
    <w:uiPriority w:val="0"/>
    <w:rPr>
      <w:rFonts w:ascii="等线" w:hAnsi="等线" w:eastAsia="等线" w:cs="Times New Roman"/>
    </w:rPr>
    <w:tblPr>
      <w:tblCellMar>
        <w:top w:w="0" w:type="dxa"/>
        <w:left w:w="0" w:type="dxa"/>
        <w:bottom w:w="0" w:type="dxa"/>
        <w:right w:w="0" w:type="dxa"/>
      </w:tblCellMar>
    </w:tblPr>
  </w:style>
  <w:style w:type="character" w:customStyle="1" w:styleId="425">
    <w:name w:val="fontstyle01"/>
    <w:autoRedefine/>
    <w:qFormat/>
    <w:uiPriority w:val="0"/>
    <w:rPr>
      <w:rFonts w:hint="default" w:ascii="Calibri" w:hAnsi="Calibri" w:cs="Calibri"/>
      <w:color w:val="000000"/>
      <w:sz w:val="22"/>
      <w:szCs w:val="22"/>
    </w:rPr>
  </w:style>
  <w:style w:type="character" w:customStyle="1" w:styleId="426">
    <w:name w:val="fontstyle21"/>
    <w:autoRedefine/>
    <w:qFormat/>
    <w:uiPriority w:val="0"/>
    <w:rPr>
      <w:rFonts w:hint="eastAsia" w:ascii="宋体" w:hAnsi="宋体" w:eastAsia="宋体"/>
      <w:color w:val="000000"/>
      <w:sz w:val="22"/>
      <w:szCs w:val="22"/>
    </w:rPr>
  </w:style>
  <w:style w:type="character" w:customStyle="1" w:styleId="427">
    <w:name w:val="列表段落 字符"/>
    <w:autoRedefine/>
    <w:qFormat/>
    <w:uiPriority w:val="34"/>
  </w:style>
  <w:style w:type="table" w:customStyle="1" w:styleId="428">
    <w:name w:val="TableGrid2"/>
    <w:autoRedefine/>
    <w:qFormat/>
    <w:uiPriority w:val="0"/>
    <w:rPr>
      <w:rFonts w:ascii="等线" w:hAnsi="等线" w:eastAsia="等线" w:cs="Times New Roman"/>
    </w:rPr>
    <w:tblPr>
      <w:tblCellMar>
        <w:top w:w="0" w:type="dxa"/>
        <w:left w:w="0" w:type="dxa"/>
        <w:bottom w:w="0" w:type="dxa"/>
        <w:right w:w="0" w:type="dxa"/>
      </w:tblCellMar>
    </w:tblPr>
  </w:style>
  <w:style w:type="table" w:customStyle="1" w:styleId="429">
    <w:name w:val="TableGrid3"/>
    <w:autoRedefine/>
    <w:qFormat/>
    <w:uiPriority w:val="0"/>
    <w:rPr>
      <w:rFonts w:ascii="等线" w:hAnsi="等线" w:eastAsia="等线" w:cs="Times New Roman"/>
    </w:rPr>
    <w:tblPr>
      <w:tblCellMar>
        <w:top w:w="0" w:type="dxa"/>
        <w:left w:w="0" w:type="dxa"/>
        <w:bottom w:w="0" w:type="dxa"/>
        <w:right w:w="0" w:type="dxa"/>
      </w:tblCellMar>
    </w:tblPr>
  </w:style>
  <w:style w:type="paragraph" w:customStyle="1" w:styleId="430">
    <w:name w:val="Revision"/>
    <w:autoRedefine/>
    <w:hidden/>
    <w:semiHidden/>
    <w:qFormat/>
    <w:uiPriority w:val="99"/>
    <w:rPr>
      <w:rFonts w:ascii="等线" w:hAnsi="等线" w:eastAsia="等线" w:cs="Times New Roman"/>
      <w:kern w:val="2"/>
      <w:sz w:val="21"/>
      <w:szCs w:val="22"/>
      <w:lang w:val="en-US" w:eastAsia="zh-CN" w:bidi="ar-SA"/>
    </w:rPr>
  </w:style>
  <w:style w:type="character" w:customStyle="1" w:styleId="431">
    <w:name w:val="无间隔 字符"/>
    <w:link w:val="243"/>
    <w:autoRedefine/>
    <w:qFormat/>
    <w:uiPriority w:val="1"/>
    <w:rPr>
      <w:rFonts w:ascii="Times New Roman" w:hAnsi="Times New Roman" w:eastAsia="宋体" w:cs="Times New Roman"/>
      <w:szCs w:val="20"/>
    </w:rPr>
  </w:style>
  <w:style w:type="table" w:customStyle="1" w:styleId="432">
    <w:name w:val="网格型1"/>
    <w:basedOn w:val="88"/>
    <w:autoRedefine/>
    <w:qFormat/>
    <w:uiPriority w:val="39"/>
    <w:rPr>
      <w:rFonts w:ascii="等线" w:hAnsi="等线" w:eastAsia="等线"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33">
    <w:name w:val="TableGrid4"/>
    <w:autoRedefine/>
    <w:qFormat/>
    <w:uiPriority w:val="0"/>
    <w:rPr>
      <w:rFonts w:ascii="等线" w:hAnsi="等线" w:eastAsia="等线" w:cs="Times New Roman"/>
    </w:rPr>
    <w:tblPr>
      <w:tblCellMar>
        <w:top w:w="0" w:type="dxa"/>
        <w:left w:w="0" w:type="dxa"/>
        <w:bottom w:w="0" w:type="dxa"/>
        <w:right w:w="0" w:type="dxa"/>
      </w:tblCellMar>
    </w:tblPr>
  </w:style>
  <w:style w:type="table" w:customStyle="1" w:styleId="434">
    <w:name w:val="TableGrid5"/>
    <w:autoRedefine/>
    <w:qFormat/>
    <w:uiPriority w:val="0"/>
    <w:rPr>
      <w:rFonts w:ascii="等线" w:hAnsi="等线" w:eastAsia="等线" w:cs="Times New Roman"/>
    </w:rPr>
    <w:tblPr>
      <w:tblCellMar>
        <w:top w:w="0" w:type="dxa"/>
        <w:left w:w="0" w:type="dxa"/>
        <w:bottom w:w="0" w:type="dxa"/>
        <w:right w:w="0" w:type="dxa"/>
      </w:tblCellMar>
    </w:tblPr>
  </w:style>
  <w:style w:type="paragraph" w:customStyle="1" w:styleId="435">
    <w:name w:val="ZB1 - Arrowed List"/>
    <w:basedOn w:val="1"/>
    <w:autoRedefine/>
    <w:qFormat/>
    <w:locked/>
    <w:uiPriority w:val="0"/>
    <w:pPr>
      <w:widowControl/>
      <w:numPr>
        <w:ilvl w:val="0"/>
        <w:numId w:val="3"/>
      </w:numPr>
      <w:tabs>
        <w:tab w:val="left" w:pos="840"/>
      </w:tabs>
      <w:spacing w:before="60" w:after="60" w:line="360" w:lineRule="auto"/>
      <w:jc w:val="left"/>
    </w:pPr>
    <w:rPr>
      <w:rFonts w:ascii="Arial" w:hAnsi="Arial"/>
      <w:sz w:val="21"/>
      <w:szCs w:val="24"/>
    </w:rPr>
  </w:style>
  <w:style w:type="paragraph" w:customStyle="1" w:styleId="436">
    <w:name w:val="ZB1 - Components"/>
    <w:basedOn w:val="1"/>
    <w:autoRedefine/>
    <w:qFormat/>
    <w:locked/>
    <w:uiPriority w:val="0"/>
    <w:pPr>
      <w:widowControl/>
      <w:numPr>
        <w:ilvl w:val="0"/>
        <w:numId w:val="4"/>
      </w:numPr>
      <w:tabs>
        <w:tab w:val="left" w:pos="210"/>
      </w:tabs>
      <w:spacing w:line="360" w:lineRule="auto"/>
      <w:jc w:val="left"/>
    </w:pPr>
    <w:rPr>
      <w:rFonts w:ascii="Arial" w:hAnsi="Arial"/>
      <w:position w:val="4"/>
      <w:sz w:val="21"/>
      <w:szCs w:val="24"/>
    </w:rPr>
  </w:style>
  <w:style w:type="paragraph" w:customStyle="1" w:styleId="437">
    <w:name w:val="ZB1 - Bulleted List"/>
    <w:basedOn w:val="436"/>
    <w:autoRedefine/>
    <w:qFormat/>
    <w:locked/>
    <w:uiPriority w:val="0"/>
    <w:pPr>
      <w:numPr>
        <w:ilvl w:val="0"/>
        <w:numId w:val="5"/>
      </w:numPr>
      <w:tabs>
        <w:tab w:val="left" w:pos="861"/>
        <w:tab w:val="clear" w:pos="210"/>
      </w:tabs>
      <w:spacing w:before="60" w:after="60"/>
    </w:pPr>
    <w:rPr>
      <w:position w:val="0"/>
    </w:rPr>
  </w:style>
  <w:style w:type="paragraph" w:customStyle="1" w:styleId="438">
    <w:name w:val="ZB1 - Heading 1"/>
    <w:next w:val="439"/>
    <w:autoRedefine/>
    <w:qFormat/>
    <w:locked/>
    <w:uiPriority w:val="0"/>
    <w:pPr>
      <w:numPr>
        <w:ilvl w:val="0"/>
        <w:numId w:val="6"/>
      </w:numPr>
      <w:tabs>
        <w:tab w:val="left" w:pos="462"/>
      </w:tabs>
      <w:spacing w:before="72" w:beforeLines="30" w:after="72" w:afterLines="30" w:line="264" w:lineRule="auto"/>
      <w:outlineLvl w:val="0"/>
    </w:pPr>
    <w:rPr>
      <w:rFonts w:ascii="Arial" w:hAnsi="Arial" w:eastAsia="宋体" w:cs="Arial"/>
      <w:b/>
      <w:bCs/>
      <w:caps/>
      <w:kern w:val="32"/>
      <w:sz w:val="24"/>
      <w:szCs w:val="32"/>
      <w:lang w:val="en-US" w:eastAsia="en-US" w:bidi="ar-SA"/>
    </w:rPr>
  </w:style>
  <w:style w:type="paragraph" w:customStyle="1" w:styleId="439">
    <w:name w:val="ZB1 - Heading 1 Body Text"/>
    <w:basedOn w:val="1"/>
    <w:autoRedefine/>
    <w:qFormat/>
    <w:locked/>
    <w:uiPriority w:val="0"/>
    <w:pPr>
      <w:widowControl/>
      <w:spacing w:after="30" w:afterLines="30" w:line="360" w:lineRule="auto"/>
      <w:ind w:firstLine="200" w:firstLineChars="200"/>
    </w:pPr>
    <w:rPr>
      <w:rFonts w:ascii="Arial" w:hAnsi="Arial"/>
      <w:sz w:val="21"/>
      <w:szCs w:val="24"/>
    </w:rPr>
  </w:style>
  <w:style w:type="paragraph" w:customStyle="1" w:styleId="440">
    <w:name w:val="ZB1 - Heading 2"/>
    <w:basedOn w:val="438"/>
    <w:next w:val="441"/>
    <w:autoRedefine/>
    <w:qFormat/>
    <w:locked/>
    <w:uiPriority w:val="0"/>
    <w:pPr>
      <w:numPr>
        <w:ilvl w:val="1"/>
      </w:numPr>
      <w:tabs>
        <w:tab w:val="left" w:pos="882"/>
        <w:tab w:val="clear" w:pos="462"/>
      </w:tabs>
      <w:outlineLvl w:val="1"/>
    </w:pPr>
    <w:rPr>
      <w:bCs w:val="0"/>
      <w:caps w:val="0"/>
    </w:rPr>
  </w:style>
  <w:style w:type="paragraph" w:customStyle="1" w:styleId="441">
    <w:name w:val="ZB1 - Heading 2 Body Text"/>
    <w:basedOn w:val="1"/>
    <w:autoRedefine/>
    <w:qFormat/>
    <w:locked/>
    <w:uiPriority w:val="0"/>
    <w:pPr>
      <w:widowControl/>
      <w:spacing w:after="30" w:afterLines="30" w:line="360" w:lineRule="auto"/>
      <w:ind w:left="100" w:leftChars="100" w:firstLine="200" w:firstLineChars="200"/>
    </w:pPr>
    <w:rPr>
      <w:rFonts w:ascii="Arial" w:hAnsi="Arial"/>
      <w:sz w:val="21"/>
      <w:szCs w:val="24"/>
    </w:rPr>
  </w:style>
  <w:style w:type="paragraph" w:customStyle="1" w:styleId="442">
    <w:name w:val="ZB1 - Heading 3"/>
    <w:basedOn w:val="440"/>
    <w:next w:val="443"/>
    <w:autoRedefine/>
    <w:qFormat/>
    <w:locked/>
    <w:uiPriority w:val="0"/>
    <w:pPr>
      <w:numPr>
        <w:ilvl w:val="0"/>
        <w:numId w:val="0"/>
      </w:numPr>
      <w:tabs>
        <w:tab w:val="left" w:pos="840"/>
      </w:tabs>
      <w:outlineLvl w:val="2"/>
    </w:pPr>
    <w:rPr>
      <w:b w:val="0"/>
      <w:bCs/>
    </w:rPr>
  </w:style>
  <w:style w:type="paragraph" w:customStyle="1" w:styleId="443">
    <w:name w:val="ZB1 - Heading 3 Body Text"/>
    <w:basedOn w:val="441"/>
    <w:link w:val="444"/>
    <w:autoRedefine/>
    <w:qFormat/>
    <w:locked/>
    <w:uiPriority w:val="0"/>
  </w:style>
  <w:style w:type="character" w:customStyle="1" w:styleId="444">
    <w:name w:val="ZB1 - Heading 3 Body Text 字符"/>
    <w:link w:val="443"/>
    <w:autoRedefine/>
    <w:qFormat/>
    <w:uiPriority w:val="0"/>
    <w:rPr>
      <w:rFonts w:ascii="Arial" w:hAnsi="Arial" w:eastAsia="宋体" w:cs="Times New Roman"/>
      <w:kern w:val="0"/>
      <w:szCs w:val="24"/>
    </w:rPr>
  </w:style>
  <w:style w:type="paragraph" w:customStyle="1" w:styleId="445">
    <w:name w:val="ZB1 - Heading 4"/>
    <w:basedOn w:val="442"/>
    <w:next w:val="1"/>
    <w:autoRedefine/>
    <w:qFormat/>
    <w:locked/>
    <w:uiPriority w:val="0"/>
    <w:pPr>
      <w:numPr>
        <w:ilvl w:val="3"/>
        <w:numId w:val="6"/>
      </w:numPr>
      <w:tabs>
        <w:tab w:val="left" w:pos="1050"/>
        <w:tab w:val="clear" w:pos="840"/>
        <w:tab w:val="clear" w:pos="882"/>
      </w:tabs>
      <w:outlineLvl w:val="3"/>
    </w:pPr>
    <w:rPr>
      <w:bCs w:val="0"/>
    </w:rPr>
  </w:style>
  <w:style w:type="paragraph" w:customStyle="1" w:styleId="446">
    <w:name w:val="ZB1 - Heading 5"/>
    <w:basedOn w:val="445"/>
    <w:next w:val="1"/>
    <w:autoRedefine/>
    <w:qFormat/>
    <w:locked/>
    <w:uiPriority w:val="0"/>
    <w:pPr>
      <w:numPr>
        <w:ilvl w:val="4"/>
      </w:numPr>
      <w:tabs>
        <w:tab w:val="left" w:pos="1260"/>
        <w:tab w:val="clear" w:pos="1050"/>
      </w:tabs>
      <w:outlineLvl w:val="4"/>
    </w:pPr>
    <w:rPr>
      <w:bCs/>
    </w:rPr>
  </w:style>
  <w:style w:type="paragraph" w:customStyle="1" w:styleId="447">
    <w:name w:val="ETSC- Arrowed list 2nd"/>
    <w:basedOn w:val="1"/>
    <w:link w:val="448"/>
    <w:autoRedefine/>
    <w:qFormat/>
    <w:uiPriority w:val="0"/>
    <w:pPr>
      <w:tabs>
        <w:tab w:val="left" w:pos="232"/>
        <w:tab w:val="left" w:pos="993"/>
        <w:tab w:val="left" w:pos="1276"/>
      </w:tabs>
      <w:adjustRightInd w:val="0"/>
      <w:snapToGrid w:val="0"/>
      <w:spacing w:line="276" w:lineRule="auto"/>
      <w:ind w:left="1276" w:hanging="312"/>
    </w:pPr>
    <w:rPr>
      <w:sz w:val="24"/>
      <w:szCs w:val="24"/>
      <w:lang w:val="en-GB" w:bidi="en-US"/>
    </w:rPr>
  </w:style>
  <w:style w:type="character" w:customStyle="1" w:styleId="448">
    <w:name w:val="ETSC- Arrowed list 2nd Char"/>
    <w:link w:val="447"/>
    <w:autoRedefine/>
    <w:qFormat/>
    <w:uiPriority w:val="0"/>
    <w:rPr>
      <w:rFonts w:ascii="Times New Roman" w:hAnsi="Times New Roman" w:eastAsia="宋体" w:cs="Times New Roman"/>
      <w:kern w:val="0"/>
      <w:sz w:val="24"/>
      <w:szCs w:val="24"/>
      <w:lang w:val="en-GB" w:bidi="en-US"/>
    </w:rPr>
  </w:style>
  <w:style w:type="paragraph" w:customStyle="1" w:styleId="449">
    <w:name w:val="ETSC- Para title"/>
    <w:link w:val="450"/>
    <w:autoRedefine/>
    <w:qFormat/>
    <w:uiPriority w:val="0"/>
    <w:pPr>
      <w:spacing w:after="120" w:afterLines="50" w:line="0" w:lineRule="atLeast"/>
      <w:ind w:left="-2" w:leftChars="-1" w:firstLine="2"/>
    </w:pPr>
    <w:rPr>
      <w:rFonts w:ascii="Times New Roman" w:hAnsi="Times New Roman" w:eastAsia="宋体" w:cs="Times New Roman"/>
      <w:b/>
      <w:kern w:val="2"/>
      <w:sz w:val="24"/>
      <w:szCs w:val="24"/>
      <w:u w:val="single"/>
      <w:lang w:val="en-GB" w:eastAsia="zh-CN" w:bidi="ar-SA"/>
    </w:rPr>
  </w:style>
  <w:style w:type="character" w:customStyle="1" w:styleId="450">
    <w:name w:val="ETSC- Para title Char"/>
    <w:link w:val="449"/>
    <w:autoRedefine/>
    <w:qFormat/>
    <w:uiPriority w:val="0"/>
    <w:rPr>
      <w:rFonts w:ascii="Times New Roman" w:hAnsi="Times New Roman" w:eastAsia="宋体" w:cs="Times New Roman"/>
      <w:b/>
      <w:sz w:val="24"/>
      <w:szCs w:val="24"/>
      <w:u w:val="single"/>
      <w:lang w:val="en-GB"/>
    </w:rPr>
  </w:style>
  <w:style w:type="table" w:customStyle="1" w:styleId="451">
    <w:name w:val="TableGrid6"/>
    <w:autoRedefine/>
    <w:qFormat/>
    <w:uiPriority w:val="0"/>
    <w:rPr>
      <w:rFonts w:ascii="等线" w:hAnsi="等线" w:eastAsia="等线" w:cs="Times New Roman"/>
    </w:rPr>
    <w:tblPr>
      <w:tblCellMar>
        <w:top w:w="0" w:type="dxa"/>
        <w:left w:w="0" w:type="dxa"/>
        <w:bottom w:w="0" w:type="dxa"/>
        <w:right w:w="0" w:type="dxa"/>
      </w:tblCellMar>
    </w:tblPr>
  </w:style>
  <w:style w:type="table" w:customStyle="1" w:styleId="452">
    <w:name w:val="TableGrid7"/>
    <w:autoRedefine/>
    <w:qFormat/>
    <w:uiPriority w:val="0"/>
    <w:rPr>
      <w:rFonts w:ascii="等线" w:hAnsi="等线" w:eastAsia="等线" w:cs="Times New Roman"/>
    </w:rPr>
    <w:tblPr>
      <w:tblCellMar>
        <w:top w:w="0" w:type="dxa"/>
        <w:left w:w="0" w:type="dxa"/>
        <w:bottom w:w="0" w:type="dxa"/>
        <w:right w:w="0" w:type="dxa"/>
      </w:tblCellMar>
    </w:tblPr>
  </w:style>
  <w:style w:type="character" w:customStyle="1" w:styleId="453">
    <w:name w:val="列出段落 字符"/>
    <w:autoRedefine/>
    <w:qFormat/>
    <w:uiPriority w:val="34"/>
  </w:style>
  <w:style w:type="character" w:customStyle="1" w:styleId="454">
    <w:name w:val="style41"/>
    <w:autoRedefine/>
    <w:qFormat/>
    <w:uiPriority w:val="99"/>
    <w:rPr>
      <w:color w:val="666666"/>
      <w:sz w:val="18"/>
      <w:szCs w:val="18"/>
    </w:rPr>
  </w:style>
  <w:style w:type="character" w:customStyle="1" w:styleId="455">
    <w:name w:val="141"/>
    <w:autoRedefine/>
    <w:qFormat/>
    <w:uiPriority w:val="99"/>
    <w:rPr>
      <w:sz w:val="28"/>
      <w:szCs w:val="28"/>
    </w:rPr>
  </w:style>
  <w:style w:type="character" w:customStyle="1" w:styleId="456">
    <w:name w:val="style741"/>
    <w:autoRedefine/>
    <w:qFormat/>
    <w:uiPriority w:val="99"/>
    <w:rPr>
      <w:rFonts w:cs="Times New Roman"/>
      <w:color w:val="666666"/>
    </w:rPr>
  </w:style>
  <w:style w:type="character" w:customStyle="1" w:styleId="457">
    <w:name w:val="d1"/>
    <w:autoRedefine/>
    <w:qFormat/>
    <w:uiPriority w:val="99"/>
    <w:rPr>
      <w:color w:val="000000"/>
      <w:sz w:val="21"/>
      <w:szCs w:val="21"/>
      <w:u w:val="none"/>
    </w:rPr>
  </w:style>
  <w:style w:type="paragraph" w:customStyle="1" w:styleId="458">
    <w:name w:val="Char Char6"/>
    <w:basedOn w:val="1"/>
    <w:autoRedefine/>
    <w:qFormat/>
    <w:uiPriority w:val="99"/>
    <w:pPr>
      <w:widowControl/>
      <w:spacing w:after="160" w:line="240" w:lineRule="exact"/>
      <w:jc w:val="left"/>
    </w:pPr>
    <w:rPr>
      <w:kern w:val="2"/>
      <w:sz w:val="21"/>
      <w:szCs w:val="24"/>
    </w:rPr>
  </w:style>
  <w:style w:type="paragraph" w:customStyle="1" w:styleId="459">
    <w:name w:val="Char Char Char Char Char Char Char Char Char Char Char Char Char Char Char Char"/>
    <w:basedOn w:val="1"/>
    <w:autoRedefine/>
    <w:qFormat/>
    <w:uiPriority w:val="99"/>
    <w:rPr>
      <w:rFonts w:ascii="Tahoma" w:hAnsi="Tahoma"/>
      <w:kern w:val="2"/>
      <w:sz w:val="24"/>
    </w:rPr>
  </w:style>
  <w:style w:type="paragraph" w:customStyle="1" w:styleId="460">
    <w:name w:val="indent_2em1"/>
    <w:basedOn w:val="1"/>
    <w:autoRedefine/>
    <w:qFormat/>
    <w:uiPriority w:val="99"/>
    <w:pPr>
      <w:widowControl/>
      <w:spacing w:line="300" w:lineRule="atLeast"/>
      <w:ind w:firstLine="480"/>
      <w:jc w:val="left"/>
    </w:pPr>
    <w:rPr>
      <w:rFonts w:ascii="宋体" w:hAnsi="宋体" w:cs="宋体"/>
      <w:spacing w:val="15"/>
      <w:sz w:val="24"/>
      <w:szCs w:val="24"/>
    </w:rPr>
  </w:style>
  <w:style w:type="paragraph" w:customStyle="1" w:styleId="461">
    <w:name w:val="Char Char Char Char Char Char Char Char Char"/>
    <w:basedOn w:val="1"/>
    <w:autoRedefine/>
    <w:qFormat/>
    <w:uiPriority w:val="99"/>
    <w:pPr>
      <w:widowControl/>
      <w:spacing w:after="160" w:line="240" w:lineRule="exact"/>
      <w:jc w:val="left"/>
    </w:pPr>
    <w:rPr>
      <w:rFonts w:ascii="Verdana" w:hAnsi="Verdana" w:eastAsia="仿宋_GB2312" w:cs="Verdana"/>
      <w:sz w:val="24"/>
      <w:szCs w:val="24"/>
      <w:lang w:eastAsia="en-US"/>
    </w:rPr>
  </w:style>
  <w:style w:type="paragraph" w:customStyle="1" w:styleId="462">
    <w:name w:val="indent_2em"/>
    <w:basedOn w:val="1"/>
    <w:autoRedefine/>
    <w:qFormat/>
    <w:uiPriority w:val="99"/>
    <w:pPr>
      <w:widowControl/>
      <w:spacing w:before="100" w:beforeAutospacing="1" w:after="100" w:afterAutospacing="1"/>
      <w:jc w:val="left"/>
    </w:pPr>
    <w:rPr>
      <w:rFonts w:ascii="宋体" w:hAnsi="宋体" w:cs="宋体"/>
      <w:sz w:val="24"/>
      <w:szCs w:val="24"/>
    </w:rPr>
  </w:style>
  <w:style w:type="paragraph" w:customStyle="1" w:styleId="463">
    <w:name w:val="Char Char1 Char Char Char Char Char Char"/>
    <w:basedOn w:val="1"/>
    <w:autoRedefine/>
    <w:qFormat/>
    <w:uiPriority w:val="99"/>
    <w:pPr>
      <w:widowControl/>
      <w:spacing w:after="160" w:line="240" w:lineRule="exact"/>
      <w:jc w:val="left"/>
    </w:pPr>
    <w:rPr>
      <w:rFonts w:ascii="Verdana" w:hAnsi="Verdana" w:eastAsia="仿宋_GB2312"/>
      <w:sz w:val="24"/>
      <w:lang w:eastAsia="en-US"/>
    </w:rPr>
  </w:style>
  <w:style w:type="paragraph" w:customStyle="1" w:styleId="464">
    <w:name w:val="_Style 32"/>
    <w:basedOn w:val="1"/>
    <w:next w:val="76"/>
    <w:autoRedefine/>
    <w:qFormat/>
    <w:uiPriority w:val="99"/>
    <w:pPr>
      <w:spacing w:after="120" w:line="480" w:lineRule="auto"/>
    </w:pPr>
    <w:rPr>
      <w:kern w:val="2"/>
      <w:sz w:val="21"/>
    </w:rPr>
  </w:style>
  <w:style w:type="paragraph" w:customStyle="1" w:styleId="465">
    <w:name w:val="表内文字"/>
    <w:basedOn w:val="1"/>
    <w:autoRedefine/>
    <w:qFormat/>
    <w:uiPriority w:val="99"/>
    <w:pPr>
      <w:tabs>
        <w:tab w:val="left" w:pos="1418"/>
      </w:tabs>
      <w:spacing w:line="360" w:lineRule="auto"/>
      <w:jc w:val="center"/>
    </w:pPr>
    <w:rPr>
      <w:rFonts w:ascii="仿宋_GB2312" w:eastAsia="仿宋_GB2312" w:cs="仿宋_GB2312"/>
      <w:spacing w:val="-20"/>
      <w:sz w:val="24"/>
      <w:szCs w:val="24"/>
    </w:rPr>
  </w:style>
  <w:style w:type="paragraph" w:customStyle="1" w:styleId="466">
    <w:name w:val="Char Char Char Char Char Char"/>
    <w:basedOn w:val="1"/>
    <w:autoRedefine/>
    <w:qFormat/>
    <w:uiPriority w:val="99"/>
    <w:rPr>
      <w:kern w:val="2"/>
      <w:sz w:val="21"/>
      <w:szCs w:val="24"/>
    </w:rPr>
  </w:style>
  <w:style w:type="paragraph" w:customStyle="1" w:styleId="467">
    <w:name w:val="style75"/>
    <w:basedOn w:val="1"/>
    <w:autoRedefine/>
    <w:qFormat/>
    <w:uiPriority w:val="99"/>
    <w:pPr>
      <w:widowControl/>
      <w:spacing w:before="100" w:beforeAutospacing="1" w:after="100" w:afterAutospacing="1"/>
      <w:jc w:val="left"/>
    </w:pPr>
    <w:rPr>
      <w:rFonts w:ascii="宋体" w:hAnsi="宋体" w:cs="宋体"/>
      <w:color w:val="666666"/>
      <w:sz w:val="15"/>
      <w:szCs w:val="15"/>
    </w:rPr>
  </w:style>
  <w:style w:type="paragraph" w:customStyle="1" w:styleId="468">
    <w:name w:val="编写建议 Char"/>
    <w:basedOn w:val="1"/>
    <w:link w:val="469"/>
    <w:autoRedefine/>
    <w:qFormat/>
    <w:uiPriority w:val="99"/>
    <w:pPr>
      <w:autoSpaceDE w:val="0"/>
      <w:autoSpaceDN w:val="0"/>
      <w:adjustRightInd w:val="0"/>
      <w:spacing w:line="360" w:lineRule="auto"/>
      <w:ind w:firstLine="420" w:firstLineChars="200"/>
      <w:jc w:val="left"/>
    </w:pPr>
    <w:rPr>
      <w:rFonts w:ascii="Arial" w:hAnsi="Arial"/>
      <w:i/>
      <w:color w:val="0000FF"/>
      <w:szCs w:val="21"/>
    </w:rPr>
  </w:style>
  <w:style w:type="character" w:customStyle="1" w:styleId="469">
    <w:name w:val="编写建议 Char Char"/>
    <w:link w:val="468"/>
    <w:autoRedefine/>
    <w:qFormat/>
    <w:uiPriority w:val="99"/>
    <w:rPr>
      <w:rFonts w:ascii="Arial" w:hAnsi="Arial" w:eastAsia="宋体" w:cs="Times New Roman"/>
      <w:i/>
      <w:color w:val="0000FF"/>
      <w:kern w:val="0"/>
      <w:sz w:val="20"/>
      <w:szCs w:val="21"/>
    </w:rPr>
  </w:style>
  <w:style w:type="paragraph" w:customStyle="1" w:styleId="470">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471">
    <w:name w:val="small18"/>
    <w:autoRedefine/>
    <w:qFormat/>
    <w:uiPriority w:val="99"/>
  </w:style>
  <w:style w:type="character" w:customStyle="1" w:styleId="472">
    <w:name w:val="题注 字符"/>
    <w:link w:val="22"/>
    <w:autoRedefine/>
    <w:qFormat/>
    <w:locked/>
    <w:uiPriority w:val="0"/>
    <w:rPr>
      <w:rFonts w:ascii="Times New Roman" w:hAnsi="Times New Roman" w:eastAsia="宋体" w:cs="Times New Roman"/>
      <w:kern w:val="0"/>
      <w:sz w:val="18"/>
      <w:szCs w:val="18"/>
    </w:rPr>
  </w:style>
  <w:style w:type="paragraph" w:customStyle="1" w:styleId="473">
    <w:name w:val="普通(网站)1"/>
    <w:basedOn w:val="1"/>
    <w:autoRedefine/>
    <w:qFormat/>
    <w:uiPriority w:val="99"/>
    <w:pPr>
      <w:widowControl/>
      <w:spacing w:before="100" w:beforeAutospacing="1" w:after="100" w:afterAutospacing="1"/>
      <w:jc w:val="left"/>
    </w:pPr>
    <w:rPr>
      <w:rFonts w:ascii="宋体" w:hAnsi="宋体" w:cs="宋体"/>
      <w:sz w:val="24"/>
      <w:szCs w:val="24"/>
    </w:rPr>
  </w:style>
  <w:style w:type="paragraph" w:customStyle="1" w:styleId="474">
    <w:name w:val="列出段落11"/>
    <w:basedOn w:val="1"/>
    <w:autoRedefine/>
    <w:qFormat/>
    <w:uiPriority w:val="99"/>
    <w:pPr>
      <w:ind w:firstLine="420" w:firstLineChars="200"/>
    </w:pPr>
    <w:rPr>
      <w:rFonts w:ascii="Calibri" w:hAnsi="Calibri" w:cs="黑体"/>
      <w:kern w:val="2"/>
      <w:sz w:val="21"/>
      <w:szCs w:val="22"/>
    </w:rPr>
  </w:style>
  <w:style w:type="character" w:customStyle="1" w:styleId="475">
    <w:name w:val="普通文字 Char Char1"/>
    <w:autoRedefine/>
    <w:qFormat/>
    <w:locked/>
    <w:uiPriority w:val="99"/>
    <w:rPr>
      <w:rFonts w:ascii="宋体" w:hAnsi="Courier New" w:eastAsia="宋体"/>
      <w:kern w:val="10"/>
      <w:sz w:val="21"/>
      <w:szCs w:val="21"/>
      <w:lang w:val="en-US" w:eastAsia="zh-CN" w:bidi="ar-SA"/>
    </w:rPr>
  </w:style>
  <w:style w:type="paragraph" w:customStyle="1" w:styleId="476">
    <w:name w:val="普通 (Web)"/>
    <w:basedOn w:val="1"/>
    <w:autoRedefine/>
    <w:qFormat/>
    <w:uiPriority w:val="99"/>
    <w:pPr>
      <w:widowControl/>
      <w:spacing w:before="100" w:after="100"/>
      <w:jc w:val="left"/>
    </w:pPr>
    <w:rPr>
      <w:rFonts w:ascii="宋体" w:hAnsi="宋体"/>
      <w:sz w:val="24"/>
    </w:rPr>
  </w:style>
  <w:style w:type="paragraph" w:customStyle="1" w:styleId="477">
    <w:name w:val="Default Paragraph Font Para Char"/>
    <w:basedOn w:val="1"/>
    <w:autoRedefine/>
    <w:qFormat/>
    <w:uiPriority w:val="99"/>
    <w:pPr>
      <w:widowControl/>
      <w:spacing w:after="160" w:line="240" w:lineRule="exact"/>
      <w:jc w:val="left"/>
    </w:pPr>
    <w:rPr>
      <w:rFonts w:ascii="Verdana" w:hAnsi="Verdana"/>
      <w:lang w:eastAsia="en-US"/>
    </w:rPr>
  </w:style>
  <w:style w:type="paragraph" w:customStyle="1" w:styleId="478">
    <w:name w:val="style40"/>
    <w:basedOn w:val="1"/>
    <w:autoRedefine/>
    <w:qFormat/>
    <w:uiPriority w:val="99"/>
    <w:pPr>
      <w:widowControl/>
      <w:spacing w:before="100" w:beforeAutospacing="1" w:after="100" w:afterAutospacing="1"/>
      <w:jc w:val="left"/>
    </w:pPr>
    <w:rPr>
      <w:rFonts w:ascii="宋体" w:hAnsi="宋体" w:cs="宋体"/>
      <w:sz w:val="18"/>
      <w:szCs w:val="18"/>
    </w:rPr>
  </w:style>
  <w:style w:type="paragraph" w:customStyle="1" w:styleId="479">
    <w:name w:val="样式 样式 样式 左侧:  2 字符1 + 首行缩进:  2 字符1 + 首行缩进:  2 字符"/>
    <w:basedOn w:val="1"/>
    <w:autoRedefine/>
    <w:qFormat/>
    <w:uiPriority w:val="99"/>
    <w:pPr>
      <w:widowControl/>
      <w:adjustRightInd w:val="0"/>
      <w:spacing w:before="60" w:after="120" w:line="440" w:lineRule="atLeast"/>
      <w:ind w:firstLine="480"/>
      <w:textAlignment w:val="baseline"/>
    </w:pPr>
    <w:rPr>
      <w:kern w:val="2"/>
      <w:sz w:val="24"/>
    </w:rPr>
  </w:style>
  <w:style w:type="paragraph" w:customStyle="1" w:styleId="480">
    <w:name w:val="Pa6"/>
    <w:basedOn w:val="1"/>
    <w:next w:val="1"/>
    <w:autoRedefine/>
    <w:qFormat/>
    <w:uiPriority w:val="99"/>
    <w:pPr>
      <w:autoSpaceDE w:val="0"/>
      <w:autoSpaceDN w:val="0"/>
      <w:adjustRightInd w:val="0"/>
      <w:spacing w:line="181" w:lineRule="atLeast"/>
      <w:jc w:val="left"/>
    </w:pPr>
    <w:rPr>
      <w:rFonts w:ascii="Futura Bk" w:hAnsi="Futura Bk"/>
      <w:sz w:val="24"/>
      <w:szCs w:val="24"/>
    </w:rPr>
  </w:style>
  <w:style w:type="character" w:customStyle="1" w:styleId="481">
    <w:name w:val="title01"/>
    <w:basedOn w:val="90"/>
    <w:autoRedefine/>
    <w:qFormat/>
    <w:uiPriority w:val="99"/>
  </w:style>
  <w:style w:type="paragraph" w:customStyle="1" w:styleId="482">
    <w:name w:val="CM30"/>
    <w:basedOn w:val="1"/>
    <w:next w:val="1"/>
    <w:autoRedefine/>
    <w:qFormat/>
    <w:uiPriority w:val="99"/>
    <w:pPr>
      <w:autoSpaceDE w:val="0"/>
      <w:autoSpaceDN w:val="0"/>
      <w:adjustRightInd w:val="0"/>
      <w:spacing w:after="200"/>
      <w:jc w:val="left"/>
    </w:pPr>
    <w:rPr>
      <w:rFonts w:ascii="宋体"/>
      <w:sz w:val="24"/>
      <w:szCs w:val="24"/>
    </w:rPr>
  </w:style>
  <w:style w:type="paragraph" w:customStyle="1" w:styleId="483">
    <w:name w:val="Char Char Char Char Char Char Char Char Char Char Char Char Char Char Char Char1"/>
    <w:basedOn w:val="1"/>
    <w:autoRedefine/>
    <w:qFormat/>
    <w:uiPriority w:val="99"/>
    <w:pPr>
      <w:spacing w:line="500" w:lineRule="exact"/>
    </w:pPr>
    <w:rPr>
      <w:kern w:val="2"/>
      <w:sz w:val="24"/>
      <w:szCs w:val="24"/>
    </w:rPr>
  </w:style>
  <w:style w:type="paragraph" w:customStyle="1" w:styleId="484">
    <w:name w:val="CM27"/>
    <w:basedOn w:val="365"/>
    <w:next w:val="365"/>
    <w:autoRedefine/>
    <w:qFormat/>
    <w:uiPriority w:val="99"/>
    <w:pPr>
      <w:spacing w:after="513"/>
    </w:pPr>
    <w:rPr>
      <w:rFonts w:ascii="宋体" w:eastAsia="宋体"/>
      <w:color w:val="auto"/>
    </w:rPr>
  </w:style>
  <w:style w:type="paragraph" w:customStyle="1" w:styleId="485">
    <w:name w:val="CM5"/>
    <w:basedOn w:val="365"/>
    <w:next w:val="365"/>
    <w:autoRedefine/>
    <w:qFormat/>
    <w:uiPriority w:val="99"/>
    <w:pPr>
      <w:spacing w:line="491" w:lineRule="atLeast"/>
    </w:pPr>
    <w:rPr>
      <w:rFonts w:ascii="宋体" w:eastAsia="宋体"/>
      <w:color w:val="auto"/>
    </w:rPr>
  </w:style>
  <w:style w:type="paragraph" w:customStyle="1" w:styleId="486">
    <w:name w:val="CM7"/>
    <w:basedOn w:val="365"/>
    <w:next w:val="365"/>
    <w:autoRedefine/>
    <w:qFormat/>
    <w:uiPriority w:val="99"/>
    <w:pPr>
      <w:spacing w:line="491" w:lineRule="atLeast"/>
    </w:pPr>
    <w:rPr>
      <w:rFonts w:ascii="宋体" w:eastAsia="宋体"/>
      <w:color w:val="auto"/>
    </w:rPr>
  </w:style>
  <w:style w:type="paragraph" w:customStyle="1" w:styleId="487">
    <w:name w:val="CM4"/>
    <w:basedOn w:val="365"/>
    <w:next w:val="365"/>
    <w:autoRedefine/>
    <w:qFormat/>
    <w:uiPriority w:val="99"/>
    <w:pPr>
      <w:spacing w:line="491" w:lineRule="atLeast"/>
    </w:pPr>
    <w:rPr>
      <w:rFonts w:ascii="宋体" w:eastAsia="宋体"/>
      <w:color w:val="auto"/>
    </w:rPr>
  </w:style>
  <w:style w:type="paragraph" w:customStyle="1" w:styleId="488">
    <w:name w:val="CM8"/>
    <w:basedOn w:val="365"/>
    <w:next w:val="365"/>
    <w:autoRedefine/>
    <w:qFormat/>
    <w:uiPriority w:val="99"/>
    <w:pPr>
      <w:spacing w:line="491" w:lineRule="atLeast"/>
    </w:pPr>
    <w:rPr>
      <w:rFonts w:ascii="宋体" w:eastAsia="宋体"/>
      <w:color w:val="auto"/>
    </w:rPr>
  </w:style>
  <w:style w:type="paragraph" w:customStyle="1" w:styleId="489">
    <w:name w:val="CM6"/>
    <w:basedOn w:val="365"/>
    <w:next w:val="365"/>
    <w:autoRedefine/>
    <w:qFormat/>
    <w:uiPriority w:val="99"/>
    <w:pPr>
      <w:spacing w:line="491" w:lineRule="atLeast"/>
    </w:pPr>
    <w:rPr>
      <w:rFonts w:ascii="宋体" w:eastAsia="宋体"/>
      <w:color w:val="auto"/>
    </w:rPr>
  </w:style>
  <w:style w:type="paragraph" w:customStyle="1" w:styleId="490">
    <w:name w:val="CM13"/>
    <w:basedOn w:val="365"/>
    <w:next w:val="365"/>
    <w:autoRedefine/>
    <w:qFormat/>
    <w:uiPriority w:val="99"/>
    <w:pPr>
      <w:spacing w:line="491" w:lineRule="atLeast"/>
    </w:pPr>
    <w:rPr>
      <w:rFonts w:ascii="宋体" w:eastAsia="宋体"/>
      <w:color w:val="auto"/>
    </w:rPr>
  </w:style>
  <w:style w:type="paragraph" w:customStyle="1" w:styleId="491">
    <w:name w:val="样式 首行缩进:  2 字符 段前: 0.5 行 段后: 0.5 行"/>
    <w:basedOn w:val="1"/>
    <w:next w:val="1"/>
    <w:autoRedefine/>
    <w:qFormat/>
    <w:uiPriority w:val="99"/>
    <w:pPr>
      <w:adjustRightInd w:val="0"/>
      <w:snapToGrid w:val="0"/>
      <w:spacing w:before="156" w:after="156" w:line="312" w:lineRule="auto"/>
      <w:ind w:firstLine="480" w:firstLineChars="200"/>
    </w:pPr>
    <w:rPr>
      <w:rFonts w:eastAsia="楷体_GB2312"/>
      <w:kern w:val="2"/>
      <w:sz w:val="24"/>
    </w:rPr>
  </w:style>
  <w:style w:type="paragraph" w:customStyle="1" w:styleId="492">
    <w:name w:val="Char Char Char Char Char Char1 Char"/>
    <w:basedOn w:val="1"/>
    <w:autoRedefine/>
    <w:qFormat/>
    <w:uiPriority w:val="99"/>
    <w:rPr>
      <w:kern w:val="2"/>
      <w:sz w:val="21"/>
      <w:szCs w:val="24"/>
    </w:rPr>
  </w:style>
  <w:style w:type="paragraph" w:customStyle="1" w:styleId="493">
    <w:name w:val="Char2"/>
    <w:basedOn w:val="1"/>
    <w:autoRedefine/>
    <w:qFormat/>
    <w:uiPriority w:val="99"/>
    <w:rPr>
      <w:kern w:val="2"/>
      <w:sz w:val="21"/>
      <w:szCs w:val="24"/>
    </w:rPr>
  </w:style>
  <w:style w:type="paragraph" w:customStyle="1" w:styleId="494">
    <w:name w:val="xl65"/>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sz w:val="24"/>
      <w:szCs w:val="24"/>
    </w:rPr>
  </w:style>
  <w:style w:type="paragraph" w:customStyle="1" w:styleId="495">
    <w:name w:val="xl66"/>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496">
    <w:name w:val="xl67"/>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497">
    <w:name w:val="xl68"/>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sz w:val="24"/>
      <w:szCs w:val="24"/>
    </w:rPr>
  </w:style>
  <w:style w:type="paragraph" w:customStyle="1" w:styleId="498">
    <w:name w:val="xl69"/>
    <w:basedOn w:val="1"/>
    <w:autoRedefine/>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70C0"/>
      <w:sz w:val="24"/>
      <w:szCs w:val="24"/>
    </w:rPr>
  </w:style>
  <w:style w:type="paragraph" w:customStyle="1" w:styleId="499">
    <w:name w:val="xl70"/>
    <w:basedOn w:val="1"/>
    <w:autoRedefine/>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00">
    <w:name w:val="xl71"/>
    <w:basedOn w:val="1"/>
    <w:autoRedefine/>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FF0000"/>
      <w:sz w:val="24"/>
      <w:szCs w:val="24"/>
    </w:rPr>
  </w:style>
  <w:style w:type="paragraph" w:customStyle="1" w:styleId="501">
    <w:name w:val="xl72"/>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70C0"/>
      <w:sz w:val="24"/>
      <w:szCs w:val="24"/>
    </w:rPr>
  </w:style>
  <w:style w:type="paragraph" w:customStyle="1" w:styleId="502">
    <w:name w:val="xl73"/>
    <w:basedOn w:val="1"/>
    <w:autoRedefine/>
    <w:qFormat/>
    <w:uiPriority w:val="99"/>
    <w:pPr>
      <w:widowControl/>
      <w:spacing w:before="100" w:beforeAutospacing="1" w:after="100" w:afterAutospacing="1"/>
      <w:jc w:val="left"/>
    </w:pPr>
    <w:rPr>
      <w:rFonts w:ascii="宋体" w:hAnsi="宋体" w:cs="宋体"/>
      <w:sz w:val="24"/>
      <w:szCs w:val="24"/>
    </w:rPr>
  </w:style>
  <w:style w:type="paragraph" w:customStyle="1" w:styleId="503">
    <w:name w:val="xl74"/>
    <w:basedOn w:val="1"/>
    <w:autoRedefine/>
    <w:qFormat/>
    <w:uiPriority w:val="99"/>
    <w:pPr>
      <w:widowControl/>
      <w:spacing w:before="100" w:beforeAutospacing="1" w:after="100" w:afterAutospacing="1"/>
      <w:jc w:val="left"/>
    </w:pPr>
    <w:rPr>
      <w:rFonts w:ascii="宋体" w:hAnsi="宋体" w:cs="宋体"/>
      <w:sz w:val="24"/>
      <w:szCs w:val="24"/>
    </w:rPr>
  </w:style>
  <w:style w:type="paragraph" w:customStyle="1" w:styleId="504">
    <w:name w:val="xl75"/>
    <w:basedOn w:val="1"/>
    <w:autoRedefine/>
    <w:qFormat/>
    <w:uiPriority w:val="99"/>
    <w:pPr>
      <w:widowControl/>
      <w:spacing w:before="100" w:beforeAutospacing="1" w:after="100" w:afterAutospacing="1"/>
      <w:jc w:val="center"/>
    </w:pPr>
    <w:rPr>
      <w:rFonts w:ascii="宋体" w:hAnsi="宋体" w:cs="宋体"/>
      <w:sz w:val="24"/>
      <w:szCs w:val="24"/>
    </w:rPr>
  </w:style>
  <w:style w:type="paragraph" w:customStyle="1" w:styleId="505">
    <w:name w:val="xl76"/>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06">
    <w:name w:val="xl77"/>
    <w:basedOn w:val="1"/>
    <w:autoRedefine/>
    <w:qFormat/>
    <w:uiPriority w:val="99"/>
    <w:pPr>
      <w:widowControl/>
      <w:pBdr>
        <w:top w:val="single" w:color="auto" w:sz="4" w:space="0"/>
        <w:bottom w:val="single" w:color="auto" w:sz="4" w:space="0"/>
      </w:pBdr>
      <w:spacing w:before="100" w:beforeAutospacing="1" w:after="100" w:afterAutospacing="1"/>
      <w:jc w:val="center"/>
    </w:pPr>
    <w:rPr>
      <w:rFonts w:ascii="宋体" w:hAnsi="宋体" w:cs="宋体"/>
      <w:b/>
      <w:bCs/>
      <w:color w:val="FF0000"/>
      <w:sz w:val="24"/>
      <w:szCs w:val="24"/>
    </w:rPr>
  </w:style>
  <w:style w:type="paragraph" w:customStyle="1" w:styleId="507">
    <w:name w:val="TOC 标题1"/>
    <w:basedOn w:val="3"/>
    <w:next w:val="1"/>
    <w:autoRedefine/>
    <w:qFormat/>
    <w:uiPriority w:val="99"/>
    <w:pPr>
      <w:widowControl/>
      <w:autoSpaceDE/>
      <w:autoSpaceDN/>
      <w:adjustRightInd/>
      <w:spacing w:before="240" w:after="0" w:line="259" w:lineRule="auto"/>
      <w:jc w:val="left"/>
      <w:outlineLvl w:val="9"/>
    </w:pPr>
    <w:rPr>
      <w:rFonts w:hint="default" w:ascii="Cambria" w:hAnsi="Cambria"/>
      <w:b w:val="0"/>
      <w:color w:val="365F91"/>
      <w:sz w:val="32"/>
      <w:szCs w:val="32"/>
    </w:rPr>
  </w:style>
  <w:style w:type="paragraph" w:customStyle="1" w:styleId="508">
    <w:name w:val="xl78"/>
    <w:basedOn w:val="1"/>
    <w:autoRedefine/>
    <w:qFormat/>
    <w:uiPriority w:val="99"/>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sz w:val="18"/>
      <w:szCs w:val="18"/>
    </w:rPr>
  </w:style>
  <w:style w:type="paragraph" w:customStyle="1" w:styleId="509">
    <w:name w:val="xl79"/>
    <w:basedOn w:val="1"/>
    <w:autoRedefine/>
    <w:qFormat/>
    <w:uiPriority w:val="99"/>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color w:val="FF0000"/>
      <w:sz w:val="18"/>
      <w:szCs w:val="18"/>
    </w:rPr>
  </w:style>
  <w:style w:type="paragraph" w:customStyle="1" w:styleId="510">
    <w:name w:val="xl80"/>
    <w:basedOn w:val="1"/>
    <w:autoRedefine/>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18"/>
      <w:szCs w:val="18"/>
    </w:rPr>
  </w:style>
  <w:style w:type="paragraph" w:customStyle="1" w:styleId="511">
    <w:name w:val="xl81"/>
    <w:basedOn w:val="1"/>
    <w:autoRedefine/>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18"/>
      <w:szCs w:val="18"/>
    </w:rPr>
  </w:style>
  <w:style w:type="paragraph" w:customStyle="1" w:styleId="512">
    <w:name w:val="xl82"/>
    <w:basedOn w:val="1"/>
    <w:autoRedefine/>
    <w:qFormat/>
    <w:uiPriority w:val="99"/>
    <w:pPr>
      <w:widowControl/>
      <w:pBdr>
        <w:top w:val="single" w:color="auto" w:sz="4" w:space="0"/>
        <w:bottom w:val="single" w:color="auto" w:sz="4" w:space="0"/>
      </w:pBdr>
      <w:spacing w:before="100" w:beforeAutospacing="1" w:after="100" w:afterAutospacing="1"/>
      <w:jc w:val="center"/>
    </w:pPr>
    <w:rPr>
      <w:rFonts w:ascii="宋体" w:hAnsi="宋体" w:cs="宋体"/>
      <w:b/>
      <w:bCs/>
      <w:color w:val="FF0000"/>
      <w:sz w:val="18"/>
      <w:szCs w:val="18"/>
    </w:rPr>
  </w:style>
  <w:style w:type="paragraph" w:customStyle="1" w:styleId="513">
    <w:name w:val="xl83"/>
    <w:basedOn w:val="1"/>
    <w:autoRedefine/>
    <w:qFormat/>
    <w:uiPriority w:val="99"/>
    <w:pPr>
      <w:widowControl/>
      <w:pBdr>
        <w:left w:val="single" w:color="auto" w:sz="4" w:space="0"/>
        <w:right w:val="single" w:color="auto" w:sz="4" w:space="0"/>
      </w:pBdr>
      <w:spacing w:before="100" w:beforeAutospacing="1" w:after="100" w:afterAutospacing="1"/>
      <w:jc w:val="center"/>
    </w:pPr>
    <w:rPr>
      <w:rFonts w:ascii="宋体" w:hAnsi="宋体" w:cs="宋体"/>
      <w:sz w:val="18"/>
      <w:szCs w:val="18"/>
    </w:rPr>
  </w:style>
  <w:style w:type="paragraph" w:customStyle="1" w:styleId="514">
    <w:name w:val="_Style 28"/>
    <w:basedOn w:val="1"/>
    <w:autoRedefine/>
    <w:qFormat/>
    <w:uiPriority w:val="99"/>
    <w:rPr>
      <w:rFonts w:ascii="Tahoma" w:hAnsi="Tahoma"/>
      <w:kern w:val="2"/>
      <w:sz w:val="24"/>
      <w:szCs w:val="24"/>
    </w:rPr>
  </w:style>
  <w:style w:type="character" w:customStyle="1" w:styleId="515">
    <w:name w:val="标准文本 Char"/>
    <w:link w:val="516"/>
    <w:autoRedefine/>
    <w:qFormat/>
    <w:locked/>
    <w:uiPriority w:val="99"/>
  </w:style>
  <w:style w:type="paragraph" w:customStyle="1" w:styleId="516">
    <w:name w:val="标准文本"/>
    <w:basedOn w:val="1"/>
    <w:link w:val="515"/>
    <w:autoRedefine/>
    <w:qFormat/>
    <w:uiPriority w:val="99"/>
    <w:pPr>
      <w:spacing w:line="360" w:lineRule="auto"/>
      <w:ind w:firstLine="480" w:firstLineChars="200"/>
    </w:pPr>
    <w:rPr>
      <w:rFonts w:asciiTheme="minorHAnsi" w:hAnsiTheme="minorHAnsi" w:eastAsiaTheme="minorEastAsia" w:cstheme="minorBidi"/>
      <w:kern w:val="2"/>
      <w:sz w:val="21"/>
      <w:szCs w:val="22"/>
    </w:rPr>
  </w:style>
  <w:style w:type="paragraph" w:customStyle="1" w:styleId="517">
    <w:name w:val="[Normal]"/>
    <w:autoRedefine/>
    <w:qFormat/>
    <w:uiPriority w:val="0"/>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pPr>
    <w:rPr>
      <w:rFonts w:ascii="宋体" w:hAnsi="宋体" w:eastAsia="宋体" w:cs="Times New Roman"/>
      <w:kern w:val="0"/>
      <w:sz w:val="24"/>
      <w:szCs w:val="24"/>
      <w:lang w:val="en-US" w:eastAsia="zh-CN" w:bidi="ar-SA"/>
    </w:rPr>
  </w:style>
  <w:style w:type="paragraph" w:customStyle="1" w:styleId="518">
    <w:name w:val="报告正文"/>
    <w:basedOn w:val="1"/>
    <w:autoRedefine/>
    <w:qFormat/>
    <w:uiPriority w:val="99"/>
    <w:pPr>
      <w:adjustRightInd w:val="0"/>
      <w:snapToGrid w:val="0"/>
      <w:spacing w:line="288" w:lineRule="auto"/>
      <w:ind w:left="3060" w:leftChars="1700"/>
    </w:pPr>
    <w:rPr>
      <w:rFonts w:ascii="华文细黑" w:hAnsi="华文细黑" w:eastAsia="华文细黑" w:cs="宋体"/>
      <w:kern w:val="2"/>
      <w:sz w:val="21"/>
    </w:rPr>
  </w:style>
  <w:style w:type="paragraph" w:customStyle="1" w:styleId="519">
    <w:name w:val="_Style 1"/>
    <w:basedOn w:val="1"/>
    <w:autoRedefine/>
    <w:qFormat/>
    <w:uiPriority w:val="99"/>
    <w:pPr>
      <w:ind w:firstLine="420" w:firstLineChars="200"/>
    </w:pPr>
    <w:rPr>
      <w:kern w:val="2"/>
      <w:sz w:val="21"/>
      <w:szCs w:val="24"/>
    </w:rPr>
  </w:style>
  <w:style w:type="paragraph" w:customStyle="1" w:styleId="520">
    <w:name w:val="Char Char Char1 Char"/>
    <w:basedOn w:val="26"/>
    <w:autoRedefine/>
    <w:qFormat/>
    <w:uiPriority w:val="0"/>
    <w:rPr>
      <w:rFonts w:ascii="Tahoma" w:hAnsi="Tahoma" w:eastAsia="宋体" w:cs="Tahoma"/>
      <w:kern w:val="0"/>
      <w:sz w:val="18"/>
    </w:rPr>
  </w:style>
  <w:style w:type="paragraph" w:customStyle="1" w:styleId="521">
    <w:name w:val="txt14"/>
    <w:basedOn w:val="1"/>
    <w:autoRedefine/>
    <w:qFormat/>
    <w:uiPriority w:val="0"/>
    <w:pPr>
      <w:widowControl/>
      <w:spacing w:before="100" w:beforeAutospacing="1" w:after="100" w:afterAutospacing="1"/>
      <w:jc w:val="left"/>
    </w:pPr>
    <w:rPr>
      <w:rFonts w:ascii="宋体" w:hAnsi="宋体" w:cs="宋体"/>
      <w:color w:val="000000"/>
      <w:sz w:val="21"/>
      <w:szCs w:val="21"/>
    </w:rPr>
  </w:style>
  <w:style w:type="character" w:customStyle="1" w:styleId="522">
    <w:name w:val="未处理的提及1"/>
    <w:basedOn w:val="90"/>
    <w:autoRedefine/>
    <w:unhideWhenUsed/>
    <w:qFormat/>
    <w:uiPriority w:val="99"/>
    <w:rPr>
      <w:color w:val="605E5C"/>
      <w:shd w:val="clear" w:color="auto" w:fill="E1DFDD"/>
    </w:rPr>
  </w:style>
  <w:style w:type="character" w:customStyle="1" w:styleId="523">
    <w:name w:val="标题 1 字符1"/>
    <w:autoRedefine/>
    <w:qFormat/>
    <w:uiPriority w:val="99"/>
    <w:rPr>
      <w:b/>
      <w:bCs/>
      <w:kern w:val="44"/>
      <w:sz w:val="32"/>
      <w:szCs w:val="44"/>
    </w:rPr>
  </w:style>
  <w:style w:type="character" w:customStyle="1" w:styleId="524">
    <w:name w:val="标题 2 字符1"/>
    <w:autoRedefine/>
    <w:qFormat/>
    <w:uiPriority w:val="99"/>
    <w:rPr>
      <w:rFonts w:ascii="Arial" w:hAnsi="Arial" w:eastAsia="黑体"/>
      <w:bCs/>
      <w:kern w:val="2"/>
      <w:sz w:val="32"/>
      <w:szCs w:val="32"/>
    </w:rPr>
  </w:style>
  <w:style w:type="character" w:customStyle="1" w:styleId="525">
    <w:name w:val="标题 3 字符1"/>
    <w:autoRedefine/>
    <w:qFormat/>
    <w:uiPriority w:val="9"/>
    <w:rPr>
      <w:rFonts w:ascii="宋体"/>
      <w:b/>
      <w:bCs/>
      <w:kern w:val="2"/>
      <w:sz w:val="24"/>
      <w:szCs w:val="32"/>
    </w:rPr>
  </w:style>
  <w:style w:type="character" w:customStyle="1" w:styleId="526">
    <w:name w:val="标题 4 字符1"/>
    <w:autoRedefine/>
    <w:qFormat/>
    <w:uiPriority w:val="0"/>
    <w:rPr>
      <w:rFonts w:ascii="Arial" w:hAnsi="Arial"/>
      <w:bCs/>
      <w:kern w:val="2"/>
      <w:sz w:val="24"/>
      <w:szCs w:val="28"/>
    </w:rPr>
  </w:style>
  <w:style w:type="character" w:customStyle="1" w:styleId="527">
    <w:name w:val="标题 7 字符1"/>
    <w:autoRedefine/>
    <w:semiHidden/>
    <w:qFormat/>
    <w:uiPriority w:val="9"/>
    <w:rPr>
      <w:b/>
      <w:bCs/>
      <w:kern w:val="2"/>
      <w:sz w:val="24"/>
      <w:szCs w:val="24"/>
    </w:rPr>
  </w:style>
  <w:style w:type="character" w:customStyle="1" w:styleId="528">
    <w:name w:val="标题 8 字符1"/>
    <w:basedOn w:val="90"/>
    <w:autoRedefine/>
    <w:qFormat/>
    <w:uiPriority w:val="0"/>
    <w:rPr>
      <w:rFonts w:ascii="Arial" w:hAnsi="Arial" w:eastAsia="黑体"/>
      <w:kern w:val="2"/>
      <w:sz w:val="21"/>
    </w:rPr>
  </w:style>
  <w:style w:type="character" w:customStyle="1" w:styleId="529">
    <w:name w:val="标题 9 字符1"/>
    <w:basedOn w:val="90"/>
    <w:autoRedefine/>
    <w:qFormat/>
    <w:uiPriority w:val="0"/>
    <w:rPr>
      <w:rFonts w:ascii="Arial" w:hAnsi="Arial" w:eastAsia="黑体"/>
      <w:kern w:val="2"/>
      <w:sz w:val="21"/>
    </w:rPr>
  </w:style>
  <w:style w:type="character" w:customStyle="1" w:styleId="530">
    <w:name w:val="正文缩进 字符1"/>
    <w:autoRedefine/>
    <w:qFormat/>
    <w:uiPriority w:val="0"/>
    <w:rPr>
      <w:sz w:val="21"/>
    </w:rPr>
  </w:style>
  <w:style w:type="character" w:customStyle="1" w:styleId="531">
    <w:name w:val="页脚 字符1"/>
    <w:autoRedefine/>
    <w:qFormat/>
    <w:uiPriority w:val="99"/>
    <w:rPr>
      <w:kern w:val="2"/>
      <w:sz w:val="18"/>
      <w:szCs w:val="18"/>
    </w:rPr>
  </w:style>
  <w:style w:type="character" w:customStyle="1" w:styleId="532">
    <w:name w:val="页眉 字符1"/>
    <w:autoRedefine/>
    <w:qFormat/>
    <w:uiPriority w:val="99"/>
    <w:rPr>
      <w:kern w:val="2"/>
      <w:sz w:val="18"/>
      <w:szCs w:val="18"/>
    </w:rPr>
  </w:style>
  <w:style w:type="character" w:customStyle="1" w:styleId="533">
    <w:name w:val="small"/>
    <w:basedOn w:val="90"/>
    <w:autoRedefine/>
    <w:qFormat/>
    <w:uiPriority w:val="0"/>
  </w:style>
  <w:style w:type="paragraph" w:customStyle="1" w:styleId="534">
    <w:name w:val="正文文本 21"/>
    <w:basedOn w:val="1"/>
    <w:autoRedefine/>
    <w:qFormat/>
    <w:uiPriority w:val="0"/>
    <w:pPr>
      <w:widowControl/>
      <w:jc w:val="center"/>
    </w:pPr>
    <w:rPr>
      <w:rFonts w:eastAsia="黑体"/>
      <w:sz w:val="44"/>
    </w:rPr>
  </w:style>
  <w:style w:type="paragraph" w:customStyle="1" w:styleId="535">
    <w:name w:val="Char1 Char Char Char Char"/>
    <w:basedOn w:val="1"/>
    <w:autoRedefine/>
    <w:qFormat/>
    <w:uiPriority w:val="0"/>
    <w:pPr>
      <w:tabs>
        <w:tab w:val="left" w:pos="425"/>
        <w:tab w:val="left" w:pos="1200"/>
      </w:tabs>
      <w:ind w:left="425"/>
    </w:pPr>
    <w:rPr>
      <w:kern w:val="2"/>
      <w:sz w:val="24"/>
      <w:szCs w:val="24"/>
    </w:rPr>
  </w:style>
  <w:style w:type="paragraph" w:customStyle="1" w:styleId="536">
    <w:name w:val="技标2"/>
    <w:basedOn w:val="5"/>
    <w:autoRedefine/>
    <w:qFormat/>
    <w:uiPriority w:val="0"/>
    <w:pPr>
      <w:keepNext w:val="0"/>
      <w:keepLines w:val="0"/>
      <w:adjustRightInd w:val="0"/>
      <w:snapToGrid w:val="0"/>
      <w:spacing w:before="600" w:after="240" w:line="420" w:lineRule="atLeast"/>
      <w:textAlignment w:val="baseline"/>
    </w:pPr>
    <w:rPr>
      <w:sz w:val="28"/>
    </w:rPr>
  </w:style>
  <w:style w:type="paragraph" w:customStyle="1" w:styleId="537">
    <w:name w:val="标准"/>
    <w:basedOn w:val="1"/>
    <w:autoRedefine/>
    <w:qFormat/>
    <w:uiPriority w:val="0"/>
    <w:pPr>
      <w:adjustRightInd w:val="0"/>
      <w:spacing w:line="420" w:lineRule="atLeast"/>
      <w:ind w:firstLine="454"/>
      <w:jc w:val="center"/>
      <w:textAlignment w:val="baseline"/>
    </w:pPr>
    <w:rPr>
      <w:sz w:val="21"/>
    </w:rPr>
  </w:style>
  <w:style w:type="paragraph" w:customStyle="1" w:styleId="538">
    <w:name w:val="6"/>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539">
    <w:name w:val="Char1 Char Char Char1"/>
    <w:basedOn w:val="1"/>
    <w:autoRedefine/>
    <w:qFormat/>
    <w:uiPriority w:val="99"/>
    <w:rPr>
      <w:rFonts w:ascii="仿宋_GB2312" w:eastAsia="仿宋_GB2312"/>
      <w:b/>
      <w:kern w:val="2"/>
      <w:sz w:val="32"/>
      <w:szCs w:val="32"/>
    </w:rPr>
  </w:style>
  <w:style w:type="paragraph" w:customStyle="1" w:styleId="540">
    <w:name w:val="普通(网站)2"/>
    <w:basedOn w:val="1"/>
    <w:autoRedefine/>
    <w:qFormat/>
    <w:uiPriority w:val="0"/>
    <w:pPr>
      <w:widowControl/>
      <w:spacing w:before="100" w:beforeAutospacing="1" w:after="100" w:afterAutospacing="1"/>
      <w:jc w:val="left"/>
    </w:pPr>
    <w:rPr>
      <w:rFonts w:ascii="宋体" w:hAnsi="宋体" w:cs="宋体"/>
      <w:sz w:val="24"/>
      <w:szCs w:val="24"/>
    </w:rPr>
  </w:style>
  <w:style w:type="paragraph" w:customStyle="1" w:styleId="541">
    <w:name w:val="Char Char1 Char Char Char Char Char Char Char Char Char Char Char Char Char Char"/>
    <w:basedOn w:val="1"/>
    <w:autoRedefine/>
    <w:qFormat/>
    <w:uiPriority w:val="99"/>
    <w:pPr>
      <w:widowControl/>
      <w:spacing w:after="160" w:line="240" w:lineRule="exact"/>
      <w:jc w:val="left"/>
    </w:pPr>
    <w:rPr>
      <w:kern w:val="2"/>
      <w:sz w:val="21"/>
      <w:szCs w:val="24"/>
    </w:rPr>
  </w:style>
  <w:style w:type="paragraph" w:customStyle="1" w:styleId="542">
    <w:name w:val="Char Char Char Char Char Char Char Char Char Char Char Char Char Char Char Char Char Char Char1"/>
    <w:basedOn w:val="1"/>
    <w:autoRedefine/>
    <w:qFormat/>
    <w:uiPriority w:val="99"/>
    <w:pPr>
      <w:widowControl/>
      <w:spacing w:after="160" w:line="240" w:lineRule="exact"/>
      <w:jc w:val="left"/>
    </w:pPr>
    <w:rPr>
      <w:kern w:val="2"/>
      <w:sz w:val="21"/>
      <w:szCs w:val="24"/>
    </w:rPr>
  </w:style>
  <w:style w:type="paragraph" w:customStyle="1" w:styleId="543">
    <w:name w:val="Char Char1 Char Char Char Char Char Char1"/>
    <w:basedOn w:val="1"/>
    <w:autoRedefine/>
    <w:qFormat/>
    <w:uiPriority w:val="0"/>
    <w:pPr>
      <w:widowControl/>
      <w:spacing w:after="160" w:line="240" w:lineRule="exact"/>
      <w:jc w:val="left"/>
    </w:pPr>
    <w:rPr>
      <w:rFonts w:ascii="Verdana" w:hAnsi="Verdana" w:eastAsia="仿宋_GB2312"/>
      <w:sz w:val="24"/>
      <w:lang w:eastAsia="en-US"/>
    </w:rPr>
  </w:style>
  <w:style w:type="paragraph" w:customStyle="1" w:styleId="544">
    <w:name w:val="Char Char61"/>
    <w:basedOn w:val="1"/>
    <w:autoRedefine/>
    <w:qFormat/>
    <w:uiPriority w:val="0"/>
    <w:pPr>
      <w:widowControl/>
      <w:spacing w:after="160" w:line="240" w:lineRule="exact"/>
      <w:jc w:val="left"/>
    </w:pPr>
    <w:rPr>
      <w:kern w:val="2"/>
      <w:sz w:val="21"/>
      <w:szCs w:val="24"/>
    </w:rPr>
  </w:style>
  <w:style w:type="character" w:customStyle="1" w:styleId="545">
    <w:name w:val="skip_21"/>
    <w:autoRedefine/>
    <w:qFormat/>
    <w:uiPriority w:val="0"/>
    <w:rPr>
      <w:color w:val="333333"/>
      <w:sz w:val="18"/>
      <w:szCs w:val="18"/>
      <w:u w:val="none"/>
    </w:rPr>
  </w:style>
  <w:style w:type="character" w:customStyle="1" w:styleId="546">
    <w:name w:val="文字 Char"/>
    <w:link w:val="547"/>
    <w:autoRedefine/>
    <w:qFormat/>
    <w:uiPriority w:val="0"/>
    <w:rPr>
      <w:rFonts w:ascii="宋体"/>
      <w:sz w:val="28"/>
    </w:rPr>
  </w:style>
  <w:style w:type="paragraph" w:customStyle="1" w:styleId="547">
    <w:name w:val="文字"/>
    <w:basedOn w:val="1"/>
    <w:link w:val="546"/>
    <w:autoRedefine/>
    <w:qFormat/>
    <w:uiPriority w:val="0"/>
    <w:pPr>
      <w:tabs>
        <w:tab w:val="left" w:pos="8520"/>
      </w:tabs>
      <w:spacing w:line="312" w:lineRule="auto"/>
      <w:ind w:right="-210" w:firstLine="556"/>
    </w:pPr>
    <w:rPr>
      <w:rFonts w:ascii="宋体" w:hAnsiTheme="minorHAnsi" w:eastAsiaTheme="minorEastAsia" w:cstheme="minorBidi"/>
      <w:kern w:val="2"/>
      <w:sz w:val="28"/>
      <w:szCs w:val="22"/>
    </w:rPr>
  </w:style>
  <w:style w:type="character" w:customStyle="1" w:styleId="548">
    <w:name w:val="Char Char10"/>
    <w:link w:val="549"/>
    <w:autoRedefine/>
    <w:qFormat/>
    <w:uiPriority w:val="0"/>
    <w:rPr>
      <w:rFonts w:ascii="Verdana" w:hAnsi="Verdana"/>
      <w:lang w:eastAsia="en-US"/>
    </w:rPr>
  </w:style>
  <w:style w:type="paragraph" w:customStyle="1" w:styleId="549">
    <w:name w:val="Char3"/>
    <w:basedOn w:val="1"/>
    <w:link w:val="548"/>
    <w:autoRedefine/>
    <w:qFormat/>
    <w:uiPriority w:val="0"/>
    <w:pPr>
      <w:widowControl/>
      <w:spacing w:after="160" w:line="240" w:lineRule="exact"/>
      <w:jc w:val="left"/>
    </w:pPr>
    <w:rPr>
      <w:rFonts w:ascii="Verdana" w:hAnsi="Verdana" w:eastAsiaTheme="minorEastAsia" w:cstheme="minorBidi"/>
      <w:kern w:val="2"/>
      <w:sz w:val="21"/>
      <w:szCs w:val="22"/>
      <w:lang w:eastAsia="en-US"/>
    </w:rPr>
  </w:style>
  <w:style w:type="character" w:customStyle="1" w:styleId="550">
    <w:name w:val="正文缩进 Char Char1"/>
    <w:autoRedefine/>
    <w:qFormat/>
    <w:uiPriority w:val="0"/>
    <w:rPr>
      <w:rFonts w:eastAsia="宋体"/>
      <w:kern w:val="2"/>
      <w:sz w:val="24"/>
      <w:szCs w:val="24"/>
      <w:lang w:val="en-US" w:eastAsia="zh-CN" w:bidi="ar-SA"/>
    </w:rPr>
  </w:style>
  <w:style w:type="character" w:customStyle="1" w:styleId="551">
    <w:name w:val="wenben1"/>
    <w:autoRedefine/>
    <w:qFormat/>
    <w:uiPriority w:val="0"/>
    <w:rPr>
      <w:u w:val="none"/>
    </w:rPr>
  </w:style>
  <w:style w:type="character" w:customStyle="1" w:styleId="552">
    <w:name w:val="a9"/>
    <w:basedOn w:val="90"/>
    <w:autoRedefine/>
    <w:qFormat/>
    <w:uiPriority w:val="0"/>
  </w:style>
  <w:style w:type="character" w:customStyle="1" w:styleId="553">
    <w:name w:val="text-4"/>
    <w:basedOn w:val="90"/>
    <w:autoRedefine/>
    <w:qFormat/>
    <w:uiPriority w:val="0"/>
  </w:style>
  <w:style w:type="character" w:customStyle="1" w:styleId="554">
    <w:name w:val="verdana14ptboldblack1"/>
    <w:autoRedefine/>
    <w:qFormat/>
    <w:uiPriority w:val="0"/>
    <w:rPr>
      <w:rFonts w:hint="default" w:ascii="Verdana" w:hAnsi="Verdana"/>
      <w:b/>
      <w:bCs/>
      <w:color w:val="000000"/>
      <w:sz w:val="22"/>
      <w:szCs w:val="22"/>
    </w:rPr>
  </w:style>
  <w:style w:type="character" w:customStyle="1" w:styleId="555">
    <w:name w:val="blacktext"/>
    <w:basedOn w:val="90"/>
    <w:autoRedefine/>
    <w:qFormat/>
    <w:uiPriority w:val="0"/>
  </w:style>
  <w:style w:type="character" w:customStyle="1" w:styleId="556">
    <w:name w:val="标题 4 Char Char"/>
    <w:autoRedefine/>
    <w:qFormat/>
    <w:uiPriority w:val="0"/>
    <w:rPr>
      <w:rFonts w:ascii="Arial" w:hAnsi="Arial" w:eastAsia="黑体"/>
      <w:b/>
      <w:bCs/>
      <w:kern w:val="2"/>
      <w:sz w:val="28"/>
      <w:szCs w:val="28"/>
      <w:lang w:val="en-US" w:eastAsia="zh-CN" w:bidi="ar-SA"/>
    </w:rPr>
  </w:style>
  <w:style w:type="character" w:customStyle="1" w:styleId="557">
    <w:name w:val="正文2 Char Char"/>
    <w:link w:val="558"/>
    <w:autoRedefine/>
    <w:qFormat/>
    <w:uiPriority w:val="0"/>
    <w:rPr>
      <w:rFonts w:eastAsia="仿宋_GB2312"/>
      <w:sz w:val="28"/>
    </w:rPr>
  </w:style>
  <w:style w:type="paragraph" w:customStyle="1" w:styleId="558">
    <w:name w:val="正文2 Char"/>
    <w:basedOn w:val="1"/>
    <w:link w:val="557"/>
    <w:autoRedefine/>
    <w:qFormat/>
    <w:uiPriority w:val="0"/>
    <w:pPr>
      <w:spacing w:beforeLines="20" w:afterLines="20" w:line="360" w:lineRule="auto"/>
      <w:ind w:firstLine="200" w:firstLineChars="200"/>
    </w:pPr>
    <w:rPr>
      <w:rFonts w:eastAsia="仿宋_GB2312" w:asciiTheme="minorHAnsi" w:hAnsiTheme="minorHAnsi" w:cstheme="minorBidi"/>
      <w:kern w:val="2"/>
      <w:sz w:val="28"/>
      <w:szCs w:val="22"/>
    </w:rPr>
  </w:style>
  <w:style w:type="character" w:customStyle="1" w:styleId="559">
    <w:name w:val="Body Char"/>
    <w:link w:val="560"/>
    <w:autoRedefine/>
    <w:qFormat/>
    <w:uiPriority w:val="0"/>
    <w:rPr>
      <w:rFonts w:ascii="宋体" w:hAnsi="宋体"/>
      <w:sz w:val="24"/>
    </w:rPr>
  </w:style>
  <w:style w:type="paragraph" w:customStyle="1" w:styleId="560">
    <w:name w:val="Body"/>
    <w:basedOn w:val="1"/>
    <w:link w:val="559"/>
    <w:autoRedefine/>
    <w:qFormat/>
    <w:uiPriority w:val="0"/>
    <w:pPr>
      <w:widowControl/>
      <w:tabs>
        <w:tab w:val="left" w:pos="9255"/>
      </w:tabs>
      <w:spacing w:beforeLines="50" w:afterLines="50" w:line="360" w:lineRule="auto"/>
    </w:pPr>
    <w:rPr>
      <w:rFonts w:ascii="宋体" w:hAnsi="宋体" w:eastAsiaTheme="minorEastAsia" w:cstheme="minorBidi"/>
      <w:kern w:val="2"/>
      <w:sz w:val="24"/>
      <w:szCs w:val="22"/>
    </w:rPr>
  </w:style>
  <w:style w:type="character" w:customStyle="1" w:styleId="561">
    <w:name w:val="表格 Char"/>
    <w:link w:val="283"/>
    <w:autoRedefine/>
    <w:qFormat/>
    <w:uiPriority w:val="0"/>
    <w:rPr>
      <w:rFonts w:ascii="Times New Roman" w:hAnsi="Times New Roman" w:eastAsia="宋体" w:cs="Times New Roman"/>
      <w:kern w:val="0"/>
      <w:sz w:val="24"/>
      <w:szCs w:val="20"/>
    </w:rPr>
  </w:style>
  <w:style w:type="character" w:customStyle="1" w:styleId="562">
    <w:name w:val="正文首行缩进 Char"/>
    <w:basedOn w:val="244"/>
    <w:autoRedefine/>
    <w:semiHidden/>
    <w:qFormat/>
    <w:uiPriority w:val="99"/>
    <w:rPr>
      <w:rFonts w:ascii="Times New Roman" w:hAnsi="Times New Roman" w:eastAsia="宋体" w:cs="Times New Roman"/>
      <w:kern w:val="2"/>
      <w:sz w:val="21"/>
      <w:szCs w:val="24"/>
      <w:lang w:val="en-US" w:eastAsia="zh-CN" w:bidi="ar-SA"/>
    </w:rPr>
  </w:style>
  <w:style w:type="character" w:customStyle="1" w:styleId="563">
    <w:name w:val="正文首行缩进 2 Char"/>
    <w:basedOn w:val="261"/>
    <w:autoRedefine/>
    <w:semiHidden/>
    <w:qFormat/>
    <w:uiPriority w:val="99"/>
    <w:rPr>
      <w:rFonts w:ascii="宋体" w:hAnsi="宋体" w:eastAsia="宋体" w:cs="Times New Roman"/>
      <w:kern w:val="2"/>
      <w:sz w:val="21"/>
      <w:szCs w:val="24"/>
    </w:rPr>
  </w:style>
  <w:style w:type="character" w:customStyle="1" w:styleId="564">
    <w:name w:val="highlight1"/>
    <w:autoRedefine/>
    <w:qFormat/>
    <w:uiPriority w:val="0"/>
    <w:rPr>
      <w:sz w:val="21"/>
      <w:szCs w:val="21"/>
    </w:rPr>
  </w:style>
  <w:style w:type="character" w:customStyle="1" w:styleId="565">
    <w:name w:val="标题 2 Char Char"/>
    <w:autoRedefine/>
    <w:qFormat/>
    <w:uiPriority w:val="0"/>
    <w:rPr>
      <w:rFonts w:ascii="Arial" w:hAnsi="Arial" w:eastAsia="黑体"/>
      <w:b/>
      <w:bCs/>
      <w:kern w:val="2"/>
      <w:sz w:val="32"/>
      <w:szCs w:val="32"/>
      <w:lang w:val="en-US" w:eastAsia="zh-CN" w:bidi="ar-SA"/>
    </w:rPr>
  </w:style>
  <w:style w:type="character" w:customStyle="1" w:styleId="566">
    <w:name w:val="标题 3 Char Char"/>
    <w:autoRedefine/>
    <w:qFormat/>
    <w:uiPriority w:val="0"/>
    <w:rPr>
      <w:rFonts w:eastAsia="宋体"/>
      <w:b/>
      <w:bCs/>
      <w:kern w:val="2"/>
      <w:sz w:val="32"/>
      <w:szCs w:val="32"/>
      <w:lang w:val="en-US" w:eastAsia="zh-CN" w:bidi="ar-SA"/>
    </w:rPr>
  </w:style>
  <w:style w:type="character" w:customStyle="1" w:styleId="567">
    <w:name w:val="正文文字 Char Char"/>
    <w:link w:val="568"/>
    <w:autoRedefine/>
    <w:qFormat/>
    <w:uiPriority w:val="0"/>
    <w:rPr>
      <w:color w:val="000000"/>
      <w:sz w:val="28"/>
      <w:szCs w:val="28"/>
    </w:rPr>
  </w:style>
  <w:style w:type="paragraph" w:customStyle="1" w:styleId="568">
    <w:name w:val="正文文字"/>
    <w:basedOn w:val="1"/>
    <w:link w:val="567"/>
    <w:autoRedefine/>
    <w:qFormat/>
    <w:uiPriority w:val="0"/>
    <w:pPr>
      <w:ind w:firstLine="482"/>
    </w:pPr>
    <w:rPr>
      <w:rFonts w:asciiTheme="minorHAnsi" w:hAnsiTheme="minorHAnsi" w:eastAsiaTheme="minorEastAsia" w:cstheme="minorBidi"/>
      <w:color w:val="000000"/>
      <w:kern w:val="2"/>
      <w:sz w:val="28"/>
      <w:szCs w:val="28"/>
    </w:rPr>
  </w:style>
  <w:style w:type="character" w:customStyle="1" w:styleId="569">
    <w:name w:val="文档正文 Char"/>
    <w:link w:val="570"/>
    <w:autoRedefine/>
    <w:qFormat/>
    <w:uiPriority w:val="0"/>
    <w:rPr>
      <w:rFonts w:ascii="长城仿宋"/>
      <w:sz w:val="24"/>
    </w:rPr>
  </w:style>
  <w:style w:type="paragraph" w:customStyle="1" w:styleId="570">
    <w:name w:val="文档正文"/>
    <w:basedOn w:val="1"/>
    <w:link w:val="569"/>
    <w:autoRedefine/>
    <w:qFormat/>
    <w:uiPriority w:val="0"/>
    <w:pPr>
      <w:adjustRightInd w:val="0"/>
      <w:spacing w:line="480" w:lineRule="atLeast"/>
      <w:ind w:firstLine="567"/>
      <w:textAlignment w:val="baseline"/>
    </w:pPr>
    <w:rPr>
      <w:rFonts w:ascii="长城仿宋" w:hAnsiTheme="minorHAnsi" w:eastAsiaTheme="minorEastAsia" w:cstheme="minorBidi"/>
      <w:kern w:val="2"/>
      <w:sz w:val="24"/>
      <w:szCs w:val="22"/>
    </w:rPr>
  </w:style>
  <w:style w:type="character" w:customStyle="1" w:styleId="571">
    <w:name w:val="pt101"/>
    <w:autoRedefine/>
    <w:qFormat/>
    <w:uiPriority w:val="0"/>
    <w:rPr>
      <w:sz w:val="14"/>
      <w:szCs w:val="14"/>
    </w:rPr>
  </w:style>
  <w:style w:type="character" w:customStyle="1" w:styleId="572">
    <w:name w:val="msonormal"/>
    <w:basedOn w:val="90"/>
    <w:autoRedefine/>
    <w:qFormat/>
    <w:uiPriority w:val="0"/>
  </w:style>
  <w:style w:type="character" w:customStyle="1" w:styleId="573">
    <w:name w:val="font"/>
    <w:basedOn w:val="90"/>
    <w:autoRedefine/>
    <w:qFormat/>
    <w:uiPriority w:val="0"/>
  </w:style>
  <w:style w:type="character" w:customStyle="1" w:styleId="574">
    <w:name w:val="常用正文 Char"/>
    <w:link w:val="575"/>
    <w:autoRedefine/>
    <w:qFormat/>
    <w:uiPriority w:val="0"/>
    <w:rPr>
      <w:rFonts w:ascii="Arial" w:hAnsi="Arial" w:eastAsia="楷体_GB2312"/>
      <w:sz w:val="24"/>
    </w:rPr>
  </w:style>
  <w:style w:type="paragraph" w:customStyle="1" w:styleId="575">
    <w:name w:val="常用正文"/>
    <w:link w:val="574"/>
    <w:autoRedefine/>
    <w:qFormat/>
    <w:uiPriority w:val="0"/>
    <w:pPr>
      <w:widowControl w:val="0"/>
      <w:spacing w:line="360" w:lineRule="auto"/>
      <w:ind w:firstLine="200" w:firstLineChars="200"/>
      <w:textAlignment w:val="bottom"/>
    </w:pPr>
    <w:rPr>
      <w:rFonts w:ascii="Arial" w:hAnsi="Arial" w:eastAsia="楷体_GB2312" w:cstheme="minorBidi"/>
      <w:kern w:val="2"/>
      <w:sz w:val="24"/>
      <w:szCs w:val="22"/>
      <w:lang w:val="en-US" w:eastAsia="zh-CN" w:bidi="ar-SA"/>
    </w:rPr>
  </w:style>
  <w:style w:type="character" w:customStyle="1" w:styleId="576">
    <w:name w:val="txt1"/>
    <w:autoRedefine/>
    <w:qFormat/>
    <w:uiPriority w:val="0"/>
    <w:rPr>
      <w:rFonts w:hint="default" w:ascii="ˎ̥" w:hAnsi="ˎ̥"/>
      <w:sz w:val="18"/>
      <w:szCs w:val="18"/>
    </w:rPr>
  </w:style>
  <w:style w:type="character" w:customStyle="1" w:styleId="577">
    <w:name w:val="case31"/>
    <w:autoRedefine/>
    <w:qFormat/>
    <w:uiPriority w:val="0"/>
    <w:rPr>
      <w:rFonts w:hint="default" w:eastAsia="宋体"/>
      <w:kern w:val="2"/>
      <w:sz w:val="21"/>
      <w:lang w:val="en-US" w:eastAsia="zh-CN"/>
    </w:rPr>
  </w:style>
  <w:style w:type="character" w:customStyle="1" w:styleId="578">
    <w:name w:val="boldtitle1"/>
    <w:autoRedefine/>
    <w:qFormat/>
    <w:uiPriority w:val="0"/>
    <w:rPr>
      <w:rFonts w:hint="default" w:ascii="Arial Black" w:hAnsi="Arial Black"/>
      <w:sz w:val="36"/>
    </w:rPr>
  </w:style>
  <w:style w:type="character" w:customStyle="1" w:styleId="579">
    <w:name w:val="样式 正文缩进 + 首行缩进:  2 字符 Char"/>
    <w:link w:val="580"/>
    <w:autoRedefine/>
    <w:qFormat/>
    <w:uiPriority w:val="0"/>
    <w:rPr>
      <w:rFonts w:cs="宋体"/>
      <w:sz w:val="24"/>
    </w:rPr>
  </w:style>
  <w:style w:type="paragraph" w:customStyle="1" w:styleId="580">
    <w:name w:val="样式 正文缩进 + 首行缩进:  2 字符"/>
    <w:basedOn w:val="21"/>
    <w:link w:val="579"/>
    <w:autoRedefine/>
    <w:qFormat/>
    <w:uiPriority w:val="0"/>
    <w:pPr>
      <w:spacing w:line="360" w:lineRule="auto"/>
      <w:ind w:firstLine="200" w:firstLineChars="200"/>
    </w:pPr>
    <w:rPr>
      <w:rFonts w:cs="宋体" w:eastAsiaTheme="minorEastAsia"/>
      <w:sz w:val="24"/>
    </w:rPr>
  </w:style>
  <w:style w:type="paragraph" w:customStyle="1" w:styleId="581">
    <w:name w:val="font1"/>
    <w:basedOn w:val="1"/>
    <w:autoRedefine/>
    <w:qFormat/>
    <w:uiPriority w:val="0"/>
    <w:pPr>
      <w:widowControl/>
      <w:spacing w:before="100" w:beforeAutospacing="1" w:after="100" w:afterAutospacing="1" w:line="300" w:lineRule="atLeast"/>
      <w:jc w:val="left"/>
    </w:pPr>
    <w:rPr>
      <w:rFonts w:ascii="宋体" w:hAnsi="宋体"/>
      <w:sz w:val="18"/>
    </w:rPr>
  </w:style>
  <w:style w:type="paragraph" w:customStyle="1" w:styleId="582">
    <w:name w:val="2册标题2"/>
    <w:basedOn w:val="1"/>
    <w:next w:val="1"/>
    <w:autoRedefine/>
    <w:qFormat/>
    <w:uiPriority w:val="0"/>
    <w:pPr>
      <w:spacing w:beforeLines="50" w:afterLines="50" w:line="300" w:lineRule="auto"/>
      <w:outlineLvl w:val="1"/>
    </w:pPr>
    <w:rPr>
      <w:rFonts w:ascii="Arial" w:hAnsi="Arial" w:eastAsia="黑体"/>
      <w:kern w:val="2"/>
      <w:sz w:val="30"/>
    </w:rPr>
  </w:style>
  <w:style w:type="paragraph" w:customStyle="1" w:styleId="583">
    <w:name w:val="msonormal3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84">
    <w:name w:val="正文 3"/>
    <w:basedOn w:val="365"/>
    <w:next w:val="365"/>
    <w:autoRedefine/>
    <w:qFormat/>
    <w:uiPriority w:val="0"/>
    <w:pPr>
      <w:spacing w:before="120"/>
    </w:pPr>
    <w:rPr>
      <w:rFonts w:ascii="Garamond" w:hAnsi="Garamond" w:eastAsia="宋体"/>
      <w:color w:val="auto"/>
      <w:szCs w:val="20"/>
    </w:rPr>
  </w:style>
  <w:style w:type="paragraph" w:customStyle="1" w:styleId="585">
    <w:name w:val="表格文字加粗"/>
    <w:autoRedefine/>
    <w:qFormat/>
    <w:uiPriority w:val="0"/>
    <w:pPr>
      <w:widowControl w:val="0"/>
      <w:spacing w:line="300" w:lineRule="auto"/>
      <w:jc w:val="center"/>
    </w:pPr>
    <w:rPr>
      <w:rFonts w:ascii="Times New Roman" w:hAnsi="Times New Roman" w:eastAsia="宋体" w:cs="Times New Roman"/>
      <w:b/>
      <w:kern w:val="2"/>
      <w:sz w:val="21"/>
      <w:szCs w:val="24"/>
      <w:lang w:val="en-US" w:eastAsia="zh-CN" w:bidi="ar-SA"/>
    </w:rPr>
  </w:style>
  <w:style w:type="paragraph" w:customStyle="1" w:styleId="586">
    <w:name w:val="±íÏî"/>
    <w:basedOn w:val="1"/>
    <w:autoRedefine/>
    <w:qFormat/>
    <w:uiPriority w:val="0"/>
    <w:pPr>
      <w:widowControl/>
      <w:overflowPunct w:val="0"/>
      <w:autoSpaceDE w:val="0"/>
      <w:autoSpaceDN w:val="0"/>
      <w:adjustRightInd w:val="0"/>
      <w:spacing w:line="300" w:lineRule="auto"/>
      <w:jc w:val="center"/>
      <w:textAlignment w:val="baseline"/>
    </w:pPr>
    <w:rPr>
      <w:sz w:val="18"/>
    </w:rPr>
  </w:style>
  <w:style w:type="paragraph" w:customStyle="1" w:styleId="587">
    <w:name w:val="无编号标题0"/>
    <w:next w:val="1"/>
    <w:autoRedefine/>
    <w:qFormat/>
    <w:uiPriority w:val="0"/>
    <w:pPr>
      <w:jc w:val="center"/>
    </w:pPr>
    <w:rPr>
      <w:rFonts w:ascii="Times New Roman" w:hAnsi="Times New Roman" w:eastAsia="黑体" w:cs="Times New Roman"/>
      <w:kern w:val="2"/>
      <w:sz w:val="52"/>
      <w:szCs w:val="24"/>
      <w:lang w:val="en-US" w:eastAsia="zh-CN" w:bidi="ar-SA"/>
    </w:rPr>
  </w:style>
  <w:style w:type="paragraph" w:customStyle="1" w:styleId="588">
    <w:name w:val="z-窗体顶端1"/>
    <w:basedOn w:val="1"/>
    <w:next w:val="1"/>
    <w:link w:val="589"/>
    <w:autoRedefine/>
    <w:qFormat/>
    <w:uiPriority w:val="0"/>
    <w:pPr>
      <w:widowControl/>
      <w:pBdr>
        <w:bottom w:val="single" w:color="auto" w:sz="6" w:space="1"/>
      </w:pBdr>
      <w:jc w:val="center"/>
    </w:pPr>
    <w:rPr>
      <w:rFonts w:ascii="Arial" w:hAnsi="Arial"/>
      <w:vanish/>
      <w:sz w:val="16"/>
      <w:szCs w:val="16"/>
    </w:rPr>
  </w:style>
  <w:style w:type="character" w:customStyle="1" w:styleId="589">
    <w:name w:val="z-窗体顶端 Char1"/>
    <w:basedOn w:val="90"/>
    <w:link w:val="588"/>
    <w:autoRedefine/>
    <w:qFormat/>
    <w:uiPriority w:val="0"/>
    <w:rPr>
      <w:rFonts w:ascii="Arial" w:hAnsi="Arial" w:eastAsia="宋体" w:cs="Times New Roman"/>
      <w:vanish/>
      <w:kern w:val="0"/>
      <w:sz w:val="16"/>
      <w:szCs w:val="16"/>
    </w:rPr>
  </w:style>
  <w:style w:type="character" w:customStyle="1" w:styleId="590">
    <w:name w:val="z-窗体顶端 Char"/>
    <w:basedOn w:val="90"/>
    <w:autoRedefine/>
    <w:semiHidden/>
    <w:qFormat/>
    <w:uiPriority w:val="99"/>
    <w:rPr>
      <w:rFonts w:ascii="Arial" w:hAnsi="Arial" w:cs="Arial"/>
      <w:vanish/>
      <w:kern w:val="2"/>
      <w:sz w:val="16"/>
      <w:szCs w:val="16"/>
    </w:rPr>
  </w:style>
  <w:style w:type="paragraph" w:customStyle="1" w:styleId="591">
    <w:name w:val="wenjianming"/>
    <w:basedOn w:val="1"/>
    <w:autoRedefine/>
    <w:qFormat/>
    <w:uiPriority w:val="0"/>
    <w:pPr>
      <w:widowControl/>
      <w:spacing w:before="100" w:beforeAutospacing="1" w:after="100" w:afterAutospacing="1" w:line="300" w:lineRule="atLeast"/>
      <w:jc w:val="left"/>
    </w:pPr>
    <w:rPr>
      <w:rFonts w:eastAsia="Arial Unicode MS"/>
      <w:color w:val="000000"/>
      <w:sz w:val="21"/>
    </w:rPr>
  </w:style>
  <w:style w:type="paragraph" w:customStyle="1" w:styleId="592">
    <w:name w:val="Item List"/>
    <w:autoRedefine/>
    <w:qFormat/>
    <w:uiPriority w:val="0"/>
    <w:pPr>
      <w:spacing w:line="300" w:lineRule="auto"/>
      <w:ind w:firstLine="425"/>
      <w:jc w:val="both"/>
    </w:pPr>
    <w:rPr>
      <w:rFonts w:ascii="Arial" w:hAnsi="Arial" w:eastAsia="宋体" w:cs="Times New Roman"/>
      <w:color w:val="000000"/>
      <w:kern w:val="0"/>
      <w:sz w:val="24"/>
      <w:szCs w:val="20"/>
      <w:lang w:val="en-US" w:eastAsia="zh-CN" w:bidi="ar-SA"/>
    </w:rPr>
  </w:style>
  <w:style w:type="paragraph" w:customStyle="1" w:styleId="593">
    <w:name w:val="Char11"/>
    <w:basedOn w:val="1"/>
    <w:autoRedefine/>
    <w:qFormat/>
    <w:uiPriority w:val="99"/>
    <w:pPr>
      <w:widowControl/>
      <w:spacing w:after="160" w:line="240" w:lineRule="exact"/>
      <w:jc w:val="left"/>
    </w:pPr>
    <w:rPr>
      <w:rFonts w:ascii="Verdana" w:hAnsi="Verdana"/>
      <w:lang w:eastAsia="en-US"/>
    </w:rPr>
  </w:style>
  <w:style w:type="paragraph" w:customStyle="1" w:styleId="594">
    <w:name w:val="表正文"/>
    <w:next w:val="34"/>
    <w:autoRedefine/>
    <w:qFormat/>
    <w:uiPriority w:val="0"/>
    <w:pPr>
      <w:snapToGrid w:val="0"/>
      <w:spacing w:line="600" w:lineRule="atLeast"/>
      <w:ind w:firstLine="641"/>
      <w:jc w:val="both"/>
    </w:pPr>
    <w:rPr>
      <w:rFonts w:ascii="Times New Roman" w:hAnsi="Times New Roman" w:eastAsia="仿宋_GB2312" w:cs="Times New Roman"/>
      <w:kern w:val="0"/>
      <w:sz w:val="32"/>
      <w:szCs w:val="20"/>
      <w:lang w:val="en-US" w:eastAsia="zh-CN" w:bidi="ar-SA"/>
    </w:rPr>
  </w:style>
  <w:style w:type="paragraph" w:customStyle="1" w:styleId="595">
    <w:name w:val="Char Char Char Char Char Char Char Char Char Char Char Char Char Char Char Char Char Char Char Char Char Char Char Char Char Char Char Char Char Char Char Char Char"/>
    <w:basedOn w:val="1"/>
    <w:autoRedefine/>
    <w:qFormat/>
    <w:uiPriority w:val="0"/>
    <w:pPr>
      <w:widowControl/>
      <w:spacing w:after="160" w:line="240" w:lineRule="exact"/>
      <w:jc w:val="left"/>
    </w:pPr>
    <w:rPr>
      <w:rFonts w:ascii="Verdana" w:hAnsi="Verdana" w:eastAsia="仿宋_GB2312"/>
      <w:sz w:val="24"/>
      <w:lang w:eastAsia="en-US"/>
    </w:rPr>
  </w:style>
  <w:style w:type="paragraph" w:customStyle="1" w:styleId="596">
    <w:name w:val="Char Char Char Char Char Char Char Char Char Char Char Char Char Char Char Char2"/>
    <w:basedOn w:val="1"/>
    <w:autoRedefine/>
    <w:qFormat/>
    <w:uiPriority w:val="0"/>
    <w:pPr>
      <w:tabs>
        <w:tab w:val="left" w:pos="360"/>
      </w:tabs>
    </w:pPr>
    <w:rPr>
      <w:kern w:val="2"/>
      <w:sz w:val="24"/>
      <w:szCs w:val="24"/>
    </w:rPr>
  </w:style>
  <w:style w:type="paragraph" w:customStyle="1" w:styleId="597">
    <w:name w:val="一般正文"/>
    <w:basedOn w:val="1"/>
    <w:autoRedefine/>
    <w:qFormat/>
    <w:uiPriority w:val="0"/>
    <w:pPr>
      <w:spacing w:line="360" w:lineRule="auto"/>
      <w:ind w:firstLine="480" w:firstLineChars="200"/>
    </w:pPr>
    <w:rPr>
      <w:rFonts w:cs="宋体"/>
      <w:kern w:val="2"/>
      <w:sz w:val="24"/>
    </w:rPr>
  </w:style>
  <w:style w:type="paragraph" w:customStyle="1" w:styleId="598">
    <w:name w:val="表格文字"/>
    <w:autoRedefine/>
    <w:qFormat/>
    <w:uiPriority w:val="0"/>
    <w:pPr>
      <w:jc w:val="center"/>
    </w:pPr>
    <w:rPr>
      <w:rFonts w:ascii="Times New Roman" w:hAnsi="Times New Roman" w:eastAsia="宋体" w:cs="Times New Roman"/>
      <w:kern w:val="2"/>
      <w:sz w:val="21"/>
      <w:szCs w:val="24"/>
      <w:lang w:val="en-US" w:eastAsia="zh-CN" w:bidi="ar-SA"/>
    </w:rPr>
  </w:style>
  <w:style w:type="paragraph" w:customStyle="1" w:styleId="599">
    <w:name w:val="表注"/>
    <w:autoRedefine/>
    <w:qFormat/>
    <w:uiPriority w:val="0"/>
    <w:pPr>
      <w:spacing w:beforeLines="50" w:afterLines="50"/>
      <w:jc w:val="center"/>
    </w:pPr>
    <w:rPr>
      <w:rFonts w:ascii="Times New Roman" w:hAnsi="Times New Roman" w:eastAsia="宋体" w:cs="Times New Roman"/>
      <w:kern w:val="2"/>
      <w:sz w:val="24"/>
      <w:szCs w:val="24"/>
      <w:lang w:val="en-US" w:eastAsia="zh-CN" w:bidi="ar-SA"/>
    </w:rPr>
  </w:style>
  <w:style w:type="paragraph" w:customStyle="1" w:styleId="600">
    <w:name w:val="正文内"/>
    <w:basedOn w:val="3"/>
    <w:autoRedefine/>
    <w:qFormat/>
    <w:uiPriority w:val="0"/>
    <w:pPr>
      <w:autoSpaceDE/>
      <w:autoSpaceDN/>
      <w:adjustRightInd/>
      <w:spacing w:line="576" w:lineRule="auto"/>
    </w:pPr>
    <w:rPr>
      <w:rFonts w:hint="default" w:ascii="Times New Roman"/>
      <w:bCs/>
      <w:kern w:val="44"/>
      <w:sz w:val="21"/>
      <w:szCs w:val="21"/>
    </w:rPr>
  </w:style>
  <w:style w:type="paragraph" w:customStyle="1" w:styleId="601">
    <w:name w:val="图注"/>
    <w:autoRedefine/>
    <w:qFormat/>
    <w:uiPriority w:val="0"/>
    <w:pPr>
      <w:spacing w:afterLines="50"/>
      <w:jc w:val="center"/>
    </w:pPr>
    <w:rPr>
      <w:rFonts w:ascii="Times New Roman" w:hAnsi="Times New Roman" w:eastAsia="宋体" w:cs="Times New Roman"/>
      <w:kern w:val="2"/>
      <w:sz w:val="24"/>
      <w:szCs w:val="24"/>
      <w:lang w:val="en-US" w:eastAsia="zh-CN" w:bidi="ar-SA"/>
    </w:rPr>
  </w:style>
  <w:style w:type="paragraph" w:customStyle="1" w:styleId="602">
    <w:name w:val="2册标题4"/>
    <w:basedOn w:val="1"/>
    <w:next w:val="1"/>
    <w:autoRedefine/>
    <w:qFormat/>
    <w:uiPriority w:val="0"/>
    <w:pPr>
      <w:spacing w:beforeLines="50" w:afterLines="50" w:line="300" w:lineRule="auto"/>
      <w:ind w:left="420" w:leftChars="200"/>
      <w:outlineLvl w:val="3"/>
    </w:pPr>
    <w:rPr>
      <w:rFonts w:ascii="Arial" w:hAnsi="Arial" w:eastAsia="幼圆"/>
      <w:b/>
      <w:kern w:val="2"/>
      <w:sz w:val="24"/>
    </w:rPr>
  </w:style>
  <w:style w:type="paragraph" w:customStyle="1" w:styleId="603">
    <w:name w:val="Char Char Char Char Char Char Char Char"/>
    <w:basedOn w:val="1"/>
    <w:autoRedefine/>
    <w:qFormat/>
    <w:uiPriority w:val="0"/>
    <w:pPr>
      <w:tabs>
        <w:tab w:val="left" w:pos="360"/>
      </w:tabs>
    </w:pPr>
    <w:rPr>
      <w:kern w:val="2"/>
      <w:sz w:val="24"/>
      <w:szCs w:val="24"/>
    </w:rPr>
  </w:style>
  <w:style w:type="paragraph" w:customStyle="1" w:styleId="604">
    <w:name w:val="Bullet with text 1"/>
    <w:basedOn w:val="1"/>
    <w:autoRedefine/>
    <w:qFormat/>
    <w:uiPriority w:val="0"/>
    <w:pPr>
      <w:widowControl/>
      <w:tabs>
        <w:tab w:val="left" w:pos="425"/>
      </w:tabs>
      <w:spacing w:line="360" w:lineRule="auto"/>
      <w:ind w:left="425" w:hanging="425"/>
      <w:jc w:val="left"/>
    </w:pPr>
    <w:rPr>
      <w:rFonts w:ascii="Futura Bk" w:hAnsi="Futura Bk"/>
      <w:lang w:val="en-GB"/>
    </w:rPr>
  </w:style>
  <w:style w:type="paragraph" w:customStyle="1" w:styleId="605">
    <w:name w:val="缺省文本:1"/>
    <w:basedOn w:val="1"/>
    <w:autoRedefine/>
    <w:qFormat/>
    <w:uiPriority w:val="0"/>
    <w:pPr>
      <w:autoSpaceDE w:val="0"/>
      <w:autoSpaceDN w:val="0"/>
      <w:adjustRightInd w:val="0"/>
      <w:jc w:val="left"/>
    </w:pPr>
    <w:rPr>
      <w:rFonts w:ascii="宋体"/>
      <w:sz w:val="24"/>
    </w:rPr>
  </w:style>
  <w:style w:type="paragraph" w:customStyle="1" w:styleId="606">
    <w:name w:val="Char Char Char Char1"/>
    <w:basedOn w:val="1"/>
    <w:autoRedefine/>
    <w:qFormat/>
    <w:uiPriority w:val="99"/>
    <w:pPr>
      <w:tabs>
        <w:tab w:val="left" w:pos="360"/>
      </w:tabs>
    </w:pPr>
    <w:rPr>
      <w:rFonts w:ascii="楷体_GB2312" w:eastAsia="楷体_GB2312"/>
      <w:kern w:val="2"/>
      <w:sz w:val="24"/>
      <w:szCs w:val="24"/>
    </w:rPr>
  </w:style>
  <w:style w:type="paragraph" w:customStyle="1" w:styleId="607">
    <w:name w:val="方案正文"/>
    <w:basedOn w:val="1"/>
    <w:autoRedefine/>
    <w:qFormat/>
    <w:uiPriority w:val="0"/>
    <w:pPr>
      <w:spacing w:before="156" w:line="360" w:lineRule="auto"/>
      <w:ind w:firstLine="359" w:firstLineChars="171"/>
      <w:jc w:val="left"/>
    </w:pPr>
    <w:rPr>
      <w:rFonts w:ascii="Arial" w:hAnsi="Arial"/>
      <w:kern w:val="2"/>
      <w:sz w:val="24"/>
    </w:rPr>
  </w:style>
  <w:style w:type="paragraph" w:customStyle="1" w:styleId="608">
    <w:name w:val="正文0"/>
    <w:basedOn w:val="1"/>
    <w:autoRedefine/>
    <w:qFormat/>
    <w:uiPriority w:val="0"/>
    <w:pPr>
      <w:spacing w:line="360" w:lineRule="auto"/>
      <w:ind w:firstLine="482"/>
      <w:jc w:val="center"/>
    </w:pPr>
    <w:rPr>
      <w:color w:val="000000"/>
      <w:kern w:val="2"/>
      <w:sz w:val="24"/>
      <w:szCs w:val="24"/>
    </w:rPr>
  </w:style>
  <w:style w:type="paragraph" w:customStyle="1" w:styleId="609">
    <w:name w:val="Char Char Char Char Char Char1 Char1"/>
    <w:basedOn w:val="1"/>
    <w:autoRedefine/>
    <w:qFormat/>
    <w:uiPriority w:val="0"/>
    <w:pPr>
      <w:widowControl/>
      <w:spacing w:after="160" w:line="240" w:lineRule="exact"/>
      <w:jc w:val="left"/>
    </w:pPr>
    <w:rPr>
      <w:rFonts w:ascii="Verdana" w:hAnsi="Verdana"/>
      <w:sz w:val="21"/>
      <w:lang w:eastAsia="en-US"/>
    </w:rPr>
  </w:style>
  <w:style w:type="paragraph" w:customStyle="1" w:styleId="610">
    <w:name w:val="Char Char Char Char Char Char Char Char Char Char Char Char Char"/>
    <w:basedOn w:val="1"/>
    <w:autoRedefine/>
    <w:qFormat/>
    <w:uiPriority w:val="0"/>
    <w:pPr>
      <w:adjustRightInd w:val="0"/>
      <w:spacing w:line="360" w:lineRule="auto"/>
    </w:pPr>
    <w:rPr>
      <w:sz w:val="24"/>
      <w:szCs w:val="24"/>
    </w:rPr>
  </w:style>
  <w:style w:type="paragraph" w:customStyle="1" w:styleId="611">
    <w:name w:val="b2"/>
    <w:basedOn w:val="1"/>
    <w:autoRedefine/>
    <w:qFormat/>
    <w:uiPriority w:val="0"/>
    <w:pPr>
      <w:tabs>
        <w:tab w:val="left" w:pos="720"/>
      </w:tabs>
      <w:spacing w:line="360" w:lineRule="auto"/>
      <w:ind w:left="420" w:hanging="420"/>
    </w:pPr>
    <w:rPr>
      <w:rFonts w:ascii="宋体" w:hAnsi="宋体"/>
      <w:kern w:val="2"/>
      <w:sz w:val="24"/>
    </w:rPr>
  </w:style>
  <w:style w:type="paragraph" w:customStyle="1" w:styleId="612">
    <w:name w:val="样式3-A商务部分"/>
    <w:basedOn w:val="5"/>
    <w:autoRedefine/>
    <w:qFormat/>
    <w:uiPriority w:val="0"/>
    <w:pPr>
      <w:tabs>
        <w:tab w:val="left" w:pos="1260"/>
      </w:tabs>
      <w:spacing w:line="360" w:lineRule="exact"/>
      <w:ind w:left="1260" w:hanging="420"/>
      <w:jc w:val="both"/>
    </w:pPr>
    <w:rPr>
      <w:bCs/>
      <w:kern w:val="2"/>
      <w:sz w:val="28"/>
      <w:szCs w:val="32"/>
    </w:rPr>
  </w:style>
  <w:style w:type="paragraph" w:customStyle="1" w:styleId="613">
    <w:name w:val="+正文"/>
    <w:basedOn w:val="1"/>
    <w:autoRedefine/>
    <w:qFormat/>
    <w:uiPriority w:val="0"/>
    <w:pPr>
      <w:spacing w:line="360" w:lineRule="auto"/>
      <w:ind w:firstLine="200" w:firstLineChars="200"/>
    </w:pPr>
    <w:rPr>
      <w:kern w:val="2"/>
      <w:sz w:val="24"/>
      <w:szCs w:val="28"/>
    </w:rPr>
  </w:style>
  <w:style w:type="paragraph" w:customStyle="1" w:styleId="614">
    <w:name w:val="Table Text"/>
    <w:basedOn w:val="1"/>
    <w:autoRedefine/>
    <w:qFormat/>
    <w:uiPriority w:val="0"/>
    <w:rPr>
      <w:kern w:val="2"/>
      <w:sz w:val="18"/>
      <w:szCs w:val="24"/>
    </w:rPr>
  </w:style>
  <w:style w:type="paragraph" w:customStyle="1" w:styleId="615">
    <w:name w:val="Char Char Char Char Char Char Char"/>
    <w:basedOn w:val="1"/>
    <w:autoRedefine/>
    <w:qFormat/>
    <w:uiPriority w:val="99"/>
    <w:pPr>
      <w:widowControl/>
      <w:spacing w:after="160" w:line="240" w:lineRule="exact"/>
      <w:jc w:val="left"/>
    </w:pPr>
    <w:rPr>
      <w:rFonts w:ascii="Verdana" w:hAnsi="Verdana"/>
      <w:lang w:eastAsia="en-US"/>
    </w:rPr>
  </w:style>
  <w:style w:type="paragraph" w:customStyle="1" w:styleId="616">
    <w:name w:val="无编号标题1"/>
    <w:next w:val="1"/>
    <w:autoRedefine/>
    <w:qFormat/>
    <w:uiPriority w:val="0"/>
    <w:pPr>
      <w:spacing w:beforeLines="200" w:afterLines="100"/>
      <w:jc w:val="center"/>
    </w:pPr>
    <w:rPr>
      <w:rFonts w:ascii="Times New Roman" w:hAnsi="Times New Roman" w:eastAsia="黑体" w:cs="Times New Roman"/>
      <w:b/>
      <w:kern w:val="2"/>
      <w:sz w:val="44"/>
      <w:szCs w:val="24"/>
      <w:lang w:val="en-US" w:eastAsia="zh-CN" w:bidi="ar-SA"/>
    </w:rPr>
  </w:style>
  <w:style w:type="paragraph" w:customStyle="1" w:styleId="617">
    <w:name w:val="xl22"/>
    <w:basedOn w:val="1"/>
    <w:autoRedefine/>
    <w:qFormat/>
    <w:uiPriority w:val="0"/>
    <w:pPr>
      <w:widowControl/>
      <w:pBdr>
        <w:bottom w:val="single" w:color="auto" w:sz="4" w:space="0"/>
        <w:right w:val="single" w:color="auto" w:sz="4" w:space="0"/>
      </w:pBdr>
      <w:spacing w:before="100" w:beforeAutospacing="1" w:after="100" w:afterAutospacing="1"/>
      <w:jc w:val="center"/>
    </w:pPr>
    <w:rPr>
      <w:rFonts w:eastAsia="Arial Unicode MS"/>
    </w:rPr>
  </w:style>
  <w:style w:type="paragraph" w:customStyle="1" w:styleId="618">
    <w:name w:val="标题  1"/>
    <w:basedOn w:val="1"/>
    <w:autoRedefine/>
    <w:qFormat/>
    <w:uiPriority w:val="0"/>
    <w:pPr>
      <w:tabs>
        <w:tab w:val="left" w:pos="840"/>
      </w:tabs>
      <w:spacing w:line="360" w:lineRule="auto"/>
      <w:ind w:left="840" w:hanging="420"/>
    </w:pPr>
    <w:rPr>
      <w:kern w:val="2"/>
      <w:sz w:val="24"/>
      <w:szCs w:val="24"/>
    </w:rPr>
  </w:style>
  <w:style w:type="paragraph" w:customStyle="1" w:styleId="619">
    <w:name w:val="样式 宋体 三号 加粗 居中 行距: 最小值 12 磅"/>
    <w:basedOn w:val="1"/>
    <w:autoRedefine/>
    <w:qFormat/>
    <w:uiPriority w:val="0"/>
    <w:pPr>
      <w:spacing w:line="240" w:lineRule="atLeast"/>
      <w:jc w:val="center"/>
    </w:pPr>
    <w:rPr>
      <w:rFonts w:ascii="宋体" w:hAnsi="宋体"/>
      <w:b/>
      <w:kern w:val="2"/>
      <w:sz w:val="21"/>
    </w:rPr>
  </w:style>
  <w:style w:type="paragraph" w:customStyle="1" w:styleId="620">
    <w:name w:val="无编号标题2"/>
    <w:next w:val="1"/>
    <w:autoRedefine/>
    <w:qFormat/>
    <w:uiPriority w:val="0"/>
    <w:pPr>
      <w:jc w:val="center"/>
    </w:pPr>
    <w:rPr>
      <w:rFonts w:ascii="Arial" w:hAnsi="Arial" w:eastAsia="黑体" w:cs="Times New Roman"/>
      <w:kern w:val="2"/>
      <w:sz w:val="32"/>
      <w:szCs w:val="32"/>
      <w:lang w:val="en-US" w:eastAsia="zh-CN" w:bidi="ar-SA"/>
    </w:rPr>
  </w:style>
  <w:style w:type="paragraph" w:customStyle="1" w:styleId="621">
    <w:name w:val="正文文字缩进 2"/>
    <w:basedOn w:val="1"/>
    <w:autoRedefine/>
    <w:qFormat/>
    <w:uiPriority w:val="0"/>
    <w:pPr>
      <w:spacing w:line="719" w:lineRule="atLeast"/>
      <w:ind w:left="1" w:firstLine="562"/>
      <w:textAlignment w:val="bottom"/>
    </w:pPr>
    <w:rPr>
      <w:color w:val="000000"/>
      <w:sz w:val="28"/>
    </w:rPr>
  </w:style>
  <w:style w:type="paragraph" w:customStyle="1" w:styleId="622">
    <w:name w:val="正文，首行缩进"/>
    <w:basedOn w:val="34"/>
    <w:next w:val="21"/>
    <w:autoRedefine/>
    <w:qFormat/>
    <w:uiPriority w:val="0"/>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s>
      <w:spacing w:after="0" w:line="360" w:lineRule="auto"/>
      <w:ind w:firstLine="482"/>
    </w:pPr>
    <w:rPr>
      <w:rFonts w:ascii="楷体" w:hAnsi="Arial" w:eastAsia="楷体" w:cs="Times New Roman"/>
      <w:kern w:val="0"/>
      <w:sz w:val="24"/>
      <w:szCs w:val="20"/>
      <w:lang w:val="de-DE"/>
    </w:rPr>
  </w:style>
  <w:style w:type="paragraph" w:customStyle="1" w:styleId="623">
    <w:name w:val="排版"/>
    <w:basedOn w:val="1"/>
    <w:next w:val="34"/>
    <w:autoRedefine/>
    <w:qFormat/>
    <w:uiPriority w:val="99"/>
    <w:pPr>
      <w:spacing w:line="600" w:lineRule="exact"/>
    </w:pPr>
    <w:rPr>
      <w:rFonts w:eastAsia="华文仿宋"/>
      <w:spacing w:val="6"/>
      <w:kern w:val="2"/>
      <w:sz w:val="32"/>
      <w:szCs w:val="24"/>
    </w:rPr>
  </w:style>
  <w:style w:type="paragraph" w:customStyle="1" w:styleId="624">
    <w:name w:val="公文正文"/>
    <w:basedOn w:val="1"/>
    <w:autoRedefine/>
    <w:qFormat/>
    <w:uiPriority w:val="0"/>
    <w:pPr>
      <w:spacing w:line="360" w:lineRule="auto"/>
      <w:jc w:val="center"/>
    </w:pPr>
    <w:rPr>
      <w:rFonts w:eastAsia="华文仿宋"/>
      <w:b/>
      <w:kern w:val="2"/>
      <w:sz w:val="32"/>
    </w:rPr>
  </w:style>
  <w:style w:type="paragraph" w:customStyle="1" w:styleId="625">
    <w:name w:val="图文字"/>
    <w:autoRedefine/>
    <w:qFormat/>
    <w:uiPriority w:val="0"/>
    <w:pPr>
      <w:jc w:val="center"/>
    </w:pPr>
    <w:rPr>
      <w:rFonts w:ascii="Times New Roman" w:hAnsi="Times New Roman" w:eastAsia="宋体" w:cs="Times New Roman"/>
      <w:kern w:val="2"/>
      <w:sz w:val="21"/>
      <w:szCs w:val="24"/>
      <w:lang w:val="en-US" w:eastAsia="zh-CN" w:bidi="ar-SA"/>
    </w:rPr>
  </w:style>
  <w:style w:type="paragraph" w:customStyle="1" w:styleId="626">
    <w:name w:val="正文3"/>
    <w:autoRedefine/>
    <w:qFormat/>
    <w:uiPriority w:val="0"/>
    <w:pPr>
      <w:widowControl w:val="0"/>
      <w:adjustRightInd w:val="0"/>
      <w:spacing w:line="360" w:lineRule="atLeast"/>
      <w:textAlignment w:val="baseline"/>
    </w:pPr>
    <w:rPr>
      <w:rFonts w:ascii="宋体" w:hAnsi="Times New Roman" w:eastAsia="宋体" w:cs="Times New Roman"/>
      <w:kern w:val="0"/>
      <w:sz w:val="34"/>
      <w:szCs w:val="20"/>
      <w:lang w:val="en-US" w:eastAsia="zh-CN" w:bidi="ar-SA"/>
    </w:rPr>
  </w:style>
  <w:style w:type="paragraph" w:customStyle="1" w:styleId="627">
    <w:name w:val="无编号标题3"/>
    <w:next w:val="1"/>
    <w:autoRedefine/>
    <w:qFormat/>
    <w:uiPriority w:val="0"/>
    <w:pPr>
      <w:jc w:val="center"/>
    </w:pPr>
    <w:rPr>
      <w:rFonts w:ascii="Times New Roman" w:hAnsi="Times New Roman" w:eastAsia="宋体" w:cs="Times New Roman"/>
      <w:b/>
      <w:kern w:val="2"/>
      <w:sz w:val="32"/>
      <w:szCs w:val="24"/>
      <w:lang w:val="en-US" w:eastAsia="zh-CN" w:bidi="ar-SA"/>
    </w:rPr>
  </w:style>
  <w:style w:type="paragraph" w:customStyle="1" w:styleId="628">
    <w:name w:val="百姓X"/>
    <w:basedOn w:val="1"/>
    <w:autoRedefine/>
    <w:qFormat/>
    <w:uiPriority w:val="0"/>
    <w:pPr>
      <w:spacing w:before="120" w:after="120" w:line="360" w:lineRule="auto"/>
      <w:ind w:firstLine="539"/>
    </w:pPr>
    <w:rPr>
      <w:kern w:val="2"/>
      <w:sz w:val="24"/>
    </w:rPr>
  </w:style>
  <w:style w:type="paragraph" w:customStyle="1" w:styleId="629">
    <w:name w:val="样式 行距: 固定值 25 磅 首行缩进:  2 字符"/>
    <w:basedOn w:val="1"/>
    <w:autoRedefine/>
    <w:qFormat/>
    <w:uiPriority w:val="0"/>
    <w:pPr>
      <w:adjustRightInd w:val="0"/>
      <w:spacing w:line="500" w:lineRule="exact"/>
      <w:ind w:firstLine="560" w:firstLineChars="200"/>
      <w:textAlignment w:val="baseline"/>
    </w:pPr>
    <w:rPr>
      <w:sz w:val="28"/>
      <w:szCs w:val="28"/>
    </w:rPr>
  </w:style>
  <w:style w:type="paragraph" w:customStyle="1" w:styleId="630">
    <w:name w:val="5"/>
    <w:basedOn w:val="1"/>
    <w:autoRedefine/>
    <w:qFormat/>
    <w:uiPriority w:val="0"/>
    <w:pPr>
      <w:spacing w:beforeLines="50" w:afterLines="50"/>
      <w:ind w:left="200" w:leftChars="200"/>
    </w:pPr>
    <w:rPr>
      <w:kern w:val="2"/>
      <w:sz w:val="28"/>
      <w:szCs w:val="24"/>
    </w:rPr>
  </w:style>
  <w:style w:type="paragraph" w:customStyle="1" w:styleId="631">
    <w:name w:val="Char Char Char Char Char Char Char1"/>
    <w:basedOn w:val="1"/>
    <w:autoRedefine/>
    <w:qFormat/>
    <w:uiPriority w:val="0"/>
    <w:rPr>
      <w:kern w:val="2"/>
      <w:sz w:val="21"/>
      <w:szCs w:val="24"/>
    </w:rPr>
  </w:style>
  <w:style w:type="paragraph" w:customStyle="1" w:styleId="632">
    <w:name w:val="Char Char Char1"/>
    <w:basedOn w:val="1"/>
    <w:autoRedefine/>
    <w:qFormat/>
    <w:uiPriority w:val="0"/>
    <w:rPr>
      <w:rFonts w:ascii="Tahoma" w:hAnsi="Tahoma"/>
      <w:kern w:val="2"/>
      <w:sz w:val="24"/>
    </w:rPr>
  </w:style>
  <w:style w:type="paragraph" w:customStyle="1" w:styleId="633">
    <w:name w:val="样式 样式 正文文本缩进 + 仿宋_GB2312 小四 首行缩进:  0 厘米 行距: 1.5 倍行距 + (中文) 仿宋_GB... Char Char"/>
    <w:basedOn w:val="1"/>
    <w:autoRedefine/>
    <w:qFormat/>
    <w:uiPriority w:val="0"/>
    <w:pPr>
      <w:spacing w:line="360" w:lineRule="auto"/>
      <w:ind w:firstLine="480"/>
    </w:pPr>
    <w:rPr>
      <w:rFonts w:ascii="仿宋_GB2312" w:eastAsia="新宋体"/>
      <w:kern w:val="2"/>
      <w:sz w:val="24"/>
    </w:rPr>
  </w:style>
  <w:style w:type="paragraph" w:customStyle="1" w:styleId="634">
    <w:name w:val="±íÉí"/>
    <w:basedOn w:val="1"/>
    <w:autoRedefine/>
    <w:qFormat/>
    <w:uiPriority w:val="0"/>
    <w:pPr>
      <w:widowControl/>
      <w:overflowPunct w:val="0"/>
      <w:autoSpaceDE w:val="0"/>
      <w:autoSpaceDN w:val="0"/>
      <w:adjustRightInd w:val="0"/>
      <w:spacing w:line="300" w:lineRule="auto"/>
      <w:jc w:val="left"/>
      <w:textAlignment w:val="baseline"/>
    </w:pPr>
    <w:rPr>
      <w:sz w:val="18"/>
    </w:rPr>
  </w:style>
  <w:style w:type="paragraph" w:customStyle="1" w:styleId="635">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rPr>
  </w:style>
  <w:style w:type="paragraph" w:customStyle="1" w:styleId="636">
    <w:name w:val="Char Char Char Char Char Char Char Char Char Char Char Char Char Char Char1 Char"/>
    <w:basedOn w:val="1"/>
    <w:autoRedefine/>
    <w:qFormat/>
    <w:uiPriority w:val="0"/>
    <w:pPr>
      <w:widowControl/>
      <w:spacing w:after="160" w:line="240" w:lineRule="exact"/>
      <w:jc w:val="left"/>
    </w:pPr>
    <w:rPr>
      <w:rFonts w:ascii="Verdana" w:hAnsi="Verdana"/>
      <w:lang w:eastAsia="en-US"/>
    </w:rPr>
  </w:style>
  <w:style w:type="paragraph" w:customStyle="1" w:styleId="637">
    <w:name w:val="表格正文"/>
    <w:basedOn w:val="1"/>
    <w:autoRedefine/>
    <w:qFormat/>
    <w:uiPriority w:val="0"/>
    <w:pPr>
      <w:spacing w:beforeLines="50"/>
    </w:pPr>
    <w:rPr>
      <w:rFonts w:cs="宋体"/>
      <w:sz w:val="21"/>
    </w:rPr>
  </w:style>
  <w:style w:type="paragraph" w:customStyle="1" w:styleId="638">
    <w:name w:val="缺省文本"/>
    <w:basedOn w:val="1"/>
    <w:autoRedefine/>
    <w:qFormat/>
    <w:uiPriority w:val="0"/>
    <w:pPr>
      <w:widowControl/>
      <w:tabs>
        <w:tab w:val="left" w:pos="1620"/>
      </w:tabs>
      <w:overflowPunct w:val="0"/>
      <w:autoSpaceDE w:val="0"/>
      <w:autoSpaceDN w:val="0"/>
      <w:adjustRightInd w:val="0"/>
      <w:snapToGrid w:val="0"/>
      <w:spacing w:line="360" w:lineRule="auto"/>
      <w:ind w:left="1620" w:hanging="1620"/>
      <w:textAlignment w:val="baseline"/>
    </w:pPr>
    <w:rPr>
      <w:sz w:val="24"/>
    </w:rPr>
  </w:style>
  <w:style w:type="paragraph" w:customStyle="1" w:styleId="639">
    <w:name w:val="2 Char Char Char Char Char Char Char Char Char Char"/>
    <w:basedOn w:val="1"/>
    <w:autoRedefine/>
    <w:qFormat/>
    <w:uiPriority w:val="0"/>
    <w:pPr>
      <w:pageBreakBefore/>
      <w:ind w:left="1259"/>
    </w:pPr>
    <w:rPr>
      <w:kern w:val="44"/>
      <w:sz w:val="24"/>
      <w:szCs w:val="24"/>
    </w:rPr>
  </w:style>
  <w:style w:type="paragraph" w:customStyle="1" w:styleId="640">
    <w:name w:val="符号列表"/>
    <w:basedOn w:val="1"/>
    <w:autoRedefine/>
    <w:qFormat/>
    <w:uiPriority w:val="0"/>
    <w:pPr>
      <w:widowControl/>
      <w:tabs>
        <w:tab w:val="left" w:pos="420"/>
      </w:tabs>
      <w:snapToGrid w:val="0"/>
      <w:spacing w:before="120" w:line="360" w:lineRule="auto"/>
      <w:ind w:left="420" w:hanging="420"/>
      <w:jc w:val="left"/>
    </w:pPr>
    <w:rPr>
      <w:rFonts w:ascii="楷体_GB2312" w:hAnsi="宋体" w:eastAsia="楷体_GB2312"/>
      <w:b/>
      <w:color w:val="000000"/>
      <w:kern w:val="2"/>
      <w:sz w:val="24"/>
      <w:szCs w:val="24"/>
    </w:rPr>
  </w:style>
  <w:style w:type="paragraph" w:customStyle="1" w:styleId="641">
    <w:name w:val="wen_2"/>
    <w:basedOn w:val="1"/>
    <w:autoRedefine/>
    <w:qFormat/>
    <w:uiPriority w:val="0"/>
    <w:pPr>
      <w:widowControl/>
      <w:spacing w:before="100" w:beforeAutospacing="1" w:after="100" w:afterAutospacing="1" w:line="324" w:lineRule="auto"/>
      <w:jc w:val="left"/>
    </w:pPr>
    <w:rPr>
      <w:color w:val="000000"/>
      <w:sz w:val="18"/>
      <w:szCs w:val="18"/>
    </w:rPr>
  </w:style>
  <w:style w:type="paragraph" w:customStyle="1" w:styleId="642">
    <w:name w:val="默认段落字体 Para Char"/>
    <w:basedOn w:val="1"/>
    <w:autoRedefine/>
    <w:qFormat/>
    <w:uiPriority w:val="0"/>
    <w:rPr>
      <w:rFonts w:ascii="Tahoma" w:hAnsi="Tahoma"/>
      <w:kern w:val="2"/>
      <w:sz w:val="24"/>
    </w:rPr>
  </w:style>
  <w:style w:type="paragraph" w:customStyle="1" w:styleId="643">
    <w:name w:val="2册标题3"/>
    <w:basedOn w:val="1"/>
    <w:next w:val="1"/>
    <w:autoRedefine/>
    <w:qFormat/>
    <w:uiPriority w:val="0"/>
    <w:pPr>
      <w:spacing w:beforeLines="50" w:afterLines="50" w:line="300" w:lineRule="auto"/>
      <w:ind w:left="210" w:leftChars="100"/>
      <w:jc w:val="center"/>
      <w:outlineLvl w:val="2"/>
    </w:pPr>
    <w:rPr>
      <w:rFonts w:ascii="宋体" w:hAnsi="宋体"/>
      <w:b/>
      <w:kern w:val="2"/>
      <w:sz w:val="30"/>
    </w:rPr>
  </w:style>
  <w:style w:type="paragraph" w:customStyle="1" w:styleId="644">
    <w:name w:val="正文 + 宋体"/>
    <w:basedOn w:val="76"/>
    <w:autoRedefine/>
    <w:qFormat/>
    <w:uiPriority w:val="0"/>
    <w:pPr>
      <w:spacing w:after="120" w:line="480" w:lineRule="auto"/>
    </w:pPr>
    <w:rPr>
      <w:rFonts w:ascii="宋体" w:hAnsi="宋体" w:eastAsia="宋体" w:cs="Times New Roman"/>
      <w:color w:val="auto"/>
      <w:kern w:val="0"/>
      <w:sz w:val="24"/>
    </w:rPr>
  </w:style>
  <w:style w:type="paragraph" w:customStyle="1" w:styleId="645">
    <w:name w:val="无编号标题4"/>
    <w:next w:val="1"/>
    <w:autoRedefine/>
    <w:qFormat/>
    <w:uiPriority w:val="0"/>
    <w:pPr>
      <w:jc w:val="center"/>
    </w:pPr>
    <w:rPr>
      <w:rFonts w:ascii="Arial" w:hAnsi="Arial" w:eastAsia="黑体" w:cs="Times New Roman"/>
      <w:kern w:val="2"/>
      <w:sz w:val="28"/>
      <w:szCs w:val="28"/>
      <w:lang w:val="en-US" w:eastAsia="zh-CN" w:bidi="ar-SA"/>
    </w:rPr>
  </w:style>
  <w:style w:type="character" w:customStyle="1" w:styleId="646">
    <w:name w:val="尾注文本 Char"/>
    <w:basedOn w:val="90"/>
    <w:autoRedefine/>
    <w:semiHidden/>
    <w:qFormat/>
    <w:uiPriority w:val="99"/>
    <w:rPr>
      <w:kern w:val="2"/>
      <w:sz w:val="21"/>
      <w:szCs w:val="24"/>
    </w:rPr>
  </w:style>
  <w:style w:type="paragraph" w:customStyle="1" w:styleId="647">
    <w:name w:val="标号"/>
    <w:basedOn w:val="1"/>
    <w:autoRedefine/>
    <w:qFormat/>
    <w:uiPriority w:val="0"/>
    <w:pPr>
      <w:spacing w:line="360" w:lineRule="auto"/>
    </w:pPr>
    <w:rPr>
      <w:rFonts w:ascii="宋体" w:hAnsi="宋体"/>
      <w:kern w:val="2"/>
      <w:sz w:val="24"/>
    </w:rPr>
  </w:style>
  <w:style w:type="paragraph" w:customStyle="1" w:styleId="648">
    <w:name w:val="图片居中"/>
    <w:basedOn w:val="1"/>
    <w:autoRedefine/>
    <w:qFormat/>
    <w:uiPriority w:val="0"/>
    <w:pPr>
      <w:jc w:val="center"/>
    </w:pPr>
    <w:rPr>
      <w:rFonts w:cs="宋体"/>
      <w:kern w:val="2"/>
      <w:sz w:val="21"/>
    </w:rPr>
  </w:style>
  <w:style w:type="paragraph" w:customStyle="1" w:styleId="649">
    <w:name w:val="列表编号1"/>
    <w:basedOn w:val="1"/>
    <w:autoRedefine/>
    <w:qFormat/>
    <w:uiPriority w:val="0"/>
    <w:pPr>
      <w:tabs>
        <w:tab w:val="left" w:pos="780"/>
      </w:tabs>
      <w:spacing w:after="120" w:line="288" w:lineRule="auto"/>
      <w:ind w:left="780" w:hanging="420"/>
    </w:pPr>
    <w:rPr>
      <w:rFonts w:eastAsia="幼圆"/>
      <w:kern w:val="2"/>
      <w:sz w:val="24"/>
    </w:rPr>
  </w:style>
  <w:style w:type="paragraph" w:customStyle="1" w:styleId="650">
    <w:name w:val="ÕýÎÄ 1"/>
    <w:basedOn w:val="1"/>
    <w:autoRedefine/>
    <w:qFormat/>
    <w:uiPriority w:val="0"/>
    <w:pPr>
      <w:widowControl/>
      <w:overflowPunct w:val="0"/>
      <w:autoSpaceDE w:val="0"/>
      <w:autoSpaceDN w:val="0"/>
      <w:adjustRightInd w:val="0"/>
      <w:spacing w:before="80" w:after="80" w:line="360" w:lineRule="auto"/>
      <w:ind w:left="1417"/>
      <w:textAlignment w:val="baseline"/>
    </w:pPr>
    <w:rPr>
      <w:sz w:val="21"/>
    </w:rPr>
  </w:style>
  <w:style w:type="paragraph" w:customStyle="1" w:styleId="651">
    <w:name w:val="正文段"/>
    <w:basedOn w:val="1"/>
    <w:autoRedefine/>
    <w:qFormat/>
    <w:uiPriority w:val="0"/>
    <w:pPr>
      <w:widowControl/>
      <w:adjustRightInd w:val="0"/>
      <w:spacing w:after="240" w:line="360" w:lineRule="atLeast"/>
      <w:ind w:firstLine="454"/>
      <w:textAlignment w:val="bottom"/>
    </w:pPr>
    <w:rPr>
      <w:rFonts w:ascii="宋体"/>
      <w:sz w:val="24"/>
    </w:rPr>
  </w:style>
  <w:style w:type="paragraph" w:customStyle="1" w:styleId="652">
    <w:name w:val="默认段落字体 Para Char Char Char Char"/>
    <w:basedOn w:val="1"/>
    <w:autoRedefine/>
    <w:qFormat/>
    <w:uiPriority w:val="99"/>
    <w:rPr>
      <w:kern w:val="2"/>
      <w:sz w:val="21"/>
      <w:szCs w:val="24"/>
    </w:rPr>
  </w:style>
  <w:style w:type="paragraph" w:customStyle="1" w:styleId="653">
    <w:name w:val="_Style 165"/>
    <w:basedOn w:val="1"/>
    <w:autoRedefine/>
    <w:qFormat/>
    <w:uiPriority w:val="0"/>
    <w:pPr>
      <w:spacing w:beforeLines="50" w:afterLines="50"/>
      <w:ind w:left="200" w:leftChars="200"/>
    </w:pPr>
    <w:rPr>
      <w:kern w:val="2"/>
      <w:sz w:val="28"/>
      <w:szCs w:val="24"/>
    </w:rPr>
  </w:style>
  <w:style w:type="paragraph" w:customStyle="1" w:styleId="654">
    <w:name w:val="Char Char Char Char Char Char Char Char Char Char Char Char Char Char Char Char Char Char Char Char Char Char Char Char Char Char Char Char Char Char Char Char Char1"/>
    <w:basedOn w:val="1"/>
    <w:autoRedefine/>
    <w:qFormat/>
    <w:uiPriority w:val="0"/>
    <w:pPr>
      <w:widowControl/>
      <w:spacing w:after="160" w:line="240" w:lineRule="exact"/>
      <w:jc w:val="left"/>
    </w:pPr>
    <w:rPr>
      <w:kern w:val="2"/>
      <w:sz w:val="21"/>
      <w:szCs w:val="21"/>
    </w:rPr>
  </w:style>
  <w:style w:type="paragraph" w:customStyle="1" w:styleId="655">
    <w:name w:val="CD正文"/>
    <w:basedOn w:val="1"/>
    <w:link w:val="656"/>
    <w:autoRedefine/>
    <w:qFormat/>
    <w:uiPriority w:val="0"/>
    <w:pPr>
      <w:spacing w:line="360" w:lineRule="auto"/>
      <w:ind w:firstLine="493"/>
    </w:pPr>
    <w:rPr>
      <w:kern w:val="2"/>
      <w:sz w:val="30"/>
      <w:szCs w:val="28"/>
    </w:rPr>
  </w:style>
  <w:style w:type="character" w:customStyle="1" w:styleId="656">
    <w:name w:val="CD正文 Char"/>
    <w:link w:val="655"/>
    <w:autoRedefine/>
    <w:qFormat/>
    <w:uiPriority w:val="0"/>
    <w:rPr>
      <w:rFonts w:ascii="Times New Roman" w:hAnsi="Times New Roman" w:eastAsia="宋体" w:cs="Times New Roman"/>
      <w:sz w:val="30"/>
      <w:szCs w:val="28"/>
    </w:rPr>
  </w:style>
  <w:style w:type="paragraph" w:customStyle="1" w:styleId="657">
    <w:name w:val="样式 样式 样式 四号 左 行距: 1.5 倍行距 左  1 字符 首行缩进:  2 字符 + 首行缩进:  2 字符 + 首行..."/>
    <w:basedOn w:val="1"/>
    <w:autoRedefine/>
    <w:qFormat/>
    <w:uiPriority w:val="0"/>
    <w:pPr>
      <w:spacing w:line="360" w:lineRule="auto"/>
      <w:ind w:firstLine="200" w:firstLineChars="200"/>
      <w:jc w:val="left"/>
    </w:pPr>
    <w:rPr>
      <w:rFonts w:cs="宋体"/>
      <w:kern w:val="2"/>
      <w:sz w:val="28"/>
    </w:rPr>
  </w:style>
  <w:style w:type="paragraph" w:customStyle="1" w:styleId="658">
    <w:name w:val="样式 样式 样式 (符号) 宋体 四号 左 首行缩进:  2.5 字符 + 首行缩进:  2 字符 + 首行缩进:  2 字符"/>
    <w:basedOn w:val="1"/>
    <w:autoRedefine/>
    <w:qFormat/>
    <w:uiPriority w:val="0"/>
    <w:pPr>
      <w:spacing w:line="360" w:lineRule="auto"/>
      <w:ind w:firstLine="200" w:firstLineChars="200"/>
      <w:jc w:val="left"/>
    </w:pPr>
    <w:rPr>
      <w:rFonts w:hAnsi="宋体"/>
      <w:kern w:val="2"/>
      <w:sz w:val="28"/>
    </w:rPr>
  </w:style>
  <w:style w:type="paragraph" w:customStyle="1" w:styleId="659">
    <w:name w:val="标书正文"/>
    <w:basedOn w:val="1"/>
    <w:link w:val="660"/>
    <w:autoRedefine/>
    <w:qFormat/>
    <w:uiPriority w:val="99"/>
    <w:pPr>
      <w:ind w:firstLine="200" w:firstLineChars="200"/>
    </w:pPr>
    <w:rPr>
      <w:rFonts w:eastAsia="仿宋_GB2312"/>
      <w:kern w:val="2"/>
      <w:sz w:val="28"/>
      <w:szCs w:val="24"/>
    </w:rPr>
  </w:style>
  <w:style w:type="character" w:customStyle="1" w:styleId="660">
    <w:name w:val="标书正文 Char"/>
    <w:link w:val="659"/>
    <w:autoRedefine/>
    <w:qFormat/>
    <w:uiPriority w:val="99"/>
    <w:rPr>
      <w:rFonts w:ascii="Times New Roman" w:hAnsi="Times New Roman" w:eastAsia="仿宋_GB2312" w:cs="Times New Roman"/>
      <w:sz w:val="28"/>
      <w:szCs w:val="24"/>
    </w:rPr>
  </w:style>
  <w:style w:type="paragraph" w:customStyle="1" w:styleId="661">
    <w:name w:val="0-ST-篇"/>
    <w:basedOn w:val="1"/>
    <w:next w:val="1"/>
    <w:autoRedefine/>
    <w:qFormat/>
    <w:uiPriority w:val="0"/>
    <w:pPr>
      <w:jc w:val="center"/>
    </w:pPr>
    <w:rPr>
      <w:rFonts w:ascii="Calibri" w:hAnsi="Calibri" w:eastAsia="黑体"/>
      <w:kern w:val="2"/>
      <w:sz w:val="32"/>
      <w:szCs w:val="21"/>
    </w:rPr>
  </w:style>
  <w:style w:type="paragraph" w:customStyle="1" w:styleId="662">
    <w:name w:val="10-ST-正文"/>
    <w:basedOn w:val="1"/>
    <w:autoRedefine/>
    <w:qFormat/>
    <w:uiPriority w:val="0"/>
    <w:pPr>
      <w:adjustRightInd w:val="0"/>
      <w:snapToGrid w:val="0"/>
      <w:spacing w:line="360" w:lineRule="auto"/>
      <w:ind w:firstLine="200" w:firstLineChars="200"/>
    </w:pPr>
    <w:rPr>
      <w:kern w:val="2"/>
      <w:sz w:val="24"/>
      <w:szCs w:val="28"/>
    </w:rPr>
  </w:style>
  <w:style w:type="paragraph" w:customStyle="1" w:styleId="663">
    <w:name w:val="3-ST-小节"/>
    <w:basedOn w:val="6"/>
    <w:next w:val="662"/>
    <w:autoRedefine/>
    <w:qFormat/>
    <w:uiPriority w:val="0"/>
    <w:pPr>
      <w:tabs>
        <w:tab w:val="clear" w:pos="864"/>
      </w:tabs>
      <w:adjustRightInd/>
      <w:snapToGrid/>
      <w:spacing w:before="0" w:beforeLines="50" w:after="120"/>
      <w:ind w:left="0" w:firstLine="0"/>
    </w:pPr>
    <w:rPr>
      <w:rFonts w:ascii="Arial" w:hAnsi="Arial" w:eastAsia="楷体_GB2312"/>
      <w:snapToGrid/>
      <w:kern w:val="2"/>
      <w:sz w:val="28"/>
    </w:rPr>
  </w:style>
  <w:style w:type="paragraph" w:customStyle="1" w:styleId="664">
    <w:name w:val="4-ST-点"/>
    <w:basedOn w:val="7"/>
    <w:autoRedefine/>
    <w:qFormat/>
    <w:uiPriority w:val="0"/>
    <w:pPr>
      <w:keepLines/>
      <w:adjustRightInd w:val="0"/>
      <w:snapToGrid w:val="0"/>
      <w:spacing w:before="280" w:beforeLines="30" w:after="290" w:afterLines="30" w:line="312" w:lineRule="auto"/>
    </w:pPr>
    <w:rPr>
      <w:rFonts w:ascii="楷体_GB2312" w:hAnsi="Times New Roman" w:eastAsia="楷体_GB2312" w:cs="Times New Roman"/>
      <w:kern w:val="2"/>
      <w:sz w:val="28"/>
      <w:szCs w:val="28"/>
    </w:rPr>
  </w:style>
  <w:style w:type="paragraph" w:customStyle="1" w:styleId="665">
    <w:name w:val="2-ST-节"/>
    <w:basedOn w:val="5"/>
    <w:next w:val="662"/>
    <w:autoRedefine/>
    <w:qFormat/>
    <w:uiPriority w:val="0"/>
    <w:pPr>
      <w:spacing w:before="160" w:after="160" w:line="240" w:lineRule="auto"/>
      <w:jc w:val="both"/>
    </w:pPr>
    <w:rPr>
      <w:rFonts w:ascii="Arial" w:hAnsi="Arial" w:eastAsia="楷体_GB2312"/>
      <w:bCs/>
      <w:kern w:val="2"/>
      <w:sz w:val="30"/>
      <w:szCs w:val="32"/>
    </w:rPr>
  </w:style>
  <w:style w:type="paragraph" w:customStyle="1" w:styleId="666">
    <w:name w:val="最终正文"/>
    <w:basedOn w:val="1"/>
    <w:autoRedefine/>
    <w:qFormat/>
    <w:uiPriority w:val="0"/>
    <w:pPr>
      <w:spacing w:line="360" w:lineRule="auto"/>
      <w:ind w:firstLine="420"/>
    </w:pPr>
    <w:rPr>
      <w:rFonts w:ascii="仿宋_GB2312" w:hAnsi="宋体"/>
      <w:bCs/>
      <w:caps/>
      <w:kern w:val="2"/>
      <w:sz w:val="24"/>
      <w:szCs w:val="24"/>
    </w:rPr>
  </w:style>
  <w:style w:type="paragraph" w:customStyle="1" w:styleId="667">
    <w:name w:val="mytext"/>
    <w:basedOn w:val="1"/>
    <w:link w:val="668"/>
    <w:autoRedefine/>
    <w:qFormat/>
    <w:uiPriority w:val="0"/>
    <w:pPr>
      <w:spacing w:line="300" w:lineRule="auto"/>
      <w:ind w:firstLine="480" w:firstLineChars="200"/>
    </w:pPr>
    <w:rPr>
      <w:kern w:val="2"/>
      <w:sz w:val="24"/>
    </w:rPr>
  </w:style>
  <w:style w:type="character" w:customStyle="1" w:styleId="668">
    <w:name w:val="mytext Char"/>
    <w:link w:val="667"/>
    <w:autoRedefine/>
    <w:qFormat/>
    <w:uiPriority w:val="0"/>
    <w:rPr>
      <w:rFonts w:ascii="Times New Roman" w:hAnsi="Times New Roman" w:eastAsia="宋体" w:cs="Times New Roman"/>
      <w:sz w:val="24"/>
      <w:szCs w:val="20"/>
    </w:rPr>
  </w:style>
  <w:style w:type="paragraph" w:customStyle="1" w:styleId="669">
    <w:name w:val="样式4"/>
    <w:basedOn w:val="5"/>
    <w:autoRedefine/>
    <w:qFormat/>
    <w:uiPriority w:val="99"/>
    <w:pPr>
      <w:spacing w:before="120" w:after="0"/>
      <w:jc w:val="both"/>
    </w:pPr>
    <w:rPr>
      <w:rFonts w:ascii="黑体" w:hAnsi="黑体" w:eastAsia="黑体"/>
      <w:b w:val="0"/>
      <w:bCs/>
      <w:kern w:val="2"/>
      <w:sz w:val="30"/>
      <w:szCs w:val="30"/>
    </w:rPr>
  </w:style>
  <w:style w:type="paragraph" w:customStyle="1" w:styleId="670">
    <w:name w:val="标题 2 + Times New Roman 加粗 黑色 首行缩进:  2 字符 行距: 2 倍行距 + 段前..."/>
    <w:basedOn w:val="1"/>
    <w:next w:val="1"/>
    <w:autoRedefine/>
    <w:qFormat/>
    <w:uiPriority w:val="0"/>
    <w:pPr>
      <w:adjustRightInd w:val="0"/>
      <w:snapToGrid w:val="0"/>
      <w:spacing w:beforeLines="150" w:afterLines="50" w:line="360" w:lineRule="auto"/>
      <w:outlineLvl w:val="0"/>
    </w:pPr>
    <w:rPr>
      <w:rFonts w:eastAsia="黑体"/>
      <w:b/>
      <w:color w:val="000000"/>
      <w:sz w:val="32"/>
      <w:szCs w:val="32"/>
    </w:rPr>
  </w:style>
  <w:style w:type="character" w:customStyle="1" w:styleId="671">
    <w:name w:val="HTML 预设格式 Char"/>
    <w:basedOn w:val="90"/>
    <w:autoRedefine/>
    <w:semiHidden/>
    <w:qFormat/>
    <w:uiPriority w:val="99"/>
    <w:rPr>
      <w:rFonts w:ascii="Courier New" w:hAnsi="Courier New" w:cs="Courier New"/>
      <w:kern w:val="2"/>
    </w:rPr>
  </w:style>
  <w:style w:type="paragraph" w:customStyle="1" w:styleId="672">
    <w:name w:val="Char Char1 Char Char Char Char Char Char Char Char"/>
    <w:basedOn w:val="1"/>
    <w:autoRedefine/>
    <w:qFormat/>
    <w:uiPriority w:val="0"/>
    <w:pPr>
      <w:adjustRightInd w:val="0"/>
      <w:spacing w:after="160" w:line="240" w:lineRule="exact"/>
    </w:pPr>
    <w:rPr>
      <w:rFonts w:ascii="Verdana" w:hAnsi="Verdana"/>
      <w:lang w:eastAsia="en-US"/>
    </w:rPr>
  </w:style>
  <w:style w:type="paragraph" w:customStyle="1" w:styleId="673">
    <w:name w:val="TOC 标题2"/>
    <w:basedOn w:val="3"/>
    <w:next w:val="1"/>
    <w:autoRedefine/>
    <w:qFormat/>
    <w:uiPriority w:val="0"/>
    <w:pPr>
      <w:widowControl/>
      <w:autoSpaceDE/>
      <w:autoSpaceDN/>
      <w:adjustRightInd/>
      <w:spacing w:before="480" w:after="0" w:line="276" w:lineRule="auto"/>
      <w:jc w:val="left"/>
      <w:outlineLvl w:val="9"/>
    </w:pPr>
    <w:rPr>
      <w:rFonts w:hint="default" w:ascii="Cambria" w:hAnsi="Cambria"/>
      <w:bCs/>
      <w:color w:val="365F91"/>
      <w:sz w:val="28"/>
      <w:szCs w:val="28"/>
    </w:rPr>
  </w:style>
  <w:style w:type="paragraph" w:customStyle="1" w:styleId="674">
    <w:name w:val="样式 首行缩进:  2 字符"/>
    <w:basedOn w:val="1"/>
    <w:autoRedefine/>
    <w:qFormat/>
    <w:uiPriority w:val="0"/>
    <w:pPr>
      <w:adjustRightInd w:val="0"/>
      <w:snapToGrid w:val="0"/>
      <w:spacing w:line="360" w:lineRule="auto"/>
      <w:ind w:left="538" w:leftChars="-71" w:right="480" w:hanging="737" w:hangingChars="307"/>
      <w:jc w:val="left"/>
    </w:pPr>
    <w:rPr>
      <w:rFonts w:ascii="仿宋_GB2312" w:hAnsi="宋体" w:eastAsia="仿宋_GB2312" w:cs="宋体"/>
      <w:snapToGrid w:val="0"/>
      <w:color w:val="FF0000"/>
      <w:sz w:val="24"/>
      <w:szCs w:val="24"/>
    </w:rPr>
  </w:style>
  <w:style w:type="paragraph" w:customStyle="1" w:styleId="675">
    <w:name w:val="tabletext"/>
    <w:basedOn w:val="1"/>
    <w:autoRedefine/>
    <w:qFormat/>
    <w:uiPriority w:val="0"/>
    <w:pPr>
      <w:widowControl/>
      <w:spacing w:before="100" w:beforeAutospacing="1" w:after="100" w:afterAutospacing="1"/>
      <w:jc w:val="left"/>
    </w:pPr>
    <w:rPr>
      <w:rFonts w:ascii="宋体" w:hAnsi="宋体" w:cs="宋体"/>
      <w:sz w:val="24"/>
      <w:szCs w:val="24"/>
    </w:rPr>
  </w:style>
  <w:style w:type="paragraph" w:customStyle="1" w:styleId="676">
    <w:name w:val="正文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77">
    <w:name w:val="无间隔1"/>
    <w:link w:val="701"/>
    <w:autoRedefine/>
    <w:qFormat/>
    <w:uiPriority w:val="99"/>
    <w:pPr>
      <w:widowControl w:val="0"/>
      <w:jc w:val="both"/>
    </w:pPr>
    <w:rPr>
      <w:rFonts w:ascii="Times New Roman" w:hAnsi="Times New Roman" w:eastAsia="宋体" w:cs="Times New Roman"/>
      <w:kern w:val="2"/>
      <w:sz w:val="21"/>
      <w:szCs w:val="24"/>
      <w:lang w:val="en-US" w:eastAsia="zh-CN" w:bidi="ar-SA"/>
    </w:rPr>
  </w:style>
  <w:style w:type="character" w:customStyle="1" w:styleId="678">
    <w:name w:val="汇视源正文 Char Char"/>
    <w:link w:val="679"/>
    <w:autoRedefine/>
    <w:qFormat/>
    <w:uiPriority w:val="0"/>
    <w:rPr>
      <w:rFonts w:cs="宋体"/>
      <w:sz w:val="24"/>
    </w:rPr>
  </w:style>
  <w:style w:type="paragraph" w:customStyle="1" w:styleId="679">
    <w:name w:val="汇视源正文"/>
    <w:link w:val="678"/>
    <w:autoRedefine/>
    <w:qFormat/>
    <w:uiPriority w:val="0"/>
    <w:pPr>
      <w:widowControl w:val="0"/>
      <w:spacing w:beforeLines="50" w:line="360" w:lineRule="auto"/>
      <w:ind w:firstLine="480" w:firstLineChars="200"/>
      <w:jc w:val="both"/>
    </w:pPr>
    <w:rPr>
      <w:rFonts w:cs="宋体" w:asciiTheme="minorHAnsi" w:hAnsiTheme="minorHAnsi" w:eastAsiaTheme="minorEastAsia"/>
      <w:kern w:val="2"/>
      <w:sz w:val="24"/>
      <w:szCs w:val="22"/>
      <w:lang w:val="en-US" w:eastAsia="zh-CN" w:bidi="ar-SA"/>
    </w:rPr>
  </w:style>
  <w:style w:type="paragraph" w:customStyle="1" w:styleId="680">
    <w:name w:val="正文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81">
    <w:name w:val="自由格式"/>
    <w:autoRedefine/>
    <w:qFormat/>
    <w:uiPriority w:val="0"/>
    <w:rPr>
      <w:rFonts w:ascii="Helvetica" w:hAnsi="Helvetica" w:eastAsia="ヒラギノ角ゴ Pro W3" w:cs="Times New Roman"/>
      <w:color w:val="000000"/>
      <w:kern w:val="0"/>
      <w:sz w:val="24"/>
      <w:szCs w:val="20"/>
      <w:lang w:val="en-US" w:eastAsia="zh-CN" w:bidi="ar-SA"/>
    </w:rPr>
  </w:style>
  <w:style w:type="character" w:customStyle="1" w:styleId="682">
    <w:name w:val="param-name"/>
    <w:autoRedefine/>
    <w:qFormat/>
    <w:uiPriority w:val="0"/>
  </w:style>
  <w:style w:type="paragraph" w:customStyle="1" w:styleId="683">
    <w:name w:val="正文缩进2字 Char Char Char"/>
    <w:autoRedefine/>
    <w:qFormat/>
    <w:uiPriority w:val="0"/>
    <w:pPr>
      <w:snapToGrid w:val="0"/>
      <w:spacing w:beforeLines="50" w:line="360" w:lineRule="auto"/>
      <w:ind w:firstLine="200" w:firstLineChars="200"/>
    </w:pPr>
    <w:rPr>
      <w:rFonts w:ascii="Times New Roman" w:hAnsi="Times New Roman" w:eastAsia="宋体" w:cs="Times New Roman"/>
      <w:kern w:val="0"/>
      <w:sz w:val="20"/>
      <w:szCs w:val="20"/>
      <w:lang w:val="en-US" w:eastAsia="zh-CN" w:bidi="ar-SA"/>
    </w:rPr>
  </w:style>
  <w:style w:type="character" w:customStyle="1" w:styleId="684">
    <w:name w:val="fr2"/>
    <w:basedOn w:val="90"/>
    <w:autoRedefine/>
    <w:qFormat/>
    <w:uiPriority w:val="0"/>
  </w:style>
  <w:style w:type="character" w:customStyle="1" w:styleId="685">
    <w:name w:val="info1"/>
    <w:autoRedefine/>
    <w:qFormat/>
    <w:uiPriority w:val="0"/>
    <w:rPr>
      <w:color w:val="555555"/>
    </w:rPr>
  </w:style>
  <w:style w:type="character" w:customStyle="1" w:styleId="686">
    <w:name w:val="fr1"/>
    <w:basedOn w:val="90"/>
    <w:autoRedefine/>
    <w:qFormat/>
    <w:uiPriority w:val="0"/>
  </w:style>
  <w:style w:type="character" w:customStyle="1" w:styleId="687">
    <w:name w:val="fr"/>
    <w:basedOn w:val="90"/>
    <w:autoRedefine/>
    <w:qFormat/>
    <w:uiPriority w:val="0"/>
  </w:style>
  <w:style w:type="character" w:customStyle="1" w:styleId="688">
    <w:name w:val="info"/>
    <w:autoRedefine/>
    <w:qFormat/>
    <w:uiPriority w:val="0"/>
    <w:rPr>
      <w:color w:val="555555"/>
    </w:rPr>
  </w:style>
  <w:style w:type="paragraph" w:customStyle="1" w:styleId="689">
    <w:name w:val="正文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690">
    <w:name w:val="纯文本_0"/>
    <w:basedOn w:val="689"/>
    <w:autoRedefine/>
    <w:qFormat/>
    <w:uiPriority w:val="99"/>
    <w:pPr>
      <w:autoSpaceDE w:val="0"/>
      <w:autoSpaceDN w:val="0"/>
      <w:adjustRightInd w:val="0"/>
      <w:spacing w:line="460" w:lineRule="exact"/>
      <w:ind w:firstLine="420"/>
    </w:pPr>
    <w:rPr>
      <w:rFonts w:ascii="宋体" w:hAnsi="Courier New"/>
      <w:sz w:val="28"/>
      <w:szCs w:val="20"/>
    </w:rPr>
  </w:style>
  <w:style w:type="paragraph" w:customStyle="1" w:styleId="691">
    <w:name w:val="6'"/>
    <w:basedOn w:val="1"/>
    <w:autoRedefine/>
    <w:qFormat/>
    <w:uiPriority w:val="0"/>
    <w:pPr>
      <w:autoSpaceDE w:val="0"/>
      <w:autoSpaceDN w:val="0"/>
      <w:adjustRightInd w:val="0"/>
      <w:snapToGrid w:val="0"/>
      <w:spacing w:line="320" w:lineRule="exact"/>
      <w:jc w:val="center"/>
      <w:textAlignment w:val="baseline"/>
    </w:pPr>
    <w:rPr>
      <w:spacing w:val="20"/>
      <w:kern w:val="28"/>
      <w:sz w:val="21"/>
      <w:szCs w:val="24"/>
    </w:rPr>
  </w:style>
  <w:style w:type="paragraph" w:customStyle="1" w:styleId="692">
    <w:name w:val="正文文本缩进_0"/>
    <w:basedOn w:val="689"/>
    <w:autoRedefine/>
    <w:qFormat/>
    <w:uiPriority w:val="0"/>
    <w:pPr>
      <w:ind w:firstLine="420" w:firstLineChars="200"/>
    </w:pPr>
    <w:rPr>
      <w:rFonts w:ascii="Times New Roman" w:hAnsi="Times New Roman"/>
      <w:szCs w:val="24"/>
    </w:rPr>
  </w:style>
  <w:style w:type="paragraph" w:customStyle="1" w:styleId="693">
    <w:name w:val="正文文本缩进 3_0"/>
    <w:basedOn w:val="689"/>
    <w:autoRedefine/>
    <w:qFormat/>
    <w:uiPriority w:val="0"/>
    <w:pPr>
      <w:adjustRightInd w:val="0"/>
      <w:spacing w:line="360" w:lineRule="auto"/>
      <w:ind w:firstLine="480" w:firstLineChars="200"/>
    </w:pPr>
    <w:rPr>
      <w:rFonts w:ascii="宋体" w:hAnsi="宋体"/>
      <w:bCs/>
      <w:sz w:val="24"/>
      <w:szCs w:val="20"/>
    </w:rPr>
  </w:style>
  <w:style w:type="character" w:customStyle="1" w:styleId="694">
    <w:name w:val="正文文本 3 Char"/>
    <w:basedOn w:val="90"/>
    <w:autoRedefine/>
    <w:qFormat/>
    <w:uiPriority w:val="0"/>
    <w:rPr>
      <w:color w:val="FF00FF"/>
      <w:kern w:val="2"/>
      <w:sz w:val="21"/>
      <w:szCs w:val="24"/>
    </w:rPr>
  </w:style>
  <w:style w:type="character" w:customStyle="1" w:styleId="695">
    <w:name w:val="未处理的提及11"/>
    <w:basedOn w:val="90"/>
    <w:autoRedefine/>
    <w:semiHidden/>
    <w:unhideWhenUsed/>
    <w:qFormat/>
    <w:uiPriority w:val="99"/>
    <w:rPr>
      <w:color w:val="808080"/>
      <w:shd w:val="clear" w:color="auto" w:fill="E6E6E6"/>
    </w:rPr>
  </w:style>
  <w:style w:type="paragraph" w:customStyle="1" w:styleId="696">
    <w:name w:val="普通(网站)3"/>
    <w:basedOn w:val="1"/>
    <w:autoRedefine/>
    <w:qFormat/>
    <w:uiPriority w:val="0"/>
    <w:pPr>
      <w:widowControl/>
      <w:spacing w:before="100" w:beforeAutospacing="1" w:after="100" w:afterAutospacing="1"/>
      <w:jc w:val="left"/>
    </w:pPr>
    <w:rPr>
      <w:rFonts w:ascii="宋体" w:hAnsi="宋体" w:cs="宋体"/>
      <w:sz w:val="24"/>
      <w:szCs w:val="24"/>
    </w:rPr>
  </w:style>
  <w:style w:type="character" w:customStyle="1" w:styleId="697">
    <w:name w:val="未处理的提及2"/>
    <w:basedOn w:val="90"/>
    <w:autoRedefine/>
    <w:semiHidden/>
    <w:unhideWhenUsed/>
    <w:qFormat/>
    <w:uiPriority w:val="99"/>
    <w:rPr>
      <w:color w:val="605E5C"/>
      <w:shd w:val="clear" w:color="auto" w:fill="E1DFDD"/>
    </w:rPr>
  </w:style>
  <w:style w:type="character" w:customStyle="1" w:styleId="698">
    <w:name w:val="未处理的提及3"/>
    <w:basedOn w:val="90"/>
    <w:autoRedefine/>
    <w:semiHidden/>
    <w:unhideWhenUsed/>
    <w:qFormat/>
    <w:uiPriority w:val="99"/>
    <w:rPr>
      <w:color w:val="605E5C"/>
      <w:shd w:val="clear" w:color="auto" w:fill="E1DFDD"/>
    </w:rPr>
  </w:style>
  <w:style w:type="paragraph" w:customStyle="1" w:styleId="699">
    <w:name w:val="首行缩进"/>
    <w:basedOn w:val="1"/>
    <w:autoRedefine/>
    <w:qFormat/>
    <w:uiPriority w:val="0"/>
    <w:pPr>
      <w:spacing w:line="360" w:lineRule="auto"/>
      <w:ind w:firstLine="480" w:firstLineChars="200"/>
    </w:pPr>
    <w:rPr>
      <w:rFonts w:ascii="Calibri" w:hAnsi="Calibri"/>
      <w:kern w:val="2"/>
      <w:sz w:val="24"/>
      <w:szCs w:val="22"/>
      <w:lang w:val="zh-CN"/>
    </w:rPr>
  </w:style>
  <w:style w:type="character" w:customStyle="1" w:styleId="700">
    <w:name w:val="未处理的提及4"/>
    <w:basedOn w:val="90"/>
    <w:autoRedefine/>
    <w:semiHidden/>
    <w:unhideWhenUsed/>
    <w:qFormat/>
    <w:uiPriority w:val="99"/>
    <w:rPr>
      <w:color w:val="605E5C"/>
      <w:shd w:val="clear" w:color="auto" w:fill="E1DFDD"/>
    </w:rPr>
  </w:style>
  <w:style w:type="character" w:customStyle="1" w:styleId="701">
    <w:name w:val="No Spacing Char Char"/>
    <w:link w:val="677"/>
    <w:autoRedefine/>
    <w:qFormat/>
    <w:uiPriority w:val="99"/>
    <w:rPr>
      <w:rFonts w:ascii="Times New Roman" w:hAnsi="Times New Roman" w:eastAsia="宋体" w:cs="Times New Roman"/>
      <w:szCs w:val="24"/>
    </w:rPr>
  </w:style>
  <w:style w:type="character" w:customStyle="1" w:styleId="702">
    <w:name w:val="文档正文 Char Char"/>
    <w:autoRedefine/>
    <w:qFormat/>
    <w:uiPriority w:val="99"/>
    <w:rPr>
      <w:rFonts w:ascii="仿宋_GB2312" w:eastAsia="仿宋_GB2312"/>
      <w:sz w:val="32"/>
      <w:szCs w:val="32"/>
      <w:lang w:val="en-US" w:eastAsia="zh-CN" w:bidi="ar-SA"/>
    </w:rPr>
  </w:style>
  <w:style w:type="paragraph" w:customStyle="1" w:styleId="703">
    <w:name w:val="彩色列表 - 强调文字颜色 11"/>
    <w:basedOn w:val="1"/>
    <w:autoRedefine/>
    <w:qFormat/>
    <w:uiPriority w:val="99"/>
    <w:pPr>
      <w:spacing w:line="360" w:lineRule="auto"/>
      <w:ind w:firstLine="420" w:firstLineChars="200"/>
    </w:pPr>
    <w:rPr>
      <w:kern w:val="2"/>
      <w:sz w:val="24"/>
    </w:rPr>
  </w:style>
  <w:style w:type="paragraph" w:customStyle="1" w:styleId="704">
    <w:name w:val="标题 21"/>
    <w:basedOn w:val="1"/>
    <w:next w:val="1"/>
    <w:autoRedefine/>
    <w:qFormat/>
    <w:uiPriority w:val="0"/>
    <w:pPr>
      <w:keepNext/>
      <w:keepLines/>
      <w:widowControl/>
      <w:spacing w:before="200"/>
      <w:jc w:val="left"/>
      <w:outlineLvl w:val="1"/>
    </w:pPr>
    <w:rPr>
      <w:b/>
      <w:bCs/>
      <w:sz w:val="28"/>
      <w:szCs w:val="28"/>
    </w:rPr>
  </w:style>
  <w:style w:type="paragraph" w:customStyle="1" w:styleId="705">
    <w:name w:val="reader-word-layer"/>
    <w:basedOn w:val="1"/>
    <w:autoRedefine/>
    <w:qFormat/>
    <w:uiPriority w:val="99"/>
    <w:pPr>
      <w:widowControl/>
      <w:spacing w:before="100" w:beforeAutospacing="1" w:after="100" w:afterAutospacing="1"/>
      <w:jc w:val="left"/>
    </w:pPr>
    <w:rPr>
      <w:rFonts w:ascii="宋体" w:hAnsi="宋体" w:cs="宋体"/>
      <w:sz w:val="24"/>
      <w:szCs w:val="24"/>
    </w:rPr>
  </w:style>
  <w:style w:type="paragraph" w:customStyle="1" w:styleId="706">
    <w:name w:val="HA标题4"/>
    <w:basedOn w:val="6"/>
    <w:next w:val="1"/>
    <w:autoRedefine/>
    <w:qFormat/>
    <w:uiPriority w:val="99"/>
    <w:pPr>
      <w:numPr>
        <w:ilvl w:val="3"/>
        <w:numId w:val="7"/>
      </w:numPr>
      <w:tabs>
        <w:tab w:val="clear" w:pos="864"/>
      </w:tabs>
      <w:adjustRightInd/>
      <w:snapToGrid/>
      <w:spacing w:before="0" w:after="0" w:line="360" w:lineRule="auto"/>
    </w:pPr>
    <w:rPr>
      <w:rFonts w:ascii="黑体" w:hAnsi="黑体" w:eastAsia="黑体"/>
      <w:b w:val="0"/>
      <w:bCs w:val="0"/>
      <w:snapToGrid/>
      <w:kern w:val="2"/>
      <w:sz w:val="24"/>
      <w:szCs w:val="20"/>
    </w:rPr>
  </w:style>
  <w:style w:type="paragraph" w:customStyle="1" w:styleId="707">
    <w:name w:val="标题1_btlims"/>
    <w:basedOn w:val="1"/>
    <w:next w:val="1"/>
    <w:autoRedefine/>
    <w:qFormat/>
    <w:uiPriority w:val="99"/>
    <w:pPr>
      <w:widowControl/>
      <w:spacing w:after="200" w:line="276" w:lineRule="auto"/>
      <w:jc w:val="left"/>
    </w:pPr>
    <w:rPr>
      <w:rFonts w:ascii="楷体_GB2312" w:hAnsi="Calibri" w:eastAsia="楷体_GB2312"/>
      <w:sz w:val="36"/>
      <w:szCs w:val="22"/>
    </w:rPr>
  </w:style>
  <w:style w:type="paragraph" w:customStyle="1" w:styleId="708">
    <w:name w:val="_Style 4"/>
    <w:basedOn w:val="1"/>
    <w:autoRedefine/>
    <w:qFormat/>
    <w:uiPriority w:val="99"/>
    <w:pPr>
      <w:ind w:firstLine="420" w:firstLineChars="200"/>
    </w:pPr>
    <w:rPr>
      <w:rFonts w:ascii="Calibri" w:hAnsi="Calibri"/>
      <w:kern w:val="2"/>
      <w:sz w:val="21"/>
    </w:rPr>
  </w:style>
  <w:style w:type="paragraph" w:customStyle="1" w:styleId="709">
    <w:name w:val="1 Char Char Char Char"/>
    <w:basedOn w:val="1"/>
    <w:autoRedefine/>
    <w:qFormat/>
    <w:uiPriority w:val="99"/>
    <w:rPr>
      <w:rFonts w:ascii="Tahoma" w:hAnsi="Tahoma" w:cs="Tahoma"/>
      <w:kern w:val="2"/>
      <w:sz w:val="24"/>
      <w:szCs w:val="24"/>
    </w:rPr>
  </w:style>
  <w:style w:type="paragraph" w:customStyle="1" w:styleId="710">
    <w:name w:val="HA标题2"/>
    <w:basedOn w:val="4"/>
    <w:next w:val="1"/>
    <w:autoRedefine/>
    <w:qFormat/>
    <w:uiPriority w:val="99"/>
    <w:pPr>
      <w:numPr>
        <w:ilvl w:val="1"/>
        <w:numId w:val="7"/>
      </w:numPr>
      <w:spacing w:before="0" w:after="0" w:line="360" w:lineRule="auto"/>
    </w:pPr>
    <w:rPr>
      <w:rFonts w:ascii="黑体" w:hAnsi="Times New Roman"/>
      <w:b w:val="0"/>
      <w:bCs w:val="0"/>
      <w:kern w:val="44"/>
      <w:sz w:val="30"/>
      <w:szCs w:val="20"/>
    </w:rPr>
  </w:style>
  <w:style w:type="paragraph" w:customStyle="1" w:styleId="711">
    <w:name w:val="Char3 Char Char Char"/>
    <w:basedOn w:val="1"/>
    <w:autoRedefine/>
    <w:qFormat/>
    <w:uiPriority w:val="99"/>
    <w:pPr>
      <w:widowControl/>
      <w:snapToGrid w:val="0"/>
      <w:spacing w:before="120" w:after="160" w:line="360" w:lineRule="auto"/>
      <w:ind w:right="-360"/>
      <w:jc w:val="left"/>
    </w:pPr>
    <w:rPr>
      <w:kern w:val="2"/>
      <w:sz w:val="21"/>
      <w:szCs w:val="24"/>
    </w:rPr>
  </w:style>
  <w:style w:type="paragraph" w:customStyle="1" w:styleId="712">
    <w:name w:val="100317_IP"/>
    <w:basedOn w:val="3"/>
    <w:autoRedefine/>
    <w:qFormat/>
    <w:uiPriority w:val="99"/>
    <w:pPr>
      <w:widowControl/>
      <w:autoSpaceDE/>
      <w:autoSpaceDN/>
      <w:adjustRightInd/>
      <w:spacing w:line="578" w:lineRule="auto"/>
      <w:jc w:val="left"/>
    </w:pPr>
    <w:rPr>
      <w:rFonts w:hint="default" w:ascii="楷体_GB2312" w:hAnsi="Calibri" w:eastAsia="楷体_GB2312"/>
      <w:bCs/>
      <w:kern w:val="44"/>
      <w:sz w:val="36"/>
      <w:szCs w:val="44"/>
    </w:rPr>
  </w:style>
  <w:style w:type="paragraph" w:customStyle="1" w:styleId="713">
    <w:name w:val="@正文文本首行缩进 Alt＋w"/>
    <w:basedOn w:val="1"/>
    <w:autoRedefine/>
    <w:qFormat/>
    <w:uiPriority w:val="0"/>
    <w:pPr>
      <w:spacing w:beforeLines="50" w:afterLines="50" w:line="360" w:lineRule="auto"/>
      <w:ind w:firstLine="482"/>
      <w:textAlignment w:val="baseline"/>
    </w:pPr>
    <w:rPr>
      <w:b/>
      <w:color w:val="000000"/>
      <w:kern w:val="2"/>
      <w:sz w:val="24"/>
      <w:szCs w:val="24"/>
    </w:rPr>
  </w:style>
  <w:style w:type="paragraph" w:customStyle="1" w:styleId="714">
    <w:name w:val="HA标题3"/>
    <w:basedOn w:val="5"/>
    <w:next w:val="1"/>
    <w:autoRedefine/>
    <w:qFormat/>
    <w:uiPriority w:val="99"/>
    <w:pPr>
      <w:numPr>
        <w:ilvl w:val="2"/>
        <w:numId w:val="7"/>
      </w:numPr>
      <w:spacing w:before="0" w:after="0"/>
      <w:jc w:val="both"/>
    </w:pPr>
    <w:rPr>
      <w:rFonts w:ascii="黑体" w:eastAsia="黑体"/>
      <w:b w:val="0"/>
      <w:kern w:val="44"/>
      <w:sz w:val="28"/>
    </w:rPr>
  </w:style>
  <w:style w:type="paragraph" w:customStyle="1" w:styleId="715">
    <w:name w:val="标题11"/>
    <w:basedOn w:val="1"/>
    <w:autoRedefine/>
    <w:qFormat/>
    <w:uiPriority w:val="0"/>
    <w:pPr>
      <w:widowControl/>
      <w:spacing w:before="120" w:after="160" w:line="240" w:lineRule="exact"/>
      <w:ind w:left="210" w:leftChars="100" w:right="210" w:rightChars="100"/>
      <w:jc w:val="left"/>
    </w:pPr>
    <w:rPr>
      <w:rFonts w:ascii="Verdana" w:hAnsi="Verdana"/>
      <w:sz w:val="40"/>
      <w:szCs w:val="40"/>
    </w:rPr>
  </w:style>
  <w:style w:type="table" w:customStyle="1" w:styleId="716">
    <w:name w:val="网格型2"/>
    <w:basedOn w:val="88"/>
    <w:autoRedefine/>
    <w:qFormat/>
    <w:uiPriority w:val="59"/>
    <w:rPr>
      <w:rFonts w:ascii="Calibri" w:hAnsi="Calibri"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17">
    <w:name w:val="批注文字 Char"/>
    <w:autoRedefine/>
    <w:qFormat/>
    <w:uiPriority w:val="0"/>
    <w:rPr>
      <w:kern w:val="2"/>
      <w:sz w:val="21"/>
      <w:szCs w:val="24"/>
    </w:rPr>
  </w:style>
  <w:style w:type="character" w:customStyle="1" w:styleId="718">
    <w:name w:val="页脚 Char"/>
    <w:autoRedefine/>
    <w:qFormat/>
    <w:uiPriority w:val="99"/>
    <w:rPr>
      <w:kern w:val="2"/>
      <w:sz w:val="18"/>
      <w:szCs w:val="18"/>
    </w:rPr>
  </w:style>
  <w:style w:type="character" w:customStyle="1" w:styleId="719">
    <w:name w:val="gothic"/>
    <w:autoRedefine/>
    <w:qFormat/>
    <w:uiPriority w:val="99"/>
    <w:rPr>
      <w:rFonts w:ascii="Arial" w:hAnsi="Arial"/>
      <w:color w:val="333333"/>
      <w:sz w:val="22"/>
    </w:rPr>
  </w:style>
  <w:style w:type="paragraph" w:customStyle="1" w:styleId="720">
    <w:name w:val="cright1"/>
    <w:basedOn w:val="1"/>
    <w:autoRedefine/>
    <w:qFormat/>
    <w:uiPriority w:val="99"/>
    <w:pPr>
      <w:widowControl/>
      <w:wordWrap w:val="0"/>
      <w:jc w:val="left"/>
    </w:pPr>
    <w:rPr>
      <w:rFonts w:ascii="宋体" w:hAnsi="宋体"/>
      <w:color w:val="383838"/>
      <w:sz w:val="24"/>
    </w:rPr>
  </w:style>
  <w:style w:type="paragraph" w:customStyle="1" w:styleId="721">
    <w:name w:val="cleft"/>
    <w:basedOn w:val="1"/>
    <w:autoRedefine/>
    <w:qFormat/>
    <w:uiPriority w:val="99"/>
    <w:pPr>
      <w:widowControl/>
      <w:jc w:val="left"/>
    </w:pPr>
    <w:rPr>
      <w:rFonts w:ascii="宋体" w:hAnsi="宋体"/>
      <w:b/>
      <w:sz w:val="24"/>
    </w:rPr>
  </w:style>
  <w:style w:type="paragraph" w:customStyle="1" w:styleId="722">
    <w:name w:val="_Style 68"/>
    <w:autoRedefine/>
    <w:qFormat/>
    <w:uiPriority w:val="99"/>
    <w:pPr>
      <w:widowControl w:val="0"/>
      <w:jc w:val="both"/>
    </w:pPr>
    <w:rPr>
      <w:rFonts w:ascii="Times New Roman" w:hAnsi="Times New Roman" w:eastAsia="宋体" w:cs="Times New Roman"/>
      <w:kern w:val="2"/>
      <w:sz w:val="21"/>
      <w:szCs w:val="20"/>
      <w:lang w:val="en-US" w:eastAsia="zh-CN" w:bidi="ar-SA"/>
    </w:rPr>
  </w:style>
  <w:style w:type="paragraph" w:customStyle="1" w:styleId="723">
    <w:name w:val="Char Char Char Char Char Char Char Char Char Char Char Char Char Char Char Char11"/>
    <w:basedOn w:val="1"/>
    <w:autoRedefine/>
    <w:qFormat/>
    <w:uiPriority w:val="99"/>
    <w:rPr>
      <w:rFonts w:ascii="Tahoma" w:hAnsi="Tahoma"/>
      <w:kern w:val="2"/>
      <w:sz w:val="24"/>
    </w:rPr>
  </w:style>
  <w:style w:type="character" w:customStyle="1" w:styleId="724">
    <w:name w:val="标题2"/>
    <w:autoRedefine/>
    <w:qFormat/>
    <w:uiPriority w:val="99"/>
    <w:rPr>
      <w:rFonts w:cs="Times New Roman"/>
    </w:rPr>
  </w:style>
  <w:style w:type="character" w:customStyle="1" w:styleId="725">
    <w:name w:val="ca-41"/>
    <w:autoRedefine/>
    <w:qFormat/>
    <w:uiPriority w:val="99"/>
    <w:rPr>
      <w:rFonts w:ascii="仿宋_GB2312" w:eastAsia="仿宋_GB2312" w:cs="Times New Roman"/>
      <w:sz w:val="30"/>
      <w:szCs w:val="30"/>
    </w:rPr>
  </w:style>
  <w:style w:type="paragraph" w:customStyle="1" w:styleId="726">
    <w:name w:val="tx1"/>
    <w:basedOn w:val="1"/>
    <w:autoRedefine/>
    <w:qFormat/>
    <w:uiPriority w:val="99"/>
    <w:pPr>
      <w:widowControl/>
      <w:spacing w:after="120"/>
      <w:ind w:left="274"/>
      <w:jc w:val="left"/>
    </w:pPr>
    <w:rPr>
      <w:rFonts w:ascii="Arial" w:hAnsi="Arial"/>
      <w:sz w:val="22"/>
      <w:lang w:eastAsia="en-US"/>
    </w:rPr>
  </w:style>
  <w:style w:type="paragraph" w:customStyle="1" w:styleId="727">
    <w:name w:val="正文4"/>
    <w:basedOn w:val="1"/>
    <w:autoRedefine/>
    <w:qFormat/>
    <w:uiPriority w:val="99"/>
    <w:pPr>
      <w:jc w:val="center"/>
    </w:pPr>
    <w:rPr>
      <w:rFonts w:ascii="宋体"/>
      <w:kern w:val="2"/>
      <w:sz w:val="28"/>
    </w:rPr>
  </w:style>
  <w:style w:type="paragraph" w:customStyle="1" w:styleId="728">
    <w:name w:val="样式8"/>
    <w:basedOn w:val="1"/>
    <w:autoRedefine/>
    <w:qFormat/>
    <w:uiPriority w:val="99"/>
    <w:pPr>
      <w:spacing w:beforeLines="20"/>
      <w:ind w:firstLine="425"/>
    </w:pPr>
    <w:rPr>
      <w:kern w:val="2"/>
      <w:sz w:val="24"/>
      <w:szCs w:val="24"/>
    </w:rPr>
  </w:style>
  <w:style w:type="paragraph" w:customStyle="1" w:styleId="729">
    <w:name w:val="表头"/>
    <w:autoRedefine/>
    <w:qFormat/>
    <w:uiPriority w:val="99"/>
    <w:pPr>
      <w:spacing w:line="360" w:lineRule="auto"/>
      <w:ind w:firstLine="480"/>
      <w:jc w:val="both"/>
    </w:pPr>
    <w:rPr>
      <w:rFonts w:ascii="宋体" w:hAnsi="宋体" w:eastAsia="宋体" w:cs="Times New Roman"/>
      <w:kern w:val="0"/>
      <w:sz w:val="24"/>
      <w:szCs w:val="24"/>
      <w:lang w:val="en-US" w:eastAsia="zh-CN" w:bidi="ar-SA"/>
    </w:rPr>
  </w:style>
  <w:style w:type="paragraph" w:customStyle="1" w:styleId="730">
    <w:name w:val="样式3"/>
    <w:basedOn w:val="1"/>
    <w:autoRedefine/>
    <w:qFormat/>
    <w:uiPriority w:val="99"/>
    <w:pPr>
      <w:ind w:firstLine="425"/>
    </w:pPr>
    <w:rPr>
      <w:kern w:val="2"/>
      <w:sz w:val="24"/>
      <w:szCs w:val="24"/>
    </w:rPr>
  </w:style>
  <w:style w:type="paragraph" w:customStyle="1" w:styleId="731">
    <w:name w:val="样式6"/>
    <w:basedOn w:val="1"/>
    <w:autoRedefine/>
    <w:qFormat/>
    <w:uiPriority w:val="99"/>
    <w:pPr>
      <w:spacing w:beforeLines="40"/>
      <w:ind w:firstLine="425"/>
    </w:pPr>
    <w:rPr>
      <w:kern w:val="2"/>
      <w:sz w:val="24"/>
      <w:szCs w:val="24"/>
    </w:rPr>
  </w:style>
  <w:style w:type="paragraph" w:customStyle="1" w:styleId="732">
    <w:name w:val="样式9"/>
    <w:basedOn w:val="1"/>
    <w:autoRedefine/>
    <w:qFormat/>
    <w:uiPriority w:val="99"/>
    <w:pPr>
      <w:ind w:firstLine="425"/>
    </w:pPr>
    <w:rPr>
      <w:kern w:val="2"/>
      <w:sz w:val="24"/>
      <w:szCs w:val="24"/>
    </w:rPr>
  </w:style>
  <w:style w:type="paragraph" w:customStyle="1" w:styleId="733">
    <w:name w:val="test"/>
    <w:basedOn w:val="1"/>
    <w:autoRedefine/>
    <w:qFormat/>
    <w:uiPriority w:val="99"/>
    <w:pPr>
      <w:snapToGrid w:val="0"/>
      <w:spacing w:line="300" w:lineRule="auto"/>
    </w:pPr>
    <w:rPr>
      <w:kern w:val="2"/>
      <w:sz w:val="21"/>
    </w:rPr>
  </w:style>
  <w:style w:type="character" w:customStyle="1" w:styleId="734">
    <w:name w:val="font31"/>
    <w:autoRedefine/>
    <w:qFormat/>
    <w:uiPriority w:val="99"/>
    <w:rPr>
      <w:rFonts w:ascii="宋体" w:hAnsi="宋体" w:eastAsia="宋体"/>
      <w:b/>
      <w:color w:val="000000"/>
      <w:sz w:val="20"/>
      <w:u w:val="none"/>
    </w:rPr>
  </w:style>
  <w:style w:type="character" w:customStyle="1" w:styleId="735">
    <w:name w:val="批注框文本 Char"/>
    <w:autoRedefine/>
    <w:qFormat/>
    <w:locked/>
    <w:uiPriority w:val="99"/>
    <w:rPr>
      <w:kern w:val="2"/>
      <w:sz w:val="18"/>
    </w:rPr>
  </w:style>
  <w:style w:type="paragraph" w:customStyle="1" w:styleId="736">
    <w:name w:val="招标正文"/>
    <w:basedOn w:val="1"/>
    <w:autoRedefine/>
    <w:qFormat/>
    <w:uiPriority w:val="99"/>
    <w:pPr>
      <w:spacing w:line="360" w:lineRule="auto"/>
      <w:ind w:firstLine="480" w:firstLineChars="200"/>
    </w:pPr>
    <w:rPr>
      <w:rFonts w:ascii="Calibri" w:hAnsi="Calibri" w:eastAsia="仿宋"/>
      <w:kern w:val="2"/>
      <w:sz w:val="24"/>
      <w:szCs w:val="24"/>
    </w:rPr>
  </w:style>
  <w:style w:type="paragraph" w:customStyle="1" w:styleId="737">
    <w:name w:val="列出段落3"/>
    <w:basedOn w:val="1"/>
    <w:autoRedefine/>
    <w:qFormat/>
    <w:uiPriority w:val="99"/>
    <w:pPr>
      <w:ind w:firstLine="420" w:firstLineChars="200"/>
    </w:pPr>
    <w:rPr>
      <w:kern w:val="2"/>
      <w:sz w:val="21"/>
    </w:rPr>
  </w:style>
  <w:style w:type="paragraph" w:customStyle="1" w:styleId="738">
    <w:name w:val="font2"/>
    <w:basedOn w:val="1"/>
    <w:autoRedefine/>
    <w:qFormat/>
    <w:uiPriority w:val="0"/>
    <w:pPr>
      <w:widowControl/>
      <w:spacing w:before="100" w:beforeAutospacing="1" w:after="100" w:afterAutospacing="1"/>
      <w:jc w:val="left"/>
    </w:pPr>
    <w:rPr>
      <w:rFonts w:ascii="宋体" w:hAnsi="宋体" w:cs="宋体"/>
      <w:color w:val="000000"/>
      <w:sz w:val="22"/>
      <w:szCs w:val="22"/>
    </w:rPr>
  </w:style>
  <w:style w:type="paragraph" w:customStyle="1" w:styleId="739">
    <w:name w:val="font3"/>
    <w:basedOn w:val="1"/>
    <w:autoRedefine/>
    <w:qFormat/>
    <w:uiPriority w:val="0"/>
    <w:pPr>
      <w:widowControl/>
      <w:spacing w:before="100" w:beforeAutospacing="1" w:after="100" w:afterAutospacing="1"/>
      <w:jc w:val="left"/>
    </w:pPr>
    <w:rPr>
      <w:rFonts w:ascii="宋体" w:hAnsi="宋体" w:cs="宋体"/>
      <w:color w:val="000000"/>
      <w:sz w:val="22"/>
      <w:szCs w:val="22"/>
    </w:rPr>
  </w:style>
  <w:style w:type="paragraph" w:customStyle="1" w:styleId="740">
    <w:name w:val="font4"/>
    <w:basedOn w:val="1"/>
    <w:autoRedefine/>
    <w:qFormat/>
    <w:uiPriority w:val="0"/>
    <w:pPr>
      <w:widowControl/>
      <w:spacing w:before="100" w:beforeAutospacing="1" w:after="100" w:afterAutospacing="1"/>
      <w:jc w:val="left"/>
    </w:pPr>
    <w:rPr>
      <w:rFonts w:ascii="Tahoma" w:hAnsi="Tahoma" w:cs="Tahoma"/>
      <w:color w:val="000000"/>
      <w:sz w:val="22"/>
      <w:szCs w:val="22"/>
    </w:rPr>
  </w:style>
  <w:style w:type="paragraph" w:customStyle="1" w:styleId="741">
    <w:name w:val="et1"/>
    <w:basedOn w:val="1"/>
    <w:autoRedefine/>
    <w:qFormat/>
    <w:uiPriority w:val="0"/>
    <w:pPr>
      <w:widowControl/>
      <w:spacing w:before="100" w:beforeAutospacing="1" w:after="100" w:afterAutospacing="1"/>
      <w:jc w:val="left"/>
      <w:textAlignment w:val="center"/>
    </w:pPr>
    <w:rPr>
      <w:rFonts w:ascii="宋体" w:hAnsi="宋体" w:cs="宋体"/>
      <w:sz w:val="24"/>
      <w:szCs w:val="24"/>
    </w:rPr>
  </w:style>
  <w:style w:type="paragraph" w:customStyle="1" w:styleId="742">
    <w:name w:val="et2"/>
    <w:basedOn w:val="1"/>
    <w:autoRedefine/>
    <w:qFormat/>
    <w:uiPriority w:val="0"/>
    <w:pPr>
      <w:widowControl/>
      <w:spacing w:before="100" w:beforeAutospacing="1" w:after="100" w:afterAutospacing="1"/>
      <w:jc w:val="center"/>
      <w:textAlignment w:val="center"/>
    </w:pPr>
    <w:rPr>
      <w:rFonts w:ascii="宋体" w:hAnsi="宋体" w:cs="宋体"/>
      <w:sz w:val="22"/>
      <w:szCs w:val="22"/>
    </w:rPr>
  </w:style>
  <w:style w:type="paragraph" w:customStyle="1" w:styleId="743">
    <w:name w:val="et3"/>
    <w:basedOn w:val="1"/>
    <w:autoRedefine/>
    <w:qFormat/>
    <w:uiPriority w:val="0"/>
    <w:pPr>
      <w:widowControl/>
      <w:spacing w:before="100" w:beforeAutospacing="1" w:after="100" w:afterAutospacing="1"/>
      <w:jc w:val="left"/>
      <w:textAlignment w:val="center"/>
    </w:pPr>
    <w:rPr>
      <w:rFonts w:ascii="宋体" w:hAnsi="宋体" w:cs="宋体"/>
      <w:sz w:val="22"/>
      <w:szCs w:val="22"/>
    </w:rPr>
  </w:style>
  <w:style w:type="paragraph" w:customStyle="1" w:styleId="744">
    <w:name w:val="et4"/>
    <w:basedOn w:val="1"/>
    <w:autoRedefine/>
    <w:qFormat/>
    <w:uiPriority w:val="0"/>
    <w:pPr>
      <w:widowControl/>
      <w:spacing w:before="100" w:beforeAutospacing="1" w:after="100" w:afterAutospacing="1"/>
      <w:jc w:val="center"/>
      <w:textAlignment w:val="center"/>
    </w:pPr>
    <w:rPr>
      <w:rFonts w:ascii="宋体" w:hAnsi="宋体" w:cs="宋体"/>
      <w:sz w:val="22"/>
      <w:szCs w:val="22"/>
    </w:rPr>
  </w:style>
  <w:style w:type="paragraph" w:customStyle="1" w:styleId="745">
    <w:name w:val="et5"/>
    <w:basedOn w:val="1"/>
    <w:autoRedefine/>
    <w:qFormat/>
    <w:uiPriority w:val="0"/>
    <w:pPr>
      <w:widowControl/>
      <w:spacing w:before="100" w:beforeAutospacing="1" w:after="100" w:afterAutospacing="1"/>
      <w:jc w:val="center"/>
      <w:textAlignment w:val="center"/>
    </w:pPr>
    <w:rPr>
      <w:rFonts w:ascii="宋体" w:hAnsi="宋体" w:cs="宋体"/>
      <w:sz w:val="22"/>
      <w:szCs w:val="22"/>
    </w:rPr>
  </w:style>
  <w:style w:type="paragraph" w:customStyle="1" w:styleId="746">
    <w:name w:val="et6"/>
    <w:basedOn w:val="1"/>
    <w:autoRedefine/>
    <w:qFormat/>
    <w:uiPriority w:val="0"/>
    <w:pPr>
      <w:widowControl/>
      <w:spacing w:before="100" w:beforeAutospacing="1" w:after="100" w:afterAutospacing="1"/>
      <w:jc w:val="left"/>
      <w:textAlignment w:val="center"/>
    </w:pPr>
    <w:rPr>
      <w:rFonts w:ascii="宋体" w:hAnsi="宋体" w:cs="宋体"/>
      <w:sz w:val="22"/>
      <w:szCs w:val="22"/>
    </w:rPr>
  </w:style>
  <w:style w:type="paragraph" w:customStyle="1" w:styleId="747">
    <w:name w:val="et7"/>
    <w:basedOn w:val="1"/>
    <w:autoRedefine/>
    <w:qFormat/>
    <w:uiPriority w:val="0"/>
    <w:pPr>
      <w:widowControl/>
      <w:spacing w:before="100" w:beforeAutospacing="1" w:after="100" w:afterAutospacing="1"/>
      <w:jc w:val="left"/>
      <w:textAlignment w:val="center"/>
    </w:pPr>
    <w:rPr>
      <w:rFonts w:ascii="宋体" w:hAnsi="宋体" w:cs="宋体"/>
      <w:sz w:val="22"/>
      <w:szCs w:val="22"/>
    </w:rPr>
  </w:style>
  <w:style w:type="paragraph" w:customStyle="1" w:styleId="748">
    <w:name w:val="et8"/>
    <w:basedOn w:val="1"/>
    <w:autoRedefine/>
    <w:qFormat/>
    <w:uiPriority w:val="0"/>
    <w:pPr>
      <w:widowControl/>
      <w:spacing w:before="100" w:beforeAutospacing="1" w:after="100" w:afterAutospacing="1"/>
      <w:jc w:val="left"/>
      <w:textAlignment w:val="center"/>
    </w:pPr>
    <w:rPr>
      <w:rFonts w:ascii="Tahoma" w:hAnsi="Tahoma" w:cs="Tahoma"/>
      <w:sz w:val="22"/>
      <w:szCs w:val="22"/>
    </w:rPr>
  </w:style>
  <w:style w:type="paragraph" w:customStyle="1" w:styleId="749">
    <w:name w:val="et1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sz w:val="22"/>
      <w:szCs w:val="22"/>
    </w:rPr>
  </w:style>
  <w:style w:type="paragraph" w:customStyle="1" w:styleId="750">
    <w:name w:val="et13"/>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sz w:val="22"/>
      <w:szCs w:val="22"/>
    </w:rPr>
  </w:style>
  <w:style w:type="paragraph" w:customStyle="1" w:styleId="751">
    <w:name w:val="et1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sz w:val="22"/>
      <w:szCs w:val="22"/>
    </w:rPr>
  </w:style>
  <w:style w:type="paragraph" w:customStyle="1" w:styleId="752">
    <w:name w:val="et1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sz w:val="22"/>
      <w:szCs w:val="22"/>
    </w:rPr>
  </w:style>
  <w:style w:type="paragraph" w:customStyle="1" w:styleId="753">
    <w:name w:val="et1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sz w:val="22"/>
      <w:szCs w:val="22"/>
    </w:rPr>
  </w:style>
  <w:style w:type="paragraph" w:customStyle="1" w:styleId="754">
    <w:name w:val="et1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宋体" w:hAnsi="宋体" w:cs="宋体"/>
      <w:sz w:val="22"/>
      <w:szCs w:val="22"/>
    </w:rPr>
  </w:style>
  <w:style w:type="paragraph" w:customStyle="1" w:styleId="755">
    <w:name w:val="et1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sz w:val="22"/>
      <w:szCs w:val="22"/>
    </w:rPr>
  </w:style>
  <w:style w:type="paragraph" w:customStyle="1" w:styleId="756">
    <w:name w:val="et1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sz w:val="22"/>
      <w:szCs w:val="22"/>
    </w:rPr>
  </w:style>
  <w:style w:type="paragraph" w:customStyle="1" w:styleId="757">
    <w:name w:val="et23"/>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758">
    <w:name w:val="et2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宋体" w:hAnsi="宋体" w:cs="宋体"/>
      <w:sz w:val="22"/>
      <w:szCs w:val="22"/>
    </w:rPr>
  </w:style>
  <w:style w:type="paragraph" w:customStyle="1" w:styleId="759">
    <w:name w:val="et2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sz w:val="22"/>
      <w:szCs w:val="22"/>
    </w:rPr>
  </w:style>
  <w:style w:type="paragraph" w:customStyle="1" w:styleId="760">
    <w:name w:val="et2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宋体" w:hAnsi="宋体" w:cs="宋体"/>
      <w:sz w:val="24"/>
      <w:szCs w:val="24"/>
    </w:rPr>
  </w:style>
  <w:style w:type="paragraph" w:customStyle="1" w:styleId="761">
    <w:name w:val="et2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rPr>
  </w:style>
  <w:style w:type="character" w:customStyle="1" w:styleId="762">
    <w:name w:val="font11"/>
    <w:basedOn w:val="90"/>
    <w:autoRedefine/>
    <w:qFormat/>
    <w:uiPriority w:val="0"/>
    <w:rPr>
      <w:rFonts w:hint="eastAsia" w:ascii="宋体" w:hAnsi="宋体" w:eastAsia="宋体" w:cs="宋体"/>
      <w:color w:val="000000"/>
      <w:sz w:val="14"/>
      <w:szCs w:val="14"/>
      <w:u w:val="none"/>
    </w:rPr>
  </w:style>
  <w:style w:type="paragraph" w:customStyle="1" w:styleId="763">
    <w:name w:val="正文缩进2"/>
    <w:basedOn w:val="1"/>
    <w:qFormat/>
    <w:uiPriority w:val="0"/>
    <w:pPr>
      <w:wordWrap w:val="0"/>
      <w:ind w:firstLine="480"/>
    </w:pPr>
    <w:rPr>
      <w:iCs/>
      <w:shd w:val="clear" w:color="auto" w:fill="FFFFFF"/>
      <w:lang w:val="zh-CN"/>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header" Target="header8.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footer" Target="footer3.xml"/><Relationship Id="rId11" Type="http://schemas.openxmlformats.org/officeDocument/2006/relationships/header" Target="header7.xml"/><Relationship Id="rId10" Type="http://schemas.openxmlformats.org/officeDocument/2006/relationships/header" Target="head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4098"/>
    <customShpInfo spid="_x0000_s4097"/>
    <customShpInfo spid="_x0000_s1026" textRotate="1"/>
    <customShpInfo spid="_x0000_s4102"/>
    <customShpInfo spid="_x0000_s410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109</Pages>
  <Words>11914</Words>
  <Characters>12919</Characters>
  <Lines>236</Lines>
  <Paragraphs>66</Paragraphs>
  <TotalTime>120</TotalTime>
  <ScaleCrop>false</ScaleCrop>
  <LinksUpToDate>false</LinksUpToDate>
  <CharactersWithSpaces>13182</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2022-08-09T01:58:00Z</dcterms:created>
  <dc:creator>任秀秀</dc:creator>
  <cp:lastModifiedBy>麦田守望者</cp:lastModifiedBy>
  <cp:lastPrinted>2024-07-28T07:01:00Z</cp:lastPrinted>
  <dcterms:modified xsi:type="dcterms:W3CDTF">2025-06-11T09:06:32Z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F3DC1E9BFC1A4072B4D1F278D9F027B8_13</vt:lpwstr>
  </property>
  <property fmtid="{D5CDD505-2E9C-101B-9397-08002B2CF9AE}" pid="4" name="KSOTemplateDocerSaveRecord">
    <vt:lpwstr>eyJoZGlkIjoiZWViZGViOWVmZDdiODMxM2U4ZTRmMTcwNjYyMGNjNTYiLCJ1c2VySWQiOiIyNzAxODEzMjAifQ==</vt:lpwstr>
  </property>
</Properties>
</file>