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/>
          <w:szCs w:val="21"/>
        </w:rPr>
      </w:pPr>
      <w:r>
        <w:rPr>
          <w:rFonts w:hint="eastAsia"/>
          <w:b/>
          <w:bCs/>
          <w:sz w:val="24"/>
          <w:szCs w:val="32"/>
        </w:rPr>
        <w:t>附表：</w:t>
      </w:r>
      <w:r>
        <w:rPr>
          <w:rFonts w:hint="eastAsia"/>
          <w:b/>
          <w:bCs/>
          <w:sz w:val="24"/>
          <w:szCs w:val="32"/>
        </w:rPr>
        <w:br w:type="textWrapping"/>
      </w:r>
      <w:r>
        <w:rPr>
          <w:rFonts w:hint="eastAsia" w:ascii="宋体" w:hAnsi="宋体"/>
          <w:szCs w:val="21"/>
        </w:rPr>
        <w:t>项目编号：ZCZB-2103-ZH040</w:t>
      </w:r>
    </w:p>
    <w:p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项目名称：中南民族大学化生药实验中心设备购置与更新项目</w:t>
      </w:r>
    </w:p>
    <w:tbl>
      <w:tblPr>
        <w:tblStyle w:val="8"/>
        <w:tblW w:w="879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3"/>
        <w:gridCol w:w="633"/>
        <w:gridCol w:w="3421"/>
        <w:gridCol w:w="624"/>
        <w:gridCol w:w="624"/>
        <w:gridCol w:w="876"/>
        <w:gridCol w:w="1011"/>
        <w:gridCol w:w="96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 w:hRule="atLeast"/>
        </w:trPr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采购内容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预算单价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(万元)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预算金额（万元）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Cs w:val="21"/>
              </w:rPr>
              <w:t>是否为核心产品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01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生物信号采集与分析系统实验系统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011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37.24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电热恒温水箱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0.13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转移电泳仪电源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0.35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基因扩增仪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4.8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可见分光光度计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0.6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灭菌锅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3.8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凝胶成像系统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3.6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水平电泳槽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0.08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水平电泳槽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0.15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组织匀浆机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0.07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生化培养箱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0.65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显微镜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3.9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可见分光光度计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0.40</w:t>
            </w:r>
          </w:p>
        </w:tc>
        <w:tc>
          <w:tcPr>
            <w:tcW w:w="1011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43.28</w:t>
            </w: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万分之一-分析天平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3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精密pH计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0.19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4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循环水式真空泵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0.098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5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pp实验台式药品柜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 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0.4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6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电位滴定仪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3.12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7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有机蒸汽气体检测仪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0.8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8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铁皮中药柜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 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0.3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9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电导率仪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0.156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10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压片机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0.82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11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冰柜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0.18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12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全自动雪花制冰机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0.8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13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气相色谱仪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" w:hRule="atLeast"/>
        </w:trPr>
        <w:tc>
          <w:tcPr>
            <w:tcW w:w="6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14</w:t>
            </w:r>
          </w:p>
        </w:tc>
        <w:tc>
          <w:tcPr>
            <w:tcW w:w="3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LED手术无影灯摄像系统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2.8</w:t>
            </w:r>
          </w:p>
        </w:tc>
        <w:tc>
          <w:tcPr>
            <w:tcW w:w="1011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否</w:t>
            </w:r>
          </w:p>
        </w:tc>
      </w:tr>
    </w:tbl>
    <w:p>
      <w:pPr>
        <w:tabs>
          <w:tab w:val="left" w:pos="646"/>
        </w:tabs>
        <w:jc w:val="left"/>
      </w:pPr>
      <w:r>
        <w:rPr>
          <w:rFonts w:hint="eastAsia" w:ascii="宋体" w:hAnsi="宋体" w:cs="宋体"/>
          <w:b/>
          <w:bCs/>
          <w:sz w:val="18"/>
          <w:szCs w:val="18"/>
          <w:lang w:val="zh-CN"/>
        </w:rPr>
        <w:t>（备注：供应商可对本次采购所需各包进行选择性响应，也可同时响应；但评审时将以包为单位进行独立评审，分别确定成交供应商，且同一供应商最多只能中标本项目单个包段，若供应商在不同包段被同时推荐为第一中标候选人，则按中标金额大小确定优先中标包段。供应商若同时投多个包，则须分别编制响应文件、分别报价。）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  <w:jc w:val="left"/>
      <w:rPr>
        <w:rFonts w:ascii="宋体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A86E7C"/>
    <w:rsid w:val="030E4F64"/>
    <w:rsid w:val="062F60F8"/>
    <w:rsid w:val="06812518"/>
    <w:rsid w:val="08D82D7D"/>
    <w:rsid w:val="0D0D0224"/>
    <w:rsid w:val="0DFF24AD"/>
    <w:rsid w:val="117602A9"/>
    <w:rsid w:val="139258AF"/>
    <w:rsid w:val="152F2C39"/>
    <w:rsid w:val="15814C96"/>
    <w:rsid w:val="15A274C0"/>
    <w:rsid w:val="15DB3430"/>
    <w:rsid w:val="174015FD"/>
    <w:rsid w:val="1D404DDD"/>
    <w:rsid w:val="1EFF7141"/>
    <w:rsid w:val="20F82E16"/>
    <w:rsid w:val="21BE2DDC"/>
    <w:rsid w:val="29927ADA"/>
    <w:rsid w:val="374B6233"/>
    <w:rsid w:val="39E97B73"/>
    <w:rsid w:val="3D754FDC"/>
    <w:rsid w:val="438E5CCE"/>
    <w:rsid w:val="461D10A0"/>
    <w:rsid w:val="4A0703FC"/>
    <w:rsid w:val="4B202B4D"/>
    <w:rsid w:val="4D225665"/>
    <w:rsid w:val="578338EA"/>
    <w:rsid w:val="5D6906E3"/>
    <w:rsid w:val="617C00CD"/>
    <w:rsid w:val="65E245D4"/>
    <w:rsid w:val="6D170401"/>
    <w:rsid w:val="6DA86E7C"/>
    <w:rsid w:val="6E9D6493"/>
    <w:rsid w:val="730C7561"/>
    <w:rsid w:val="74711E7E"/>
    <w:rsid w:val="76CE0C6C"/>
    <w:rsid w:val="7D9011C6"/>
    <w:rsid w:val="7F73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0"/>
    <w:pPr>
      <w:keepNext/>
      <w:keepLines/>
      <w:spacing w:before="340" w:after="330" w:line="360" w:lineRule="auto"/>
      <w:jc w:val="center"/>
      <w:outlineLvl w:val="0"/>
    </w:pPr>
    <w:rPr>
      <w:rFonts w:ascii="Calibri" w:hAnsi="Calibri" w:eastAsia="宋体"/>
      <w:b/>
      <w:bCs/>
      <w:kern w:val="44"/>
      <w:sz w:val="36"/>
      <w:szCs w:val="44"/>
    </w:rPr>
  </w:style>
  <w:style w:type="paragraph" w:styleId="2">
    <w:name w:val="heading 2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="20" w:after="20" w:line="240" w:lineRule="auto"/>
      <w:jc w:val="left"/>
      <w:outlineLvl w:val="1"/>
    </w:pPr>
    <w:rPr>
      <w:rFonts w:ascii="Arial" w:hAnsi="Arial" w:eastAsia="宋体"/>
      <w:bCs/>
      <w:sz w:val="28"/>
      <w:szCs w:val="32"/>
    </w:rPr>
  </w:style>
  <w:style w:type="paragraph" w:styleId="4">
    <w:name w:val="heading 3"/>
    <w:basedOn w:val="5"/>
    <w:next w:val="1"/>
    <w:link w:val="11"/>
    <w:semiHidden/>
    <w:unhideWhenUsed/>
    <w:qFormat/>
    <w:uiPriority w:val="0"/>
    <w:pPr>
      <w:keepNext/>
      <w:keepLines/>
      <w:snapToGrid w:val="0"/>
      <w:spacing w:line="360" w:lineRule="auto"/>
      <w:ind w:left="0" w:leftChars="0"/>
      <w:jc w:val="left"/>
      <w:outlineLvl w:val="2"/>
    </w:pPr>
    <w:rPr>
      <w:rFonts w:ascii="仿宋_GB2312" w:hAnsi="仿宋_GB2312" w:eastAsia="宋体" w:cs="Times New Roman"/>
      <w:sz w:val="28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qFormat/>
    <w:uiPriority w:val="0"/>
    <w:pPr>
      <w:ind w:left="840" w:leftChars="4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ahoma" w:hAnsi="Tahoma"/>
      <w:sz w:val="18"/>
      <w:szCs w:val="18"/>
    </w:rPr>
  </w:style>
  <w:style w:type="character" w:customStyle="1" w:styleId="10">
    <w:name w:val="标题 1 Char"/>
    <w:basedOn w:val="9"/>
    <w:link w:val="3"/>
    <w:qFormat/>
    <w:uiPriority w:val="0"/>
    <w:rPr>
      <w:rFonts w:ascii="Calibri" w:hAnsi="Calibri" w:eastAsia="宋体" w:cs="Times New Roman"/>
      <w:b/>
      <w:bCs/>
      <w:kern w:val="44"/>
      <w:sz w:val="36"/>
      <w:szCs w:val="44"/>
    </w:rPr>
  </w:style>
  <w:style w:type="character" w:customStyle="1" w:styleId="11">
    <w:name w:val="标题 3 Char"/>
    <w:link w:val="4"/>
    <w:qFormat/>
    <w:uiPriority w:val="0"/>
    <w:rPr>
      <w:rFonts w:ascii="仿宋_GB2312" w:hAnsi="仿宋_GB2312" w:eastAsia="宋体" w:cs="Times New Roman"/>
      <w:sz w:val="28"/>
      <w:szCs w:val="20"/>
    </w:rPr>
  </w:style>
  <w:style w:type="character" w:customStyle="1" w:styleId="12">
    <w:name w:val="标题 2 Char"/>
    <w:link w:val="2"/>
    <w:qFormat/>
    <w:uiPriority w:val="0"/>
    <w:rPr>
      <w:rFonts w:hint="eastAsia" w:ascii="Arial" w:hAnsi="Arial" w:eastAsia="宋体"/>
      <w:kern w:val="2"/>
      <w:sz w:val="28"/>
      <w:szCs w:val="32"/>
      <w:lang w:val="en-US" w:eastAsia="zh-CN" w:bidi="ar-SA"/>
    </w:rPr>
  </w:style>
  <w:style w:type="paragraph" w:customStyle="1" w:styleId="13">
    <w:name w:val="样式5"/>
    <w:basedOn w:val="4"/>
    <w:next w:val="1"/>
    <w:qFormat/>
    <w:uiPriority w:val="0"/>
    <w:pPr>
      <w:spacing w:before="120" w:after="12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2021-03-30T03:32:00Z</dcterms:created>
  <dc:creator>嘉汇志诚招标</dc:creator>
  <cp:lastModifiedBy>嘉汇志诚招标</cp:lastModifiedBy>
  <dcterms:modified xsi:type="dcterms:W3CDTF">2021-03-30T03:33:17Z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