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keepLines/>
        <w:widowControl w:val="0"/>
        <w:numPr>
          <w:numId w:val="0"/>
        </w:numPr>
        <w:autoSpaceDE w:val="0"/>
        <w:autoSpaceDN w:val="0"/>
        <w:adjustRightInd w:val="0"/>
        <w:spacing w:before="120" w:after="120" w:line="300" w:lineRule="auto"/>
        <w:ind w:leftChars="0"/>
        <w:jc w:val="center"/>
        <w:outlineLvl w:val="0"/>
        <w:rPr>
          <w:rFonts w:ascii="宋体" w:hAnsi="宋体" w:eastAsia="宋体" w:cs="宋体"/>
          <w:b/>
          <w:kern w:val="0"/>
          <w:sz w:val="32"/>
          <w:szCs w:val="32"/>
          <w:highlight w:val="none"/>
          <w:lang w:val="en-US" w:eastAsia="zh-CN" w:bidi="ar-SA"/>
        </w:rPr>
      </w:pPr>
      <w:bookmarkStart w:id="0" w:name="_Toc16942"/>
      <w:r>
        <w:rPr>
          <w:rFonts w:hint="eastAsia" w:ascii="宋体" w:hAnsi="宋体" w:eastAsia="宋体" w:cs="宋体"/>
          <w:b/>
          <w:kern w:val="0"/>
          <w:sz w:val="32"/>
          <w:szCs w:val="32"/>
          <w:highlight w:val="none"/>
          <w:lang w:val="en-US" w:eastAsia="zh-CN" w:bidi="ar-SA"/>
        </w:rPr>
        <w:t>项目采购需求</w:t>
      </w:r>
      <w:bookmarkEnd w:id="0"/>
    </w:p>
    <w:p>
      <w:pPr>
        <w:ind w:left="-210" w:firstLine="210" w:firstLineChars="100"/>
        <w:rPr>
          <w:rFonts w:ascii="宋体" w:hAnsi="宋体" w:eastAsia="宋体" w:cs="宋体"/>
          <w:szCs w:val="21"/>
          <w:highlight w:val="none"/>
        </w:rPr>
      </w:pPr>
      <w:bookmarkStart w:id="1" w:name="_Toc15914640"/>
    </w:p>
    <w:p>
      <w:pPr>
        <w:widowControl/>
        <w:adjustRightInd w:val="0"/>
        <w:snapToGrid w:val="0"/>
        <w:spacing w:line="360" w:lineRule="auto"/>
        <w:ind w:firstLine="422" w:firstLineChars="200"/>
        <w:jc w:val="left"/>
        <w:rPr>
          <w:rFonts w:hint="eastAsia" w:ascii="宋体" w:hAnsi="宋体" w:eastAsia="宋体" w:cs="Times New Roman"/>
          <w:b/>
          <w:kern w:val="0"/>
          <w:szCs w:val="21"/>
          <w:highlight w:val="none"/>
          <w:lang w:val="zh-CN"/>
        </w:rPr>
      </w:pPr>
      <w:r>
        <w:rPr>
          <w:rFonts w:hint="eastAsia" w:ascii="宋体" w:hAnsi="宋体" w:eastAsia="宋体" w:cs="Times New Roman"/>
          <w:b/>
          <w:kern w:val="0"/>
          <w:szCs w:val="21"/>
          <w:highlight w:val="none"/>
          <w:lang w:val="zh-CN"/>
        </w:rPr>
        <w:t>注：</w:t>
      </w:r>
      <w:bookmarkStart w:id="2" w:name="_Toc26590"/>
      <w:bookmarkStart w:id="3" w:name="_Toc535832547"/>
      <w:bookmarkStart w:id="4" w:name="_Toc162164501"/>
      <w:r>
        <w:rPr>
          <w:rFonts w:hint="eastAsia" w:ascii="宋体" w:hAnsi="宋体" w:eastAsia="宋体" w:cs="Times New Roman"/>
          <w:b/>
          <w:kern w:val="0"/>
          <w:szCs w:val="21"/>
          <w:highlight w:val="none"/>
          <w:lang w:val="zh-CN"/>
        </w:rPr>
        <w:t>本章中标★为实质性要求，投标人须在</w:t>
      </w:r>
      <w:bookmarkStart w:id="31" w:name="_GoBack"/>
      <w:bookmarkEnd w:id="31"/>
      <w:r>
        <w:rPr>
          <w:rFonts w:hint="eastAsia" w:ascii="宋体" w:hAnsi="宋体" w:eastAsia="宋体" w:cs="Times New Roman"/>
          <w:b/>
          <w:kern w:val="0"/>
          <w:szCs w:val="21"/>
          <w:highlight w:val="none"/>
          <w:lang w:val="zh-CN"/>
        </w:rPr>
        <w:t>其</w:t>
      </w:r>
      <w:r>
        <w:rPr>
          <w:rFonts w:hint="eastAsia" w:ascii="宋体" w:hAnsi="宋体" w:eastAsia="宋体" w:cs="Times New Roman"/>
          <w:b/>
          <w:kern w:val="0"/>
          <w:szCs w:val="21"/>
          <w:highlight w:val="none"/>
        </w:rPr>
        <w:t>投标</w:t>
      </w:r>
      <w:r>
        <w:rPr>
          <w:rFonts w:hint="eastAsia" w:ascii="宋体" w:hAnsi="宋体" w:eastAsia="宋体" w:cs="Times New Roman"/>
          <w:b/>
          <w:kern w:val="0"/>
          <w:szCs w:val="21"/>
          <w:highlight w:val="none"/>
          <w:lang w:val="zh-CN"/>
        </w:rPr>
        <w:t>文件中提供相应承诺（另有要求的从其要求），对相关要求进行响应。响应不满足的，作无效投标处理。</w:t>
      </w:r>
      <w:bookmarkEnd w:id="2"/>
      <w:bookmarkEnd w:id="3"/>
      <w:bookmarkEnd w:id="4"/>
    </w:p>
    <w:p>
      <w:pPr>
        <w:spacing w:line="360" w:lineRule="auto"/>
        <w:ind w:firstLine="482" w:firstLineChars="200"/>
        <w:outlineLvl w:val="1"/>
        <w:rPr>
          <w:rFonts w:hint="eastAsia" w:ascii="宋体" w:hAnsi="宋体" w:eastAsia="宋体" w:cs="宋体"/>
          <w:color w:val="auto"/>
          <w:kern w:val="0"/>
          <w:sz w:val="24"/>
          <w:szCs w:val="24"/>
          <w:highlight w:val="none"/>
        </w:rPr>
      </w:pPr>
      <w:bookmarkStart w:id="5" w:name="_Toc18714"/>
      <w:bookmarkStart w:id="6" w:name="_Toc4563"/>
      <w:r>
        <w:rPr>
          <w:rFonts w:hint="eastAsia" w:ascii="宋体" w:hAnsi="宋体" w:eastAsia="宋体" w:cs="宋体"/>
          <w:b/>
          <w:bCs/>
          <w:color w:val="auto"/>
          <w:kern w:val="0"/>
          <w:sz w:val="24"/>
          <w:szCs w:val="24"/>
          <w:highlight w:val="none"/>
        </w:rPr>
        <w:t>一、</w:t>
      </w:r>
      <w:r>
        <w:rPr>
          <w:rFonts w:hint="eastAsia" w:ascii="宋体" w:hAnsi="宋体" w:eastAsia="宋体" w:cs="宋体"/>
          <w:b/>
          <w:bCs/>
          <w:color w:val="auto"/>
          <w:kern w:val="0"/>
          <w:sz w:val="24"/>
          <w:szCs w:val="24"/>
          <w:highlight w:val="none"/>
          <w:lang w:bidi="ar"/>
        </w:rPr>
        <w:t>项目概况</w:t>
      </w:r>
      <w:bookmarkEnd w:id="5"/>
      <w:bookmarkEnd w:id="6"/>
      <w:r>
        <w:rPr>
          <w:rFonts w:hint="eastAsia" w:ascii="宋体" w:hAnsi="宋体" w:eastAsia="宋体" w:cs="宋体"/>
          <w:color w:val="auto"/>
          <w:kern w:val="0"/>
          <w:sz w:val="24"/>
          <w:szCs w:val="24"/>
          <w:highlight w:val="none"/>
          <w:lang w:bidi="ar"/>
        </w:rPr>
        <w:t xml:space="preserve"> </w:t>
      </w:r>
    </w:p>
    <w:p>
      <w:pPr>
        <w:adjustRightInd w:val="0"/>
        <w:snapToGrid w:val="0"/>
        <w:spacing w:line="360" w:lineRule="auto"/>
        <w:ind w:firstLine="480" w:firstLineChars="200"/>
        <w:jc w:val="left"/>
        <w:textAlignment w:val="baseline"/>
        <w:rPr>
          <w:rFonts w:hint="eastAsia" w:ascii="宋体" w:hAnsi="宋体" w:eastAsia="宋体" w:cs="宋体"/>
          <w:color w:val="auto"/>
          <w:kern w:val="2"/>
          <w:sz w:val="24"/>
          <w:szCs w:val="24"/>
          <w:highlight w:val="none"/>
        </w:rPr>
      </w:pPr>
      <w:bookmarkStart w:id="7" w:name="_Toc20018"/>
      <w:r>
        <w:rPr>
          <w:rFonts w:hint="eastAsia" w:ascii="宋体" w:hAnsi="宋体" w:eastAsia="宋体" w:cs="宋体"/>
          <w:color w:val="auto"/>
          <w:kern w:val="2"/>
          <w:sz w:val="24"/>
          <w:szCs w:val="24"/>
          <w:highlight w:val="none"/>
        </w:rPr>
        <w:t>为中南民族大学选择合适的企业年金基金受托管理人，受托管理人根据中南民族大学对企业年金管理的相关要求和风险承受能力，选择合适的账户管理人、托管人、投资管理人和投资产品，以保证企业年金基金的安全性和收益性。本项目年金计划采用集合计划管理运作。</w:t>
      </w:r>
    </w:p>
    <w:p>
      <w:pPr>
        <w:adjustRightInd w:val="0"/>
        <w:snapToGrid w:val="0"/>
        <w:spacing w:line="360" w:lineRule="auto"/>
        <w:ind w:firstLine="482" w:firstLineChars="200"/>
        <w:jc w:val="left"/>
        <w:textAlignment w:val="baseline"/>
        <w:outlineLvl w:val="1"/>
        <w:rPr>
          <w:rFonts w:hint="eastAsia" w:ascii="宋体" w:hAnsi="宋体" w:eastAsia="宋体" w:cs="宋体"/>
          <w:color w:val="auto"/>
          <w:kern w:val="2"/>
          <w:sz w:val="24"/>
          <w:szCs w:val="24"/>
          <w:highlight w:val="none"/>
        </w:rPr>
      </w:pPr>
      <w:bookmarkStart w:id="8" w:name="_Toc12010"/>
      <w:r>
        <w:rPr>
          <w:rFonts w:hint="eastAsia" w:ascii="宋体" w:hAnsi="宋体" w:eastAsia="宋体" w:cs="宋体"/>
          <w:b/>
          <w:bCs/>
          <w:color w:val="auto"/>
          <w:kern w:val="2"/>
          <w:sz w:val="24"/>
          <w:szCs w:val="24"/>
          <w:highlight w:val="none"/>
        </w:rPr>
        <w:t>二、主要标的</w:t>
      </w:r>
      <w:bookmarkEnd w:id="8"/>
    </w:p>
    <w:tbl>
      <w:tblPr>
        <w:tblStyle w:val="3"/>
        <w:tblW w:w="41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8"/>
        <w:gridCol w:w="3055"/>
        <w:gridCol w:w="28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39"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1"/>
              <w:rPr>
                <w:rFonts w:hint="eastAsia" w:ascii="宋体" w:hAnsi="宋体" w:eastAsia="宋体" w:cs="宋体"/>
                <w:b/>
                <w:bCs/>
                <w:color w:val="auto"/>
                <w:kern w:val="2"/>
                <w:sz w:val="24"/>
                <w:szCs w:val="24"/>
                <w:highlight w:val="none"/>
                <w:vertAlign w:val="baseline"/>
                <w:lang w:val="en-US" w:eastAsia="zh-CN"/>
              </w:rPr>
            </w:pPr>
            <w:bookmarkStart w:id="9" w:name="_Toc269"/>
            <w:bookmarkStart w:id="10" w:name="_Toc3949"/>
            <w:r>
              <w:rPr>
                <w:rFonts w:hint="eastAsia" w:ascii="宋体" w:hAnsi="宋体" w:eastAsia="宋体" w:cs="宋体"/>
                <w:b/>
                <w:bCs/>
                <w:color w:val="auto"/>
                <w:kern w:val="2"/>
                <w:sz w:val="24"/>
                <w:szCs w:val="24"/>
                <w:highlight w:val="none"/>
                <w:vertAlign w:val="baseline"/>
                <w:lang w:val="en-US" w:eastAsia="zh-CN"/>
              </w:rPr>
              <w:t>序号</w:t>
            </w:r>
            <w:bookmarkEnd w:id="9"/>
            <w:bookmarkEnd w:id="10"/>
          </w:p>
        </w:tc>
        <w:tc>
          <w:tcPr>
            <w:tcW w:w="2139"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1"/>
              <w:rPr>
                <w:rFonts w:hint="eastAsia" w:ascii="宋体" w:hAnsi="宋体" w:eastAsia="宋体" w:cs="宋体"/>
                <w:b/>
                <w:bCs/>
                <w:color w:val="auto"/>
                <w:kern w:val="2"/>
                <w:sz w:val="24"/>
                <w:szCs w:val="24"/>
                <w:highlight w:val="none"/>
                <w:vertAlign w:val="baseline"/>
                <w:lang w:val="en-US" w:eastAsia="zh-CN"/>
              </w:rPr>
            </w:pPr>
            <w:bookmarkStart w:id="11" w:name="_Toc14497"/>
            <w:bookmarkStart w:id="12" w:name="_Toc29437"/>
            <w:r>
              <w:rPr>
                <w:rFonts w:hint="eastAsia" w:ascii="宋体" w:hAnsi="宋体" w:eastAsia="宋体" w:cs="宋体"/>
                <w:b/>
                <w:bCs/>
                <w:color w:val="auto"/>
                <w:kern w:val="2"/>
                <w:sz w:val="24"/>
                <w:szCs w:val="24"/>
                <w:highlight w:val="none"/>
                <w:vertAlign w:val="baseline"/>
                <w:lang w:val="en-US" w:eastAsia="zh-CN"/>
              </w:rPr>
              <w:t>名称</w:t>
            </w:r>
            <w:bookmarkEnd w:id="11"/>
            <w:bookmarkEnd w:id="12"/>
          </w:p>
        </w:tc>
        <w:tc>
          <w:tcPr>
            <w:tcW w:w="2020"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1"/>
              <w:rPr>
                <w:rFonts w:hint="eastAsia" w:ascii="宋体" w:hAnsi="宋体" w:eastAsia="宋体" w:cs="宋体"/>
                <w:b/>
                <w:bCs/>
                <w:color w:val="auto"/>
                <w:kern w:val="2"/>
                <w:sz w:val="24"/>
                <w:szCs w:val="24"/>
                <w:highlight w:val="none"/>
                <w:vertAlign w:val="baseline"/>
                <w:lang w:val="en-US" w:eastAsia="zh-CN"/>
              </w:rPr>
            </w:pPr>
            <w:bookmarkStart w:id="13" w:name="_Toc18265"/>
            <w:bookmarkStart w:id="14" w:name="_Toc18480"/>
            <w:r>
              <w:rPr>
                <w:rFonts w:hint="eastAsia" w:ascii="宋体" w:hAnsi="宋体" w:eastAsia="宋体" w:cs="宋体"/>
                <w:b/>
                <w:bCs/>
                <w:color w:val="auto"/>
                <w:kern w:val="2"/>
                <w:sz w:val="24"/>
                <w:szCs w:val="24"/>
                <w:highlight w:val="none"/>
                <w:vertAlign w:val="baseline"/>
                <w:lang w:val="en-US" w:eastAsia="zh-CN"/>
              </w:rPr>
              <w:t>规模</w:t>
            </w:r>
            <w:bookmarkEnd w:id="13"/>
            <w:bookmarkEnd w:id="1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39"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1"/>
              <w:rPr>
                <w:rFonts w:hint="eastAsia" w:ascii="宋体" w:hAnsi="宋体" w:eastAsia="宋体" w:cs="宋体"/>
                <w:b w:val="0"/>
                <w:bCs w:val="0"/>
                <w:color w:val="auto"/>
                <w:kern w:val="2"/>
                <w:sz w:val="24"/>
                <w:szCs w:val="24"/>
                <w:highlight w:val="none"/>
                <w:vertAlign w:val="baseline"/>
                <w:lang w:val="en-US" w:eastAsia="zh-CN"/>
              </w:rPr>
            </w:pPr>
            <w:bookmarkStart w:id="15" w:name="_Toc3780"/>
            <w:bookmarkStart w:id="16" w:name="_Toc23392"/>
            <w:r>
              <w:rPr>
                <w:rFonts w:hint="eastAsia" w:ascii="宋体" w:hAnsi="宋体" w:eastAsia="宋体" w:cs="宋体"/>
                <w:b w:val="0"/>
                <w:bCs w:val="0"/>
                <w:color w:val="auto"/>
                <w:kern w:val="2"/>
                <w:sz w:val="24"/>
                <w:szCs w:val="24"/>
                <w:highlight w:val="none"/>
                <w:vertAlign w:val="baseline"/>
                <w:lang w:val="en-US" w:eastAsia="zh-CN"/>
              </w:rPr>
              <w:t>1</w:t>
            </w:r>
            <w:bookmarkEnd w:id="15"/>
            <w:bookmarkEnd w:id="16"/>
          </w:p>
        </w:tc>
        <w:tc>
          <w:tcPr>
            <w:tcW w:w="2139"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1"/>
              <w:rPr>
                <w:rFonts w:hint="eastAsia" w:ascii="宋体" w:hAnsi="宋体" w:eastAsia="宋体" w:cs="宋体"/>
                <w:b w:val="0"/>
                <w:bCs w:val="0"/>
                <w:color w:val="auto"/>
                <w:kern w:val="2"/>
                <w:sz w:val="24"/>
                <w:szCs w:val="24"/>
                <w:highlight w:val="none"/>
                <w:vertAlign w:val="baseline"/>
                <w:lang w:val="en-US" w:eastAsia="zh-CN"/>
              </w:rPr>
            </w:pPr>
            <w:bookmarkStart w:id="17" w:name="_Toc29217"/>
            <w:bookmarkStart w:id="18" w:name="_Toc25083"/>
            <w:r>
              <w:rPr>
                <w:rFonts w:hint="eastAsia" w:ascii="宋体" w:hAnsi="宋体" w:eastAsia="宋体" w:cs="宋体"/>
                <w:kern w:val="2"/>
                <w:sz w:val="24"/>
                <w:szCs w:val="24"/>
                <w:highlight w:val="none"/>
              </w:rPr>
              <w:t>企业年金年度缴费规模</w:t>
            </w:r>
            <w:bookmarkEnd w:id="17"/>
            <w:bookmarkEnd w:id="18"/>
          </w:p>
        </w:tc>
        <w:tc>
          <w:tcPr>
            <w:tcW w:w="2020"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1"/>
              <w:rPr>
                <w:rFonts w:hint="eastAsia" w:ascii="宋体" w:hAnsi="宋体" w:eastAsia="宋体" w:cs="宋体"/>
                <w:b w:val="0"/>
                <w:bCs w:val="0"/>
                <w:color w:val="auto"/>
                <w:kern w:val="2"/>
                <w:sz w:val="24"/>
                <w:szCs w:val="24"/>
                <w:highlight w:val="none"/>
                <w:vertAlign w:val="baseline"/>
                <w:lang w:val="en-US" w:eastAsia="zh-CN"/>
              </w:rPr>
            </w:pPr>
            <w:bookmarkStart w:id="19" w:name="_Toc8035"/>
            <w:bookmarkStart w:id="20" w:name="_Toc25309"/>
            <w:r>
              <w:rPr>
                <w:rFonts w:hint="eastAsia" w:ascii="宋体" w:hAnsi="宋体" w:eastAsia="宋体" w:cs="宋体"/>
                <w:kern w:val="2"/>
                <w:sz w:val="24"/>
                <w:szCs w:val="24"/>
                <w:highlight w:val="none"/>
              </w:rPr>
              <w:t>960万元</w:t>
            </w:r>
            <w:bookmarkEnd w:id="19"/>
            <w:bookmarkEnd w:id="2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39"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1"/>
              <w:rPr>
                <w:rFonts w:hint="eastAsia" w:ascii="宋体" w:hAnsi="宋体" w:eastAsia="宋体" w:cs="宋体"/>
                <w:b w:val="0"/>
                <w:bCs w:val="0"/>
                <w:color w:val="auto"/>
                <w:kern w:val="2"/>
                <w:sz w:val="24"/>
                <w:szCs w:val="24"/>
                <w:highlight w:val="none"/>
                <w:vertAlign w:val="baseline"/>
                <w:lang w:val="en-US" w:eastAsia="zh-CN"/>
              </w:rPr>
            </w:pPr>
            <w:bookmarkStart w:id="21" w:name="_Toc26546"/>
            <w:bookmarkStart w:id="22" w:name="_Toc16352"/>
            <w:r>
              <w:rPr>
                <w:rFonts w:hint="eastAsia" w:ascii="宋体" w:hAnsi="宋体" w:eastAsia="宋体" w:cs="宋体"/>
                <w:b w:val="0"/>
                <w:bCs w:val="0"/>
                <w:color w:val="auto"/>
                <w:kern w:val="2"/>
                <w:sz w:val="24"/>
                <w:szCs w:val="24"/>
                <w:highlight w:val="none"/>
                <w:vertAlign w:val="baseline"/>
                <w:lang w:val="en-US" w:eastAsia="zh-CN"/>
              </w:rPr>
              <w:t>2</w:t>
            </w:r>
            <w:bookmarkEnd w:id="21"/>
            <w:bookmarkEnd w:id="22"/>
          </w:p>
        </w:tc>
        <w:tc>
          <w:tcPr>
            <w:tcW w:w="2139"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1"/>
              <w:rPr>
                <w:rFonts w:hint="eastAsia" w:ascii="宋体" w:hAnsi="宋体" w:eastAsia="宋体" w:cs="宋体"/>
                <w:b w:val="0"/>
                <w:bCs w:val="0"/>
                <w:color w:val="auto"/>
                <w:kern w:val="2"/>
                <w:sz w:val="24"/>
                <w:szCs w:val="24"/>
                <w:highlight w:val="none"/>
                <w:vertAlign w:val="baseline"/>
                <w:lang w:val="en-US" w:eastAsia="zh-CN"/>
              </w:rPr>
            </w:pPr>
            <w:bookmarkStart w:id="23" w:name="_Toc23585"/>
            <w:bookmarkStart w:id="24" w:name="_Toc28834"/>
            <w:r>
              <w:rPr>
                <w:rFonts w:hint="eastAsia" w:ascii="宋体" w:hAnsi="宋体" w:eastAsia="宋体" w:cs="宋体"/>
                <w:kern w:val="2"/>
                <w:sz w:val="24"/>
                <w:szCs w:val="24"/>
                <w:highlight w:val="none"/>
              </w:rPr>
              <w:t>企业年金补缴</w:t>
            </w:r>
            <w:bookmarkEnd w:id="23"/>
            <w:bookmarkEnd w:id="24"/>
          </w:p>
        </w:tc>
        <w:tc>
          <w:tcPr>
            <w:tcW w:w="2020"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1"/>
              <w:rPr>
                <w:rFonts w:hint="eastAsia" w:ascii="宋体" w:hAnsi="宋体" w:eastAsia="宋体" w:cs="宋体"/>
                <w:b w:val="0"/>
                <w:bCs w:val="0"/>
                <w:color w:val="auto"/>
                <w:kern w:val="2"/>
                <w:sz w:val="24"/>
                <w:szCs w:val="24"/>
                <w:highlight w:val="none"/>
                <w:vertAlign w:val="baseline"/>
                <w:lang w:val="en-US" w:eastAsia="zh-CN"/>
              </w:rPr>
            </w:pPr>
            <w:bookmarkStart w:id="25" w:name="_Toc27122"/>
            <w:bookmarkStart w:id="26" w:name="_Toc18087"/>
            <w:r>
              <w:rPr>
                <w:rFonts w:hint="eastAsia" w:ascii="宋体" w:hAnsi="宋体" w:eastAsia="宋体" w:cs="宋体"/>
                <w:kern w:val="2"/>
                <w:sz w:val="24"/>
                <w:szCs w:val="24"/>
                <w:highlight w:val="none"/>
              </w:rPr>
              <w:t>7000万元</w:t>
            </w:r>
            <w:bookmarkEnd w:id="25"/>
            <w:bookmarkEnd w:id="26"/>
          </w:p>
        </w:tc>
      </w:tr>
    </w:tbl>
    <w:p>
      <w:pPr>
        <w:spacing w:line="360" w:lineRule="auto"/>
        <w:ind w:firstLine="482" w:firstLineChars="200"/>
        <w:outlineLvl w:val="9"/>
        <w:rPr>
          <w:rFonts w:hint="eastAsia" w:ascii="宋体" w:hAnsi="宋体" w:eastAsia="宋体" w:cs="宋体"/>
          <w:b/>
          <w:bCs/>
          <w:color w:val="auto"/>
          <w:kern w:val="0"/>
          <w:sz w:val="24"/>
          <w:szCs w:val="24"/>
          <w:highlight w:val="none"/>
          <w:lang w:val="en-US" w:eastAsia="zh-CN"/>
        </w:rPr>
      </w:pPr>
    </w:p>
    <w:p>
      <w:pPr>
        <w:spacing w:line="360" w:lineRule="auto"/>
        <w:ind w:firstLine="482" w:firstLineChars="200"/>
        <w:outlineLvl w:val="1"/>
        <w:rPr>
          <w:rFonts w:hint="eastAsia" w:ascii="宋体" w:hAnsi="宋体" w:eastAsia="宋体" w:cs="宋体"/>
          <w:b/>
          <w:bCs/>
          <w:color w:val="auto"/>
          <w:kern w:val="0"/>
          <w:sz w:val="24"/>
          <w:szCs w:val="24"/>
          <w:highlight w:val="none"/>
          <w:lang w:eastAsia="zh-CN"/>
        </w:rPr>
      </w:pPr>
      <w:bookmarkStart w:id="27" w:name="_Toc3239"/>
      <w:r>
        <w:rPr>
          <w:rFonts w:hint="eastAsia" w:ascii="宋体" w:hAnsi="宋体" w:eastAsia="宋体" w:cs="宋体"/>
          <w:b/>
          <w:bCs/>
          <w:color w:val="auto"/>
          <w:kern w:val="0"/>
          <w:sz w:val="24"/>
          <w:szCs w:val="24"/>
          <w:highlight w:val="none"/>
          <w:lang w:val="en-US" w:eastAsia="zh-CN"/>
        </w:rPr>
        <w:t>三</w:t>
      </w: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技术</w:t>
      </w:r>
      <w:r>
        <w:rPr>
          <w:rFonts w:hint="eastAsia" w:ascii="宋体" w:hAnsi="宋体" w:eastAsia="宋体" w:cs="宋体"/>
          <w:b/>
          <w:bCs/>
          <w:color w:val="auto"/>
          <w:kern w:val="0"/>
          <w:sz w:val="24"/>
          <w:szCs w:val="24"/>
          <w:highlight w:val="none"/>
        </w:rPr>
        <w:t>要求</w:t>
      </w:r>
      <w:bookmarkEnd w:id="7"/>
      <w:bookmarkEnd w:id="27"/>
    </w:p>
    <w:p>
      <w:pPr>
        <w:keepNext w:val="0"/>
        <w:keepLines w:val="0"/>
        <w:pageBreakBefore w:val="0"/>
        <w:widowControl w:val="0"/>
        <w:kinsoku/>
        <w:wordWrap/>
        <w:overflowPunct/>
        <w:topLinePunct w:val="0"/>
        <w:autoSpaceDE/>
        <w:autoSpaceDN/>
        <w:bidi w:val="0"/>
        <w:snapToGrid/>
        <w:spacing w:line="360" w:lineRule="auto"/>
        <w:ind w:firstLine="482"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（一）：企业年金缴费支出</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1、应遵守的规章制度：</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（1）《企业年金办法》（2017年12月18日人力资源社会保障部令第36号公布，自2018 年2月1日起施行）。</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（2）《企业年金基金管理办法》 （2011年2月12日人力资源社会保障部、银监会、证监会、保监会令第11号公布，自 2011年5月1日起施行）。</w:t>
      </w:r>
    </w:p>
    <w:p>
      <w:pPr>
        <w:keepNext w:val="0"/>
        <w:keepLines w:val="0"/>
        <w:pageBreakBefore w:val="0"/>
        <w:widowControl w:val="0"/>
        <w:numPr>
          <w:ilvl w:val="0"/>
          <w:numId w:val="1"/>
        </w:numPr>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湖北省人力资源和社会保障厅等8部门关于进一步推进我省企业年金发展的指导意见(鄂人社发[2024]42号）</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（4）国务院、省、市、地方相关规章制度。</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2、职责要求：</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作为企业年金计划的受托人，负责与账户管理人、托管人、投资管理人分别签订委托管理合同，并根据需要将受托管理合同和委托管理合同报有关部门备案。应当履行下列职责：</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（1）选择、监督、更换账户管理人、托管人、投资管理人；</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（2）制定企业年金基金战略资产配置策略，应在控制风险、确保安全的前提下，保证企业年金基金得到稳健收益，并确保企业年金基金信息报告披露规范、及时。</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为招标人建立完善的风险控制体系，对企业年金基金管理进行监督，通过建立个人账户，记录单位缴费、个人缴费信息以及企业年金基金投资收益信息，接受委托人查询，定期向委托人提交企业年金基金管理和财务会计报告。发生重大事件时，及时向委托人和有关监管部门报告；定期向有关监管部门提交开展企业年金基金受托管理业务情况的报告，同时提供账户查询服务。</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（4）企保参保过渡人员社会保险和企业年金缴费。</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（5）按照国家规定保存与企业年金基金管理有关的记录自合同终止之日起至少15年；</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（6）国家规定和合同约定的其他职责。</w:t>
      </w:r>
    </w:p>
    <w:p>
      <w:pPr>
        <w:keepNext w:val="0"/>
        <w:keepLines w:val="0"/>
        <w:pageBreakBefore w:val="0"/>
        <w:widowControl w:val="0"/>
        <w:kinsoku/>
        <w:wordWrap/>
        <w:overflowPunct/>
        <w:topLinePunct w:val="0"/>
        <w:autoSpaceDE/>
        <w:autoSpaceDN/>
        <w:bidi w:val="0"/>
        <w:snapToGrid/>
        <w:spacing w:line="360" w:lineRule="auto"/>
        <w:ind w:firstLine="482" w:firstLineChars="200"/>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（二）：企业年金补缴</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1、应遵守的规章制度：</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（1）《企业年金办法》（2017年12月18日人力资源社会保障部令第36号公布，自2018 年2月1日起施行）。</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（2）《企业年金基金管理办法》 （2011年2月12日人力资源社会保障部、银监会、证监会、保监会令第11号公布，自 2011年5月1日起施行）。</w:t>
      </w:r>
    </w:p>
    <w:p>
      <w:pPr>
        <w:keepNext w:val="0"/>
        <w:keepLines w:val="0"/>
        <w:pageBreakBefore w:val="0"/>
        <w:widowControl w:val="0"/>
        <w:numPr>
          <w:ilvl w:val="0"/>
          <w:numId w:val="1"/>
        </w:numPr>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湖北省人力资源和社会保障厅等8部门关于进一步推进我省企业年金发展的指导意见(鄂人社发[2024]42号）</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（4）国务院、省、市、地方相关规章制度。</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2、职责要求：</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作为企业年金计划的受托人，负责与账户管理人、托管人、投资管理人分别签订委托管理合同，并根据需要将受托管理合同和委托管理合同报有关部门备案。应当履行下列职责：</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（1）选择、监督、更换账户管理人、托管人、投资管理人；</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（2）制定企业年金基金战略资产配置策略，应在控制风险、确保安全的前提下，保证企业年金基金得到稳健收益，并确保企业年金基金信息报告披露规范、及时。</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为招标人建立完善的风险控制体系，对企业年金基金管理进行监督，通过建立个人账户，记录单位缴费、个人缴费信息以及企业年金基金投资收益信息，接受委托人查询，定期向委托人提交企业年金基金管理和财务会计报告。发生重大事件时，及时向委托人和有关监管部门报告；定期向有关监管部门提交开展企业年金基金受托管理业务情况的报告，同时提供账户查询服务。</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（4）改革过渡期企保参保职工企业年金的补缴。</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（5）按照国家规定保存与企业年金基金管理有关的记录自合同终止之日起至少15年；</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（6）国家规定和合同约定的其他职责。</w:t>
      </w:r>
    </w:p>
    <w:p>
      <w:pPr>
        <w:keepNext w:val="0"/>
        <w:keepLines w:val="0"/>
        <w:pageBreakBefore w:val="0"/>
        <w:widowControl w:val="0"/>
        <w:numPr>
          <w:ilvl w:val="0"/>
          <w:numId w:val="0"/>
        </w:numPr>
        <w:kinsoku/>
        <w:wordWrap/>
        <w:overflowPunct/>
        <w:topLinePunct w:val="0"/>
        <w:autoSpaceDE/>
        <w:autoSpaceDN/>
        <w:bidi w:val="0"/>
        <w:snapToGrid/>
        <w:spacing w:line="360" w:lineRule="auto"/>
        <w:ind w:firstLine="482" w:firstLineChars="200"/>
        <w:rPr>
          <w:rFonts w:hint="eastAsia" w:ascii="宋体" w:hAnsi="宋体" w:eastAsia="宋体" w:cs="宋体"/>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val="en-US" w:eastAsia="zh-CN" w:bidi="ar-SA"/>
        </w:rPr>
        <w:t>四、</w:t>
      </w:r>
      <w:r>
        <w:rPr>
          <w:rFonts w:hint="eastAsia" w:ascii="宋体" w:hAnsi="宋体" w:eastAsia="宋体" w:cs="宋体"/>
          <w:b/>
          <w:bCs/>
          <w:color w:val="auto"/>
          <w:kern w:val="2"/>
          <w:sz w:val="24"/>
          <w:szCs w:val="24"/>
          <w:highlight w:val="none"/>
          <w:lang w:val="en-US" w:eastAsia="zh-CN"/>
        </w:rPr>
        <w:t>商务要求</w:t>
      </w:r>
    </w:p>
    <w:p>
      <w:pPr>
        <w:keepNext w:val="0"/>
        <w:keepLines w:val="0"/>
        <w:pageBreakBefore w:val="0"/>
        <w:widowControl w:val="0"/>
        <w:kinsoku/>
        <w:wordWrap/>
        <w:overflowPunct/>
        <w:topLinePunct w:val="0"/>
        <w:autoSpaceDE/>
        <w:autoSpaceDN/>
        <w:bidi w:val="0"/>
        <w:snapToGrid/>
        <w:spacing w:line="360" w:lineRule="auto"/>
        <w:ind w:firstLine="482" w:firstLineChars="200"/>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★1、合同履约期限（服务期）：合同签订后三年；合同期限截止日一个月前，中南民族大学对受托管理人进行考核，考核合格后可续签下一年的合同，最多续签两次。</w:t>
      </w:r>
    </w:p>
    <w:p>
      <w:pPr>
        <w:keepNext w:val="0"/>
        <w:keepLines w:val="0"/>
        <w:pageBreakBefore w:val="0"/>
        <w:widowControl w:val="0"/>
        <w:kinsoku/>
        <w:wordWrap/>
        <w:overflowPunct/>
        <w:topLinePunct w:val="0"/>
        <w:autoSpaceDE/>
        <w:autoSpaceDN/>
        <w:bidi w:val="0"/>
        <w:snapToGrid/>
        <w:spacing w:line="360" w:lineRule="auto"/>
        <w:ind w:firstLine="482" w:firstLineChars="200"/>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★2、报价要求：根据《企业年金基金管理办法》第七章收益分配及费用“第五十五条”、“ 第五十六条”、“ 第五十七条”、“ 第五十八条” 的规定，本项目须提供受托人、账户管理人、托管人、投资管理人四项管理费的报价。根据中南民族大学企业年金年缴费额（包含前期补缴）约为8000万元，年金参加人员约600人进行测算。</w:t>
      </w:r>
    </w:p>
    <w:p>
      <w:pPr>
        <w:keepNext w:val="0"/>
        <w:keepLines w:val="0"/>
        <w:pageBreakBefore w:val="0"/>
        <w:widowControl w:val="0"/>
        <w:kinsoku/>
        <w:wordWrap/>
        <w:overflowPunct/>
        <w:topLinePunct w:val="0"/>
        <w:autoSpaceDE/>
        <w:autoSpaceDN/>
        <w:bidi w:val="0"/>
        <w:snapToGrid/>
        <w:spacing w:line="360" w:lineRule="auto"/>
        <w:ind w:firstLine="482" w:firstLineChars="200"/>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★3、项目最高限价：企业年金受托人和托管人提取的管理费均不得高于企业年金基金净值的1.5‰，投资管理人提取的管理费不得高于企业年金基金净值的6‰，账户管理费每户每月不超过1.5元</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不得0元报价</w:t>
      </w:r>
      <w:r>
        <w:rPr>
          <w:rFonts w:hint="eastAsia" w:ascii="宋体" w:hAnsi="宋体" w:eastAsia="宋体" w:cs="宋体"/>
          <w:b/>
          <w:bCs/>
          <w:sz w:val="24"/>
          <w:szCs w:val="24"/>
          <w:highlight w:val="none"/>
          <w:lang w:eastAsia="zh-CN"/>
        </w:rPr>
        <w:t>）</w:t>
      </w:r>
      <w:r>
        <w:rPr>
          <w:rFonts w:hint="eastAsia" w:ascii="宋体" w:hAnsi="宋体" w:eastAsia="宋体" w:cs="宋体"/>
          <w:b/>
          <w:bCs/>
          <w:color w:val="auto"/>
          <w:kern w:val="0"/>
          <w:sz w:val="24"/>
          <w:szCs w:val="24"/>
          <w:highlight w:val="none"/>
          <w:lang w:val="en-US" w:eastAsia="zh-CN"/>
        </w:rPr>
        <w:t>。</w:t>
      </w:r>
    </w:p>
    <w:p>
      <w:pPr>
        <w:keepNext w:val="0"/>
        <w:keepLines w:val="0"/>
        <w:pageBreakBefore w:val="0"/>
        <w:widowControl w:val="0"/>
        <w:kinsoku/>
        <w:wordWrap/>
        <w:overflowPunct/>
        <w:topLinePunct w:val="0"/>
        <w:autoSpaceDE/>
        <w:autoSpaceDN/>
        <w:bidi w:val="0"/>
        <w:snapToGrid/>
        <w:spacing w:line="360" w:lineRule="auto"/>
        <w:ind w:firstLine="482" w:firstLineChars="200"/>
        <w:rPr>
          <w:rFonts w:hint="eastAsia" w:ascii="宋体" w:hAnsi="宋体" w:eastAsia="宋体" w:cs="宋体"/>
          <w:b/>
          <w:bCs/>
          <w:color w:val="auto"/>
          <w:kern w:val="0"/>
          <w:sz w:val="24"/>
          <w:szCs w:val="24"/>
          <w:highlight w:val="none"/>
          <w:lang w:val="en-US" w:eastAsia="zh-CN"/>
        </w:rPr>
      </w:pPr>
      <w:bookmarkStart w:id="28" w:name="OLE_LINK3"/>
      <w:r>
        <w:rPr>
          <w:rFonts w:hint="eastAsia" w:ascii="宋体" w:hAnsi="宋体" w:eastAsia="宋体" w:cs="宋体"/>
          <w:b/>
          <w:bCs/>
          <w:color w:val="auto"/>
          <w:kern w:val="0"/>
          <w:sz w:val="24"/>
          <w:szCs w:val="24"/>
          <w:highlight w:val="none"/>
          <w:lang w:val="en-US" w:eastAsia="zh-CN"/>
        </w:rPr>
        <w:t>★</w:t>
      </w:r>
      <w:bookmarkEnd w:id="28"/>
      <w:r>
        <w:rPr>
          <w:rFonts w:hint="eastAsia" w:ascii="宋体" w:hAnsi="宋体" w:eastAsia="宋体" w:cs="宋体"/>
          <w:b/>
          <w:bCs/>
          <w:color w:val="auto"/>
          <w:kern w:val="0"/>
          <w:sz w:val="24"/>
          <w:szCs w:val="24"/>
          <w:highlight w:val="none"/>
          <w:lang w:val="en-US" w:eastAsia="zh-CN"/>
        </w:rPr>
        <w:t>4、投标人报价须符合《企业年金基金管理办法》与《企业年金基金管理机构基本服务和收费标准行业自律公约》规定。（提供承诺函，未提供视为无效响应）。</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★5、投资管理人年度管理费应按权益类组合报价。</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w:t>
      </w:r>
      <w:bookmarkStart w:id="29" w:name="OLE_LINK24"/>
      <w:r>
        <w:rPr>
          <w:rFonts w:hint="eastAsia" w:ascii="宋体" w:hAnsi="宋体" w:eastAsia="宋体" w:cs="宋体"/>
          <w:color w:val="auto"/>
          <w:kern w:val="0"/>
          <w:sz w:val="24"/>
          <w:szCs w:val="24"/>
          <w:highlight w:val="none"/>
          <w:lang w:val="en-US" w:eastAsia="zh-CN"/>
        </w:rPr>
        <w:t>付款方式：根据《企业年金基金管理办法》第七章收益分配及费用的规定，按照投标人投标报价的中标费率或金额进行管理费支付。（提供承诺函，未提供视为无效响应）。</w:t>
      </w:r>
      <w:bookmarkEnd w:id="29"/>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7、投标人应提供总体服务方案、主要包含日常运营服务、计划信息披露服务、年金信息化系统建设、战略资产配置策略、年金计划转移。</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8、</w:t>
      </w:r>
      <w:bookmarkStart w:id="30" w:name="OLE_LINK28"/>
      <w:r>
        <w:rPr>
          <w:rFonts w:hint="eastAsia" w:ascii="宋体" w:hAnsi="宋体" w:eastAsia="宋体" w:cs="宋体"/>
          <w:color w:val="auto"/>
          <w:kern w:val="0"/>
          <w:sz w:val="24"/>
          <w:szCs w:val="24"/>
          <w:highlight w:val="none"/>
          <w:lang w:val="en-US" w:eastAsia="zh-CN"/>
        </w:rPr>
        <w:t>投标人</w:t>
      </w:r>
      <w:bookmarkEnd w:id="30"/>
      <w:r>
        <w:rPr>
          <w:rFonts w:hint="eastAsia" w:ascii="宋体" w:hAnsi="宋体" w:eastAsia="宋体" w:cs="宋体"/>
          <w:color w:val="auto"/>
          <w:kern w:val="0"/>
          <w:sz w:val="24"/>
          <w:szCs w:val="24"/>
          <w:highlight w:val="none"/>
          <w:lang w:val="en-US" w:eastAsia="zh-CN"/>
        </w:rPr>
        <w:t>应具有年金基金损失的追偿机制，风险管理体系；风控体系框架完整，覆盖人员、系统、制度、流程、处置全维度。</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9、针对日常服务投标人应具有运营管理信息系统和平台、可以完整展示年金运营管理系统功能。</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10、投标人应具有信息披露管理制度、信息披露处置流程、信息保密措施、突发事件处理机制方案、以及对管理人的评选和考核能力。</w:t>
      </w:r>
    </w:p>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DCE7DB6"/>
    <w:multiLevelType w:val="singleLevel"/>
    <w:tmpl w:val="2DCE7DB6"/>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JhZDNiNDVlNzcxZWZhODYyNGVjZjE1YTNhYjI1MjUifQ=="/>
  </w:docVars>
  <w:rsids>
    <w:rsidRoot w:val="00000000"/>
    <w:rsid w:val="06383B48"/>
    <w:rsid w:val="064900EC"/>
    <w:rsid w:val="26773DE5"/>
    <w:rsid w:val="6FF909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qFormat/>
    <w:uiPriority w:val="59"/>
    <w:rPr>
      <w:rFonts w:ascii="Calibri" w:hAnsi="Calibr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2204</Words>
  <Characters>2269</Characters>
  <Lines>0</Lines>
  <Paragraphs>0</Paragraphs>
  <TotalTime>0</TotalTime>
  <ScaleCrop>false</ScaleCrop>
  <LinksUpToDate>false</LinksUpToDate>
  <CharactersWithSpaces>2280</CharactersWithSpaces>
  <Application>WPS Office_11.1.0.12650_F1E327BC-269C-435d-A152-05C5408002CA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2026-07-21T05:06:57Z</dcterms:created>
  <dc:creator>华为</dc:creator>
  <cp:lastModifiedBy>czy</cp:lastModifiedBy>
  <dcterms:modified xsi:type="dcterms:W3CDTF">2026-07-21T05:07:21Z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2052-11.1.0.12650</vt:lpwstr>
  </property>
  <property fmtid="{D5CDD505-2E9C-101B-9397-08002B2CF9AE}" pid="3" name="ICV">
    <vt:lpwstr>634A0DEB855A4BCEB41142673A432647</vt:lpwstr>
  </property>
</Properties>
</file>